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5907CC86" w:rsidR="007C4506" w:rsidRPr="00A33B9F" w:rsidRDefault="00092C82" w:rsidP="00092C82">
      <w:pPr>
        <w:pStyle w:val="Pagedecouverture"/>
        <w:rPr>
          <w:noProof/>
        </w:rPr>
      </w:pPr>
      <w:bookmarkStart w:id="0" w:name="LW_BM_COVERPAGE"/>
      <w:r>
        <w:rPr>
          <w:noProof/>
        </w:rPr>
        <w:pict w14:anchorId="198E7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5A23765-5D84-4CFD-A24F-11B746021A70" style="width:455.25pt;height:410.25pt">
            <v:imagedata r:id="rId12" o:title=""/>
          </v:shape>
        </w:pict>
      </w:r>
    </w:p>
    <w:bookmarkEnd w:id="0"/>
    <w:p w14:paraId="7435B9A1" w14:textId="77777777" w:rsidR="00234C48" w:rsidRPr="00A33B9F" w:rsidRDefault="00234C48" w:rsidP="00234C48">
      <w:pPr>
        <w:rPr>
          <w:noProof/>
        </w:rPr>
        <w:sectPr w:rsidR="00234C48" w:rsidRPr="00A33B9F" w:rsidSect="00092C82">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299"/>
        </w:sectPr>
      </w:pPr>
    </w:p>
    <w:p w14:paraId="5C6677AA" w14:textId="2677285B" w:rsidR="00234C48" w:rsidRPr="00A33B9F" w:rsidRDefault="00234C48" w:rsidP="00234C48">
      <w:pPr>
        <w:jc w:val="center"/>
        <w:rPr>
          <w:rFonts w:ascii="Times New Roman" w:eastAsia="Times New Roman" w:hAnsi="Times New Roman" w:cs="Times New Roman"/>
          <w:b/>
          <w:noProof/>
          <w:color w:val="000000"/>
          <w:sz w:val="24"/>
          <w:szCs w:val="24"/>
        </w:rPr>
      </w:pPr>
      <w:bookmarkStart w:id="1" w:name="_GoBack"/>
      <w:bookmarkEnd w:id="1"/>
      <w:r w:rsidRPr="00A33B9F">
        <w:rPr>
          <w:rFonts w:ascii="Times New Roman" w:hAnsi="Times New Roman"/>
          <w:b/>
          <w:noProof/>
          <w:color w:val="000000"/>
          <w:sz w:val="24"/>
        </w:rPr>
        <w:lastRenderedPageBreak/>
        <w:t>ZAŁĄCZNIK</w:t>
      </w:r>
    </w:p>
    <w:p w14:paraId="21F95161" w14:textId="6F6A4F05" w:rsidR="007C4506" w:rsidRPr="00A33B9F" w:rsidRDefault="00B31839" w:rsidP="0039456E">
      <w:pPr>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SEKCJA 1: REFORMY I INWESTYCJE W RAMACH PLANU ODBUDOWY I ZWIĘKSZANIA ODPORNOŚCI</w:t>
      </w:r>
    </w:p>
    <w:p w14:paraId="02EB378F" w14:textId="77777777" w:rsidR="007C4506" w:rsidRPr="00A33B9F" w:rsidRDefault="007C4506" w:rsidP="0039456E">
      <w:pPr>
        <w:rPr>
          <w:rFonts w:ascii="Times New Roman" w:eastAsia="Times New Roman" w:hAnsi="Times New Roman" w:cs="Times New Roman"/>
          <w:noProof/>
          <w:color w:val="000000"/>
          <w:sz w:val="24"/>
          <w:szCs w:val="24"/>
        </w:rPr>
      </w:pPr>
    </w:p>
    <w:p w14:paraId="7965D8B9" w14:textId="5D149E1B" w:rsidR="007C4506" w:rsidRPr="00A33B9F" w:rsidRDefault="0039456E" w:rsidP="0039456E">
      <w:pPr>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1.</w:t>
      </w:r>
      <w:r w:rsidRPr="00A33B9F">
        <w:rPr>
          <w:noProof/>
        </w:rPr>
        <w:tab/>
      </w:r>
      <w:r w:rsidRPr="00A33B9F">
        <w:rPr>
          <w:rFonts w:ascii="Times New Roman" w:hAnsi="Times New Roman"/>
          <w:b/>
          <w:noProof/>
          <w:color w:val="000000"/>
          <w:sz w:val="24"/>
        </w:rPr>
        <w:t>Opis reform</w:t>
      </w:r>
      <w:r w:rsidR="00A33B9F" w:rsidRPr="00A33B9F">
        <w:rPr>
          <w:rFonts w:ascii="Times New Roman" w:hAnsi="Times New Roman"/>
          <w:b/>
          <w:noProof/>
          <w:color w:val="000000"/>
          <w:sz w:val="24"/>
        </w:rPr>
        <w:t xml:space="preserve"> i inw</w:t>
      </w:r>
      <w:r w:rsidRPr="00A33B9F">
        <w:rPr>
          <w:rFonts w:ascii="Times New Roman" w:hAnsi="Times New Roman"/>
          <w:b/>
          <w:noProof/>
          <w:color w:val="000000"/>
          <w:sz w:val="24"/>
        </w:rPr>
        <w:t xml:space="preserve">estycji </w:t>
      </w:r>
    </w:p>
    <w:p w14:paraId="1E885770" w14:textId="77777777" w:rsidR="007C4506" w:rsidRPr="00A33B9F" w:rsidRDefault="00B31839" w:rsidP="0039456E">
      <w:pPr>
        <w:pStyle w:val="Text1"/>
        <w:ind w:left="0"/>
        <w:rPr>
          <w:rFonts w:eastAsia="Times New Roman"/>
          <w:b/>
          <w:smallCaps/>
          <w:noProof/>
          <w:color w:val="000000"/>
          <w:szCs w:val="24"/>
        </w:rPr>
      </w:pPr>
      <w:r w:rsidRPr="00A33B9F">
        <w:rPr>
          <w:b/>
          <w:smallCaps/>
          <w:noProof/>
          <w:color w:val="000000"/>
        </w:rPr>
        <w:t>A. KOMPONENT A: ODPORNOŚĆ I KONKURENCYJNOŚĆ GOSPODARKI</w:t>
      </w:r>
    </w:p>
    <w:p w14:paraId="619839D3" w14:textId="141F6628" w:rsidR="007C4506" w:rsidRPr="00A33B9F" w:rsidRDefault="13F716FA" w:rsidP="0039456E">
      <w:pPr>
        <w:pStyle w:val="Text1"/>
        <w:ind w:left="0"/>
        <w:rPr>
          <w:noProof/>
          <w:color w:val="000000"/>
        </w:rPr>
      </w:pPr>
      <w:bookmarkStart w:id="2" w:name="_heading=h.30j0zll"/>
      <w:bookmarkEnd w:id="2"/>
      <w:r w:rsidRPr="00A33B9F">
        <w:rPr>
          <w:noProof/>
        </w:rPr>
        <w:t>Ten komponent polskiego planu odbudowy</w:t>
      </w:r>
      <w:r w:rsidR="00A33B9F" w:rsidRPr="00A33B9F">
        <w:rPr>
          <w:noProof/>
        </w:rPr>
        <w:t xml:space="preserve"> i zwi</w:t>
      </w:r>
      <w:r w:rsidRPr="00A33B9F">
        <w:rPr>
          <w:noProof/>
        </w:rPr>
        <w:t>ększania odporności przyczynia się do podjęcia szeregu wyzwań związanych</w:t>
      </w:r>
      <w:r w:rsidR="00A33B9F" w:rsidRPr="00A33B9F">
        <w:rPr>
          <w:noProof/>
        </w:rPr>
        <w:t xml:space="preserve"> z odp</w:t>
      </w:r>
      <w:r w:rsidRPr="00A33B9F">
        <w:rPr>
          <w:noProof/>
        </w:rPr>
        <w:t>ornością</w:t>
      </w:r>
      <w:r w:rsidR="00A33B9F" w:rsidRPr="00A33B9F">
        <w:rPr>
          <w:noProof/>
        </w:rPr>
        <w:t xml:space="preserve"> i kon</w:t>
      </w:r>
      <w:r w:rsidRPr="00A33B9F">
        <w:rPr>
          <w:noProof/>
        </w:rPr>
        <w:t>kurencyjnością polskiej gospodarki. Pierwsze nadrzędne wyzwanie ma związek</w:t>
      </w:r>
      <w:r w:rsidR="00A33B9F" w:rsidRPr="00A33B9F">
        <w:rPr>
          <w:noProof/>
        </w:rPr>
        <w:t xml:space="preserve"> z kli</w:t>
      </w:r>
      <w:r w:rsidRPr="00A33B9F">
        <w:rPr>
          <w:noProof/>
        </w:rPr>
        <w:t>matem inwestycyjnym</w:t>
      </w:r>
      <w:r w:rsidR="00A33B9F" w:rsidRPr="00A33B9F">
        <w:rPr>
          <w:noProof/>
        </w:rPr>
        <w:t xml:space="preserve"> i oto</w:t>
      </w:r>
      <w:r w:rsidRPr="00A33B9F">
        <w:rPr>
          <w:noProof/>
        </w:rPr>
        <w:t>czeniem działalności gospodarczej, które</w:t>
      </w:r>
      <w:r w:rsidR="00A33B9F" w:rsidRPr="00A33B9F">
        <w:rPr>
          <w:noProof/>
        </w:rPr>
        <w:t xml:space="preserve"> w ost</w:t>
      </w:r>
      <w:r w:rsidRPr="00A33B9F">
        <w:rPr>
          <w:noProof/>
        </w:rPr>
        <w:t>atnich latach zmagały się</w:t>
      </w:r>
      <w:r w:rsidR="00A33B9F" w:rsidRPr="00A33B9F">
        <w:rPr>
          <w:noProof/>
        </w:rPr>
        <w:t xml:space="preserve"> z luk</w:t>
      </w:r>
      <w:r w:rsidRPr="00A33B9F">
        <w:rPr>
          <w:noProof/>
        </w:rPr>
        <w:t>ami regulacyjnymi, uciążliwymi wymogami</w:t>
      </w:r>
      <w:r w:rsidR="00A33B9F" w:rsidRPr="00A33B9F">
        <w:rPr>
          <w:noProof/>
        </w:rPr>
        <w:t xml:space="preserve"> i pro</w:t>
      </w:r>
      <w:r w:rsidRPr="00A33B9F">
        <w:rPr>
          <w:noProof/>
        </w:rPr>
        <w:t>cedurami administracyjnymi oraz częstymi zmianami</w:t>
      </w:r>
      <w:r w:rsidR="00A33B9F" w:rsidRPr="00A33B9F">
        <w:rPr>
          <w:noProof/>
        </w:rPr>
        <w:t xml:space="preserve"> w klu</w:t>
      </w:r>
      <w:r w:rsidRPr="00A33B9F">
        <w:rPr>
          <w:noProof/>
        </w:rPr>
        <w:t>czowych przepisach. Po drugie, Polska nadal musi zwiększać zdolności innowacyjne, aby zmodernizować swój model wzrostu, przechodząc</w:t>
      </w:r>
      <w:r w:rsidR="00A33B9F" w:rsidRPr="00A33B9F">
        <w:rPr>
          <w:noProof/>
        </w:rPr>
        <w:t xml:space="preserve"> z mod</w:t>
      </w:r>
      <w:r w:rsidRPr="00A33B9F">
        <w:rPr>
          <w:noProof/>
        </w:rPr>
        <w:t>elu opartego na konkurencyjności kosztowej na model oparty na zrównoważonym rozwoju</w:t>
      </w:r>
      <w:r w:rsidR="00A33B9F" w:rsidRPr="00A33B9F">
        <w:rPr>
          <w:noProof/>
        </w:rPr>
        <w:t xml:space="preserve"> i dzi</w:t>
      </w:r>
      <w:r w:rsidRPr="00A33B9F">
        <w:rPr>
          <w:noProof/>
        </w:rPr>
        <w:t>ałalności</w:t>
      </w:r>
      <w:r w:rsidR="00A33B9F" w:rsidRPr="00A33B9F">
        <w:rPr>
          <w:noProof/>
        </w:rPr>
        <w:t xml:space="preserve"> o wyż</w:t>
      </w:r>
      <w:r w:rsidRPr="00A33B9F">
        <w:rPr>
          <w:noProof/>
        </w:rPr>
        <w:t>szej wartości dodanej. Łączne wydatki na badania</w:t>
      </w:r>
      <w:r w:rsidR="00A33B9F" w:rsidRPr="00A33B9F">
        <w:rPr>
          <w:noProof/>
        </w:rPr>
        <w:t xml:space="preserve"> i roz</w:t>
      </w:r>
      <w:r w:rsidRPr="00A33B9F">
        <w:rPr>
          <w:noProof/>
        </w:rPr>
        <w:t>wój utrzymują się na niskim poziomie – 1,4</w:t>
      </w:r>
      <w:r w:rsidR="00A33B9F" w:rsidRPr="00A33B9F">
        <w:rPr>
          <w:noProof/>
        </w:rPr>
        <w:t> </w:t>
      </w:r>
      <w:r w:rsidRPr="00A33B9F">
        <w:rPr>
          <w:noProof/>
        </w:rPr>
        <w:t>% PKB</w:t>
      </w:r>
      <w:r w:rsidR="00A33B9F" w:rsidRPr="00A33B9F">
        <w:rPr>
          <w:noProof/>
        </w:rPr>
        <w:t xml:space="preserve"> w por</w:t>
      </w:r>
      <w:r w:rsidRPr="00A33B9F">
        <w:rPr>
          <w:noProof/>
        </w:rPr>
        <w:t>ównaniu</w:t>
      </w:r>
      <w:r w:rsidR="00A33B9F" w:rsidRPr="00A33B9F">
        <w:rPr>
          <w:noProof/>
        </w:rPr>
        <w:t xml:space="preserve"> z 2</w:t>
      </w:r>
      <w:r w:rsidRPr="00A33B9F">
        <w:rPr>
          <w:noProof/>
        </w:rPr>
        <w:t>,3</w:t>
      </w:r>
      <w:r w:rsidR="00A33B9F" w:rsidRPr="00A33B9F">
        <w:rPr>
          <w:noProof/>
        </w:rPr>
        <w:t> </w:t>
      </w:r>
      <w:r w:rsidRPr="00A33B9F">
        <w:rPr>
          <w:noProof/>
        </w:rPr>
        <w:t>% w UE</w:t>
      </w:r>
      <w:r w:rsidR="00A33B9F" w:rsidRPr="00A33B9F">
        <w:rPr>
          <w:noProof/>
        </w:rPr>
        <w:t xml:space="preserve"> w 2</w:t>
      </w:r>
      <w:r w:rsidRPr="00A33B9F">
        <w:rPr>
          <w:noProof/>
        </w:rPr>
        <w:t>020</w:t>
      </w:r>
      <w:r w:rsidR="00A33B9F" w:rsidRPr="00A33B9F">
        <w:rPr>
          <w:noProof/>
        </w:rPr>
        <w:t> </w:t>
      </w:r>
      <w:r w:rsidRPr="00A33B9F">
        <w:rPr>
          <w:noProof/>
        </w:rPr>
        <w:t>r. Mimo że wydatki przedsiębiorstw na badania</w:t>
      </w:r>
      <w:r w:rsidR="00A33B9F" w:rsidRPr="00A33B9F">
        <w:rPr>
          <w:noProof/>
        </w:rPr>
        <w:t xml:space="preserve"> i roz</w:t>
      </w:r>
      <w:r w:rsidRPr="00A33B9F">
        <w:rPr>
          <w:noProof/>
        </w:rPr>
        <w:t>wój wzrosły</w:t>
      </w:r>
      <w:r w:rsidR="00A33B9F" w:rsidRPr="00A33B9F">
        <w:rPr>
          <w:noProof/>
        </w:rPr>
        <w:t xml:space="preserve"> w cią</w:t>
      </w:r>
      <w:r w:rsidRPr="00A33B9F">
        <w:rPr>
          <w:noProof/>
        </w:rPr>
        <w:t>gu ostatnich dziesięciu lat ponad czterokrotnie, pozostają one na poziomie poniżej średniej UE. Po trzecie, transformacja cyfrowa</w:t>
      </w:r>
      <w:r w:rsidR="00A33B9F" w:rsidRPr="00A33B9F">
        <w:rPr>
          <w:noProof/>
        </w:rPr>
        <w:t xml:space="preserve"> i inn</w:t>
      </w:r>
      <w:r w:rsidRPr="00A33B9F">
        <w:rPr>
          <w:noProof/>
        </w:rPr>
        <w:t>e przemiany gospodarcze wymagają starań, by lepiej dopasować umiejętności oraz modernizację kształcenia</w:t>
      </w:r>
      <w:r w:rsidR="00A33B9F" w:rsidRPr="00A33B9F">
        <w:rPr>
          <w:noProof/>
        </w:rPr>
        <w:t xml:space="preserve"> i szk</w:t>
      </w:r>
      <w:r w:rsidRPr="00A33B9F">
        <w:rPr>
          <w:noProof/>
        </w:rPr>
        <w:t>olenia zawodowego do potrzeb rynku pracy. Czwartym wyzwaniem jest fakt, że aktywność zawodowa kobiet, osób starszych, osób</w:t>
      </w:r>
      <w:r w:rsidR="00A33B9F" w:rsidRPr="00A33B9F">
        <w:rPr>
          <w:noProof/>
        </w:rPr>
        <w:t xml:space="preserve"> z nie</w:t>
      </w:r>
      <w:r w:rsidRPr="00A33B9F">
        <w:rPr>
          <w:noProof/>
        </w:rPr>
        <w:t>pełnosprawnościami oraz osób</w:t>
      </w:r>
      <w:r w:rsidR="00A33B9F" w:rsidRPr="00A33B9F">
        <w:rPr>
          <w:noProof/>
        </w:rPr>
        <w:t xml:space="preserve"> o nis</w:t>
      </w:r>
      <w:r w:rsidRPr="00A33B9F">
        <w:rPr>
          <w:noProof/>
        </w:rPr>
        <w:t>kich kwalifikacjach jest znacznie niższa niż</w:t>
      </w:r>
      <w:r w:rsidR="00A33B9F" w:rsidRPr="00A33B9F">
        <w:rPr>
          <w:noProof/>
        </w:rPr>
        <w:t xml:space="preserve"> w wie</w:t>
      </w:r>
      <w:r w:rsidRPr="00A33B9F">
        <w:rPr>
          <w:noProof/>
        </w:rPr>
        <w:t>lu innych państwach UE. Wynika to</w:t>
      </w:r>
      <w:r w:rsidR="00A33B9F" w:rsidRPr="00A33B9F">
        <w:rPr>
          <w:noProof/>
        </w:rPr>
        <w:t xml:space="preserve"> z kil</w:t>
      </w:r>
      <w:r w:rsidRPr="00A33B9F">
        <w:rPr>
          <w:noProof/>
        </w:rPr>
        <w:t>ku czynników,</w:t>
      </w:r>
      <w:r w:rsidR="00A33B9F" w:rsidRPr="00A33B9F">
        <w:rPr>
          <w:noProof/>
        </w:rPr>
        <w:t xml:space="preserve"> w tym z ogr</w:t>
      </w:r>
      <w:r w:rsidRPr="00A33B9F">
        <w:rPr>
          <w:noProof/>
        </w:rPr>
        <w:t>aniczonego dostępu do opieki nad dziećmi</w:t>
      </w:r>
      <w:r w:rsidR="00A33B9F" w:rsidRPr="00A33B9F">
        <w:rPr>
          <w:noProof/>
        </w:rPr>
        <w:t xml:space="preserve"> i opi</w:t>
      </w:r>
      <w:r w:rsidRPr="00A33B9F">
        <w:rPr>
          <w:noProof/>
        </w:rPr>
        <w:t>eki długoterminowej,</w:t>
      </w:r>
      <w:r w:rsidR="00A33B9F" w:rsidRPr="00A33B9F">
        <w:rPr>
          <w:noProof/>
        </w:rPr>
        <w:t xml:space="preserve"> a tak</w:t>
      </w:r>
      <w:r w:rsidRPr="00A33B9F">
        <w:rPr>
          <w:noProof/>
        </w:rPr>
        <w:t>że</w:t>
      </w:r>
      <w:r w:rsidR="00A33B9F" w:rsidRPr="00A33B9F">
        <w:rPr>
          <w:noProof/>
        </w:rPr>
        <w:t xml:space="preserve"> z nis</w:t>
      </w:r>
      <w:r w:rsidRPr="00A33B9F">
        <w:rPr>
          <w:noProof/>
        </w:rPr>
        <w:t>kiego ustawowego</w:t>
      </w:r>
      <w:r w:rsidR="00A33B9F" w:rsidRPr="00A33B9F">
        <w:rPr>
          <w:noProof/>
        </w:rPr>
        <w:t xml:space="preserve"> i rze</w:t>
      </w:r>
      <w:r w:rsidRPr="00A33B9F">
        <w:rPr>
          <w:noProof/>
        </w:rPr>
        <w:t>czywistego wieku przechodzenia na emeryturę. Ponadto elastyczność rynku pracy ograniczają specjalne systemy emerytalne</w:t>
      </w:r>
      <w:r w:rsidR="00A33B9F" w:rsidRPr="00A33B9F">
        <w:rPr>
          <w:noProof/>
        </w:rPr>
        <w:t xml:space="preserve"> i bra</w:t>
      </w:r>
      <w:r w:rsidRPr="00A33B9F">
        <w:rPr>
          <w:noProof/>
        </w:rPr>
        <w:t>k elastyczności uregulowań dotyczących czasu pracy</w:t>
      </w:r>
      <w:r w:rsidR="00A33B9F" w:rsidRPr="00A33B9F">
        <w:rPr>
          <w:noProof/>
        </w:rPr>
        <w:t>. I wre</w:t>
      </w:r>
      <w:r w:rsidRPr="00A33B9F">
        <w:rPr>
          <w:noProof/>
        </w:rPr>
        <w:t>szcie, wysoki pozostaje odsetek umów</w:t>
      </w:r>
      <w:r w:rsidR="00A33B9F" w:rsidRPr="00A33B9F">
        <w:rPr>
          <w:noProof/>
        </w:rPr>
        <w:t xml:space="preserve"> o pra</w:t>
      </w:r>
      <w:r w:rsidRPr="00A33B9F">
        <w:rPr>
          <w:noProof/>
        </w:rPr>
        <w:t>cę na czas określony, mimo tego, iż ulega on stałemu zmniejszeniu.</w:t>
      </w:r>
    </w:p>
    <w:p w14:paraId="17F46405" w14:textId="24713A40" w:rsidR="007C4506" w:rsidRPr="00A33B9F" w:rsidRDefault="00B31839" w:rsidP="0039456E">
      <w:pPr>
        <w:pStyle w:val="Text1"/>
        <w:ind w:left="0"/>
        <w:rPr>
          <w:rFonts w:eastAsia="Times New Roman"/>
          <w:noProof/>
          <w:color w:val="000000" w:themeColor="text1"/>
        </w:rPr>
      </w:pPr>
      <w:r w:rsidRPr="00A33B9F">
        <w:rPr>
          <w:noProof/>
          <w:color w:val="000000" w:themeColor="text1"/>
        </w:rPr>
        <w:t>Głównym celem przedmiotowego komponentu jest pobudzenie inwestycji oraz zwiększenie wydajności, konkurencyjności</w:t>
      </w:r>
      <w:r w:rsidR="00A33B9F" w:rsidRPr="00A33B9F">
        <w:rPr>
          <w:noProof/>
          <w:color w:val="000000" w:themeColor="text1"/>
        </w:rPr>
        <w:t xml:space="preserve"> i odp</w:t>
      </w:r>
      <w:r w:rsidRPr="00A33B9F">
        <w:rPr>
          <w:noProof/>
          <w:color w:val="000000" w:themeColor="text1"/>
        </w:rPr>
        <w:t>orności polskiej gospodarki</w:t>
      </w:r>
      <w:r w:rsidR="00A33B9F" w:rsidRPr="00A33B9F">
        <w:rPr>
          <w:noProof/>
          <w:color w:val="000000" w:themeColor="text1"/>
        </w:rPr>
        <w:t>. W tym</w:t>
      </w:r>
      <w:r w:rsidRPr="00A33B9F">
        <w:rPr>
          <w:noProof/>
          <w:color w:val="000000" w:themeColor="text1"/>
        </w:rPr>
        <w:t xml:space="preserve"> celu komponent jest ukierunkowany na: (i) zwiększenie stabilności</w:t>
      </w:r>
      <w:r w:rsidR="00A33B9F" w:rsidRPr="00A33B9F">
        <w:rPr>
          <w:noProof/>
          <w:color w:val="000000" w:themeColor="text1"/>
        </w:rPr>
        <w:t xml:space="preserve"> i ade</w:t>
      </w:r>
      <w:r w:rsidRPr="00A33B9F">
        <w:rPr>
          <w:noProof/>
          <w:color w:val="000000" w:themeColor="text1"/>
        </w:rPr>
        <w:t>kwatności ram budżetowych; (ii) ograniczenie regulacyjnego</w:t>
      </w:r>
      <w:r w:rsidR="00A33B9F" w:rsidRPr="00A33B9F">
        <w:rPr>
          <w:noProof/>
          <w:color w:val="000000" w:themeColor="text1"/>
        </w:rPr>
        <w:t xml:space="preserve"> i adm</w:t>
      </w:r>
      <w:r w:rsidRPr="00A33B9F">
        <w:rPr>
          <w:noProof/>
          <w:color w:val="000000" w:themeColor="text1"/>
        </w:rPr>
        <w:t>inistracyjnego obciążenia przedsiębiorstw</w:t>
      </w:r>
      <w:r w:rsidR="00A33B9F" w:rsidRPr="00A33B9F">
        <w:rPr>
          <w:noProof/>
          <w:color w:val="000000" w:themeColor="text1"/>
        </w:rPr>
        <w:t xml:space="preserve"> i prz</w:t>
      </w:r>
      <w:r w:rsidRPr="00A33B9F">
        <w:rPr>
          <w:noProof/>
          <w:color w:val="000000" w:themeColor="text1"/>
        </w:rPr>
        <w:t>edsiębiorców; (iii) wspieranie transformacji cyfrowej</w:t>
      </w:r>
      <w:r w:rsidR="00A33B9F" w:rsidRPr="00A33B9F">
        <w:rPr>
          <w:noProof/>
          <w:color w:val="000000" w:themeColor="text1"/>
        </w:rPr>
        <w:t xml:space="preserve"> i eko</w:t>
      </w:r>
      <w:r w:rsidRPr="00A33B9F">
        <w:rPr>
          <w:noProof/>
          <w:color w:val="000000" w:themeColor="text1"/>
        </w:rPr>
        <w:t>logicznej oraz odporności kluczowych sektorów gospodarki,</w:t>
      </w:r>
      <w:r w:rsidR="00A33B9F" w:rsidRPr="00A33B9F">
        <w:rPr>
          <w:noProof/>
          <w:color w:val="000000" w:themeColor="text1"/>
        </w:rPr>
        <w:t xml:space="preserve"> w tym</w:t>
      </w:r>
      <w:r w:rsidRPr="00A33B9F">
        <w:rPr>
          <w:noProof/>
          <w:color w:val="000000" w:themeColor="text1"/>
        </w:rPr>
        <w:t xml:space="preserve"> sektora rolno-spożywczego; (iv) poprawę ekosystemu innowacji; (v) wspieranie dopasowania umiejętności do potrzeb rynku pracy</w:t>
      </w:r>
      <w:r w:rsidR="00A33B9F" w:rsidRPr="00A33B9F">
        <w:rPr>
          <w:noProof/>
          <w:color w:val="000000" w:themeColor="text1"/>
        </w:rPr>
        <w:t xml:space="preserve"> i pop</w:t>
      </w:r>
      <w:r w:rsidRPr="00A33B9F">
        <w:rPr>
          <w:noProof/>
          <w:color w:val="000000" w:themeColor="text1"/>
        </w:rPr>
        <w:t>rawę uczenia się przez całe życie; (vi) wzrost współczynnika aktywności zawodowej</w:t>
      </w:r>
      <w:r w:rsidR="00A33B9F" w:rsidRPr="00A33B9F">
        <w:rPr>
          <w:noProof/>
          <w:color w:val="000000" w:themeColor="text1"/>
        </w:rPr>
        <w:t xml:space="preserve"> i pod</w:t>
      </w:r>
      <w:r w:rsidRPr="00A33B9F">
        <w:rPr>
          <w:noProof/>
          <w:color w:val="000000" w:themeColor="text1"/>
        </w:rPr>
        <w:t>niesienie rzeczywistego wieku przejścia na emeryturę; (vii) poprawę dostępu do opieki nad dziećmi</w:t>
      </w:r>
      <w:r w:rsidR="00A33B9F" w:rsidRPr="00A33B9F">
        <w:rPr>
          <w:noProof/>
          <w:color w:val="000000" w:themeColor="text1"/>
        </w:rPr>
        <w:t xml:space="preserve"> i jej</w:t>
      </w:r>
      <w:r w:rsidRPr="00A33B9F">
        <w:rPr>
          <w:noProof/>
          <w:color w:val="000000" w:themeColor="text1"/>
        </w:rPr>
        <w:t xml:space="preserve"> jakości,</w:t>
      </w:r>
      <w:r w:rsidR="00A33B9F" w:rsidRPr="00A33B9F">
        <w:rPr>
          <w:noProof/>
          <w:color w:val="000000" w:themeColor="text1"/>
        </w:rPr>
        <w:t xml:space="preserve"> w szc</w:t>
      </w:r>
      <w:r w:rsidRPr="00A33B9F">
        <w:rPr>
          <w:noProof/>
          <w:color w:val="000000" w:themeColor="text1"/>
        </w:rPr>
        <w:t>zególności</w:t>
      </w:r>
      <w:r w:rsidR="00A33B9F" w:rsidRPr="00A33B9F">
        <w:rPr>
          <w:noProof/>
          <w:color w:val="000000" w:themeColor="text1"/>
        </w:rPr>
        <w:t xml:space="preserve"> w prz</w:t>
      </w:r>
      <w:r w:rsidRPr="00A33B9F">
        <w:rPr>
          <w:noProof/>
          <w:color w:val="000000" w:themeColor="text1"/>
        </w:rPr>
        <w:t>ypadku dzieci poniżej trzeciego roku życia oraz (viii) zwiększenie skuteczności publicznych służb zatrudnienia.</w:t>
      </w:r>
    </w:p>
    <w:p w14:paraId="575CBA66" w14:textId="7AEC5B6E" w:rsidR="007C4506" w:rsidRPr="00A33B9F" w:rsidRDefault="00B31839" w:rsidP="00766AE4">
      <w:pPr>
        <w:pStyle w:val="Text1"/>
        <w:ind w:left="0"/>
        <w:rPr>
          <w:rFonts w:eastAsia="Times New Roman"/>
          <w:noProof/>
          <w:color w:val="000000" w:themeColor="text1"/>
        </w:rPr>
      </w:pPr>
      <w:r w:rsidRPr="00A33B9F">
        <w:rPr>
          <w:noProof/>
          <w:color w:val="000000" w:themeColor="text1"/>
        </w:rPr>
        <w:t>Komponent ten stanowi odpowiedź na następujące zalecenia krajowe skierowane do Polski</w:t>
      </w:r>
      <w:r w:rsidR="00A33B9F" w:rsidRPr="00A33B9F">
        <w:rPr>
          <w:noProof/>
          <w:color w:val="000000" w:themeColor="text1"/>
        </w:rPr>
        <w:t xml:space="preserve"> w ram</w:t>
      </w:r>
      <w:r w:rsidRPr="00A33B9F">
        <w:rPr>
          <w:noProof/>
          <w:color w:val="000000" w:themeColor="text1"/>
        </w:rPr>
        <w:t>ach europejskiego semestru</w:t>
      </w:r>
      <w:r w:rsidR="00A33B9F" w:rsidRPr="00A33B9F">
        <w:rPr>
          <w:noProof/>
          <w:color w:val="000000" w:themeColor="text1"/>
        </w:rPr>
        <w:t xml:space="preserve"> w lat</w:t>
      </w:r>
      <w:r w:rsidRPr="00A33B9F">
        <w:rPr>
          <w:noProof/>
          <w:color w:val="000000" w:themeColor="text1"/>
        </w:rPr>
        <w:t>ach 2019</w:t>
      </w:r>
      <w:r w:rsidR="00A33B9F" w:rsidRPr="00A33B9F">
        <w:rPr>
          <w:noProof/>
          <w:color w:val="000000" w:themeColor="text1"/>
        </w:rPr>
        <w:t xml:space="preserve"> i 2</w:t>
      </w:r>
      <w:r w:rsidRPr="00A33B9F">
        <w:rPr>
          <w:noProof/>
          <w:color w:val="000000" w:themeColor="text1"/>
        </w:rPr>
        <w:t>020: zalecenia krajowe nr</w:t>
      </w:r>
      <w:r w:rsidR="00A33B9F" w:rsidRPr="00A33B9F">
        <w:rPr>
          <w:noProof/>
          <w:color w:val="000000" w:themeColor="text1"/>
        </w:rPr>
        <w:t> </w:t>
      </w:r>
      <w:r w:rsidRPr="00A33B9F">
        <w:rPr>
          <w:noProof/>
          <w:color w:val="000000" w:themeColor="text1"/>
        </w:rPr>
        <w:t>3, 2019</w:t>
      </w:r>
      <w:r w:rsidR="00A33B9F" w:rsidRPr="00A33B9F">
        <w:rPr>
          <w:noProof/>
          <w:color w:val="000000" w:themeColor="text1"/>
        </w:rPr>
        <w:t xml:space="preserve"> i 4</w:t>
      </w:r>
      <w:r w:rsidRPr="00A33B9F">
        <w:rPr>
          <w:noProof/>
          <w:color w:val="000000" w:themeColor="text1"/>
        </w:rPr>
        <w:t>, 2020 dotyczące poprawy klimatu inwestycyjnego</w:t>
      </w:r>
      <w:r w:rsidR="00A33B9F" w:rsidRPr="00A33B9F">
        <w:rPr>
          <w:noProof/>
          <w:color w:val="000000" w:themeColor="text1"/>
        </w:rPr>
        <w:t xml:space="preserve"> i oto</w:t>
      </w:r>
      <w:r w:rsidRPr="00A33B9F">
        <w:rPr>
          <w:noProof/>
          <w:color w:val="000000" w:themeColor="text1"/>
        </w:rPr>
        <w:t>czenia regulacyjnego,</w:t>
      </w:r>
      <w:r w:rsidR="00A33B9F" w:rsidRPr="00A33B9F">
        <w:rPr>
          <w:noProof/>
          <w:color w:val="000000" w:themeColor="text1"/>
        </w:rPr>
        <w:t xml:space="preserve"> w szc</w:t>
      </w:r>
      <w:r w:rsidRPr="00A33B9F">
        <w:rPr>
          <w:noProof/>
          <w:color w:val="000000" w:themeColor="text1"/>
        </w:rPr>
        <w:t>zególności poprzez zwiększenie roli konsultacji publicznych</w:t>
      </w:r>
      <w:r w:rsidR="00A33B9F" w:rsidRPr="00A33B9F">
        <w:rPr>
          <w:noProof/>
          <w:color w:val="000000" w:themeColor="text1"/>
        </w:rPr>
        <w:t xml:space="preserve"> w pro</w:t>
      </w:r>
      <w:r w:rsidRPr="00A33B9F">
        <w:rPr>
          <w:noProof/>
          <w:color w:val="000000" w:themeColor="text1"/>
        </w:rPr>
        <w:t>cesie legislacyjnym; Komponent ten obejmuje ponadto następujące kwestie: zalecenia krajowe nr</w:t>
      </w:r>
      <w:r w:rsidR="00A33B9F" w:rsidRPr="00A33B9F">
        <w:rPr>
          <w:noProof/>
          <w:color w:val="000000" w:themeColor="text1"/>
        </w:rPr>
        <w:t> </w:t>
      </w:r>
      <w:r w:rsidRPr="00A33B9F">
        <w:rPr>
          <w:noProof/>
          <w:color w:val="000000" w:themeColor="text1"/>
        </w:rPr>
        <w:t>1, 2019</w:t>
      </w:r>
      <w:r w:rsidR="00A33B9F" w:rsidRPr="00A33B9F">
        <w:rPr>
          <w:noProof/>
          <w:color w:val="000000" w:themeColor="text1"/>
        </w:rPr>
        <w:t xml:space="preserve"> i 1</w:t>
      </w:r>
      <w:r w:rsidRPr="00A33B9F">
        <w:rPr>
          <w:noProof/>
          <w:color w:val="000000" w:themeColor="text1"/>
        </w:rPr>
        <w:t>, 2020 dotyczące zwiększenia efektywności wydatków publicznych</w:t>
      </w:r>
      <w:r w:rsidR="00A33B9F" w:rsidRPr="00A33B9F">
        <w:rPr>
          <w:noProof/>
          <w:color w:val="000000" w:themeColor="text1"/>
        </w:rPr>
        <w:t xml:space="preserve"> i sys</w:t>
      </w:r>
      <w:r w:rsidRPr="00A33B9F">
        <w:rPr>
          <w:noProof/>
          <w:color w:val="000000" w:themeColor="text1"/>
        </w:rPr>
        <w:t>temu budżetowego oraz wspierania ożywienia gospodarczego za pomocą środków publicznych; zalecenie krajowe nr</w:t>
      </w:r>
      <w:r w:rsidR="00A33B9F" w:rsidRPr="00A33B9F">
        <w:rPr>
          <w:noProof/>
          <w:color w:val="000000" w:themeColor="text1"/>
        </w:rPr>
        <w:t> </w:t>
      </w:r>
      <w:r w:rsidRPr="00A33B9F">
        <w:rPr>
          <w:noProof/>
          <w:color w:val="000000" w:themeColor="text1"/>
        </w:rPr>
        <w:t>2, 2019 dotyczące adekwatności przyszłych świadczeń emerytalnych</w:t>
      </w:r>
      <w:r w:rsidR="00A33B9F" w:rsidRPr="00A33B9F">
        <w:rPr>
          <w:noProof/>
          <w:color w:val="000000" w:themeColor="text1"/>
        </w:rPr>
        <w:t xml:space="preserve"> i sta</w:t>
      </w:r>
      <w:r w:rsidRPr="00A33B9F">
        <w:rPr>
          <w:noProof/>
          <w:color w:val="000000" w:themeColor="text1"/>
        </w:rPr>
        <w:t>bilności systemu emerytalnego,</w:t>
      </w:r>
      <w:r w:rsidR="00A33B9F" w:rsidRPr="00A33B9F">
        <w:rPr>
          <w:noProof/>
          <w:color w:val="000000" w:themeColor="text1"/>
        </w:rPr>
        <w:t xml:space="preserve"> w szc</w:t>
      </w:r>
      <w:r w:rsidRPr="00A33B9F">
        <w:rPr>
          <w:noProof/>
          <w:color w:val="000000" w:themeColor="text1"/>
        </w:rPr>
        <w:t>zególności przez zastosowanie środków służących podwyższaniu rzeczywistego wieku przejścia na emeryturę, oraz podjęcia działań</w:t>
      </w:r>
      <w:r w:rsidR="00A33B9F" w:rsidRPr="00A33B9F">
        <w:rPr>
          <w:noProof/>
          <w:color w:val="000000" w:themeColor="text1"/>
        </w:rPr>
        <w:t xml:space="preserve"> w cel</w:t>
      </w:r>
      <w:r w:rsidRPr="00A33B9F">
        <w:rPr>
          <w:noProof/>
          <w:color w:val="000000" w:themeColor="text1"/>
        </w:rPr>
        <w:t>u zwiększenia uczestnictwa</w:t>
      </w:r>
      <w:r w:rsidR="00A33B9F" w:rsidRPr="00A33B9F">
        <w:rPr>
          <w:noProof/>
          <w:color w:val="000000" w:themeColor="text1"/>
        </w:rPr>
        <w:t xml:space="preserve"> w ryn</w:t>
      </w:r>
      <w:r w:rsidRPr="00A33B9F">
        <w:rPr>
          <w:noProof/>
          <w:color w:val="000000" w:themeColor="text1"/>
        </w:rPr>
        <w:t>ku pracy,</w:t>
      </w:r>
      <w:r w:rsidR="00A33B9F" w:rsidRPr="00A33B9F">
        <w:rPr>
          <w:noProof/>
          <w:color w:val="000000" w:themeColor="text1"/>
        </w:rPr>
        <w:t xml:space="preserve"> w tym</w:t>
      </w:r>
      <w:r w:rsidRPr="00A33B9F">
        <w:rPr>
          <w:noProof/>
          <w:color w:val="000000" w:themeColor="text1"/>
        </w:rPr>
        <w:t xml:space="preserve"> przez poprawę dostępu do opieki nad dziećmi i do opieki długoterminowej, oraz likwidacji utrzymujących się przeszkód dla bardziej trwałych form zatrudnienia,</w:t>
      </w:r>
      <w:r w:rsidR="00A33B9F" w:rsidRPr="00A33B9F">
        <w:rPr>
          <w:noProof/>
          <w:color w:val="000000" w:themeColor="text1"/>
        </w:rPr>
        <w:t xml:space="preserve"> a tak</w:t>
      </w:r>
      <w:r w:rsidRPr="00A33B9F">
        <w:rPr>
          <w:noProof/>
          <w:color w:val="000000" w:themeColor="text1"/>
        </w:rPr>
        <w:t>że środków służących zwiększeniu dopasowania umiejętności do potrzeb rynku pracy</w:t>
      </w:r>
      <w:r w:rsidR="00A33B9F" w:rsidRPr="00A33B9F">
        <w:rPr>
          <w:noProof/>
          <w:color w:val="000000" w:themeColor="text1"/>
        </w:rPr>
        <w:t xml:space="preserve"> i pop</w:t>
      </w:r>
      <w:r w:rsidRPr="00A33B9F">
        <w:rPr>
          <w:noProof/>
          <w:color w:val="000000" w:themeColor="text1"/>
        </w:rPr>
        <w:t>rawy kształcenia przez całe życie; zalecenie krajowe nr</w:t>
      </w:r>
      <w:r w:rsidR="00A33B9F" w:rsidRPr="00A33B9F">
        <w:rPr>
          <w:noProof/>
          <w:color w:val="000000" w:themeColor="text1"/>
        </w:rPr>
        <w:t> </w:t>
      </w:r>
      <w:r w:rsidRPr="00A33B9F">
        <w:rPr>
          <w:noProof/>
          <w:color w:val="000000" w:themeColor="text1"/>
        </w:rPr>
        <w:t>3, 2019 dotyczące wzmocnienia zdolności gospodarki do innowacji,</w:t>
      </w:r>
      <w:r w:rsidR="00A33B9F" w:rsidRPr="00A33B9F">
        <w:rPr>
          <w:noProof/>
          <w:color w:val="000000" w:themeColor="text1"/>
        </w:rPr>
        <w:t xml:space="preserve"> w tym</w:t>
      </w:r>
      <w:r w:rsidRPr="00A33B9F">
        <w:rPr>
          <w:noProof/>
          <w:color w:val="000000" w:themeColor="text1"/>
        </w:rPr>
        <w:t xml:space="preserve"> poprzez wspieranie instytucji badawczych</w:t>
      </w:r>
      <w:r w:rsidR="00A33B9F" w:rsidRPr="00A33B9F">
        <w:rPr>
          <w:noProof/>
          <w:color w:val="000000" w:themeColor="text1"/>
        </w:rPr>
        <w:t xml:space="preserve"> i ich</w:t>
      </w:r>
      <w:r w:rsidRPr="00A33B9F">
        <w:rPr>
          <w:noProof/>
          <w:color w:val="000000" w:themeColor="text1"/>
        </w:rPr>
        <w:t xml:space="preserve"> ściślejszej współpracy</w:t>
      </w:r>
      <w:r w:rsidR="00A33B9F" w:rsidRPr="00A33B9F">
        <w:rPr>
          <w:noProof/>
          <w:color w:val="000000" w:themeColor="text1"/>
        </w:rPr>
        <w:t xml:space="preserve"> z prz</w:t>
      </w:r>
      <w:r w:rsidRPr="00A33B9F">
        <w:rPr>
          <w:noProof/>
          <w:color w:val="000000" w:themeColor="text1"/>
        </w:rPr>
        <w:t>edsiębiorstwami.</w:t>
      </w:r>
    </w:p>
    <w:p w14:paraId="6D7D8B72" w14:textId="646E9945" w:rsidR="007C4506" w:rsidRPr="00A33B9F" w:rsidRDefault="0D514FB9" w:rsidP="6835B040">
      <w:pPr>
        <w:pStyle w:val="Text1"/>
        <w:ind w:left="0"/>
        <w:rPr>
          <w:rFonts w:eastAsia="Times New Roman"/>
          <w:noProof/>
          <w:color w:val="000000"/>
        </w:rPr>
      </w:pPr>
      <w:r w:rsidRPr="00A33B9F">
        <w:rPr>
          <w:noProof/>
          <w:color w:val="000000" w:themeColor="text1"/>
        </w:rPr>
        <w:t>Oczekuje się, że żaden ze środków</w:t>
      </w:r>
      <w:r w:rsidR="00A33B9F" w:rsidRPr="00A33B9F">
        <w:rPr>
          <w:noProof/>
          <w:color w:val="000000" w:themeColor="text1"/>
        </w:rPr>
        <w:t xml:space="preserve"> w tym</w:t>
      </w:r>
      <w:r w:rsidRPr="00A33B9F">
        <w:rPr>
          <w:noProof/>
          <w:color w:val="000000" w:themeColor="text1"/>
        </w:rPr>
        <w:t xml:space="preserve"> komponencie nie spowoduje poważnych szkód dla celów środowiskowych</w:t>
      </w:r>
      <w:r w:rsidR="00A33B9F" w:rsidRPr="00A33B9F">
        <w:rPr>
          <w:noProof/>
          <w:color w:val="000000" w:themeColor="text1"/>
        </w:rPr>
        <w:t xml:space="preserve"> w roz</w:t>
      </w:r>
      <w:r w:rsidRPr="00A33B9F">
        <w:rPr>
          <w:noProof/>
          <w:color w:val="000000" w:themeColor="text1"/>
        </w:rPr>
        <w:t>umieniu art.</w:t>
      </w:r>
      <w:r w:rsidR="00A33B9F" w:rsidRPr="00A33B9F">
        <w:rPr>
          <w:noProof/>
          <w:color w:val="000000" w:themeColor="text1"/>
        </w:rPr>
        <w:t> </w:t>
      </w:r>
      <w:r w:rsidRPr="00A33B9F">
        <w:rPr>
          <w:noProof/>
          <w:color w:val="000000" w:themeColor="text1"/>
        </w:rPr>
        <w:t>17 rozporządzenia Parlamentu Europejskiego</w:t>
      </w:r>
      <w:r w:rsidR="00A33B9F" w:rsidRPr="00A33B9F">
        <w:rPr>
          <w:noProof/>
          <w:color w:val="000000" w:themeColor="text1"/>
        </w:rPr>
        <w:t xml:space="preserve"> i Rad</w:t>
      </w:r>
      <w:r w:rsidRPr="00A33B9F">
        <w:rPr>
          <w:noProof/>
          <w:color w:val="000000" w:themeColor="text1"/>
        </w:rPr>
        <w:t>y (UE) 2020/852, biorąc pod uwagę opis środków</w:t>
      </w:r>
      <w:r w:rsidR="00A33B9F" w:rsidRPr="00A33B9F">
        <w:rPr>
          <w:noProof/>
          <w:color w:val="000000" w:themeColor="text1"/>
        </w:rPr>
        <w:t xml:space="preserve"> i dzi</w:t>
      </w:r>
      <w:r w:rsidRPr="00A33B9F">
        <w:rPr>
          <w:noProof/>
          <w:color w:val="000000" w:themeColor="text1"/>
        </w:rPr>
        <w:t>ałań ograniczających ryzyko</w:t>
      </w:r>
      <w:r w:rsidR="00A33B9F" w:rsidRPr="00A33B9F">
        <w:rPr>
          <w:noProof/>
          <w:color w:val="000000" w:themeColor="text1"/>
        </w:rPr>
        <w:t xml:space="preserve"> w pla</w:t>
      </w:r>
      <w:r w:rsidRPr="00A33B9F">
        <w:rPr>
          <w:noProof/>
          <w:color w:val="000000" w:themeColor="text1"/>
        </w:rPr>
        <w:t>nie odbudowy</w:t>
      </w:r>
      <w:r w:rsidR="00A33B9F" w:rsidRPr="00A33B9F">
        <w:rPr>
          <w:noProof/>
          <w:color w:val="000000" w:themeColor="text1"/>
        </w:rPr>
        <w:t xml:space="preserve"> i zwi</w:t>
      </w:r>
      <w:r w:rsidRPr="00A33B9F">
        <w:rPr>
          <w:noProof/>
          <w:color w:val="000000" w:themeColor="text1"/>
        </w:rPr>
        <w:t>ększania odporności zgodnie</w:t>
      </w:r>
      <w:r w:rsidR="00A33B9F" w:rsidRPr="00A33B9F">
        <w:rPr>
          <w:noProof/>
          <w:color w:val="000000" w:themeColor="text1"/>
        </w:rPr>
        <w:t xml:space="preserve"> z wyt</w:t>
      </w:r>
      <w:r w:rsidRPr="00A33B9F">
        <w:rPr>
          <w:noProof/>
          <w:color w:val="000000" w:themeColor="text1"/>
        </w:rPr>
        <w:t xml:space="preserve">ycznymi technicznymi dotyczącymi stosowania zasady „nie czyń poważnych szkód” (2021/C 58/01). </w:t>
      </w:r>
    </w:p>
    <w:p w14:paraId="6A05A809"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47A2FE4" w14:textId="4EF11667" w:rsidR="007C4506" w:rsidRPr="00A33B9F" w:rsidRDefault="00B31839" w:rsidP="0039456E">
      <w:pPr>
        <w:pStyle w:val="Text1"/>
        <w:ind w:left="0"/>
        <w:rPr>
          <w:rFonts w:eastAsia="Times New Roman"/>
          <w:b/>
          <w:noProof/>
          <w:color w:val="000000"/>
          <w:szCs w:val="24"/>
        </w:rPr>
      </w:pPr>
      <w:r w:rsidRPr="00A33B9F">
        <w:rPr>
          <w:b/>
          <w:noProof/>
          <w:color w:val="000000"/>
        </w:rPr>
        <w:t xml:space="preserve">A.1. </w:t>
      </w:r>
      <w:r w:rsidRPr="00A33B9F">
        <w:rPr>
          <w:noProof/>
        </w:rPr>
        <w:tab/>
      </w:r>
      <w:r w:rsidRPr="00A33B9F">
        <w:rPr>
          <w:b/>
          <w:noProof/>
          <w:color w:val="000000"/>
        </w:rPr>
        <w:t>Opis reform</w:t>
      </w:r>
      <w:r w:rsidR="00A33B9F" w:rsidRPr="00A33B9F">
        <w:rPr>
          <w:b/>
          <w:noProof/>
          <w:color w:val="000000"/>
        </w:rPr>
        <w:t xml:space="preserve"> i inw</w:t>
      </w:r>
      <w:r w:rsidRPr="00A33B9F">
        <w:rPr>
          <w:b/>
          <w:noProof/>
          <w:color w:val="000000"/>
        </w:rPr>
        <w:t>estycji, które mają być finansowane</w:t>
      </w:r>
      <w:r w:rsidR="00A33B9F" w:rsidRPr="00A33B9F">
        <w:rPr>
          <w:b/>
          <w:noProof/>
          <w:color w:val="000000"/>
        </w:rPr>
        <w:t xml:space="preserve"> z bez</w:t>
      </w:r>
      <w:r w:rsidRPr="00A33B9F">
        <w:rPr>
          <w:b/>
          <w:noProof/>
          <w:color w:val="000000"/>
        </w:rPr>
        <w:t>zwrotnego wsparcia finansowego</w:t>
      </w:r>
    </w:p>
    <w:p w14:paraId="6FFA00B4" w14:textId="77777777" w:rsidR="0002330F" w:rsidRPr="00A33B9F"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p>
    <w:p w14:paraId="0384F559" w14:textId="623CFB91" w:rsidR="007C4506" w:rsidRPr="00A33B9F" w:rsidRDefault="00B31839" w:rsidP="0039456E">
      <w:pPr>
        <w:pStyle w:val="Text1"/>
        <w:ind w:left="0"/>
        <w:rPr>
          <w:rFonts w:eastAsia="Times New Roman"/>
          <w:b/>
          <w:noProof/>
          <w:color w:val="000000"/>
          <w:szCs w:val="24"/>
        </w:rPr>
      </w:pPr>
      <w:r w:rsidRPr="00A33B9F">
        <w:rPr>
          <w:b/>
          <w:noProof/>
          <w:color w:val="000000"/>
        </w:rPr>
        <w:t>Podkomponent A1 – Ograniczenie wpływu COVID-19 na przedsiębiorstwa</w:t>
      </w:r>
    </w:p>
    <w:p w14:paraId="588BD50C" w14:textId="77777777" w:rsidR="002248AA" w:rsidRPr="00A33B9F" w:rsidRDefault="002248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7BEBEF5D" w14:textId="77777777" w:rsidR="007C4506" w:rsidRPr="00A33B9F" w:rsidRDefault="00B31839" w:rsidP="0039456E">
      <w:pPr>
        <w:pStyle w:val="Text1"/>
        <w:ind w:left="0"/>
        <w:rPr>
          <w:rFonts w:eastAsia="Times New Roman"/>
          <w:b/>
          <w:noProof/>
          <w:color w:val="000000"/>
          <w:szCs w:val="24"/>
        </w:rPr>
      </w:pPr>
      <w:r w:rsidRPr="00A33B9F">
        <w:rPr>
          <w:b/>
          <w:noProof/>
          <w:color w:val="000000"/>
          <w:u w:val="single"/>
        </w:rPr>
        <w:t>A1.1 Reforma ram budżetowych</w:t>
      </w:r>
    </w:p>
    <w:p w14:paraId="57B92EAC" w14:textId="006EF52D" w:rsidR="007C4506" w:rsidRPr="00A33B9F" w:rsidRDefault="16DAD562" w:rsidP="0039456E">
      <w:pPr>
        <w:pStyle w:val="Text1"/>
        <w:ind w:left="0"/>
        <w:rPr>
          <w:rFonts w:eastAsia="Times New Roman"/>
          <w:noProof/>
          <w:color w:val="000000"/>
          <w:szCs w:val="24"/>
        </w:rPr>
      </w:pPr>
      <w:r w:rsidRPr="00A33B9F">
        <w:rPr>
          <w:noProof/>
          <w:color w:val="000000" w:themeColor="text1"/>
        </w:rPr>
        <w:t>Nadrzędnym celem reformy jest zwiększenie przejrzystości</w:t>
      </w:r>
      <w:r w:rsidR="00A33B9F" w:rsidRPr="00A33B9F">
        <w:rPr>
          <w:noProof/>
          <w:color w:val="000000" w:themeColor="text1"/>
        </w:rPr>
        <w:t xml:space="preserve"> i efe</w:t>
      </w:r>
      <w:r w:rsidRPr="00A33B9F">
        <w:rPr>
          <w:noProof/>
          <w:color w:val="000000" w:themeColor="text1"/>
        </w:rPr>
        <w:t>ktywności wydatków publicznych. Aby osiągnąć ten cel, reforma jest ukierunkowana na: (i) umożliwienie bardziej efektywnego zarządzania środkami publicznymi; (ii) zwiększenie rozliczalności</w:t>
      </w:r>
      <w:r w:rsidR="00A33B9F" w:rsidRPr="00A33B9F">
        <w:rPr>
          <w:noProof/>
          <w:color w:val="000000" w:themeColor="text1"/>
        </w:rPr>
        <w:t xml:space="preserve"> w zak</w:t>
      </w:r>
      <w:r w:rsidRPr="00A33B9F">
        <w:rPr>
          <w:noProof/>
          <w:color w:val="000000" w:themeColor="text1"/>
        </w:rPr>
        <w:t>resie zarządzania środkami publicznymi; (iii) zwiększenie stabilności finansów publicznych</w:t>
      </w:r>
      <w:r w:rsidR="00A33B9F" w:rsidRPr="00A33B9F">
        <w:rPr>
          <w:noProof/>
          <w:color w:val="000000" w:themeColor="text1"/>
        </w:rPr>
        <w:t xml:space="preserve"> i zap</w:t>
      </w:r>
      <w:r w:rsidRPr="00A33B9F">
        <w:rPr>
          <w:noProof/>
          <w:color w:val="000000" w:themeColor="text1"/>
        </w:rPr>
        <w:t>obieżenie niezrównoważonemu wzrostowi wydatków.</w:t>
      </w:r>
    </w:p>
    <w:p w14:paraId="28775C3C" w14:textId="5EB69291" w:rsidR="007C4506" w:rsidRPr="00A33B9F" w:rsidRDefault="78FD86D7" w:rsidP="0039456E">
      <w:pPr>
        <w:pStyle w:val="Text1"/>
        <w:ind w:left="0"/>
        <w:rPr>
          <w:rFonts w:eastAsia="Times New Roman"/>
          <w:noProof/>
          <w:color w:val="000000"/>
          <w:szCs w:val="24"/>
        </w:rPr>
      </w:pPr>
      <w:r w:rsidRPr="00A33B9F">
        <w:rPr>
          <w:noProof/>
          <w:color w:val="000000" w:themeColor="text1"/>
        </w:rPr>
        <w:t>Reforma polega na wdrożeniu dwóch środków legislacyjnych. Po pierwsze, ustawa</w:t>
      </w:r>
      <w:r w:rsidR="00A33B9F" w:rsidRPr="00A33B9F">
        <w:rPr>
          <w:noProof/>
          <w:color w:val="000000" w:themeColor="text1"/>
        </w:rPr>
        <w:t xml:space="preserve"> o fin</w:t>
      </w:r>
      <w:r w:rsidRPr="00A33B9F">
        <w:rPr>
          <w:noProof/>
          <w:color w:val="000000" w:themeColor="text1"/>
        </w:rPr>
        <w:t>ansach publicznych zostanie zmieniona przez wdrożenie nowego systemu klasyfikacji, nowego modelu zarządzania budżetem oraz zdefiniowanych na nowo średniookresowych ram budżetowych</w:t>
      </w:r>
      <w:r w:rsidR="00A33B9F" w:rsidRPr="00A33B9F">
        <w:rPr>
          <w:noProof/>
          <w:color w:val="000000" w:themeColor="text1"/>
        </w:rPr>
        <w:t>. W wyn</w:t>
      </w:r>
      <w:r w:rsidRPr="00A33B9F">
        <w:rPr>
          <w:noProof/>
          <w:color w:val="000000" w:themeColor="text1"/>
        </w:rPr>
        <w:t>iku tej zmiany ustanowiony zostanie nowy system budżetowy. Po drugie, ustawa</w:t>
      </w:r>
      <w:r w:rsidR="00A33B9F" w:rsidRPr="00A33B9F">
        <w:rPr>
          <w:noProof/>
          <w:color w:val="000000" w:themeColor="text1"/>
        </w:rPr>
        <w:t xml:space="preserve"> o fin</w:t>
      </w:r>
      <w:r w:rsidRPr="00A33B9F">
        <w:rPr>
          <w:noProof/>
          <w:color w:val="000000" w:themeColor="text1"/>
        </w:rPr>
        <w:t>ansach publicznych zostanie zmieniona przez rozszerzenie zakresu stabilizującej reguły wydatkowej (SRW) na większą liczbę jednostek sektora instytucji rządowych</w:t>
      </w:r>
      <w:r w:rsidR="00A33B9F" w:rsidRPr="00A33B9F">
        <w:rPr>
          <w:noProof/>
          <w:color w:val="000000" w:themeColor="text1"/>
        </w:rPr>
        <w:t xml:space="preserve"> i sam</w:t>
      </w:r>
      <w:r w:rsidRPr="00A33B9F">
        <w:rPr>
          <w:noProof/>
          <w:color w:val="000000" w:themeColor="text1"/>
        </w:rPr>
        <w:t>orządowych,</w:t>
      </w:r>
      <w:r w:rsidR="00A33B9F" w:rsidRPr="00A33B9F">
        <w:rPr>
          <w:noProof/>
          <w:color w:val="000000" w:themeColor="text1"/>
        </w:rPr>
        <w:t xml:space="preserve"> w szc</w:t>
      </w:r>
      <w:r w:rsidRPr="00A33B9F">
        <w:rPr>
          <w:noProof/>
          <w:color w:val="000000" w:themeColor="text1"/>
        </w:rPr>
        <w:t xml:space="preserve">zególności fundusze celowe. </w:t>
      </w:r>
    </w:p>
    <w:p w14:paraId="715073A6" w14:textId="41D26657" w:rsidR="007C4506" w:rsidRPr="00A33B9F" w:rsidRDefault="00B31839" w:rsidP="0039456E">
      <w:pPr>
        <w:pStyle w:val="Text1"/>
        <w:ind w:left="0"/>
        <w:rPr>
          <w:rFonts w:eastAsia="Times New Roman"/>
          <w:noProof/>
          <w:color w:val="000000"/>
          <w:szCs w:val="24"/>
        </w:rPr>
      </w:pPr>
      <w:r w:rsidRPr="00A33B9F">
        <w:rPr>
          <w:noProof/>
          <w:color w:val="000000" w:themeColor="text1"/>
        </w:rPr>
        <w:t>Realizacja</w:t>
      </w:r>
      <w:r w:rsidRPr="00A33B9F">
        <w:rPr>
          <w:noProof/>
        </w:rPr>
        <w:t xml:space="preserve"> </w:t>
      </w:r>
      <w:r w:rsidRPr="00A33B9F">
        <w:rPr>
          <w:noProof/>
          <w:color w:val="000000"/>
        </w:rPr>
        <w:t>reformy zostanie zakończona do dnia 31 marca 2025</w:t>
      </w:r>
      <w:r w:rsidR="00A33B9F" w:rsidRPr="00A33B9F">
        <w:rPr>
          <w:noProof/>
          <w:color w:val="000000"/>
        </w:rPr>
        <w:t> </w:t>
      </w:r>
      <w:r w:rsidRPr="00A33B9F">
        <w:rPr>
          <w:noProof/>
          <w:color w:val="000000"/>
        </w:rPr>
        <w:t xml:space="preserve">r. </w:t>
      </w:r>
    </w:p>
    <w:p w14:paraId="5A39BBE3"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0F455941" w14:textId="3F2C67B2" w:rsidR="007C4506" w:rsidRPr="00A33B9F" w:rsidRDefault="00B31839" w:rsidP="0039456E">
      <w:pPr>
        <w:pStyle w:val="Text1"/>
        <w:ind w:left="0"/>
        <w:rPr>
          <w:rFonts w:eastAsia="Times New Roman"/>
          <w:b/>
          <w:noProof/>
          <w:color w:val="000000"/>
          <w:szCs w:val="24"/>
          <w:u w:val="single"/>
        </w:rPr>
      </w:pPr>
      <w:r w:rsidRPr="00A33B9F">
        <w:rPr>
          <w:b/>
          <w:noProof/>
          <w:color w:val="000000"/>
          <w:u w:val="single"/>
        </w:rPr>
        <w:t>A1.2 Dalsze ograniczanie obciążenia regulacyjnego</w:t>
      </w:r>
      <w:r w:rsidR="00A33B9F" w:rsidRPr="00A33B9F">
        <w:rPr>
          <w:b/>
          <w:noProof/>
          <w:color w:val="000000"/>
          <w:u w:val="single"/>
        </w:rPr>
        <w:t xml:space="preserve"> i adm</w:t>
      </w:r>
      <w:r w:rsidRPr="00A33B9F">
        <w:rPr>
          <w:b/>
          <w:noProof/>
          <w:color w:val="000000"/>
          <w:u w:val="single"/>
        </w:rPr>
        <w:t>inistracyjnego</w:t>
      </w:r>
    </w:p>
    <w:p w14:paraId="49365BFF" w14:textId="482C29DB" w:rsidR="007C4506" w:rsidRPr="00A33B9F" w:rsidRDefault="00B31839" w:rsidP="1C567393">
      <w:pPr>
        <w:pStyle w:val="Text1"/>
        <w:ind w:left="0"/>
        <w:rPr>
          <w:rFonts w:eastAsia="Times New Roman"/>
          <w:noProof/>
          <w:color w:val="000000"/>
        </w:rPr>
      </w:pPr>
      <w:r w:rsidRPr="00A33B9F">
        <w:rPr>
          <w:noProof/>
          <w:color w:val="000000" w:themeColor="text1"/>
        </w:rPr>
        <w:t>Nadrzędnym celem reformy jest ograniczenie obciążeń administracyjnych</w:t>
      </w:r>
      <w:r w:rsidR="00A33B9F" w:rsidRPr="00A33B9F">
        <w:rPr>
          <w:noProof/>
          <w:color w:val="000000" w:themeColor="text1"/>
        </w:rPr>
        <w:t xml:space="preserve"> i reg</w:t>
      </w:r>
      <w:r w:rsidRPr="00A33B9F">
        <w:rPr>
          <w:noProof/>
          <w:color w:val="000000" w:themeColor="text1"/>
        </w:rPr>
        <w:t>ulacyjnych,</w:t>
      </w:r>
      <w:r w:rsidR="00A33B9F" w:rsidRPr="00A33B9F">
        <w:rPr>
          <w:noProof/>
          <w:color w:val="000000" w:themeColor="text1"/>
        </w:rPr>
        <w:t xml:space="preserve"> z jak</w:t>
      </w:r>
      <w:r w:rsidRPr="00A33B9F">
        <w:rPr>
          <w:noProof/>
          <w:color w:val="000000" w:themeColor="text1"/>
        </w:rPr>
        <w:t>imi zmagają się przedsiębiorstwa</w:t>
      </w:r>
      <w:r w:rsidR="00A33B9F" w:rsidRPr="00A33B9F">
        <w:rPr>
          <w:noProof/>
          <w:color w:val="000000" w:themeColor="text1"/>
        </w:rPr>
        <w:t xml:space="preserve"> w Pol</w:t>
      </w:r>
      <w:r w:rsidRPr="00A33B9F">
        <w:rPr>
          <w:noProof/>
          <w:color w:val="000000" w:themeColor="text1"/>
        </w:rPr>
        <w:t>sce,</w:t>
      </w:r>
      <w:r w:rsidR="00A33B9F" w:rsidRPr="00A33B9F">
        <w:rPr>
          <w:noProof/>
          <w:color w:val="000000" w:themeColor="text1"/>
        </w:rPr>
        <w:t xml:space="preserve"> a tak</w:t>
      </w:r>
      <w:r w:rsidRPr="00A33B9F">
        <w:rPr>
          <w:noProof/>
          <w:color w:val="000000" w:themeColor="text1"/>
        </w:rPr>
        <w:t>że wspieranie inwestycji prywatnych, zwłaszcza w MŚP</w:t>
      </w:r>
      <w:r w:rsidR="00A33B9F" w:rsidRPr="00A33B9F">
        <w:rPr>
          <w:noProof/>
          <w:color w:val="000000" w:themeColor="text1"/>
        </w:rPr>
        <w:t>. W tym</w:t>
      </w:r>
      <w:r w:rsidRPr="00A33B9F">
        <w:rPr>
          <w:noProof/>
          <w:color w:val="000000" w:themeColor="text1"/>
        </w:rPr>
        <w:t xml:space="preserve"> celu reforma jest ukierunkowana na: (i) uproszczenie procedur administracyjnych</w:t>
      </w:r>
      <w:r w:rsidR="00A33B9F" w:rsidRPr="00A33B9F">
        <w:rPr>
          <w:noProof/>
          <w:color w:val="000000" w:themeColor="text1"/>
        </w:rPr>
        <w:t xml:space="preserve"> i pra</w:t>
      </w:r>
      <w:r w:rsidRPr="00A33B9F">
        <w:rPr>
          <w:noProof/>
          <w:color w:val="000000" w:themeColor="text1"/>
        </w:rPr>
        <w:t>wnych; (ii) zminimalizowanie wymogów prawnych dla przedsiębiorstw</w:t>
      </w:r>
      <w:r w:rsidR="00A33B9F" w:rsidRPr="00A33B9F">
        <w:rPr>
          <w:noProof/>
          <w:color w:val="000000" w:themeColor="text1"/>
        </w:rPr>
        <w:t xml:space="preserve"> i prz</w:t>
      </w:r>
      <w:r w:rsidRPr="00A33B9F">
        <w:rPr>
          <w:noProof/>
          <w:color w:val="000000" w:themeColor="text1"/>
        </w:rPr>
        <w:t xml:space="preserve">edsiębiorców; (iii) przyspieszenie procesu decyzyjnego. </w:t>
      </w:r>
    </w:p>
    <w:p w14:paraId="7523E4AF" w14:textId="3F7EAD09" w:rsidR="007C4506" w:rsidRPr="00A33B9F" w:rsidRDefault="0AB12E5C" w:rsidP="1C567393">
      <w:pPr>
        <w:pStyle w:val="Text1"/>
        <w:ind w:left="0"/>
        <w:rPr>
          <w:rFonts w:eastAsia="Times New Roman"/>
          <w:noProof/>
          <w:color w:val="000000"/>
        </w:rPr>
      </w:pPr>
      <w:r w:rsidRPr="00A33B9F">
        <w:rPr>
          <w:noProof/>
          <w:color w:val="000000" w:themeColor="text1"/>
        </w:rPr>
        <w:t>Reforma składa się</w:t>
      </w:r>
      <w:r w:rsidR="00A33B9F" w:rsidRPr="00A33B9F">
        <w:rPr>
          <w:noProof/>
          <w:color w:val="000000" w:themeColor="text1"/>
        </w:rPr>
        <w:t xml:space="preserve"> z jed</w:t>
      </w:r>
      <w:r w:rsidRPr="00A33B9F">
        <w:rPr>
          <w:noProof/>
          <w:color w:val="000000" w:themeColor="text1"/>
        </w:rPr>
        <w:t>nego pakietu legislacyjnego. Tarczą prawną wprowadza się przepisy prawne, które: (i) sprawią, że procedury elektroniczne staną się dominującym kanałem rozwiązywania spraw związanych</w:t>
      </w:r>
      <w:r w:rsidR="00A33B9F" w:rsidRPr="00A33B9F">
        <w:rPr>
          <w:noProof/>
          <w:color w:val="000000" w:themeColor="text1"/>
        </w:rPr>
        <w:t xml:space="preserve"> z pro</w:t>
      </w:r>
      <w:r w:rsidRPr="00A33B9F">
        <w:rPr>
          <w:noProof/>
          <w:color w:val="000000" w:themeColor="text1"/>
        </w:rPr>
        <w:t>cedurami administracyjnymi</w:t>
      </w:r>
      <w:r w:rsidR="00A33B9F" w:rsidRPr="00A33B9F">
        <w:rPr>
          <w:noProof/>
          <w:color w:val="000000" w:themeColor="text1"/>
        </w:rPr>
        <w:t xml:space="preserve"> i pra</w:t>
      </w:r>
      <w:r w:rsidRPr="00A33B9F">
        <w:rPr>
          <w:noProof/>
          <w:color w:val="000000" w:themeColor="text1"/>
        </w:rPr>
        <w:t>wnymi,</w:t>
      </w:r>
      <w:r w:rsidR="00A33B9F" w:rsidRPr="00A33B9F">
        <w:rPr>
          <w:noProof/>
          <w:color w:val="000000" w:themeColor="text1"/>
        </w:rPr>
        <w:t xml:space="preserve"> w tym</w:t>
      </w:r>
      <w:r w:rsidRPr="00A33B9F">
        <w:rPr>
          <w:noProof/>
          <w:color w:val="000000" w:themeColor="text1"/>
        </w:rPr>
        <w:t xml:space="preserve"> składanie oświadczeń przez operatorów turystycznych</w:t>
      </w:r>
      <w:r w:rsidR="00A33B9F" w:rsidRPr="00A33B9F">
        <w:rPr>
          <w:noProof/>
          <w:color w:val="000000" w:themeColor="text1"/>
        </w:rPr>
        <w:t xml:space="preserve"> i prz</w:t>
      </w:r>
      <w:r w:rsidRPr="00A33B9F">
        <w:rPr>
          <w:noProof/>
          <w:color w:val="000000" w:themeColor="text1"/>
        </w:rPr>
        <w:t>edsiębiorców do Ubezpieczeniowego Funduszu Gwarancyjnego; (ii) uproszczą procedury administracyjne,</w:t>
      </w:r>
      <w:r w:rsidR="00A33B9F" w:rsidRPr="00A33B9F">
        <w:rPr>
          <w:noProof/>
          <w:color w:val="000000" w:themeColor="text1"/>
        </w:rPr>
        <w:t xml:space="preserve"> w szc</w:t>
      </w:r>
      <w:r w:rsidRPr="00A33B9F">
        <w:rPr>
          <w:noProof/>
          <w:color w:val="000000" w:themeColor="text1"/>
        </w:rPr>
        <w:t>zególności związane</w:t>
      </w:r>
      <w:r w:rsidR="00A33B9F" w:rsidRPr="00A33B9F">
        <w:rPr>
          <w:noProof/>
          <w:color w:val="000000" w:themeColor="text1"/>
        </w:rPr>
        <w:t xml:space="preserve"> z zaw</w:t>
      </w:r>
      <w:r w:rsidRPr="00A33B9F">
        <w:rPr>
          <w:noProof/>
          <w:color w:val="000000" w:themeColor="text1"/>
        </w:rPr>
        <w:t>odami marynarza oraz handlem napojami alkoholowymi; (iii) przyczynią się do ograniczania stosowania procedury dwuinstancyjnej w co najmniej dziesięciu procedurach związanych</w:t>
      </w:r>
      <w:r w:rsidR="00A33B9F" w:rsidRPr="00A33B9F">
        <w:rPr>
          <w:noProof/>
          <w:color w:val="000000" w:themeColor="text1"/>
        </w:rPr>
        <w:t xml:space="preserve"> w szc</w:t>
      </w:r>
      <w:r w:rsidRPr="00A33B9F">
        <w:rPr>
          <w:noProof/>
          <w:color w:val="000000" w:themeColor="text1"/>
        </w:rPr>
        <w:t>zególności</w:t>
      </w:r>
      <w:r w:rsidR="00A33B9F" w:rsidRPr="00A33B9F">
        <w:rPr>
          <w:noProof/>
          <w:color w:val="000000" w:themeColor="text1"/>
        </w:rPr>
        <w:t xml:space="preserve"> z zas</w:t>
      </w:r>
      <w:r w:rsidRPr="00A33B9F">
        <w:rPr>
          <w:noProof/>
          <w:color w:val="000000" w:themeColor="text1"/>
        </w:rPr>
        <w:t>obami geologicznymi; (iv) ograniczą liczbę dokumentów</w:t>
      </w:r>
      <w:r w:rsidR="00A33B9F" w:rsidRPr="00A33B9F">
        <w:rPr>
          <w:noProof/>
          <w:color w:val="000000" w:themeColor="text1"/>
        </w:rPr>
        <w:t xml:space="preserve"> i for</w:t>
      </w:r>
      <w:r w:rsidRPr="00A33B9F">
        <w:rPr>
          <w:noProof/>
          <w:color w:val="000000" w:themeColor="text1"/>
        </w:rPr>
        <w:t>malności wymaganych</w:t>
      </w:r>
      <w:r w:rsidR="00A33B9F" w:rsidRPr="00A33B9F">
        <w:rPr>
          <w:noProof/>
          <w:color w:val="000000" w:themeColor="text1"/>
        </w:rPr>
        <w:t xml:space="preserve"> w pro</w:t>
      </w:r>
      <w:r w:rsidRPr="00A33B9F">
        <w:rPr>
          <w:noProof/>
          <w:color w:val="000000" w:themeColor="text1"/>
        </w:rPr>
        <w:t>cedurach administracyjnych, np.</w:t>
      </w:r>
      <w:r w:rsidR="00A33B9F" w:rsidRPr="00A33B9F">
        <w:rPr>
          <w:noProof/>
          <w:color w:val="000000" w:themeColor="text1"/>
        </w:rPr>
        <w:t xml:space="preserve"> w pro</w:t>
      </w:r>
      <w:r w:rsidRPr="00A33B9F">
        <w:rPr>
          <w:noProof/>
          <w:color w:val="000000" w:themeColor="text1"/>
        </w:rPr>
        <w:t>cesach związanych</w:t>
      </w:r>
      <w:r w:rsidR="00A33B9F" w:rsidRPr="00A33B9F">
        <w:rPr>
          <w:noProof/>
          <w:color w:val="000000" w:themeColor="text1"/>
        </w:rPr>
        <w:t xml:space="preserve"> z pla</w:t>
      </w:r>
      <w:r w:rsidRPr="00A33B9F">
        <w:rPr>
          <w:noProof/>
          <w:color w:val="000000" w:themeColor="text1"/>
        </w:rPr>
        <w:t>nowaniem przestrzennym</w:t>
      </w:r>
      <w:r w:rsidR="00A33B9F" w:rsidRPr="00A33B9F">
        <w:rPr>
          <w:noProof/>
          <w:color w:val="000000" w:themeColor="text1"/>
        </w:rPr>
        <w:t xml:space="preserve"> i pro</w:t>
      </w:r>
      <w:r w:rsidRPr="00A33B9F">
        <w:rPr>
          <w:noProof/>
          <w:color w:val="000000" w:themeColor="text1"/>
        </w:rPr>
        <w:t>cesach budowlanych oraz (v) przedłużą terminy</w:t>
      </w:r>
      <w:r w:rsidR="00A33B9F" w:rsidRPr="00A33B9F">
        <w:rPr>
          <w:noProof/>
          <w:color w:val="000000" w:themeColor="text1"/>
        </w:rPr>
        <w:t xml:space="preserve"> w prz</w:t>
      </w:r>
      <w:r w:rsidRPr="00A33B9F">
        <w:rPr>
          <w:noProof/>
          <w:color w:val="000000" w:themeColor="text1"/>
        </w:rPr>
        <w:t>ypadku niektórych procedur administracyjnych, na przykład rejestracji samochodu kupionego</w:t>
      </w:r>
      <w:r w:rsidR="00A33B9F" w:rsidRPr="00A33B9F">
        <w:rPr>
          <w:noProof/>
          <w:color w:val="000000" w:themeColor="text1"/>
        </w:rPr>
        <w:t xml:space="preserve"> w inn</w:t>
      </w:r>
      <w:r w:rsidRPr="00A33B9F">
        <w:rPr>
          <w:noProof/>
          <w:color w:val="000000" w:themeColor="text1"/>
        </w:rPr>
        <w:t xml:space="preserve">ym państwie członkowskim. </w:t>
      </w:r>
    </w:p>
    <w:p w14:paraId="1EE72829" w14:textId="6AE51AFF" w:rsidR="007C4506" w:rsidRPr="00A33B9F" w:rsidRDefault="00B31839" w:rsidP="0039456E">
      <w:pPr>
        <w:pStyle w:val="Text1"/>
        <w:ind w:left="0"/>
        <w:rPr>
          <w:rFonts w:eastAsia="Times New Roman"/>
          <w:noProof/>
          <w:color w:val="000000"/>
        </w:rPr>
      </w:pPr>
      <w:r w:rsidRPr="00A33B9F">
        <w:rPr>
          <w:noProof/>
          <w:color w:val="000000" w:themeColor="text1"/>
        </w:rPr>
        <w:t>Realizacja reformy zostanie zakończona do dnia 30 czerwca 2023</w:t>
      </w:r>
      <w:r w:rsidR="00A33B9F" w:rsidRPr="00A33B9F">
        <w:rPr>
          <w:noProof/>
          <w:color w:val="000000" w:themeColor="text1"/>
        </w:rPr>
        <w:t> </w:t>
      </w:r>
      <w:r w:rsidRPr="00A33B9F">
        <w:rPr>
          <w:noProof/>
          <w:color w:val="000000" w:themeColor="text1"/>
        </w:rPr>
        <w:t>r.</w:t>
      </w:r>
    </w:p>
    <w:p w14:paraId="5CBFD537" w14:textId="77777777" w:rsidR="0002330F" w:rsidRPr="00A33B9F"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4F865CFD" w14:textId="4825A5D2" w:rsidR="007C4506" w:rsidRPr="00A33B9F" w:rsidRDefault="00B31839" w:rsidP="00481AE2">
      <w:pPr>
        <w:pStyle w:val="Text1"/>
        <w:keepNext/>
        <w:ind w:left="0"/>
        <w:rPr>
          <w:rFonts w:eastAsia="Times New Roman"/>
          <w:b/>
          <w:noProof/>
          <w:color w:val="000000"/>
          <w:szCs w:val="24"/>
        </w:rPr>
      </w:pPr>
      <w:r w:rsidRPr="00A33B9F">
        <w:rPr>
          <w:b/>
          <w:noProof/>
          <w:color w:val="000000"/>
          <w:u w:val="single"/>
        </w:rPr>
        <w:t>A1.2.1 Inwestycje dla przedsiębiorstw</w:t>
      </w:r>
      <w:r w:rsidR="00A33B9F" w:rsidRPr="00A33B9F">
        <w:rPr>
          <w:b/>
          <w:noProof/>
          <w:color w:val="000000"/>
          <w:u w:val="single"/>
        </w:rPr>
        <w:t xml:space="preserve"> w pro</w:t>
      </w:r>
      <w:r w:rsidRPr="00A33B9F">
        <w:rPr>
          <w:b/>
          <w:noProof/>
          <w:color w:val="000000"/>
          <w:u w:val="single"/>
        </w:rPr>
        <w:t>dukty, usługi</w:t>
      </w:r>
      <w:r w:rsidR="00A33B9F" w:rsidRPr="00A33B9F">
        <w:rPr>
          <w:b/>
          <w:noProof/>
          <w:color w:val="000000"/>
          <w:u w:val="single"/>
        </w:rPr>
        <w:t xml:space="preserve"> i kom</w:t>
      </w:r>
      <w:r w:rsidRPr="00A33B9F">
        <w:rPr>
          <w:b/>
          <w:noProof/>
          <w:color w:val="000000"/>
          <w:u w:val="single"/>
        </w:rPr>
        <w:t>petencje pracowników</w:t>
      </w:r>
      <w:r w:rsidRPr="00A33B9F">
        <w:rPr>
          <w:b/>
          <w:noProof/>
          <w:u w:val="single"/>
        </w:rPr>
        <w:t xml:space="preserve"> </w:t>
      </w:r>
      <w:r w:rsidRPr="00A33B9F">
        <w:rPr>
          <w:b/>
          <w:noProof/>
          <w:color w:val="000000" w:themeColor="text1"/>
          <w:u w:val="single"/>
        </w:rPr>
        <w:t>oraz</w:t>
      </w:r>
      <w:r w:rsidRPr="00A33B9F">
        <w:rPr>
          <w:b/>
          <w:noProof/>
          <w:u w:val="single"/>
        </w:rPr>
        <w:t xml:space="preserve"> </w:t>
      </w:r>
      <w:r w:rsidRPr="00A33B9F">
        <w:rPr>
          <w:b/>
          <w:noProof/>
          <w:color w:val="000000"/>
          <w:u w:val="single"/>
        </w:rPr>
        <w:t>kadry związane</w:t>
      </w:r>
      <w:r w:rsidR="00A33B9F" w:rsidRPr="00A33B9F">
        <w:rPr>
          <w:b/>
          <w:noProof/>
          <w:color w:val="000000"/>
          <w:u w:val="single"/>
        </w:rPr>
        <w:t xml:space="preserve"> z dyw</w:t>
      </w:r>
      <w:r w:rsidRPr="00A33B9F">
        <w:rPr>
          <w:b/>
          <w:noProof/>
          <w:color w:val="000000"/>
          <w:u w:val="single"/>
        </w:rPr>
        <w:t xml:space="preserve">ersyfikacją działalności </w:t>
      </w:r>
    </w:p>
    <w:p w14:paraId="76CDE40A" w14:textId="40872EA9" w:rsidR="007C4506" w:rsidRPr="00A33B9F" w:rsidRDefault="00B31839" w:rsidP="0039456E">
      <w:pPr>
        <w:pStyle w:val="Text1"/>
        <w:ind w:left="0"/>
        <w:rPr>
          <w:rFonts w:eastAsia="Times New Roman"/>
          <w:noProof/>
          <w:color w:val="000000"/>
          <w:szCs w:val="24"/>
        </w:rPr>
      </w:pPr>
      <w:r w:rsidRPr="00A33B9F">
        <w:rPr>
          <w:noProof/>
          <w:color w:val="000000" w:themeColor="text1"/>
        </w:rPr>
        <w:t>Nadrzędnym celem tej inwestycji jest wsparcie odporności MŚP</w:t>
      </w:r>
      <w:r w:rsidR="00A33B9F" w:rsidRPr="00A33B9F">
        <w:rPr>
          <w:noProof/>
          <w:color w:val="000000" w:themeColor="text1"/>
        </w:rPr>
        <w:t xml:space="preserve"> i mik</w:t>
      </w:r>
      <w:r w:rsidRPr="00A33B9F">
        <w:rPr>
          <w:noProof/>
          <w:color w:val="000000" w:themeColor="text1"/>
        </w:rPr>
        <w:t>roprzedsiębiorstw</w:t>
      </w:r>
      <w:r w:rsidR="00A33B9F" w:rsidRPr="00A33B9F">
        <w:rPr>
          <w:noProof/>
          <w:color w:val="000000" w:themeColor="text1"/>
        </w:rPr>
        <w:t xml:space="preserve"> w sek</w:t>
      </w:r>
      <w:r w:rsidRPr="00A33B9F">
        <w:rPr>
          <w:noProof/>
          <w:color w:val="000000" w:themeColor="text1"/>
        </w:rPr>
        <w:t>torach najbardziej dotkniętych pandemią COVID-19</w:t>
      </w:r>
      <w:r w:rsidR="00A33B9F" w:rsidRPr="00A33B9F">
        <w:rPr>
          <w:noProof/>
          <w:color w:val="000000" w:themeColor="text1"/>
        </w:rPr>
        <w:t xml:space="preserve"> w Pol</w:t>
      </w:r>
      <w:r w:rsidRPr="00A33B9F">
        <w:rPr>
          <w:noProof/>
          <w:color w:val="000000" w:themeColor="text1"/>
        </w:rPr>
        <w:t>sce, mianowicie</w:t>
      </w:r>
      <w:r w:rsidR="00A33B9F" w:rsidRPr="00A33B9F">
        <w:rPr>
          <w:noProof/>
          <w:color w:val="000000" w:themeColor="text1"/>
        </w:rPr>
        <w:t xml:space="preserve"> w sek</w:t>
      </w:r>
      <w:r w:rsidRPr="00A33B9F">
        <w:rPr>
          <w:noProof/>
          <w:color w:val="000000" w:themeColor="text1"/>
        </w:rPr>
        <w:t>torach HoReCa, turystyki</w:t>
      </w:r>
      <w:r w:rsidR="00A33B9F" w:rsidRPr="00A33B9F">
        <w:rPr>
          <w:noProof/>
          <w:color w:val="000000" w:themeColor="text1"/>
        </w:rPr>
        <w:t xml:space="preserve"> i kul</w:t>
      </w:r>
      <w:r w:rsidRPr="00A33B9F">
        <w:rPr>
          <w:noProof/>
          <w:color w:val="000000" w:themeColor="text1"/>
        </w:rPr>
        <w:t>tury</w:t>
      </w:r>
      <w:r w:rsidR="00A33B9F" w:rsidRPr="00A33B9F">
        <w:rPr>
          <w:noProof/>
          <w:color w:val="000000" w:themeColor="text1"/>
        </w:rPr>
        <w:t>. W tym</w:t>
      </w:r>
      <w:r w:rsidRPr="00A33B9F">
        <w:rPr>
          <w:noProof/>
          <w:color w:val="000000" w:themeColor="text1"/>
        </w:rPr>
        <w:t xml:space="preserve"> celu inwestycje są ukierunkowane na zachęcanie do zwiększania skali</w:t>
      </w:r>
      <w:r w:rsidR="00A33B9F" w:rsidRPr="00A33B9F">
        <w:rPr>
          <w:noProof/>
          <w:color w:val="000000" w:themeColor="text1"/>
        </w:rPr>
        <w:t xml:space="preserve"> i dyw</w:t>
      </w:r>
      <w:r w:rsidRPr="00A33B9F">
        <w:rPr>
          <w:noProof/>
          <w:color w:val="000000" w:themeColor="text1"/>
        </w:rPr>
        <w:t>ersyfikacji działalności prowadzonej przez MŚP</w:t>
      </w:r>
      <w:r w:rsidR="00A33B9F" w:rsidRPr="00A33B9F">
        <w:rPr>
          <w:noProof/>
          <w:color w:val="000000" w:themeColor="text1"/>
        </w:rPr>
        <w:t xml:space="preserve"> i mik</w:t>
      </w:r>
      <w:r w:rsidRPr="00A33B9F">
        <w:rPr>
          <w:noProof/>
          <w:color w:val="000000" w:themeColor="text1"/>
        </w:rPr>
        <w:t>roprzedsiębiorstwa</w:t>
      </w:r>
      <w:r w:rsidR="00A33B9F" w:rsidRPr="00A33B9F">
        <w:rPr>
          <w:noProof/>
          <w:color w:val="000000" w:themeColor="text1"/>
        </w:rPr>
        <w:t xml:space="preserve"> w tyc</w:t>
      </w:r>
      <w:r w:rsidRPr="00A33B9F">
        <w:rPr>
          <w:noProof/>
          <w:color w:val="000000" w:themeColor="text1"/>
        </w:rPr>
        <w:t xml:space="preserve">h sektorach. </w:t>
      </w:r>
    </w:p>
    <w:p w14:paraId="6E1087DA" w14:textId="67B98341" w:rsidR="007C4506" w:rsidRPr="00A33B9F" w:rsidRDefault="00B31839" w:rsidP="0039456E">
      <w:pPr>
        <w:pStyle w:val="Text1"/>
        <w:ind w:left="0"/>
        <w:rPr>
          <w:rFonts w:eastAsia="Times New Roman"/>
          <w:noProof/>
          <w:color w:val="000000"/>
          <w:szCs w:val="24"/>
        </w:rPr>
      </w:pPr>
      <w:r w:rsidRPr="00A33B9F">
        <w:rPr>
          <w:noProof/>
          <w:color w:val="000000" w:themeColor="text1"/>
        </w:rPr>
        <w:t>Inwestycja obejmuje wdrożenie następujących trzech rodzajów działań:</w:t>
      </w:r>
    </w:p>
    <w:p w14:paraId="13AEBF05" w14:textId="4D938134" w:rsidR="007C4506" w:rsidRPr="00A33B9F" w:rsidRDefault="1CEFE50A" w:rsidP="00394B30">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inwestycji</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jektowanie</w:t>
      </w:r>
      <w:r w:rsidR="00A33B9F" w:rsidRPr="00A33B9F">
        <w:rPr>
          <w:rFonts w:ascii="Times New Roman" w:hAnsi="Times New Roman"/>
          <w:noProof/>
          <w:color w:val="000000" w:themeColor="text1"/>
          <w:sz w:val="24"/>
        </w:rPr>
        <w:t xml:space="preserve"> i pro</w:t>
      </w:r>
      <w:r w:rsidRPr="00A33B9F">
        <w:rPr>
          <w:rFonts w:ascii="Times New Roman" w:hAnsi="Times New Roman"/>
          <w:noProof/>
          <w:color w:val="000000" w:themeColor="text1"/>
          <w:sz w:val="24"/>
        </w:rPr>
        <w:t>dukcję swoich towarów</w:t>
      </w:r>
      <w:r w:rsidR="00A33B9F" w:rsidRPr="00A33B9F">
        <w:rPr>
          <w:rFonts w:ascii="Times New Roman" w:hAnsi="Times New Roman"/>
          <w:noProof/>
          <w:color w:val="000000" w:themeColor="text1"/>
          <w:sz w:val="24"/>
        </w:rPr>
        <w:t xml:space="preserve"> i usł</w:t>
      </w:r>
      <w:r w:rsidRPr="00A33B9F">
        <w:rPr>
          <w:rFonts w:ascii="Times New Roman" w:hAnsi="Times New Roman"/>
          <w:noProof/>
          <w:color w:val="000000" w:themeColor="text1"/>
          <w:sz w:val="24"/>
        </w:rPr>
        <w:t>ug, takich jak: (i) zakup maszyn</w:t>
      </w:r>
      <w:r w:rsidR="00A33B9F" w:rsidRPr="00A33B9F">
        <w:rPr>
          <w:rFonts w:ascii="Times New Roman" w:hAnsi="Times New Roman"/>
          <w:noProof/>
          <w:color w:val="000000" w:themeColor="text1"/>
          <w:sz w:val="24"/>
        </w:rPr>
        <w:t xml:space="preserve"> i urz</w:t>
      </w:r>
      <w:r w:rsidRPr="00A33B9F">
        <w:rPr>
          <w:rFonts w:ascii="Times New Roman" w:hAnsi="Times New Roman"/>
          <w:noProof/>
          <w:color w:val="000000" w:themeColor="text1"/>
          <w:sz w:val="24"/>
        </w:rPr>
        <w:t>ądzeń niezbędnych do wyprowadzenia na rynek nowych produktów/usług; (ii) prace budowlane,</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budowa nowych linii produkcyjnych; (iii) inwestycje związane</w:t>
      </w:r>
      <w:r w:rsidR="00A33B9F" w:rsidRPr="00A33B9F">
        <w:rPr>
          <w:rFonts w:ascii="Times New Roman" w:hAnsi="Times New Roman"/>
          <w:noProof/>
          <w:color w:val="000000" w:themeColor="text1"/>
          <w:sz w:val="24"/>
        </w:rPr>
        <w:t xml:space="preserve"> z zie</w:t>
      </w:r>
      <w:r w:rsidRPr="00A33B9F">
        <w:rPr>
          <w:rFonts w:ascii="Times New Roman" w:hAnsi="Times New Roman"/>
          <w:noProof/>
          <w:color w:val="000000" w:themeColor="text1"/>
          <w:sz w:val="24"/>
        </w:rPr>
        <w:t>loną transformacją,</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zachęcające do zapobiegania powstawaniu odpadów na etapie projektowania, recyklingu/ponownego wykorzystania odpadów oraz wdrożenia rozwiązań</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 xml:space="preserve">resie energii ze źródeł odnawialnych; </w:t>
      </w:r>
    </w:p>
    <w:p w14:paraId="759FE377" w14:textId="22158C35" w:rsidR="007C4506" w:rsidRPr="00A33B9F" w:rsidRDefault="7EBD8A50" w:rsidP="00394B30">
      <w:pPr>
        <w:pStyle w:val="Normal0"/>
        <w:numPr>
          <w:ilvl w:val="0"/>
          <w:numId w:val="11"/>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usług doradczych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 xml:space="preserve">resie realizacji projektów; </w:t>
      </w:r>
    </w:p>
    <w:p w14:paraId="3E6CC8F5" w14:textId="354A5142" w:rsidR="007C4506" w:rsidRPr="00A33B9F" w:rsidRDefault="0A87BA0A" w:rsidP="00394B30">
      <w:pPr>
        <w:pStyle w:val="Normal0"/>
        <w:numPr>
          <w:ilvl w:val="0"/>
          <w:numId w:val="10"/>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podnoszenia/zmiany kwalifikacji pracowników dzięki zapewnieniu szkoleń</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nowych rozwiązań informatycznych, nowych technologii, analizy potrzeb klienta, zarządzania informacjami/danymi,</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zarządzania ryzykiem.</w:t>
      </w:r>
    </w:p>
    <w:p w14:paraId="357D57F6" w14:textId="4D176AB1" w:rsidR="547DAA04" w:rsidRPr="00A33B9F" w:rsidRDefault="3F4EA542" w:rsidP="0039456E">
      <w:pPr>
        <w:pStyle w:val="Text1"/>
        <w:ind w:left="0"/>
        <w:rPr>
          <w:rFonts w:eastAsia="Times New Roman"/>
          <w:noProof/>
          <w:color w:val="000000" w:themeColor="text1"/>
          <w:szCs w:val="24"/>
        </w:rPr>
      </w:pPr>
      <w:r w:rsidRPr="00A33B9F">
        <w:rPr>
          <w:noProof/>
          <w:color w:val="000000" w:themeColor="text1"/>
        </w:rPr>
        <w:t>Działanie to zapewni zrównoważoną realizację wszystkich opisanych rodzajów projektów,</w:t>
      </w:r>
      <w:r w:rsidR="00A33B9F" w:rsidRPr="00A33B9F">
        <w:rPr>
          <w:noProof/>
          <w:color w:val="000000" w:themeColor="text1"/>
        </w:rPr>
        <w:t xml:space="preserve"> z uwz</w:t>
      </w:r>
      <w:r w:rsidRPr="00A33B9F">
        <w:rPr>
          <w:noProof/>
          <w:color w:val="000000" w:themeColor="text1"/>
        </w:rPr>
        <w:t>ględnieniem zarówno szczególnych potrzeb beneficjentów, jak</w:t>
      </w:r>
      <w:r w:rsidR="00A33B9F" w:rsidRPr="00A33B9F">
        <w:rPr>
          <w:noProof/>
          <w:color w:val="000000" w:themeColor="text1"/>
        </w:rPr>
        <w:t xml:space="preserve"> i cel</w:t>
      </w:r>
      <w:r w:rsidRPr="00A33B9F">
        <w:rPr>
          <w:noProof/>
          <w:color w:val="000000" w:themeColor="text1"/>
        </w:rPr>
        <w:t>ów rozporządzenia</w:t>
      </w:r>
      <w:r w:rsidR="00A33B9F" w:rsidRPr="00A33B9F">
        <w:rPr>
          <w:noProof/>
          <w:color w:val="000000" w:themeColor="text1"/>
        </w:rPr>
        <w:t xml:space="preserve"> w spr</w:t>
      </w:r>
      <w:r w:rsidRPr="00A33B9F">
        <w:rPr>
          <w:noProof/>
          <w:color w:val="000000" w:themeColor="text1"/>
        </w:rPr>
        <w:t>awie RRF.</w:t>
      </w:r>
    </w:p>
    <w:p w14:paraId="6971A52E" w14:textId="09F9CA3E" w:rsidR="007C4506" w:rsidRPr="00A33B9F" w:rsidRDefault="00B31839" w:rsidP="0039456E">
      <w:pPr>
        <w:pStyle w:val="Text1"/>
        <w:ind w:left="0"/>
        <w:rPr>
          <w:rFonts w:eastAsia="Times New Roman"/>
          <w:noProof/>
          <w:color w:val="000000"/>
          <w:szCs w:val="24"/>
        </w:rPr>
      </w:pPr>
      <w:r w:rsidRPr="00A33B9F">
        <w:rPr>
          <w:noProof/>
          <w:color w:val="000000" w:themeColor="text1"/>
        </w:rPr>
        <w:t>Realizacja inwestycji zostanie zakończona do dnia 30 czerwca 2026</w:t>
      </w:r>
      <w:r w:rsidR="00A33B9F" w:rsidRPr="00A33B9F">
        <w:rPr>
          <w:noProof/>
          <w:color w:val="000000" w:themeColor="text1"/>
        </w:rPr>
        <w:t> </w:t>
      </w:r>
      <w:r w:rsidRPr="00A33B9F">
        <w:rPr>
          <w:noProof/>
          <w:color w:val="000000" w:themeColor="text1"/>
        </w:rPr>
        <w:t xml:space="preserve">r. </w:t>
      </w:r>
    </w:p>
    <w:p w14:paraId="0D0B940D" w14:textId="39082CD7" w:rsidR="007C4506" w:rsidRPr="00A33B9F" w:rsidRDefault="007C4506" w:rsidP="661DC3E4">
      <w:pPr>
        <w:pStyle w:val="Text1"/>
        <w:ind w:left="0"/>
        <w:rPr>
          <w:rFonts w:eastAsia="Times New Roman"/>
          <w:b/>
          <w:noProof/>
          <w:color w:val="000000"/>
          <w:u w:val="single"/>
        </w:rPr>
      </w:pPr>
    </w:p>
    <w:p w14:paraId="0F261F2B" w14:textId="6C16E335" w:rsidR="007C4506" w:rsidRPr="00A33B9F" w:rsidRDefault="00B31839" w:rsidP="0039456E">
      <w:pPr>
        <w:pStyle w:val="Text1"/>
        <w:ind w:left="0"/>
        <w:rPr>
          <w:rFonts w:eastAsia="Times New Roman"/>
          <w:b/>
          <w:noProof/>
          <w:color w:val="000000"/>
          <w:szCs w:val="24"/>
          <w:u w:val="single"/>
        </w:rPr>
      </w:pPr>
      <w:r w:rsidRPr="00A33B9F">
        <w:rPr>
          <w:b/>
          <w:noProof/>
          <w:color w:val="000000"/>
          <w:u w:val="single"/>
        </w:rPr>
        <w:t>A1.3 Reforma planowania</w:t>
      </w:r>
      <w:r w:rsidR="00A33B9F" w:rsidRPr="00A33B9F">
        <w:rPr>
          <w:b/>
          <w:noProof/>
          <w:color w:val="000000"/>
          <w:u w:val="single"/>
        </w:rPr>
        <w:t xml:space="preserve"> i zag</w:t>
      </w:r>
      <w:r w:rsidRPr="00A33B9F">
        <w:rPr>
          <w:b/>
          <w:noProof/>
          <w:color w:val="000000"/>
          <w:u w:val="single"/>
        </w:rPr>
        <w:t>ospodarowania przestrzennego</w:t>
      </w:r>
    </w:p>
    <w:p w14:paraId="44B8E70C" w14:textId="6CDD2FE9" w:rsidR="007C4506" w:rsidRPr="00A33B9F" w:rsidRDefault="00B31839" w:rsidP="0039456E">
      <w:pPr>
        <w:pStyle w:val="Text1"/>
        <w:ind w:left="0"/>
        <w:rPr>
          <w:rFonts w:eastAsia="Times New Roman"/>
          <w:noProof/>
          <w:color w:val="000000"/>
          <w:szCs w:val="24"/>
        </w:rPr>
      </w:pPr>
      <w:r w:rsidRPr="00A33B9F">
        <w:rPr>
          <w:noProof/>
          <w:color w:val="000000" w:themeColor="text1"/>
        </w:rPr>
        <w:t>Nadrzędnym celem reformy jest stworzenie stabilnego</w:t>
      </w:r>
      <w:r w:rsidR="00A33B9F" w:rsidRPr="00A33B9F">
        <w:rPr>
          <w:noProof/>
          <w:color w:val="000000" w:themeColor="text1"/>
        </w:rPr>
        <w:t xml:space="preserve"> i prz</w:t>
      </w:r>
      <w:r w:rsidRPr="00A33B9F">
        <w:rPr>
          <w:noProof/>
          <w:color w:val="000000" w:themeColor="text1"/>
        </w:rPr>
        <w:t>ewidywalnego klimatu inwestycyjnego dla sektora budowlanego,</w:t>
      </w:r>
      <w:r w:rsidR="00A33B9F" w:rsidRPr="00A33B9F">
        <w:rPr>
          <w:noProof/>
          <w:color w:val="000000" w:themeColor="text1"/>
        </w:rPr>
        <w:t xml:space="preserve"> a tak</w:t>
      </w:r>
      <w:r w:rsidRPr="00A33B9F">
        <w:rPr>
          <w:noProof/>
          <w:color w:val="000000" w:themeColor="text1"/>
        </w:rPr>
        <w:t>że przeciwdziałanie niekontrolowanemu rozlewaniu się zabudowy na tereny podmiejskie, zwłaszcza największych miast</w:t>
      </w:r>
      <w:r w:rsidR="00A33B9F" w:rsidRPr="00A33B9F">
        <w:rPr>
          <w:noProof/>
          <w:color w:val="000000" w:themeColor="text1"/>
        </w:rPr>
        <w:t>. W tym</w:t>
      </w:r>
      <w:r w:rsidRPr="00A33B9F">
        <w:rPr>
          <w:noProof/>
          <w:color w:val="000000" w:themeColor="text1"/>
        </w:rPr>
        <w:t xml:space="preserve"> celu reforma jest ukierunkowana na (i) usprawnienie istniejących przepisów</w:t>
      </w:r>
      <w:r w:rsidR="00A33B9F" w:rsidRPr="00A33B9F">
        <w:rPr>
          <w:noProof/>
          <w:color w:val="000000" w:themeColor="text1"/>
        </w:rPr>
        <w:t xml:space="preserve"> i pop</w:t>
      </w:r>
      <w:r w:rsidRPr="00A33B9F">
        <w:rPr>
          <w:noProof/>
          <w:color w:val="000000" w:themeColor="text1"/>
        </w:rPr>
        <w:t>rawę ram prawnych zagospodarowania przestrzennego na szczeblu gminnym; (ii) ustanowienie przejrzystych</w:t>
      </w:r>
      <w:r w:rsidR="00A33B9F" w:rsidRPr="00A33B9F">
        <w:rPr>
          <w:noProof/>
          <w:color w:val="000000" w:themeColor="text1"/>
        </w:rPr>
        <w:t xml:space="preserve"> i jas</w:t>
      </w:r>
      <w:r w:rsidRPr="00A33B9F">
        <w:rPr>
          <w:noProof/>
          <w:color w:val="000000" w:themeColor="text1"/>
        </w:rPr>
        <w:t>nych zasad zagospodarowania terenu na szczeblu gminnym,</w:t>
      </w:r>
      <w:r w:rsidR="00A33B9F" w:rsidRPr="00A33B9F">
        <w:rPr>
          <w:noProof/>
          <w:color w:val="000000" w:themeColor="text1"/>
        </w:rPr>
        <w:t xml:space="preserve"> w szc</w:t>
      </w:r>
      <w:r w:rsidRPr="00A33B9F">
        <w:rPr>
          <w:noProof/>
          <w:color w:val="000000" w:themeColor="text1"/>
        </w:rPr>
        <w:t>zególności przez zapewnienie</w:t>
      </w:r>
      <w:r w:rsidR="00C3621A" w:rsidRPr="00A33B9F">
        <w:rPr>
          <w:noProof/>
          <w:color w:val="000000" w:themeColor="text1"/>
        </w:rPr>
        <w:t xml:space="preserve"> </w:t>
      </w:r>
      <w:r w:rsidRPr="00A33B9F">
        <w:rPr>
          <w:noProof/>
          <w:color w:val="000000" w:themeColor="text1"/>
        </w:rPr>
        <w:t>dostępu do czytelnych, cyfrowych</w:t>
      </w:r>
      <w:r w:rsidR="00A33B9F" w:rsidRPr="00A33B9F">
        <w:rPr>
          <w:noProof/>
          <w:color w:val="000000" w:themeColor="text1"/>
        </w:rPr>
        <w:t xml:space="preserve"> i rze</w:t>
      </w:r>
      <w:r w:rsidRPr="00A33B9F">
        <w:rPr>
          <w:noProof/>
          <w:color w:val="000000" w:themeColor="text1"/>
        </w:rPr>
        <w:t>telnych informacji na temat zagospodarowania terenu</w:t>
      </w:r>
      <w:r w:rsidR="00A33B9F" w:rsidRPr="00A33B9F">
        <w:rPr>
          <w:noProof/>
          <w:color w:val="000000" w:themeColor="text1"/>
        </w:rPr>
        <w:t xml:space="preserve"> w gmi</w:t>
      </w:r>
      <w:r w:rsidRPr="00A33B9F">
        <w:rPr>
          <w:noProof/>
          <w:color w:val="000000" w:themeColor="text1"/>
        </w:rPr>
        <w:t>nach; (iii) zwiększenie udziału zainteresowanych stron</w:t>
      </w:r>
      <w:r w:rsidR="00A33B9F" w:rsidRPr="00A33B9F">
        <w:rPr>
          <w:noProof/>
          <w:color w:val="000000" w:themeColor="text1"/>
        </w:rPr>
        <w:t xml:space="preserve"> i par</w:t>
      </w:r>
      <w:r w:rsidRPr="00A33B9F">
        <w:rPr>
          <w:noProof/>
          <w:color w:val="000000" w:themeColor="text1"/>
        </w:rPr>
        <w:t>tnerów społecznych</w:t>
      </w:r>
      <w:r w:rsidR="00A33B9F" w:rsidRPr="00A33B9F">
        <w:rPr>
          <w:noProof/>
          <w:color w:val="000000" w:themeColor="text1"/>
        </w:rPr>
        <w:t xml:space="preserve"> w opr</w:t>
      </w:r>
      <w:r w:rsidRPr="00A33B9F">
        <w:rPr>
          <w:noProof/>
          <w:color w:val="000000" w:themeColor="text1"/>
        </w:rPr>
        <w:t>acowywaniu</w:t>
      </w:r>
      <w:r w:rsidR="00C3621A" w:rsidRPr="00A33B9F">
        <w:rPr>
          <w:noProof/>
          <w:color w:val="000000" w:themeColor="text1"/>
        </w:rPr>
        <w:t xml:space="preserve"> </w:t>
      </w:r>
      <w:r w:rsidRPr="00A33B9F">
        <w:rPr>
          <w:noProof/>
          <w:color w:val="000000" w:themeColor="text1"/>
        </w:rPr>
        <w:t>planów ogólnych gmin.</w:t>
      </w:r>
    </w:p>
    <w:p w14:paraId="74E6925F" w14:textId="305BCFB1" w:rsidR="007C4506" w:rsidRPr="00A33B9F" w:rsidRDefault="1187A358" w:rsidP="1C567393">
      <w:pPr>
        <w:pStyle w:val="Text1"/>
        <w:ind w:left="0"/>
        <w:rPr>
          <w:rFonts w:eastAsia="Times New Roman"/>
          <w:noProof/>
          <w:color w:val="000000"/>
        </w:rPr>
      </w:pPr>
      <w:r w:rsidRPr="00A33B9F">
        <w:rPr>
          <w:noProof/>
          <w:color w:val="000000" w:themeColor="text1"/>
        </w:rPr>
        <w:t>Reforma polega na przyjęciu nowej ustawy</w:t>
      </w:r>
      <w:r w:rsidR="00A33B9F" w:rsidRPr="00A33B9F">
        <w:rPr>
          <w:noProof/>
          <w:color w:val="000000" w:themeColor="text1"/>
        </w:rPr>
        <w:t xml:space="preserve"> o pla</w:t>
      </w:r>
      <w:r w:rsidRPr="00A33B9F">
        <w:rPr>
          <w:noProof/>
          <w:color w:val="000000" w:themeColor="text1"/>
        </w:rPr>
        <w:t>nowaniu</w:t>
      </w:r>
      <w:r w:rsidR="00A33B9F" w:rsidRPr="00A33B9F">
        <w:rPr>
          <w:noProof/>
          <w:color w:val="000000" w:themeColor="text1"/>
        </w:rPr>
        <w:t xml:space="preserve"> i zag</w:t>
      </w:r>
      <w:r w:rsidRPr="00A33B9F">
        <w:rPr>
          <w:noProof/>
          <w:color w:val="000000" w:themeColor="text1"/>
        </w:rPr>
        <w:t>ospodarowaniu przestrzennym</w:t>
      </w:r>
      <w:r w:rsidR="00A33B9F" w:rsidRPr="00A33B9F">
        <w:rPr>
          <w:noProof/>
          <w:color w:val="000000" w:themeColor="text1"/>
        </w:rPr>
        <w:t>. W ust</w:t>
      </w:r>
      <w:r w:rsidRPr="00A33B9F">
        <w:rPr>
          <w:noProof/>
          <w:color w:val="000000" w:themeColor="text1"/>
        </w:rPr>
        <w:t>awie:</w:t>
      </w:r>
      <w:r w:rsidR="00C3621A" w:rsidRPr="00A33B9F">
        <w:rPr>
          <w:noProof/>
          <w:color w:val="000000" w:themeColor="text1"/>
        </w:rPr>
        <w:t xml:space="preserve"> </w:t>
      </w:r>
      <w:r w:rsidRPr="00A33B9F">
        <w:rPr>
          <w:noProof/>
          <w:color w:val="000000" w:themeColor="text1"/>
        </w:rPr>
        <w:t>(i) wprowadza się wymóg opracowania</w:t>
      </w:r>
      <w:r w:rsidR="00A33B9F" w:rsidRPr="00A33B9F">
        <w:rPr>
          <w:noProof/>
          <w:color w:val="000000" w:themeColor="text1"/>
        </w:rPr>
        <w:t xml:space="preserve"> i prz</w:t>
      </w:r>
      <w:r w:rsidRPr="00A33B9F">
        <w:rPr>
          <w:noProof/>
          <w:color w:val="000000" w:themeColor="text1"/>
        </w:rPr>
        <w:t>yjęcia przez wszystkie gminy ogólnych planów zagospodarowania przestrzennego przekształcanych</w:t>
      </w:r>
      <w:r w:rsidR="00A33B9F" w:rsidRPr="00A33B9F">
        <w:rPr>
          <w:noProof/>
          <w:color w:val="000000" w:themeColor="text1"/>
        </w:rPr>
        <w:t xml:space="preserve"> w akt</w:t>
      </w:r>
      <w:r w:rsidRPr="00A33B9F">
        <w:rPr>
          <w:noProof/>
          <w:color w:val="000000" w:themeColor="text1"/>
        </w:rPr>
        <w:t>y prawa miejscowego, określających ogólne zasady zabudowy na obszarze gminy; (ii) wprowadza się wymóg zobowiązujący inwestorów do realizacji dodatkowych przedsięwzięć na rzecz gminy przy realizacji nowych projektów zabudowy</w:t>
      </w:r>
      <w:r w:rsidR="00A33B9F" w:rsidRPr="00A33B9F">
        <w:rPr>
          <w:noProof/>
          <w:color w:val="000000" w:themeColor="text1"/>
        </w:rPr>
        <w:t xml:space="preserve"> w cel</w:t>
      </w:r>
      <w:r w:rsidRPr="00A33B9F">
        <w:rPr>
          <w:noProof/>
          <w:color w:val="000000" w:themeColor="text1"/>
        </w:rPr>
        <w:t>u m.in. ograniczenia rozwoju zabudowy mieszkaniowej bez wystarczającego wyposażenia</w:t>
      </w:r>
      <w:r w:rsidR="00A33B9F" w:rsidRPr="00A33B9F">
        <w:rPr>
          <w:noProof/>
          <w:color w:val="000000" w:themeColor="text1"/>
        </w:rPr>
        <w:t xml:space="preserve"> w usł</w:t>
      </w:r>
      <w:r w:rsidRPr="00A33B9F">
        <w:rPr>
          <w:noProof/>
          <w:color w:val="000000" w:themeColor="text1"/>
        </w:rPr>
        <w:t>ugi; (iii) określa się proces,</w:t>
      </w:r>
      <w:r w:rsidR="00A33B9F" w:rsidRPr="00A33B9F">
        <w:rPr>
          <w:noProof/>
          <w:color w:val="000000" w:themeColor="text1"/>
        </w:rPr>
        <w:t xml:space="preserve"> w ram</w:t>
      </w:r>
      <w:r w:rsidRPr="00A33B9F">
        <w:rPr>
          <w:noProof/>
          <w:color w:val="000000" w:themeColor="text1"/>
        </w:rPr>
        <w:t>ach którego zainteresowane strony mogą uczestniczyć</w:t>
      </w:r>
      <w:r w:rsidR="00A33B9F" w:rsidRPr="00A33B9F">
        <w:rPr>
          <w:noProof/>
          <w:color w:val="000000" w:themeColor="text1"/>
        </w:rPr>
        <w:t xml:space="preserve"> w opr</w:t>
      </w:r>
      <w:r w:rsidRPr="00A33B9F">
        <w:rPr>
          <w:noProof/>
          <w:color w:val="000000" w:themeColor="text1"/>
        </w:rPr>
        <w:t>acowywaniu strategii</w:t>
      </w:r>
      <w:r w:rsidR="00A33B9F" w:rsidRPr="00A33B9F">
        <w:rPr>
          <w:noProof/>
          <w:color w:val="000000" w:themeColor="text1"/>
        </w:rPr>
        <w:t xml:space="preserve"> i pla</w:t>
      </w:r>
      <w:r w:rsidRPr="00A33B9F">
        <w:rPr>
          <w:noProof/>
          <w:color w:val="000000" w:themeColor="text1"/>
        </w:rPr>
        <w:t>nów ogólnych</w:t>
      </w:r>
      <w:r w:rsidR="00A33B9F" w:rsidRPr="00A33B9F">
        <w:rPr>
          <w:noProof/>
          <w:color w:val="000000" w:themeColor="text1"/>
        </w:rPr>
        <w:t xml:space="preserve"> w gmi</w:t>
      </w:r>
      <w:r w:rsidRPr="00A33B9F">
        <w:rPr>
          <w:noProof/>
          <w:color w:val="000000" w:themeColor="text1"/>
        </w:rPr>
        <w:t>nach.</w:t>
      </w:r>
    </w:p>
    <w:p w14:paraId="2D2050E6" w14:textId="2B0B3128" w:rsidR="007C4506" w:rsidRPr="00A33B9F" w:rsidRDefault="00B31839" w:rsidP="0039456E">
      <w:pPr>
        <w:pStyle w:val="Text1"/>
        <w:ind w:left="0"/>
        <w:rPr>
          <w:rFonts w:eastAsia="Times New Roman"/>
          <w:noProof/>
          <w:color w:val="000000" w:themeColor="text1"/>
          <w:szCs w:val="24"/>
        </w:rPr>
      </w:pPr>
      <w:r w:rsidRPr="00A33B9F">
        <w:rPr>
          <w:noProof/>
          <w:color w:val="000000" w:themeColor="text1"/>
        </w:rPr>
        <w:t>Realizacja reformy zostanie zakończona do dnia 31 marca 2023</w:t>
      </w:r>
      <w:r w:rsidR="00A33B9F" w:rsidRPr="00A33B9F">
        <w:rPr>
          <w:noProof/>
          <w:color w:val="000000" w:themeColor="text1"/>
        </w:rPr>
        <w:t> </w:t>
      </w:r>
      <w:r w:rsidRPr="00A33B9F">
        <w:rPr>
          <w:noProof/>
          <w:color w:val="000000" w:themeColor="text1"/>
        </w:rPr>
        <w:t>r.</w:t>
      </w:r>
    </w:p>
    <w:p w14:paraId="0E27B00A" w14:textId="77777777" w:rsidR="005E03A6" w:rsidRPr="00A33B9F" w:rsidRDefault="005E03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6BB8E30" w14:textId="73F94684" w:rsidR="007C4506" w:rsidRPr="00A33B9F" w:rsidRDefault="00B31839" w:rsidP="0039456E">
      <w:pPr>
        <w:pStyle w:val="Text1"/>
        <w:ind w:left="0"/>
        <w:rPr>
          <w:rFonts w:eastAsia="Times New Roman"/>
          <w:b/>
          <w:noProof/>
          <w:color w:val="000000"/>
          <w:szCs w:val="24"/>
          <w:u w:val="single"/>
        </w:rPr>
      </w:pPr>
      <w:r w:rsidRPr="00A33B9F">
        <w:rPr>
          <w:b/>
          <w:noProof/>
          <w:color w:val="000000"/>
          <w:u w:val="single"/>
        </w:rPr>
        <w:t>A1.3.1 Wdrożenie reformy planowania</w:t>
      </w:r>
      <w:r w:rsidR="00A33B9F" w:rsidRPr="00A33B9F">
        <w:rPr>
          <w:b/>
          <w:noProof/>
          <w:color w:val="000000"/>
          <w:u w:val="single"/>
        </w:rPr>
        <w:t xml:space="preserve"> i zag</w:t>
      </w:r>
      <w:r w:rsidRPr="00A33B9F">
        <w:rPr>
          <w:b/>
          <w:noProof/>
          <w:color w:val="000000"/>
          <w:u w:val="single"/>
        </w:rPr>
        <w:t>ospodarowania przestrzennego</w:t>
      </w:r>
    </w:p>
    <w:p w14:paraId="34C0C2E3" w14:textId="73862F5C" w:rsidR="007C4506" w:rsidRPr="00A33B9F" w:rsidRDefault="24C8A41B" w:rsidP="1C567393">
      <w:pPr>
        <w:pStyle w:val="Text1"/>
        <w:ind w:left="0"/>
        <w:rPr>
          <w:rFonts w:eastAsia="Times New Roman"/>
          <w:noProof/>
          <w:color w:val="000000"/>
        </w:rPr>
      </w:pPr>
      <w:r w:rsidRPr="00A33B9F">
        <w:rPr>
          <w:noProof/>
          <w:color w:val="000000" w:themeColor="text1"/>
        </w:rPr>
        <w:t>Inwestycja jest ukierunkowana na wsparcie wdrożenia nowej reformy planowania przestrzennego określonej</w:t>
      </w:r>
      <w:r w:rsidR="00A33B9F" w:rsidRPr="00A33B9F">
        <w:rPr>
          <w:noProof/>
          <w:color w:val="000000" w:themeColor="text1"/>
        </w:rPr>
        <w:t xml:space="preserve"> w ref</w:t>
      </w:r>
      <w:r w:rsidRPr="00A33B9F">
        <w:rPr>
          <w:noProof/>
          <w:color w:val="000000" w:themeColor="text1"/>
        </w:rPr>
        <w:t>ormie A.1.3 komponentu A. Inwestycja jest ukierunkowana na wsparcie gmin</w:t>
      </w:r>
      <w:r w:rsidR="00A33B9F" w:rsidRPr="00A33B9F">
        <w:rPr>
          <w:noProof/>
          <w:color w:val="000000" w:themeColor="text1"/>
        </w:rPr>
        <w:t xml:space="preserve"> w prz</w:t>
      </w:r>
      <w:r w:rsidRPr="00A33B9F">
        <w:rPr>
          <w:noProof/>
          <w:color w:val="000000" w:themeColor="text1"/>
        </w:rPr>
        <w:t>ygotowaniu ogólnych planów zagospodarowania przestrzennego, przy czym celem jest, aby</w:t>
      </w:r>
      <w:r w:rsidR="00A33B9F" w:rsidRPr="00A33B9F">
        <w:rPr>
          <w:noProof/>
          <w:color w:val="000000" w:themeColor="text1"/>
        </w:rPr>
        <w:t> </w:t>
      </w:r>
      <w:r w:rsidRPr="00A33B9F">
        <w:rPr>
          <w:noProof/>
          <w:color w:val="000000" w:themeColor="text1"/>
        </w:rPr>
        <w:t>80</w:t>
      </w:r>
      <w:r w:rsidR="00A33B9F" w:rsidRPr="00A33B9F">
        <w:rPr>
          <w:noProof/>
          <w:color w:val="000000" w:themeColor="text1"/>
        </w:rPr>
        <w:t> </w:t>
      </w:r>
      <w:r w:rsidRPr="00A33B9F">
        <w:rPr>
          <w:noProof/>
          <w:color w:val="000000" w:themeColor="text1"/>
        </w:rPr>
        <w:t>% gmin</w:t>
      </w:r>
      <w:r w:rsidR="00A33B9F" w:rsidRPr="00A33B9F">
        <w:rPr>
          <w:noProof/>
          <w:color w:val="000000" w:themeColor="text1"/>
        </w:rPr>
        <w:t xml:space="preserve"> w Pol</w:t>
      </w:r>
      <w:r w:rsidRPr="00A33B9F">
        <w:rPr>
          <w:noProof/>
          <w:color w:val="000000" w:themeColor="text1"/>
        </w:rPr>
        <w:t>sce przyjęło nowe ogólne plany zagospodarowania przestrzennego. Inwestycja obejmuje trzy rodzaje działań: (i) zapewnienie wsparcia technicznego przy przygotowywaniu ogólnych planów zagospodarowania przestrzennego; (ii) zapewnienie gminom materiałów edukacyjnych (takich jak seminaria internetowe</w:t>
      </w:r>
      <w:r w:rsidR="00A33B9F" w:rsidRPr="00A33B9F">
        <w:rPr>
          <w:noProof/>
          <w:color w:val="000000" w:themeColor="text1"/>
        </w:rPr>
        <w:t xml:space="preserve"> i pod</w:t>
      </w:r>
      <w:r w:rsidRPr="00A33B9F">
        <w:rPr>
          <w:noProof/>
          <w:color w:val="000000" w:themeColor="text1"/>
        </w:rPr>
        <w:t>ręczniki); (iii) zapewnienie ukierunkowanych szkoleń dla planistów zaangażowanych</w:t>
      </w:r>
      <w:r w:rsidR="00A33B9F" w:rsidRPr="00A33B9F">
        <w:rPr>
          <w:noProof/>
          <w:color w:val="000000" w:themeColor="text1"/>
        </w:rPr>
        <w:t xml:space="preserve"> w opr</w:t>
      </w:r>
      <w:r w:rsidRPr="00A33B9F">
        <w:rPr>
          <w:noProof/>
          <w:color w:val="000000" w:themeColor="text1"/>
        </w:rPr>
        <w:t>acowywanie planów ogólnych</w:t>
      </w:r>
      <w:r w:rsidR="00A33B9F" w:rsidRPr="00A33B9F">
        <w:rPr>
          <w:noProof/>
          <w:color w:val="000000" w:themeColor="text1"/>
        </w:rPr>
        <w:t xml:space="preserve"> w gmi</w:t>
      </w:r>
      <w:r w:rsidRPr="00A33B9F">
        <w:rPr>
          <w:noProof/>
          <w:color w:val="000000" w:themeColor="text1"/>
        </w:rPr>
        <w:t>nach</w:t>
      </w:r>
      <w:r w:rsidR="00A33B9F" w:rsidRPr="00A33B9F">
        <w:rPr>
          <w:noProof/>
          <w:color w:val="000000" w:themeColor="text1"/>
        </w:rPr>
        <w:t xml:space="preserve"> w cel</w:t>
      </w:r>
      <w:r w:rsidRPr="00A33B9F">
        <w:rPr>
          <w:noProof/>
          <w:color w:val="000000" w:themeColor="text1"/>
        </w:rPr>
        <w:t xml:space="preserve">u przeszkolenia co najmniej 1 700 pracowników. </w:t>
      </w:r>
    </w:p>
    <w:p w14:paraId="7AE89B59" w14:textId="4AE6C119" w:rsidR="007C4506" w:rsidRPr="00A33B9F" w:rsidRDefault="00B31839" w:rsidP="002D0F1B">
      <w:pPr>
        <w:pStyle w:val="Text1"/>
        <w:ind w:left="0"/>
        <w:rPr>
          <w:rFonts w:eastAsia="Times New Roman"/>
          <w:noProof/>
          <w:color w:val="000000"/>
          <w:szCs w:val="24"/>
        </w:rPr>
      </w:pPr>
      <w:r w:rsidRPr="00A33B9F">
        <w:rPr>
          <w:noProof/>
          <w:color w:val="000000" w:themeColor="text1"/>
        </w:rPr>
        <w:t>Realizacja inwestycji zostanie zakończona do dnia 30 czerwca 2026</w:t>
      </w:r>
      <w:r w:rsidR="00A33B9F" w:rsidRPr="00A33B9F">
        <w:rPr>
          <w:noProof/>
          <w:color w:val="000000" w:themeColor="text1"/>
        </w:rPr>
        <w:t> </w:t>
      </w:r>
      <w:r w:rsidRPr="00A33B9F">
        <w:rPr>
          <w:noProof/>
          <w:color w:val="000000" w:themeColor="text1"/>
        </w:rPr>
        <w:t>r.</w:t>
      </w:r>
    </w:p>
    <w:p w14:paraId="60061E4C"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6F7E985D" w14:textId="7F884B15"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A1.4 Reforma na rzecz poprawienia warunków konkurencyjności</w:t>
      </w:r>
      <w:r w:rsidR="00A33B9F" w:rsidRPr="00A33B9F">
        <w:rPr>
          <w:b/>
          <w:noProof/>
          <w:color w:val="000000"/>
          <w:u w:val="single"/>
        </w:rPr>
        <w:t xml:space="preserve"> i och</w:t>
      </w:r>
      <w:r w:rsidRPr="00A33B9F">
        <w:rPr>
          <w:b/>
          <w:noProof/>
          <w:color w:val="000000"/>
          <w:u w:val="single"/>
        </w:rPr>
        <w:t>rony producentów/konsumentów</w:t>
      </w:r>
      <w:r w:rsidR="00A33B9F" w:rsidRPr="00A33B9F">
        <w:rPr>
          <w:b/>
          <w:noProof/>
          <w:color w:val="000000"/>
          <w:u w:val="single"/>
        </w:rPr>
        <w:t xml:space="preserve"> w sek</w:t>
      </w:r>
      <w:r w:rsidRPr="00A33B9F">
        <w:rPr>
          <w:b/>
          <w:noProof/>
          <w:color w:val="000000"/>
          <w:u w:val="single"/>
        </w:rPr>
        <w:t>torze rolnym</w:t>
      </w:r>
      <w:r w:rsidRPr="00A33B9F">
        <w:rPr>
          <w:b/>
          <w:noProof/>
          <w:color w:val="000000"/>
        </w:rPr>
        <w:t xml:space="preserve"> </w:t>
      </w:r>
    </w:p>
    <w:p w14:paraId="596AE543" w14:textId="4836BF08" w:rsidR="007C4506" w:rsidRPr="00A33B9F" w:rsidRDefault="00B31839" w:rsidP="002D0F1B">
      <w:pPr>
        <w:pStyle w:val="Text1"/>
        <w:ind w:left="0"/>
        <w:rPr>
          <w:rFonts w:eastAsia="Times New Roman"/>
          <w:noProof/>
          <w:color w:val="000000"/>
          <w:szCs w:val="24"/>
        </w:rPr>
      </w:pPr>
      <w:r w:rsidRPr="00A33B9F">
        <w:rPr>
          <w:noProof/>
          <w:color w:val="000000" w:themeColor="text1"/>
        </w:rPr>
        <w:t>Nadrzędnym celem reformy jest wzmocnienie pozycji konsumentów</w:t>
      </w:r>
      <w:r w:rsidR="00A33B9F" w:rsidRPr="00A33B9F">
        <w:rPr>
          <w:noProof/>
          <w:color w:val="000000" w:themeColor="text1"/>
        </w:rPr>
        <w:t xml:space="preserve"> i pro</w:t>
      </w:r>
      <w:r w:rsidRPr="00A33B9F">
        <w:rPr>
          <w:noProof/>
          <w:color w:val="000000" w:themeColor="text1"/>
        </w:rPr>
        <w:t>ducentów</w:t>
      </w:r>
      <w:r w:rsidR="00A33B9F" w:rsidRPr="00A33B9F">
        <w:rPr>
          <w:noProof/>
          <w:color w:val="000000" w:themeColor="text1"/>
        </w:rPr>
        <w:t xml:space="preserve"> w łań</w:t>
      </w:r>
      <w:r w:rsidRPr="00A33B9F">
        <w:rPr>
          <w:noProof/>
          <w:color w:val="000000" w:themeColor="text1"/>
        </w:rPr>
        <w:t>cuchu dostaw produktów rolnych</w:t>
      </w:r>
      <w:r w:rsidR="00A33B9F" w:rsidRPr="00A33B9F">
        <w:rPr>
          <w:noProof/>
          <w:color w:val="000000" w:themeColor="text1"/>
        </w:rPr>
        <w:t xml:space="preserve"> i spo</w:t>
      </w:r>
      <w:r w:rsidRPr="00A33B9F">
        <w:rPr>
          <w:noProof/>
          <w:color w:val="000000" w:themeColor="text1"/>
        </w:rPr>
        <w:t>żywczych, tak aby zwiększyć inwestycje</w:t>
      </w:r>
      <w:r w:rsidR="00A33B9F" w:rsidRPr="00A33B9F">
        <w:rPr>
          <w:noProof/>
          <w:color w:val="000000" w:themeColor="text1"/>
        </w:rPr>
        <w:t xml:space="preserve"> i odp</w:t>
      </w:r>
      <w:r w:rsidRPr="00A33B9F">
        <w:rPr>
          <w:noProof/>
          <w:color w:val="000000" w:themeColor="text1"/>
        </w:rPr>
        <w:t>orność wszystkich podmiotów</w:t>
      </w:r>
      <w:r w:rsidR="00A33B9F" w:rsidRPr="00A33B9F">
        <w:rPr>
          <w:noProof/>
          <w:color w:val="000000" w:themeColor="text1"/>
        </w:rPr>
        <w:t xml:space="preserve"> w sek</w:t>
      </w:r>
      <w:r w:rsidRPr="00A33B9F">
        <w:rPr>
          <w:noProof/>
          <w:color w:val="000000" w:themeColor="text1"/>
        </w:rPr>
        <w:t>torze rolno-spożywczym,</w:t>
      </w:r>
      <w:r w:rsidR="00A33B9F" w:rsidRPr="00A33B9F">
        <w:rPr>
          <w:noProof/>
          <w:color w:val="000000" w:themeColor="text1"/>
        </w:rPr>
        <w:t xml:space="preserve"> w szc</w:t>
      </w:r>
      <w:r w:rsidRPr="00A33B9F">
        <w:rPr>
          <w:noProof/>
          <w:color w:val="000000" w:themeColor="text1"/>
        </w:rPr>
        <w:t>zególności MŚP</w:t>
      </w:r>
      <w:r w:rsidR="00A33B9F" w:rsidRPr="00A33B9F">
        <w:rPr>
          <w:noProof/>
          <w:color w:val="000000" w:themeColor="text1"/>
        </w:rPr>
        <w:t xml:space="preserve"> i dro</w:t>
      </w:r>
      <w:r w:rsidRPr="00A33B9F">
        <w:rPr>
          <w:noProof/>
          <w:color w:val="000000" w:themeColor="text1"/>
        </w:rPr>
        <w:t>bnych producentów. Aby osiągnąć ten cel, reforma jest ukierunkowana na: (i) utworzenie zbioru zasad</w:t>
      </w:r>
      <w:r w:rsidR="00A33B9F" w:rsidRPr="00A33B9F">
        <w:rPr>
          <w:noProof/>
          <w:color w:val="000000" w:themeColor="text1"/>
        </w:rPr>
        <w:t xml:space="preserve"> i dob</w:t>
      </w:r>
      <w:r w:rsidRPr="00A33B9F">
        <w:rPr>
          <w:noProof/>
          <w:color w:val="000000" w:themeColor="text1"/>
        </w:rPr>
        <w:t>rych praktyk</w:t>
      </w:r>
      <w:r w:rsidR="00A33B9F" w:rsidRPr="00A33B9F">
        <w:rPr>
          <w:noProof/>
          <w:color w:val="000000" w:themeColor="text1"/>
        </w:rPr>
        <w:t xml:space="preserve"> w zak</w:t>
      </w:r>
      <w:r w:rsidRPr="00A33B9F">
        <w:rPr>
          <w:noProof/>
          <w:color w:val="000000" w:themeColor="text1"/>
        </w:rPr>
        <w:t>resie relacji pionowych</w:t>
      </w:r>
      <w:r w:rsidR="00A33B9F" w:rsidRPr="00A33B9F">
        <w:rPr>
          <w:noProof/>
          <w:color w:val="000000" w:themeColor="text1"/>
        </w:rPr>
        <w:t xml:space="preserve"> w łań</w:t>
      </w:r>
      <w:r w:rsidRPr="00A33B9F">
        <w:rPr>
          <w:noProof/>
          <w:color w:val="000000" w:themeColor="text1"/>
        </w:rPr>
        <w:t>cuchu dostaw produktów rolnych</w:t>
      </w:r>
      <w:r w:rsidR="00A33B9F" w:rsidRPr="00A33B9F">
        <w:rPr>
          <w:noProof/>
          <w:color w:val="000000" w:themeColor="text1"/>
        </w:rPr>
        <w:t xml:space="preserve"> i spo</w:t>
      </w:r>
      <w:r w:rsidRPr="00A33B9F">
        <w:rPr>
          <w:noProof/>
          <w:color w:val="000000" w:themeColor="text1"/>
        </w:rPr>
        <w:t>żywczych; (ii) poprawę systemu egzekwowania umów</w:t>
      </w:r>
      <w:r w:rsidR="00A33B9F" w:rsidRPr="00A33B9F">
        <w:rPr>
          <w:noProof/>
          <w:color w:val="000000" w:themeColor="text1"/>
        </w:rPr>
        <w:t xml:space="preserve"> w sek</w:t>
      </w:r>
      <w:r w:rsidRPr="00A33B9F">
        <w:rPr>
          <w:noProof/>
          <w:color w:val="000000" w:themeColor="text1"/>
        </w:rPr>
        <w:t>torze rolno-spożywczym, aby zapobiec nieuczciwemu wykorzystywaniu przewagi kontraktowej oraz (iii) zwiększenie przejrzystości rynku.</w:t>
      </w:r>
    </w:p>
    <w:p w14:paraId="13D07B45" w14:textId="299EE660"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Reforma obejmuje nową ustawę</w:t>
      </w:r>
      <w:r w:rsidR="00A33B9F" w:rsidRPr="00A33B9F">
        <w:rPr>
          <w:noProof/>
          <w:color w:val="000000" w:themeColor="text1"/>
        </w:rPr>
        <w:t xml:space="preserve"> o prz</w:t>
      </w:r>
      <w:r w:rsidRPr="00A33B9F">
        <w:rPr>
          <w:noProof/>
          <w:color w:val="000000" w:themeColor="text1"/>
        </w:rPr>
        <w:t>eciwdziałaniu nieuczciwemu wykorzystywaniu przewagi kontraktowej</w:t>
      </w:r>
      <w:r w:rsidR="00A33B9F" w:rsidRPr="00A33B9F">
        <w:rPr>
          <w:noProof/>
          <w:color w:val="000000" w:themeColor="text1"/>
        </w:rPr>
        <w:t xml:space="preserve"> w sek</w:t>
      </w:r>
      <w:r w:rsidRPr="00A33B9F">
        <w:rPr>
          <w:noProof/>
          <w:color w:val="000000" w:themeColor="text1"/>
        </w:rPr>
        <w:t>torze rolno-spożywczym, która ma szerszy zakres niż dyrektywa 2019/633</w:t>
      </w:r>
      <w:r w:rsidR="00A33B9F" w:rsidRPr="00A33B9F">
        <w:rPr>
          <w:noProof/>
          <w:color w:val="000000" w:themeColor="text1"/>
        </w:rPr>
        <w:t xml:space="preserve"> w spr</w:t>
      </w:r>
      <w:r w:rsidRPr="00A33B9F">
        <w:rPr>
          <w:noProof/>
          <w:color w:val="000000" w:themeColor="text1"/>
        </w:rPr>
        <w:t xml:space="preserve">awie nieuczciwych praktyk handlowych. Reforma: </w:t>
      </w:r>
    </w:p>
    <w:p w14:paraId="0D41D984" w14:textId="58D85C20" w:rsidR="007C4506" w:rsidRPr="00A33B9F" w:rsidRDefault="3E139247" w:rsidP="00394B30">
      <w:pPr>
        <w:pStyle w:val="Normal0"/>
        <w:numPr>
          <w:ilvl w:val="0"/>
          <w:numId w:val="18"/>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oprócz wykazu nieuczciwych praktyk handlowych określonych</w:t>
      </w:r>
      <w:r w:rsidR="00A33B9F" w:rsidRPr="00A33B9F">
        <w:rPr>
          <w:rFonts w:ascii="Times New Roman" w:hAnsi="Times New Roman"/>
          <w:noProof/>
          <w:color w:val="000000" w:themeColor="text1"/>
          <w:sz w:val="24"/>
        </w:rPr>
        <w:t xml:space="preserve"> w dyr</w:t>
      </w:r>
      <w:r w:rsidRPr="00A33B9F">
        <w:rPr>
          <w:rFonts w:ascii="Times New Roman" w:hAnsi="Times New Roman"/>
          <w:noProof/>
          <w:color w:val="000000" w:themeColor="text1"/>
          <w:sz w:val="24"/>
        </w:rPr>
        <w:t>ektywie 2019/633 wprowadzi otwartą definicję nieuczciwych praktyk handlowych</w:t>
      </w:r>
      <w:r w:rsidR="00A33B9F" w:rsidRPr="00A33B9F">
        <w:rPr>
          <w:rFonts w:ascii="Times New Roman" w:hAnsi="Times New Roman"/>
          <w:noProof/>
          <w:color w:val="000000" w:themeColor="text1"/>
          <w:sz w:val="24"/>
        </w:rPr>
        <w:t>. W szc</w:t>
      </w:r>
      <w:r w:rsidRPr="00A33B9F">
        <w:rPr>
          <w:rFonts w:ascii="Times New Roman" w:hAnsi="Times New Roman"/>
          <w:noProof/>
          <w:color w:val="000000" w:themeColor="text1"/>
          <w:sz w:val="24"/>
        </w:rPr>
        <w:t>zególności Urząd Ochrony Konkurencji</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sumentów (UOKiK) uznaje takie dodatkowe praktyki handlowe za nieuczciwe, jeżeli (i) są one niezgodne</w:t>
      </w:r>
      <w:r w:rsidR="00A33B9F" w:rsidRPr="00A33B9F">
        <w:rPr>
          <w:rFonts w:ascii="Times New Roman" w:hAnsi="Times New Roman"/>
          <w:noProof/>
          <w:color w:val="000000" w:themeColor="text1"/>
          <w:sz w:val="24"/>
        </w:rPr>
        <w:t xml:space="preserve"> z wym</w:t>
      </w:r>
      <w:r w:rsidRPr="00A33B9F">
        <w:rPr>
          <w:rFonts w:ascii="Times New Roman" w:hAnsi="Times New Roman"/>
          <w:noProof/>
          <w:color w:val="000000" w:themeColor="text1"/>
          <w:sz w:val="24"/>
        </w:rPr>
        <w:t>ogami dobrych praktyk handlowych (ii)</w:t>
      </w:r>
      <w:r w:rsidR="00A33B9F" w:rsidRPr="00A33B9F">
        <w:rPr>
          <w:rFonts w:ascii="Times New Roman" w:hAnsi="Times New Roman"/>
          <w:noProof/>
          <w:color w:val="000000" w:themeColor="text1"/>
          <w:sz w:val="24"/>
        </w:rPr>
        <w:t xml:space="preserve"> i w ist</w:t>
      </w:r>
      <w:r w:rsidRPr="00A33B9F">
        <w:rPr>
          <w:rFonts w:ascii="Times New Roman" w:hAnsi="Times New Roman"/>
          <w:noProof/>
          <w:color w:val="000000" w:themeColor="text1"/>
          <w:sz w:val="24"/>
        </w:rPr>
        <w:t xml:space="preserve">otny sposób zakłócają lub mogą zakłócić interesy pozostałych stron umowy; </w:t>
      </w:r>
    </w:p>
    <w:p w14:paraId="0D24AE66" w14:textId="05308487" w:rsidR="007C4506" w:rsidRPr="00A33B9F" w:rsidRDefault="5D4892F3" w:rsidP="00394B30">
      <w:pPr>
        <w:pStyle w:val="Normal0"/>
        <w:numPr>
          <w:ilvl w:val="0"/>
          <w:numId w:val="18"/>
        </w:numPr>
        <w:pBdr>
          <w:top w:val="nil"/>
          <w:left w:val="nil"/>
          <w:bottom w:val="nil"/>
          <w:right w:val="nil"/>
          <w:between w:val="nil"/>
        </w:pBdr>
        <w:spacing w:before="120" w:after="120" w:line="240" w:lineRule="auto"/>
        <w:jc w:val="both"/>
        <w:rPr>
          <w:rFonts w:ascii="Times New Roman" w:hAnsi="Times New Roman" w:cs="Times New Roman"/>
          <w:noProof/>
          <w:color w:val="000000"/>
          <w:sz w:val="24"/>
          <w:szCs w:val="24"/>
        </w:rPr>
      </w:pPr>
      <w:r w:rsidRPr="00A33B9F">
        <w:rPr>
          <w:rFonts w:ascii="Times New Roman" w:hAnsi="Times New Roman"/>
          <w:noProof/>
          <w:color w:val="000000" w:themeColor="text1"/>
          <w:sz w:val="24"/>
        </w:rPr>
        <w:t>reforma chroni wszystkie podmioty handlowe,</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nabywców produktów rolnych</w:t>
      </w:r>
      <w:r w:rsidR="00A33B9F" w:rsidRPr="00A33B9F">
        <w:rPr>
          <w:rFonts w:ascii="Times New Roman" w:hAnsi="Times New Roman"/>
          <w:noProof/>
          <w:color w:val="000000" w:themeColor="text1"/>
          <w:sz w:val="24"/>
        </w:rPr>
        <w:t xml:space="preserve"> i spo</w:t>
      </w:r>
      <w:r w:rsidRPr="00A33B9F">
        <w:rPr>
          <w:rFonts w:ascii="Times New Roman" w:hAnsi="Times New Roman"/>
          <w:noProof/>
          <w:color w:val="000000" w:themeColor="text1"/>
          <w:sz w:val="24"/>
        </w:rPr>
        <w:t xml:space="preserve">żywczych. </w:t>
      </w:r>
    </w:p>
    <w:p w14:paraId="5330F3D7" w14:textId="37243298"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Reforma obejmuje również sporządzenie przeglądu śródokresowego nowej ustawy, który zawiera ocenę stopnia osiągnięcia celów oraz określa możliwości działania</w:t>
      </w:r>
      <w:r w:rsidR="00A33B9F" w:rsidRPr="00A33B9F">
        <w:rPr>
          <w:noProof/>
          <w:color w:val="000000" w:themeColor="text1"/>
        </w:rPr>
        <w:t xml:space="preserve"> w prz</w:t>
      </w:r>
      <w:r w:rsidRPr="00A33B9F">
        <w:rPr>
          <w:noProof/>
          <w:color w:val="000000" w:themeColor="text1"/>
        </w:rPr>
        <w:t xml:space="preserve">ypadku wystąpienia problemów na etapie wdrażania. </w:t>
      </w:r>
    </w:p>
    <w:p w14:paraId="438DC910" w14:textId="124C6695" w:rsidR="007C4506" w:rsidRPr="00A33B9F" w:rsidRDefault="00B31839" w:rsidP="002D0F1B">
      <w:pPr>
        <w:pStyle w:val="Text1"/>
        <w:ind w:left="0"/>
        <w:rPr>
          <w:rFonts w:eastAsia="Times New Roman"/>
          <w:noProof/>
          <w:color w:val="000000"/>
          <w:szCs w:val="24"/>
        </w:rPr>
      </w:pPr>
      <w:r w:rsidRPr="00A33B9F">
        <w:rPr>
          <w:noProof/>
          <w:color w:val="000000" w:themeColor="text1"/>
        </w:rPr>
        <w:t>Realizacja reformy zostanie zakończona do dnia 30 czerwca 2025</w:t>
      </w:r>
      <w:r w:rsidR="00A33B9F" w:rsidRPr="00A33B9F">
        <w:rPr>
          <w:noProof/>
          <w:color w:val="000000" w:themeColor="text1"/>
        </w:rPr>
        <w:t> </w:t>
      </w:r>
      <w:r w:rsidRPr="00A33B9F">
        <w:rPr>
          <w:noProof/>
          <w:color w:val="000000" w:themeColor="text1"/>
        </w:rPr>
        <w:t>r.</w:t>
      </w:r>
    </w:p>
    <w:p w14:paraId="7002D965" w14:textId="77777777" w:rsidR="0002330F" w:rsidRPr="00A33B9F"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950385F" w14:textId="2BFC67FA" w:rsidR="007C4506" w:rsidRPr="00A33B9F" w:rsidRDefault="148C626A" w:rsidP="002D0F1B">
      <w:pPr>
        <w:pStyle w:val="Text1"/>
        <w:ind w:left="0"/>
        <w:rPr>
          <w:rFonts w:eastAsia="Times New Roman"/>
          <w:b/>
          <w:bCs/>
          <w:noProof/>
          <w:color w:val="000000"/>
          <w:szCs w:val="24"/>
          <w:u w:val="single"/>
        </w:rPr>
      </w:pPr>
      <w:r w:rsidRPr="00A33B9F">
        <w:rPr>
          <w:b/>
          <w:noProof/>
          <w:color w:val="000000" w:themeColor="text1"/>
          <w:u w:val="single"/>
        </w:rPr>
        <w:t>A1.4.1 Inwestycje na rzecz dywersyfikacji</w:t>
      </w:r>
      <w:r w:rsidR="00A33B9F" w:rsidRPr="00A33B9F">
        <w:rPr>
          <w:b/>
          <w:noProof/>
          <w:color w:val="000000" w:themeColor="text1"/>
          <w:u w:val="single"/>
        </w:rPr>
        <w:t xml:space="preserve"> i skr</w:t>
      </w:r>
      <w:r w:rsidRPr="00A33B9F">
        <w:rPr>
          <w:b/>
          <w:noProof/>
          <w:color w:val="000000" w:themeColor="text1"/>
          <w:u w:val="single"/>
        </w:rPr>
        <w:t>acania łańcucha dostaw produktów rolnych</w:t>
      </w:r>
      <w:r w:rsidR="00A33B9F" w:rsidRPr="00A33B9F">
        <w:rPr>
          <w:b/>
          <w:noProof/>
          <w:color w:val="000000" w:themeColor="text1"/>
          <w:u w:val="single"/>
        </w:rPr>
        <w:t xml:space="preserve"> i spo</w:t>
      </w:r>
      <w:r w:rsidRPr="00A33B9F">
        <w:rPr>
          <w:b/>
          <w:noProof/>
          <w:color w:val="000000" w:themeColor="text1"/>
          <w:u w:val="single"/>
        </w:rPr>
        <w:t>żywczych oraz budowy odporności podmiotów uczestniczących</w:t>
      </w:r>
      <w:r w:rsidR="00A33B9F" w:rsidRPr="00A33B9F">
        <w:rPr>
          <w:b/>
          <w:noProof/>
          <w:color w:val="000000" w:themeColor="text1"/>
          <w:u w:val="single"/>
        </w:rPr>
        <w:t xml:space="preserve"> w łań</w:t>
      </w:r>
      <w:r w:rsidRPr="00A33B9F">
        <w:rPr>
          <w:b/>
          <w:noProof/>
          <w:color w:val="000000" w:themeColor="text1"/>
          <w:u w:val="single"/>
        </w:rPr>
        <w:t>cuchu</w:t>
      </w:r>
    </w:p>
    <w:p w14:paraId="634BF464" w14:textId="22C6FF91" w:rsidR="007C4506" w:rsidRPr="00A33B9F" w:rsidRDefault="1BCC37BD" w:rsidP="002D0F1B">
      <w:pPr>
        <w:pStyle w:val="Text1"/>
        <w:ind w:left="0"/>
        <w:rPr>
          <w:rFonts w:eastAsia="Times New Roman"/>
          <w:noProof/>
          <w:color w:val="000000"/>
          <w:szCs w:val="24"/>
        </w:rPr>
      </w:pPr>
      <w:r w:rsidRPr="00A33B9F">
        <w:rPr>
          <w:noProof/>
          <w:color w:val="000000" w:themeColor="text1"/>
        </w:rPr>
        <w:t>Nadrzędnym celem tej inwestycji jest zwiększenie konkurencyjności</w:t>
      </w:r>
      <w:r w:rsidR="00A33B9F" w:rsidRPr="00A33B9F">
        <w:rPr>
          <w:noProof/>
          <w:color w:val="000000" w:themeColor="text1"/>
        </w:rPr>
        <w:t xml:space="preserve"> i odp</w:t>
      </w:r>
      <w:r w:rsidRPr="00A33B9F">
        <w:rPr>
          <w:noProof/>
          <w:color w:val="000000" w:themeColor="text1"/>
        </w:rPr>
        <w:t>orności sektora rolno-spożywczego</w:t>
      </w:r>
      <w:r w:rsidR="00A33B9F" w:rsidRPr="00A33B9F">
        <w:rPr>
          <w:noProof/>
          <w:color w:val="000000" w:themeColor="text1"/>
        </w:rPr>
        <w:t xml:space="preserve"> i sek</w:t>
      </w:r>
      <w:r w:rsidRPr="00A33B9F">
        <w:rPr>
          <w:noProof/>
          <w:color w:val="000000" w:themeColor="text1"/>
        </w:rPr>
        <w:t>tora gospodarki rybnej</w:t>
      </w:r>
      <w:r w:rsidR="00A33B9F" w:rsidRPr="00A33B9F">
        <w:rPr>
          <w:noProof/>
          <w:color w:val="000000" w:themeColor="text1"/>
        </w:rPr>
        <w:t xml:space="preserve"> w Pol</w:t>
      </w:r>
      <w:r w:rsidRPr="00A33B9F">
        <w:rPr>
          <w:noProof/>
          <w:color w:val="000000" w:themeColor="text1"/>
        </w:rPr>
        <w:t>sce</w:t>
      </w:r>
      <w:r w:rsidR="00A33B9F" w:rsidRPr="00A33B9F">
        <w:rPr>
          <w:noProof/>
          <w:color w:val="000000" w:themeColor="text1"/>
        </w:rPr>
        <w:t>. W tym</w:t>
      </w:r>
      <w:r w:rsidRPr="00A33B9F">
        <w:rPr>
          <w:noProof/>
          <w:color w:val="000000" w:themeColor="text1"/>
        </w:rPr>
        <w:t xml:space="preserve"> celu inwestycja jest ukierunkowana na (i) wspieranie transformacji zielonej</w:t>
      </w:r>
      <w:r w:rsidR="00A33B9F" w:rsidRPr="00A33B9F">
        <w:rPr>
          <w:noProof/>
          <w:color w:val="000000" w:themeColor="text1"/>
        </w:rPr>
        <w:t xml:space="preserve"> i cyf</w:t>
      </w:r>
      <w:r w:rsidRPr="00A33B9F">
        <w:rPr>
          <w:noProof/>
          <w:color w:val="000000" w:themeColor="text1"/>
        </w:rPr>
        <w:t>rowej</w:t>
      </w:r>
      <w:r w:rsidR="00A33B9F" w:rsidRPr="00A33B9F">
        <w:rPr>
          <w:noProof/>
          <w:color w:val="000000" w:themeColor="text1"/>
        </w:rPr>
        <w:t xml:space="preserve"> w sek</w:t>
      </w:r>
      <w:r w:rsidRPr="00A33B9F">
        <w:rPr>
          <w:noProof/>
          <w:color w:val="000000" w:themeColor="text1"/>
        </w:rPr>
        <w:t>torze rolno-spożywczym</w:t>
      </w:r>
      <w:r w:rsidR="00A33B9F" w:rsidRPr="00A33B9F">
        <w:rPr>
          <w:noProof/>
          <w:color w:val="000000" w:themeColor="text1"/>
        </w:rPr>
        <w:t xml:space="preserve"> i sek</w:t>
      </w:r>
      <w:r w:rsidRPr="00A33B9F">
        <w:rPr>
          <w:noProof/>
          <w:color w:val="000000" w:themeColor="text1"/>
        </w:rPr>
        <w:t>torze gospodarki rybnej; (ii) skrócenie</w:t>
      </w:r>
      <w:r w:rsidR="00A33B9F" w:rsidRPr="00A33B9F">
        <w:rPr>
          <w:noProof/>
          <w:color w:val="000000" w:themeColor="text1"/>
        </w:rPr>
        <w:t xml:space="preserve"> i bud</w:t>
      </w:r>
      <w:r w:rsidRPr="00A33B9F">
        <w:rPr>
          <w:noProof/>
          <w:color w:val="000000" w:themeColor="text1"/>
        </w:rPr>
        <w:t>owanie odporności łańcucha dostaw produktów rolnych</w:t>
      </w:r>
      <w:r w:rsidR="00A33B9F" w:rsidRPr="00A33B9F">
        <w:rPr>
          <w:noProof/>
          <w:color w:val="000000" w:themeColor="text1"/>
        </w:rPr>
        <w:t xml:space="preserve"> i spo</w:t>
      </w:r>
      <w:r w:rsidRPr="00A33B9F">
        <w:rPr>
          <w:noProof/>
          <w:color w:val="000000" w:themeColor="text1"/>
        </w:rPr>
        <w:t>żywczych oraz produktów rybołówstwa</w:t>
      </w:r>
      <w:r w:rsidR="00A33B9F" w:rsidRPr="00A33B9F">
        <w:rPr>
          <w:noProof/>
          <w:color w:val="000000" w:themeColor="text1"/>
        </w:rPr>
        <w:t xml:space="preserve"> i akw</w:t>
      </w:r>
      <w:r w:rsidRPr="00A33B9F">
        <w:rPr>
          <w:noProof/>
          <w:color w:val="000000" w:themeColor="text1"/>
        </w:rPr>
        <w:t>akultury,</w:t>
      </w:r>
      <w:r w:rsidR="00A33B9F" w:rsidRPr="00A33B9F">
        <w:rPr>
          <w:noProof/>
          <w:color w:val="000000" w:themeColor="text1"/>
        </w:rPr>
        <w:t xml:space="preserve"> w szc</w:t>
      </w:r>
      <w:r w:rsidRPr="00A33B9F">
        <w:rPr>
          <w:noProof/>
          <w:color w:val="000000" w:themeColor="text1"/>
        </w:rPr>
        <w:t>zególności przez wspieranie lokalnych MŚP, drobnych producentów</w:t>
      </w:r>
      <w:r w:rsidR="00A33B9F" w:rsidRPr="00A33B9F">
        <w:rPr>
          <w:noProof/>
          <w:color w:val="000000" w:themeColor="text1"/>
        </w:rPr>
        <w:t xml:space="preserve"> i ryb</w:t>
      </w:r>
      <w:r w:rsidRPr="00A33B9F">
        <w:rPr>
          <w:noProof/>
          <w:color w:val="000000" w:themeColor="text1"/>
        </w:rPr>
        <w:t>aków; (iii) unikanie marnotrawienia żywności oraz usuwanie białych plam</w:t>
      </w:r>
      <w:r w:rsidR="00A33B9F" w:rsidRPr="00A33B9F">
        <w:rPr>
          <w:noProof/>
          <w:color w:val="000000" w:themeColor="text1"/>
        </w:rPr>
        <w:t xml:space="preserve"> i bar</w:t>
      </w:r>
      <w:r w:rsidRPr="00A33B9F">
        <w:rPr>
          <w:noProof/>
          <w:color w:val="000000" w:themeColor="text1"/>
        </w:rPr>
        <w:t>ier technicznych związanych</w:t>
      </w:r>
      <w:r w:rsidR="00A33B9F" w:rsidRPr="00A33B9F">
        <w:rPr>
          <w:noProof/>
          <w:color w:val="000000" w:themeColor="text1"/>
        </w:rPr>
        <w:t xml:space="preserve"> z red</w:t>
      </w:r>
      <w:r w:rsidRPr="00A33B9F">
        <w:rPr>
          <w:noProof/>
          <w:color w:val="000000" w:themeColor="text1"/>
        </w:rPr>
        <w:t>ystrybucją żywności.</w:t>
      </w:r>
    </w:p>
    <w:p w14:paraId="0DB136C5" w14:textId="77777777" w:rsidR="007C4506" w:rsidRPr="00A33B9F" w:rsidRDefault="00B31839" w:rsidP="002D0F1B">
      <w:pPr>
        <w:pStyle w:val="Text1"/>
        <w:ind w:left="0"/>
        <w:rPr>
          <w:rFonts w:eastAsia="Times New Roman"/>
          <w:noProof/>
          <w:color w:val="000000"/>
          <w:szCs w:val="24"/>
          <w:u w:val="single"/>
        </w:rPr>
      </w:pPr>
      <w:r w:rsidRPr="00A33B9F">
        <w:rPr>
          <w:noProof/>
          <w:color w:val="000000"/>
        </w:rPr>
        <w:t>Inwestycja obejmuje następujące inicjatywy:</w:t>
      </w:r>
    </w:p>
    <w:p w14:paraId="7A1C7060" w14:textId="4BB0A98C" w:rsidR="007C4506" w:rsidRPr="00A33B9F" w:rsidRDefault="3510098E" w:rsidP="00394B30">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budowę</w:t>
      </w:r>
      <w:r w:rsidR="00A33B9F" w:rsidRPr="00A33B9F">
        <w:rPr>
          <w:rFonts w:ascii="Times New Roman" w:hAnsi="Times New Roman"/>
          <w:noProof/>
          <w:color w:val="000000" w:themeColor="text1"/>
          <w:sz w:val="24"/>
        </w:rPr>
        <w:t xml:space="preserve"> i mod</w:t>
      </w:r>
      <w:r w:rsidRPr="00A33B9F">
        <w:rPr>
          <w:rFonts w:ascii="Times New Roman" w:hAnsi="Times New Roman"/>
          <w:noProof/>
          <w:color w:val="000000" w:themeColor="text1"/>
          <w:sz w:val="24"/>
        </w:rPr>
        <w:t>ernizację lokalnych centrów magazynowania</w:t>
      </w:r>
      <w:r w:rsidR="00A33B9F" w:rsidRPr="00A33B9F">
        <w:rPr>
          <w:rFonts w:ascii="Times New Roman" w:hAnsi="Times New Roman"/>
          <w:noProof/>
          <w:color w:val="000000" w:themeColor="text1"/>
          <w:sz w:val="24"/>
        </w:rPr>
        <w:t xml:space="preserve"> i dys</w:t>
      </w:r>
      <w:r w:rsidRPr="00A33B9F">
        <w:rPr>
          <w:rFonts w:ascii="Times New Roman" w:hAnsi="Times New Roman"/>
          <w:noProof/>
          <w:color w:val="000000" w:themeColor="text1"/>
          <w:sz w:val="24"/>
        </w:rPr>
        <w:t>trybucji, rynków hurtowych, lokalnych rynków żywności</w:t>
      </w:r>
      <w:r w:rsidR="00A33B9F" w:rsidRPr="00A33B9F">
        <w:rPr>
          <w:rFonts w:ascii="Times New Roman" w:hAnsi="Times New Roman"/>
          <w:noProof/>
          <w:color w:val="000000" w:themeColor="text1"/>
          <w:sz w:val="24"/>
        </w:rPr>
        <w:t xml:space="preserve"> i spó</w:t>
      </w:r>
      <w:r w:rsidRPr="00A33B9F">
        <w:rPr>
          <w:rFonts w:ascii="Times New Roman" w:hAnsi="Times New Roman"/>
          <w:noProof/>
          <w:color w:val="000000" w:themeColor="text1"/>
          <w:sz w:val="24"/>
        </w:rPr>
        <w:t>łdzielni,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modernizację logistyki</w:t>
      </w:r>
      <w:r w:rsidR="00A33B9F" w:rsidRPr="00A33B9F">
        <w:rPr>
          <w:rFonts w:ascii="Times New Roman" w:hAnsi="Times New Roman"/>
          <w:noProof/>
          <w:color w:val="000000" w:themeColor="text1"/>
          <w:sz w:val="24"/>
        </w:rPr>
        <w:t xml:space="preserve"> i inf</w:t>
      </w:r>
      <w:r w:rsidRPr="00A33B9F">
        <w:rPr>
          <w:rFonts w:ascii="Times New Roman" w:hAnsi="Times New Roman"/>
          <w:noProof/>
          <w:color w:val="000000" w:themeColor="text1"/>
          <w:sz w:val="24"/>
        </w:rPr>
        <w:t>rastruktury ICT;</w:t>
      </w:r>
    </w:p>
    <w:p w14:paraId="59E7583C" w14:textId="0697B491" w:rsidR="007C4506" w:rsidRPr="00A33B9F" w:rsidRDefault="3C4AC425" w:rsidP="00394B30">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wsparcie dla MŚP</w:t>
      </w:r>
      <w:r w:rsidR="00A33B9F" w:rsidRPr="00A33B9F">
        <w:rPr>
          <w:rFonts w:ascii="Times New Roman" w:hAnsi="Times New Roman"/>
          <w:noProof/>
          <w:color w:val="000000" w:themeColor="text1"/>
          <w:sz w:val="24"/>
        </w:rPr>
        <w:t xml:space="preserve"> i mik</w:t>
      </w:r>
      <w:r w:rsidRPr="00A33B9F">
        <w:rPr>
          <w:rFonts w:ascii="Times New Roman" w:hAnsi="Times New Roman"/>
          <w:noProof/>
          <w:color w:val="000000" w:themeColor="text1"/>
          <w:sz w:val="24"/>
        </w:rPr>
        <w:t>roprzedsiębiorstw zajmujących się przetwórstwem rolno-spożywczym,</w:t>
      </w:r>
      <w:r w:rsidR="00A33B9F" w:rsidRPr="00A33B9F">
        <w:rPr>
          <w:rFonts w:ascii="Times New Roman" w:hAnsi="Times New Roman"/>
          <w:noProof/>
          <w:color w:val="000000" w:themeColor="text1"/>
          <w:sz w:val="24"/>
        </w:rPr>
        <w:t xml:space="preserve"> w tym w sek</w:t>
      </w:r>
      <w:r w:rsidRPr="00A33B9F">
        <w:rPr>
          <w:rFonts w:ascii="Times New Roman" w:hAnsi="Times New Roman"/>
          <w:noProof/>
          <w:color w:val="000000" w:themeColor="text1"/>
          <w:sz w:val="24"/>
        </w:rPr>
        <w:t>torze rybołówstwa</w:t>
      </w:r>
      <w:r w:rsidR="00A33B9F" w:rsidRPr="00A33B9F">
        <w:rPr>
          <w:rFonts w:ascii="Times New Roman" w:hAnsi="Times New Roman"/>
          <w:noProof/>
          <w:color w:val="000000" w:themeColor="text1"/>
          <w:sz w:val="24"/>
        </w:rPr>
        <w:t xml:space="preserve"> i akw</w:t>
      </w:r>
      <w:r w:rsidRPr="00A33B9F">
        <w:rPr>
          <w:rFonts w:ascii="Times New Roman" w:hAnsi="Times New Roman"/>
          <w:noProof/>
          <w:color w:val="000000" w:themeColor="text1"/>
          <w:sz w:val="24"/>
        </w:rPr>
        <w:t>akultury, które to wsparcie obejmuje zakup maszyn</w:t>
      </w:r>
      <w:r w:rsidR="00A33B9F" w:rsidRPr="00A33B9F">
        <w:rPr>
          <w:rFonts w:ascii="Times New Roman" w:hAnsi="Times New Roman"/>
          <w:noProof/>
          <w:color w:val="000000" w:themeColor="text1"/>
          <w:sz w:val="24"/>
        </w:rPr>
        <w:t xml:space="preserve"> i wyp</w:t>
      </w:r>
      <w:r w:rsidRPr="00A33B9F">
        <w:rPr>
          <w:rFonts w:ascii="Times New Roman" w:hAnsi="Times New Roman"/>
          <w:noProof/>
          <w:color w:val="000000" w:themeColor="text1"/>
          <w:sz w:val="24"/>
        </w:rPr>
        <w:t>osażenia,</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środków transportu,</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rozbudowę</w:t>
      </w:r>
      <w:r w:rsidR="00A33B9F" w:rsidRPr="00A33B9F">
        <w:rPr>
          <w:rFonts w:ascii="Times New Roman" w:hAnsi="Times New Roman"/>
          <w:noProof/>
          <w:color w:val="000000" w:themeColor="text1"/>
          <w:sz w:val="24"/>
        </w:rPr>
        <w:t xml:space="preserve"> i mod</w:t>
      </w:r>
      <w:r w:rsidRPr="00A33B9F">
        <w:rPr>
          <w:rFonts w:ascii="Times New Roman" w:hAnsi="Times New Roman"/>
          <w:noProof/>
          <w:color w:val="000000" w:themeColor="text1"/>
          <w:sz w:val="24"/>
        </w:rPr>
        <w:t>ernizację infrastruktury zakładów;</w:t>
      </w:r>
    </w:p>
    <w:p w14:paraId="7C1D8078" w14:textId="0DEA0DAD" w:rsidR="007C4506" w:rsidRPr="00A33B9F" w:rsidRDefault="17F6C431" w:rsidP="00394B30">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sz w:val="24"/>
        </w:rPr>
        <w:t>wsparcie dla rolników</w:t>
      </w:r>
      <w:r w:rsidR="00A33B9F" w:rsidRPr="00A33B9F">
        <w:rPr>
          <w:rFonts w:ascii="Times New Roman" w:hAnsi="Times New Roman"/>
          <w:noProof/>
          <w:sz w:val="24"/>
        </w:rPr>
        <w:t xml:space="preserve"> i ryb</w:t>
      </w:r>
      <w:r w:rsidRPr="00A33B9F">
        <w:rPr>
          <w:rFonts w:ascii="Times New Roman" w:hAnsi="Times New Roman"/>
          <w:noProof/>
          <w:sz w:val="24"/>
        </w:rPr>
        <w:t>aków</w:t>
      </w:r>
      <w:r w:rsidR="00A33B9F" w:rsidRPr="00A33B9F">
        <w:rPr>
          <w:rFonts w:ascii="Times New Roman" w:hAnsi="Times New Roman"/>
          <w:noProof/>
          <w:sz w:val="24"/>
        </w:rPr>
        <w:t xml:space="preserve"> w zak</w:t>
      </w:r>
      <w:r w:rsidRPr="00A33B9F">
        <w:rPr>
          <w:rFonts w:ascii="Times New Roman" w:hAnsi="Times New Roman"/>
          <w:noProof/>
          <w:sz w:val="24"/>
        </w:rPr>
        <w:t>resie przetwarzania</w:t>
      </w:r>
      <w:r w:rsidR="00A33B9F" w:rsidRPr="00A33B9F">
        <w:rPr>
          <w:rFonts w:ascii="Times New Roman" w:hAnsi="Times New Roman"/>
          <w:noProof/>
          <w:sz w:val="24"/>
        </w:rPr>
        <w:t xml:space="preserve"> i wpr</w:t>
      </w:r>
      <w:r w:rsidRPr="00A33B9F">
        <w:rPr>
          <w:rFonts w:ascii="Times New Roman" w:hAnsi="Times New Roman"/>
          <w:noProof/>
          <w:sz w:val="24"/>
        </w:rPr>
        <w:t>owadzania do obrotu produktów rolnych</w:t>
      </w:r>
      <w:r w:rsidR="00A33B9F" w:rsidRPr="00A33B9F">
        <w:rPr>
          <w:rFonts w:ascii="Times New Roman" w:hAnsi="Times New Roman"/>
          <w:noProof/>
          <w:sz w:val="24"/>
        </w:rPr>
        <w:t xml:space="preserve"> i spo</w:t>
      </w:r>
      <w:r w:rsidRPr="00A33B9F">
        <w:rPr>
          <w:rFonts w:ascii="Times New Roman" w:hAnsi="Times New Roman"/>
          <w:noProof/>
          <w:sz w:val="24"/>
        </w:rPr>
        <w:t>żywczych,</w:t>
      </w:r>
      <w:r w:rsidR="00A33B9F" w:rsidRPr="00A33B9F">
        <w:rPr>
          <w:rFonts w:ascii="Times New Roman" w:hAnsi="Times New Roman"/>
          <w:noProof/>
          <w:sz w:val="24"/>
        </w:rPr>
        <w:t xml:space="preserve"> w tym</w:t>
      </w:r>
      <w:r w:rsidRPr="00A33B9F">
        <w:rPr>
          <w:rFonts w:ascii="Times New Roman" w:hAnsi="Times New Roman"/>
          <w:noProof/>
          <w:sz w:val="24"/>
        </w:rPr>
        <w:t xml:space="preserve"> budowę</w:t>
      </w:r>
      <w:r w:rsidR="00A33B9F" w:rsidRPr="00A33B9F">
        <w:rPr>
          <w:rFonts w:ascii="Times New Roman" w:hAnsi="Times New Roman"/>
          <w:noProof/>
          <w:sz w:val="24"/>
        </w:rPr>
        <w:t xml:space="preserve"> i mod</w:t>
      </w:r>
      <w:r w:rsidRPr="00A33B9F">
        <w:rPr>
          <w:rFonts w:ascii="Times New Roman" w:hAnsi="Times New Roman"/>
          <w:noProof/>
          <w:sz w:val="24"/>
        </w:rPr>
        <w:t>ernizację infrastruktury oraz zakup nowych maszyn</w:t>
      </w:r>
      <w:r w:rsidR="00A33B9F" w:rsidRPr="00A33B9F">
        <w:rPr>
          <w:rFonts w:ascii="Times New Roman" w:hAnsi="Times New Roman"/>
          <w:noProof/>
          <w:sz w:val="24"/>
        </w:rPr>
        <w:t xml:space="preserve"> i urz</w:t>
      </w:r>
      <w:r w:rsidRPr="00A33B9F">
        <w:rPr>
          <w:rFonts w:ascii="Times New Roman" w:hAnsi="Times New Roman"/>
          <w:noProof/>
          <w:sz w:val="24"/>
        </w:rPr>
        <w:t>ądzeń do przetwarzania, transportu</w:t>
      </w:r>
      <w:r w:rsidR="00A33B9F" w:rsidRPr="00A33B9F">
        <w:rPr>
          <w:rFonts w:ascii="Times New Roman" w:hAnsi="Times New Roman"/>
          <w:noProof/>
          <w:sz w:val="24"/>
        </w:rPr>
        <w:t xml:space="preserve"> i prz</w:t>
      </w:r>
      <w:r w:rsidRPr="00A33B9F">
        <w:rPr>
          <w:rFonts w:ascii="Times New Roman" w:hAnsi="Times New Roman"/>
          <w:noProof/>
          <w:sz w:val="24"/>
        </w:rPr>
        <w:t>echowywania produktów. Wsparcie obejmuje również organizację sprzedaży produktów rolno-spożywczych przez internet oraz organizację dostaw;</w:t>
      </w:r>
      <w:r w:rsidRPr="00A33B9F">
        <w:rPr>
          <w:noProof/>
        </w:rPr>
        <w:t xml:space="preserve"> </w:t>
      </w:r>
    </w:p>
    <w:p w14:paraId="506769C6" w14:textId="33CC6CA7" w:rsidR="007C4506" w:rsidRPr="00A33B9F" w:rsidRDefault="3510098E" w:rsidP="00394B30">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wsparcie dla organizacji charytatywnych</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rolno-spożywczym na modernizację budynków, infrastruktury</w:t>
      </w:r>
      <w:r w:rsidR="00A33B9F" w:rsidRPr="00A33B9F">
        <w:rPr>
          <w:rFonts w:ascii="Times New Roman" w:hAnsi="Times New Roman"/>
          <w:noProof/>
          <w:color w:val="000000" w:themeColor="text1"/>
          <w:sz w:val="24"/>
        </w:rPr>
        <w:t xml:space="preserve"> i wyp</w:t>
      </w:r>
      <w:r w:rsidRPr="00A33B9F">
        <w:rPr>
          <w:rFonts w:ascii="Times New Roman" w:hAnsi="Times New Roman"/>
          <w:noProof/>
          <w:color w:val="000000" w:themeColor="text1"/>
          <w:sz w:val="24"/>
        </w:rPr>
        <w:t>osażenia,</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środków transportu. Wsparcie obejmuje rozwój systemów informatycznych</w:t>
      </w:r>
      <w:r w:rsidR="00A33B9F" w:rsidRPr="00A33B9F">
        <w:rPr>
          <w:rFonts w:ascii="Times New Roman" w:hAnsi="Times New Roman"/>
          <w:noProof/>
          <w:color w:val="000000" w:themeColor="text1"/>
          <w:sz w:val="24"/>
        </w:rPr>
        <w:t xml:space="preserve"> i apl</w:t>
      </w:r>
      <w:r w:rsidRPr="00A33B9F">
        <w:rPr>
          <w:rFonts w:ascii="Times New Roman" w:hAnsi="Times New Roman"/>
          <w:noProof/>
          <w:color w:val="000000" w:themeColor="text1"/>
          <w:sz w:val="24"/>
        </w:rPr>
        <w:t>ikacji cyfrowych;</w:t>
      </w:r>
    </w:p>
    <w:p w14:paraId="0E8DE975" w14:textId="74BC9721" w:rsidR="007C4506" w:rsidRPr="00A33B9F" w:rsidRDefault="0A87BA0A" w:rsidP="00394B30">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wsparcie dla producentów rolnych</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wdrożenia rozwiązań</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rolnictwa 4.0. Obejmuje to zakup czujników, tabletów</w:t>
      </w:r>
      <w:r w:rsidR="00A33B9F" w:rsidRPr="00A33B9F">
        <w:rPr>
          <w:rFonts w:ascii="Times New Roman" w:hAnsi="Times New Roman"/>
          <w:noProof/>
          <w:color w:val="000000" w:themeColor="text1"/>
          <w:sz w:val="24"/>
        </w:rPr>
        <w:t xml:space="preserve"> i spr</w:t>
      </w:r>
      <w:r w:rsidRPr="00A33B9F">
        <w:rPr>
          <w:rFonts w:ascii="Times New Roman" w:hAnsi="Times New Roman"/>
          <w:noProof/>
          <w:color w:val="000000" w:themeColor="text1"/>
          <w:sz w:val="24"/>
        </w:rPr>
        <w:t>zętu cyfrowego,</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zakup</w:t>
      </w:r>
      <w:r w:rsidR="00A33B9F" w:rsidRPr="00A33B9F">
        <w:rPr>
          <w:rFonts w:ascii="Times New Roman" w:hAnsi="Times New Roman"/>
          <w:noProof/>
          <w:color w:val="000000" w:themeColor="text1"/>
          <w:sz w:val="24"/>
        </w:rPr>
        <w:t xml:space="preserve"> i utr</w:t>
      </w:r>
      <w:r w:rsidRPr="00A33B9F">
        <w:rPr>
          <w:rFonts w:ascii="Times New Roman" w:hAnsi="Times New Roman"/>
          <w:noProof/>
          <w:color w:val="000000" w:themeColor="text1"/>
          <w:sz w:val="24"/>
        </w:rPr>
        <w:t>zymanie rozwiązań cyfrowych, takich jak aplikacje</w:t>
      </w:r>
      <w:r w:rsidR="00A33B9F" w:rsidRPr="00A33B9F">
        <w:rPr>
          <w:rFonts w:ascii="Times New Roman" w:hAnsi="Times New Roman"/>
          <w:noProof/>
          <w:color w:val="000000" w:themeColor="text1"/>
          <w:sz w:val="24"/>
        </w:rPr>
        <w:t xml:space="preserve"> i opr</w:t>
      </w:r>
      <w:r w:rsidRPr="00A33B9F">
        <w:rPr>
          <w:rFonts w:ascii="Times New Roman" w:hAnsi="Times New Roman"/>
          <w:noProof/>
          <w:color w:val="000000" w:themeColor="text1"/>
          <w:sz w:val="24"/>
        </w:rPr>
        <w:t>ogramowanie;</w:t>
      </w:r>
    </w:p>
    <w:p w14:paraId="38D3DC9E" w14:textId="7C1661D0" w:rsidR="007C4506" w:rsidRPr="00A33B9F" w:rsidRDefault="67EA1E96" w:rsidP="00394B30">
      <w:pPr>
        <w:pStyle w:val="Normal0"/>
        <w:numPr>
          <w:ilvl w:val="0"/>
          <w:numId w:val="6"/>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wsparcie dla producentów rolnych</w:t>
      </w:r>
      <w:r w:rsidR="00A33B9F" w:rsidRPr="00A33B9F">
        <w:rPr>
          <w:rFonts w:ascii="Times New Roman" w:hAnsi="Times New Roman"/>
          <w:noProof/>
          <w:color w:val="000000" w:themeColor="text1"/>
          <w:sz w:val="24"/>
        </w:rPr>
        <w:t xml:space="preserve"> i pro</w:t>
      </w:r>
      <w:r w:rsidRPr="00A33B9F">
        <w:rPr>
          <w:rFonts w:ascii="Times New Roman" w:hAnsi="Times New Roman"/>
          <w:noProof/>
          <w:color w:val="000000" w:themeColor="text1"/>
          <w:sz w:val="24"/>
        </w:rPr>
        <w:t>ducentów</w:t>
      </w:r>
      <w:r w:rsidR="00A33B9F" w:rsidRPr="00A33B9F">
        <w:rPr>
          <w:rFonts w:ascii="Times New Roman" w:hAnsi="Times New Roman"/>
          <w:noProof/>
          <w:color w:val="000000" w:themeColor="text1"/>
          <w:sz w:val="24"/>
        </w:rPr>
        <w:t xml:space="preserve"> z sek</w:t>
      </w:r>
      <w:r w:rsidRPr="00A33B9F">
        <w:rPr>
          <w:rFonts w:ascii="Times New Roman" w:hAnsi="Times New Roman"/>
          <w:noProof/>
          <w:color w:val="000000" w:themeColor="text1"/>
          <w:sz w:val="24"/>
        </w:rPr>
        <w:t>tora rybołówstwa</w:t>
      </w:r>
      <w:r w:rsidR="00A33B9F" w:rsidRPr="00A33B9F">
        <w:rPr>
          <w:rFonts w:ascii="Times New Roman" w:hAnsi="Times New Roman"/>
          <w:noProof/>
          <w:color w:val="000000" w:themeColor="text1"/>
          <w:sz w:val="24"/>
        </w:rPr>
        <w:t xml:space="preserve"> i akw</w:t>
      </w:r>
      <w:r w:rsidRPr="00A33B9F">
        <w:rPr>
          <w:rFonts w:ascii="Times New Roman" w:hAnsi="Times New Roman"/>
          <w:noProof/>
          <w:color w:val="000000" w:themeColor="text1"/>
          <w:sz w:val="24"/>
        </w:rPr>
        <w:t>akultury związane</w:t>
      </w:r>
      <w:r w:rsidR="00A33B9F" w:rsidRPr="00A33B9F">
        <w:rPr>
          <w:rFonts w:ascii="Times New Roman" w:hAnsi="Times New Roman"/>
          <w:noProof/>
          <w:color w:val="000000" w:themeColor="text1"/>
          <w:sz w:val="24"/>
        </w:rPr>
        <w:t xml:space="preserve"> z zie</w:t>
      </w:r>
      <w:r w:rsidRPr="00A33B9F">
        <w:rPr>
          <w:rFonts w:ascii="Times New Roman" w:hAnsi="Times New Roman"/>
          <w:noProof/>
          <w:color w:val="000000" w:themeColor="text1"/>
          <w:sz w:val="24"/>
        </w:rPr>
        <w:t>loną transformacją. Obejmuje to renowację infrastruktury producentów,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wymianę dachów zawierających materiały szkodliwe dla zdrowia lub środowiska, termomodernizację budynków, wymianę instalacji elektrycznych</w:t>
      </w:r>
      <w:r w:rsidR="00A33B9F" w:rsidRPr="00A33B9F">
        <w:rPr>
          <w:rFonts w:ascii="Times New Roman" w:hAnsi="Times New Roman"/>
          <w:noProof/>
          <w:color w:val="000000" w:themeColor="text1"/>
          <w:sz w:val="24"/>
        </w:rPr>
        <w:t xml:space="preserve"> i wen</w:t>
      </w:r>
      <w:r w:rsidRPr="00A33B9F">
        <w:rPr>
          <w:rFonts w:ascii="Times New Roman" w:hAnsi="Times New Roman"/>
          <w:noProof/>
          <w:color w:val="000000" w:themeColor="text1"/>
          <w:sz w:val="24"/>
        </w:rPr>
        <w:t>tylacyjnych na energooszczędne,</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wymianę słupów nośnych impregnowanych kreozotem na plantacjach chmielu.</w:t>
      </w:r>
    </w:p>
    <w:p w14:paraId="0DBE6088" w14:textId="6327F2E7" w:rsidR="0040111E" w:rsidRPr="00A33B9F" w:rsidRDefault="067FE4C0" w:rsidP="002D0F1B">
      <w:pPr>
        <w:pStyle w:val="Text1"/>
        <w:ind w:left="0"/>
        <w:rPr>
          <w:rFonts w:eastAsia="Times New Roman"/>
          <w:noProof/>
          <w:color w:val="000000" w:themeColor="text1"/>
          <w:szCs w:val="24"/>
        </w:rPr>
      </w:pPr>
      <w:r w:rsidRPr="00A33B9F">
        <w:rPr>
          <w:noProof/>
          <w:color w:val="000000" w:themeColor="text1"/>
        </w:rPr>
        <w:t>Oczekuje się, że środek ten nie spowoduje poważnych szkód dla celów środowiskowych</w:t>
      </w:r>
      <w:r w:rsidR="00A33B9F" w:rsidRPr="00A33B9F">
        <w:rPr>
          <w:noProof/>
          <w:color w:val="000000" w:themeColor="text1"/>
        </w:rPr>
        <w:t xml:space="preserve"> w roz</w:t>
      </w:r>
      <w:r w:rsidRPr="00A33B9F">
        <w:rPr>
          <w:noProof/>
          <w:color w:val="000000" w:themeColor="text1"/>
        </w:rPr>
        <w:t>umieniu art.</w:t>
      </w:r>
      <w:r w:rsidR="00A33B9F" w:rsidRPr="00A33B9F">
        <w:rPr>
          <w:noProof/>
          <w:color w:val="000000" w:themeColor="text1"/>
        </w:rPr>
        <w:t> </w:t>
      </w:r>
      <w:r w:rsidRPr="00A33B9F">
        <w:rPr>
          <w:noProof/>
          <w:color w:val="000000" w:themeColor="text1"/>
        </w:rPr>
        <w:t>17 rozporządzenia Parlamentu Europejskiego</w:t>
      </w:r>
      <w:r w:rsidR="00A33B9F" w:rsidRPr="00A33B9F">
        <w:rPr>
          <w:noProof/>
          <w:color w:val="000000" w:themeColor="text1"/>
        </w:rPr>
        <w:t xml:space="preserve"> i Rad</w:t>
      </w:r>
      <w:r w:rsidRPr="00A33B9F">
        <w:rPr>
          <w:noProof/>
          <w:color w:val="000000" w:themeColor="text1"/>
        </w:rPr>
        <w:t>y (UE) 2020/852, biorąc pod uwagę opis środka</w:t>
      </w:r>
      <w:r w:rsidR="00A33B9F" w:rsidRPr="00A33B9F">
        <w:rPr>
          <w:noProof/>
          <w:color w:val="000000" w:themeColor="text1"/>
        </w:rPr>
        <w:t xml:space="preserve"> i dzi</w:t>
      </w:r>
      <w:r w:rsidRPr="00A33B9F">
        <w:rPr>
          <w:noProof/>
          <w:color w:val="000000" w:themeColor="text1"/>
        </w:rPr>
        <w:t>ałań ograniczających ryzyko</w:t>
      </w:r>
      <w:r w:rsidR="00A33B9F" w:rsidRPr="00A33B9F">
        <w:rPr>
          <w:noProof/>
          <w:color w:val="000000" w:themeColor="text1"/>
        </w:rPr>
        <w:t xml:space="preserve"> w pla</w:t>
      </w:r>
      <w:r w:rsidRPr="00A33B9F">
        <w:rPr>
          <w:noProof/>
          <w:color w:val="000000" w:themeColor="text1"/>
        </w:rPr>
        <w:t>nie odbudowy</w:t>
      </w:r>
      <w:r w:rsidR="00A33B9F" w:rsidRPr="00A33B9F">
        <w:rPr>
          <w:noProof/>
          <w:color w:val="000000" w:themeColor="text1"/>
        </w:rPr>
        <w:t xml:space="preserve"> i zwi</w:t>
      </w:r>
      <w:r w:rsidRPr="00A33B9F">
        <w:rPr>
          <w:noProof/>
          <w:color w:val="000000" w:themeColor="text1"/>
        </w:rPr>
        <w:t>ększania odporności zgodnie</w:t>
      </w:r>
      <w:r w:rsidR="00A33B9F" w:rsidRPr="00A33B9F">
        <w:rPr>
          <w:noProof/>
          <w:color w:val="000000" w:themeColor="text1"/>
        </w:rPr>
        <w:t xml:space="preserve"> z wyt</w:t>
      </w:r>
      <w:r w:rsidRPr="00A33B9F">
        <w:rPr>
          <w:noProof/>
          <w:color w:val="000000" w:themeColor="text1"/>
        </w:rPr>
        <w:t xml:space="preserve">ycznymi technicznymi dotyczącymi stosowania zasady „nie czyń poważnych szkód” (2021/C 58/01). </w:t>
      </w:r>
    </w:p>
    <w:p w14:paraId="0FF964B5" w14:textId="78C08BC1" w:rsidR="007C4506" w:rsidRPr="00A33B9F" w:rsidRDefault="067FE4C0" w:rsidP="002D0F1B">
      <w:pPr>
        <w:pStyle w:val="Text1"/>
        <w:ind w:left="0"/>
        <w:rPr>
          <w:rFonts w:eastAsia="Times New Roman"/>
          <w:noProof/>
          <w:color w:val="000000" w:themeColor="text1"/>
          <w:szCs w:val="24"/>
        </w:rPr>
      </w:pPr>
      <w:r w:rsidRPr="00A33B9F">
        <w:rPr>
          <w:noProof/>
          <w:color w:val="000000" w:themeColor="text1"/>
        </w:rPr>
        <w:t>Środek ten ma zapewnić, aby:</w:t>
      </w:r>
    </w:p>
    <w:p w14:paraId="07D3218A" w14:textId="608F79B8" w:rsidR="007C4506" w:rsidRPr="00A33B9F" w:rsidRDefault="13C4F12F" w:rsidP="00394B30">
      <w:pPr>
        <w:pStyle w:val="Normal0"/>
        <w:numPr>
          <w:ilvl w:val="0"/>
          <w:numId w:val="6"/>
        </w:numPr>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nabywane samochody ciężarowe</w:t>
      </w:r>
      <w:r w:rsidR="00A33B9F" w:rsidRPr="00A33B9F">
        <w:rPr>
          <w:rFonts w:ascii="Times New Roman" w:hAnsi="Times New Roman"/>
          <w:noProof/>
          <w:color w:val="000000" w:themeColor="text1"/>
          <w:sz w:val="24"/>
        </w:rPr>
        <w:t xml:space="preserve"> i inn</w:t>
      </w:r>
      <w:r w:rsidRPr="00A33B9F">
        <w:rPr>
          <w:rFonts w:ascii="Times New Roman" w:hAnsi="Times New Roman"/>
          <w:noProof/>
          <w:color w:val="000000" w:themeColor="text1"/>
          <w:sz w:val="24"/>
        </w:rPr>
        <w:t>e pojazdy ciężkie były wyłącznie zeroemisyjnymi</w:t>
      </w:r>
      <w:r w:rsidRPr="00A33B9F">
        <w:rPr>
          <w:rStyle w:val="FootnoteReference"/>
          <w:rFonts w:ascii="Times New Roman" w:eastAsia="Times New Roman" w:hAnsi="Times New Roman" w:cs="Times New Roman"/>
          <w:noProof/>
          <w:color w:val="000000" w:themeColor="text1"/>
          <w:sz w:val="24"/>
          <w:szCs w:val="24"/>
        </w:rPr>
        <w:footnoteReference w:id="2"/>
      </w:r>
      <w:r w:rsidRPr="00A33B9F">
        <w:rPr>
          <w:rFonts w:ascii="Times New Roman" w:hAnsi="Times New Roman"/>
          <w:noProof/>
          <w:color w:val="000000" w:themeColor="text1"/>
          <w:sz w:val="24"/>
        </w:rPr>
        <w:t>, niskoemisyjnymi</w:t>
      </w:r>
      <w:r w:rsidRPr="00A33B9F">
        <w:rPr>
          <w:rStyle w:val="FootnoteReference"/>
          <w:rFonts w:ascii="Times New Roman" w:eastAsia="Times New Roman" w:hAnsi="Times New Roman" w:cs="Times New Roman"/>
          <w:noProof/>
          <w:color w:val="000000" w:themeColor="text1"/>
          <w:sz w:val="24"/>
          <w:szCs w:val="24"/>
        </w:rPr>
        <w:footnoteReference w:id="3"/>
      </w:r>
      <w:r w:rsidRPr="00A33B9F">
        <w:rPr>
          <w:rFonts w:ascii="Times New Roman" w:hAnsi="Times New Roman"/>
          <w:noProof/>
          <w:color w:val="000000" w:themeColor="text1"/>
          <w:sz w:val="24"/>
        </w:rPr>
        <w:t xml:space="preserve"> lub LNG/CNG ciężarówkami napędzanymi biogazem/biometanem. Pojazdy specjalnego przeznaczenia podlegają tym samym zasadom, które przedstawiono powyżej</w:t>
      </w:r>
      <w:r w:rsidR="00A33B9F" w:rsidRPr="00A33B9F">
        <w:rPr>
          <w:rFonts w:ascii="Times New Roman" w:hAnsi="Times New Roman"/>
          <w:noProof/>
          <w:color w:val="000000" w:themeColor="text1"/>
          <w:sz w:val="24"/>
        </w:rPr>
        <w:t>. W prz</w:t>
      </w:r>
      <w:r w:rsidRPr="00A33B9F">
        <w:rPr>
          <w:rFonts w:ascii="Times New Roman" w:hAnsi="Times New Roman"/>
          <w:noProof/>
          <w:color w:val="000000" w:themeColor="text1"/>
          <w:sz w:val="24"/>
        </w:rPr>
        <w:t>ypadku pojazdów wykorzystujących biopaliwa, biopłyny</w:t>
      </w:r>
      <w:r w:rsidR="00A33B9F" w:rsidRPr="00A33B9F">
        <w:rPr>
          <w:rFonts w:ascii="Times New Roman" w:hAnsi="Times New Roman"/>
          <w:noProof/>
          <w:color w:val="000000" w:themeColor="text1"/>
          <w:sz w:val="24"/>
        </w:rPr>
        <w:t xml:space="preserve"> i pal</w:t>
      </w:r>
      <w:r w:rsidRPr="00A33B9F">
        <w:rPr>
          <w:rFonts w:ascii="Times New Roman" w:hAnsi="Times New Roman"/>
          <w:noProof/>
          <w:color w:val="000000" w:themeColor="text1"/>
          <w:sz w:val="24"/>
        </w:rPr>
        <w:t>iwa</w:t>
      </w:r>
      <w:r w:rsidR="00A33B9F" w:rsidRPr="00A33B9F">
        <w:rPr>
          <w:rFonts w:ascii="Times New Roman" w:hAnsi="Times New Roman"/>
          <w:noProof/>
          <w:color w:val="000000" w:themeColor="text1"/>
          <w:sz w:val="24"/>
        </w:rPr>
        <w:t xml:space="preserve"> z bio</w:t>
      </w:r>
      <w:r w:rsidRPr="00A33B9F">
        <w:rPr>
          <w:rFonts w:ascii="Times New Roman" w:hAnsi="Times New Roman"/>
          <w:noProof/>
          <w:color w:val="000000" w:themeColor="text1"/>
          <w:sz w:val="24"/>
        </w:rPr>
        <w:t>masy muszą być spełnione następujące warunki: (i) spełnienie kryteriów zrównoważonego rozwoju</w:t>
      </w:r>
      <w:r w:rsidR="00A33B9F" w:rsidRPr="00A33B9F">
        <w:rPr>
          <w:rFonts w:ascii="Times New Roman" w:hAnsi="Times New Roman"/>
          <w:noProof/>
          <w:color w:val="000000" w:themeColor="text1"/>
          <w:sz w:val="24"/>
        </w:rPr>
        <w:t xml:space="preserve"> i ogr</w:t>
      </w:r>
      <w:r w:rsidRPr="00A33B9F">
        <w:rPr>
          <w:rFonts w:ascii="Times New Roman" w:hAnsi="Times New Roman"/>
          <w:noProof/>
          <w:color w:val="000000" w:themeColor="text1"/>
          <w:sz w:val="24"/>
        </w:rPr>
        <w:t>aniczeń emisji gazów cieplarnianych określonych</w:t>
      </w:r>
      <w:r w:rsidR="00A33B9F" w:rsidRPr="00A33B9F">
        <w:rPr>
          <w:rFonts w:ascii="Times New Roman" w:hAnsi="Times New Roman"/>
          <w:noProof/>
          <w:color w:val="000000" w:themeColor="text1"/>
          <w:sz w:val="24"/>
        </w:rPr>
        <w:t xml:space="preserve"> w art</w:t>
      </w:r>
      <w:r w:rsidRPr="00A33B9F">
        <w:rPr>
          <w:rFonts w:ascii="Times New Roman" w:hAnsi="Times New Roman"/>
          <w:noProof/>
          <w:color w:val="000000" w:themeColor="text1"/>
          <w:sz w:val="24"/>
        </w:rPr>
        <w: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29–31 oraz zgodność</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episami dotyczącymi biopaliw bazujących na roślinach spożywczych</w:t>
      </w:r>
      <w:r w:rsidR="00A33B9F" w:rsidRPr="00A33B9F">
        <w:rPr>
          <w:rFonts w:ascii="Times New Roman" w:hAnsi="Times New Roman"/>
          <w:noProof/>
          <w:color w:val="000000" w:themeColor="text1"/>
          <w:sz w:val="24"/>
        </w:rPr>
        <w:t xml:space="preserve"> i pas</w:t>
      </w:r>
      <w:r w:rsidRPr="00A33B9F">
        <w:rPr>
          <w:rFonts w:ascii="Times New Roman" w:hAnsi="Times New Roman"/>
          <w:noProof/>
          <w:color w:val="000000" w:themeColor="text1"/>
          <w:sz w:val="24"/>
        </w:rPr>
        <w:t>tewnych określonymi</w:t>
      </w:r>
      <w:r w:rsidR="00A33B9F" w:rsidRPr="00A33B9F">
        <w:rPr>
          <w:rFonts w:ascii="Times New Roman" w:hAnsi="Times New Roman"/>
          <w:noProof/>
          <w:color w:val="000000" w:themeColor="text1"/>
          <w:sz w:val="24"/>
        </w:rPr>
        <w:t xml:space="preserve"> w art</w:t>
      </w:r>
      <w:r w:rsidRPr="00A33B9F">
        <w:rPr>
          <w:rFonts w:ascii="Times New Roman" w:hAnsi="Times New Roman"/>
          <w:noProof/>
          <w:color w:val="000000" w:themeColor="text1"/>
          <w:sz w:val="24"/>
        </w:rPr>
        <w: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26 dyrektywy</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energii odnawialnej (</w:t>
      </w:r>
      <w:r w:rsidRPr="00A33B9F">
        <w:rPr>
          <w:rFonts w:ascii="Times New Roman" w:hAnsi="Times New Roman"/>
          <w:i/>
          <w:noProof/>
          <w:color w:val="000000" w:themeColor="text1"/>
          <w:sz w:val="24"/>
        </w:rPr>
        <w:t>dyrektywa 2018/2001/UE</w:t>
      </w:r>
      <w:r w:rsidRPr="00A33B9F">
        <w:rPr>
          <w:rFonts w:ascii="Times New Roman" w:hAnsi="Times New Roman"/>
          <w:noProof/>
          <w:color w:val="000000" w:themeColor="text1"/>
          <w:sz w:val="24"/>
        </w:rPr>
        <w:t>) oraz</w:t>
      </w:r>
      <w:r w:rsidR="00A33B9F" w:rsidRPr="00A33B9F">
        <w:rPr>
          <w:rFonts w:ascii="Times New Roman" w:hAnsi="Times New Roman"/>
          <w:noProof/>
          <w:color w:val="000000" w:themeColor="text1"/>
          <w:sz w:val="24"/>
        </w:rPr>
        <w:t xml:space="preserve"> w pow</w:t>
      </w:r>
      <w:r w:rsidRPr="00A33B9F">
        <w:rPr>
          <w:rFonts w:ascii="Times New Roman" w:hAnsi="Times New Roman"/>
          <w:noProof/>
          <w:color w:val="000000" w:themeColor="text1"/>
          <w:sz w:val="24"/>
        </w:rPr>
        <w:t>iązanych aktach wykonawczych</w:t>
      </w:r>
      <w:r w:rsidR="00A33B9F" w:rsidRPr="00A33B9F">
        <w:rPr>
          <w:rFonts w:ascii="Times New Roman" w:hAnsi="Times New Roman"/>
          <w:noProof/>
          <w:color w:val="000000" w:themeColor="text1"/>
          <w:sz w:val="24"/>
        </w:rPr>
        <w:t xml:space="preserve"> i del</w:t>
      </w:r>
      <w:r w:rsidRPr="00A33B9F">
        <w:rPr>
          <w:rFonts w:ascii="Times New Roman" w:hAnsi="Times New Roman"/>
          <w:noProof/>
          <w:color w:val="000000" w:themeColor="text1"/>
          <w:sz w:val="24"/>
        </w:rPr>
        <w:t>egowanych oraz (ii) zapewnienie, aby</w:t>
      </w:r>
      <w:r w:rsidR="00A33B9F" w:rsidRPr="00A33B9F">
        <w:rPr>
          <w:rFonts w:ascii="Times New Roman" w:hAnsi="Times New Roman"/>
          <w:noProof/>
          <w:color w:val="000000" w:themeColor="text1"/>
          <w:sz w:val="24"/>
        </w:rPr>
        <w:t xml:space="preserve"> w poj</w:t>
      </w:r>
      <w:r w:rsidRPr="00A33B9F">
        <w:rPr>
          <w:rFonts w:ascii="Times New Roman" w:hAnsi="Times New Roman"/>
          <w:noProof/>
          <w:color w:val="000000" w:themeColor="text1"/>
          <w:sz w:val="24"/>
        </w:rPr>
        <w:t>azdach zakupionych</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programu wspieranego z RRF stosowano wyłącznie biopaliwa, biopłyny</w:t>
      </w:r>
      <w:r w:rsidR="00A33B9F" w:rsidRPr="00A33B9F">
        <w:rPr>
          <w:rFonts w:ascii="Times New Roman" w:hAnsi="Times New Roman"/>
          <w:noProof/>
          <w:color w:val="000000" w:themeColor="text1"/>
          <w:sz w:val="24"/>
        </w:rPr>
        <w:t xml:space="preserve"> i pal</w:t>
      </w:r>
      <w:r w:rsidRPr="00A33B9F">
        <w:rPr>
          <w:rFonts w:ascii="Times New Roman" w:hAnsi="Times New Roman"/>
          <w:noProof/>
          <w:color w:val="000000" w:themeColor="text1"/>
          <w:sz w:val="24"/>
        </w:rPr>
        <w:t>iwa</w:t>
      </w:r>
      <w:r w:rsidR="00A33B9F" w:rsidRPr="00A33B9F">
        <w:rPr>
          <w:rFonts w:ascii="Times New Roman" w:hAnsi="Times New Roman"/>
          <w:noProof/>
          <w:color w:val="000000" w:themeColor="text1"/>
          <w:sz w:val="24"/>
        </w:rPr>
        <w:t xml:space="preserve"> z bio</w:t>
      </w:r>
      <w:r w:rsidRPr="00A33B9F">
        <w:rPr>
          <w:rFonts w:ascii="Times New Roman" w:hAnsi="Times New Roman"/>
          <w:noProof/>
          <w:color w:val="000000" w:themeColor="text1"/>
          <w:sz w:val="24"/>
        </w:rPr>
        <w:t>masy zgodne</w:t>
      </w:r>
      <w:r w:rsidR="00A33B9F" w:rsidRPr="00A33B9F">
        <w:rPr>
          <w:rFonts w:ascii="Times New Roman" w:hAnsi="Times New Roman"/>
          <w:noProof/>
          <w:color w:val="000000" w:themeColor="text1"/>
          <w:sz w:val="24"/>
        </w:rPr>
        <w:t xml:space="preserve"> z dyr</w:t>
      </w:r>
      <w:r w:rsidRPr="00A33B9F">
        <w:rPr>
          <w:rFonts w:ascii="Times New Roman" w:hAnsi="Times New Roman"/>
          <w:noProof/>
          <w:color w:val="000000" w:themeColor="text1"/>
          <w:sz w:val="24"/>
        </w:rPr>
        <w:t>ektywą</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energii odnawialnej oraz (iii) uzupełnienie o „środki wspierające”, które potwierdzają, że udział biopaliw, biopłynów</w:t>
      </w:r>
      <w:r w:rsidR="00A33B9F" w:rsidRPr="00A33B9F">
        <w:rPr>
          <w:rFonts w:ascii="Times New Roman" w:hAnsi="Times New Roman"/>
          <w:noProof/>
          <w:color w:val="000000" w:themeColor="text1"/>
          <w:sz w:val="24"/>
        </w:rPr>
        <w:t xml:space="preserve"> i pal</w:t>
      </w:r>
      <w:r w:rsidRPr="00A33B9F">
        <w:rPr>
          <w:rFonts w:ascii="Times New Roman" w:hAnsi="Times New Roman"/>
          <w:noProof/>
          <w:color w:val="000000" w:themeColor="text1"/>
          <w:sz w:val="24"/>
        </w:rPr>
        <w:t>iw</w:t>
      </w:r>
      <w:r w:rsidR="00A33B9F" w:rsidRPr="00A33B9F">
        <w:rPr>
          <w:rFonts w:ascii="Times New Roman" w:hAnsi="Times New Roman"/>
          <w:noProof/>
          <w:color w:val="000000" w:themeColor="text1"/>
          <w:sz w:val="24"/>
        </w:rPr>
        <w:t xml:space="preserve"> z bio</w:t>
      </w:r>
      <w:r w:rsidRPr="00A33B9F">
        <w:rPr>
          <w:rFonts w:ascii="Times New Roman" w:hAnsi="Times New Roman"/>
          <w:noProof/>
          <w:color w:val="000000" w:themeColor="text1"/>
          <w:sz w:val="24"/>
        </w:rPr>
        <w:t>masy</w:t>
      </w:r>
      <w:r w:rsidR="00A33B9F" w:rsidRPr="00A33B9F">
        <w:rPr>
          <w:rFonts w:ascii="Times New Roman" w:hAnsi="Times New Roman"/>
          <w:noProof/>
          <w:color w:val="000000" w:themeColor="text1"/>
          <w:sz w:val="24"/>
        </w:rPr>
        <w:t xml:space="preserve"> w kra</w:t>
      </w:r>
      <w:r w:rsidRPr="00A33B9F">
        <w:rPr>
          <w:rFonts w:ascii="Times New Roman" w:hAnsi="Times New Roman"/>
          <w:noProof/>
          <w:color w:val="000000" w:themeColor="text1"/>
          <w:sz w:val="24"/>
        </w:rPr>
        <w:t>jowym koszyku</w:t>
      </w:r>
      <w:r w:rsidR="00A33B9F" w:rsidRPr="00A33B9F">
        <w:rPr>
          <w:rFonts w:ascii="Times New Roman" w:hAnsi="Times New Roman"/>
          <w:noProof/>
          <w:color w:val="000000" w:themeColor="text1"/>
          <w:sz w:val="24"/>
        </w:rPr>
        <w:t xml:space="preserve"> z cza</w:t>
      </w:r>
      <w:r w:rsidRPr="00A33B9F">
        <w:rPr>
          <w:rFonts w:ascii="Times New Roman" w:hAnsi="Times New Roman"/>
          <w:noProof/>
          <w:color w:val="000000" w:themeColor="text1"/>
          <w:sz w:val="24"/>
        </w:rPr>
        <w:t>sem wzrośnie.</w:t>
      </w:r>
    </w:p>
    <w:p w14:paraId="1A5E92A6" w14:textId="0F7FC56A" w:rsidR="007C4506" w:rsidRPr="00A33B9F" w:rsidRDefault="7E42FEC5" w:rsidP="00394B30">
      <w:pPr>
        <w:pStyle w:val="Normal0"/>
        <w:numPr>
          <w:ilvl w:val="0"/>
          <w:numId w:val="6"/>
        </w:numPr>
        <w:pBdr>
          <w:top w:val="nil"/>
          <w:left w:val="nil"/>
          <w:bottom w:val="nil"/>
          <w:right w:val="nil"/>
          <w:between w:val="nil"/>
        </w:pBdr>
        <w:spacing w:before="120" w:after="120" w:line="257" w:lineRule="auto"/>
        <w:jc w:val="both"/>
        <w:rPr>
          <w:rFonts w:ascii="Times New Roman" w:hAnsi="Times New Roman" w:cs="Times New Roman"/>
          <w:noProof/>
          <w:color w:val="000000" w:themeColor="text1"/>
          <w:sz w:val="24"/>
          <w:szCs w:val="24"/>
        </w:rPr>
      </w:pPr>
      <w:r w:rsidRPr="00A33B9F">
        <w:rPr>
          <w:rFonts w:ascii="Times New Roman" w:hAnsi="Times New Roman"/>
          <w:noProof/>
          <w:color w:val="000000" w:themeColor="text1"/>
          <w:sz w:val="24"/>
        </w:rPr>
        <w:t>Wszystkie renowacje budynków muszą być przeprowadzane zgodnie</w:t>
      </w:r>
      <w:r w:rsidR="00A33B9F" w:rsidRPr="00A33B9F">
        <w:rPr>
          <w:rFonts w:ascii="Times New Roman" w:hAnsi="Times New Roman"/>
          <w:noProof/>
          <w:color w:val="000000" w:themeColor="text1"/>
          <w:sz w:val="24"/>
        </w:rPr>
        <w:t xml:space="preserve"> z dyr</w:t>
      </w:r>
      <w:r w:rsidRPr="00A33B9F">
        <w:rPr>
          <w:rFonts w:ascii="Times New Roman" w:hAnsi="Times New Roman"/>
          <w:noProof/>
          <w:color w:val="000000" w:themeColor="text1"/>
          <w:sz w:val="24"/>
        </w:rPr>
        <w:t>ektywą</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charakterystyki energetycznej budynków (</w:t>
      </w:r>
      <w:r w:rsidRPr="00A33B9F">
        <w:rPr>
          <w:rFonts w:ascii="Times New Roman" w:hAnsi="Times New Roman"/>
          <w:i/>
          <w:noProof/>
          <w:color w:val="000000" w:themeColor="text1"/>
          <w:sz w:val="24"/>
        </w:rPr>
        <w:t>dyrektywa 2018/844/UE</w:t>
      </w:r>
      <w:r w:rsidRPr="00A33B9F">
        <w:rPr>
          <w:rFonts w:ascii="Times New Roman" w:hAnsi="Times New Roman"/>
          <w:noProof/>
          <w:color w:val="000000" w:themeColor="text1"/>
          <w:sz w:val="24"/>
        </w:rPr>
        <w:t>).</w:t>
      </w:r>
    </w:p>
    <w:p w14:paraId="6F4671D3" w14:textId="2FA732C7" w:rsidR="007C4506" w:rsidRPr="00A33B9F" w:rsidRDefault="53A2005F" w:rsidP="00394B30">
      <w:pPr>
        <w:pStyle w:val="Normal0"/>
        <w:numPr>
          <w:ilvl w:val="0"/>
          <w:numId w:val="6"/>
        </w:numPr>
        <w:pBdr>
          <w:top w:val="nil"/>
          <w:left w:val="nil"/>
          <w:bottom w:val="nil"/>
          <w:right w:val="nil"/>
          <w:between w:val="nil"/>
        </w:pBdr>
        <w:spacing w:before="120" w:after="120" w:line="257" w:lineRule="auto"/>
        <w:jc w:val="both"/>
        <w:rPr>
          <w:rFonts w:ascii="Times New Roman" w:hAnsi="Times New Roman" w:cs="Times New Roman"/>
          <w:noProof/>
          <w:color w:val="000000" w:themeColor="text1"/>
          <w:sz w:val="24"/>
          <w:szCs w:val="24"/>
        </w:rPr>
      </w:pPr>
      <w:r w:rsidRPr="00A33B9F">
        <w:rPr>
          <w:rFonts w:ascii="Times New Roman" w:hAnsi="Times New Roman"/>
          <w:noProof/>
          <w:color w:val="000000" w:themeColor="text1"/>
          <w:sz w:val="24"/>
        </w:rPr>
        <w:t>Zakłady produkujące energię</w:t>
      </w:r>
      <w:r w:rsidR="00A33B9F" w:rsidRPr="00A33B9F">
        <w:rPr>
          <w:rFonts w:ascii="Times New Roman" w:hAnsi="Times New Roman"/>
          <w:noProof/>
          <w:color w:val="000000" w:themeColor="text1"/>
          <w:sz w:val="24"/>
        </w:rPr>
        <w:t xml:space="preserve"> z bio</w:t>
      </w:r>
      <w:r w:rsidRPr="00A33B9F">
        <w:rPr>
          <w:rFonts w:ascii="Times New Roman" w:hAnsi="Times New Roman"/>
          <w:noProof/>
          <w:color w:val="000000" w:themeColor="text1"/>
          <w:sz w:val="24"/>
        </w:rPr>
        <w:t>gazu spełniają kryteria zrównoważonego rozwoju</w:t>
      </w:r>
      <w:r w:rsidR="00A33B9F" w:rsidRPr="00A33B9F">
        <w:rPr>
          <w:rFonts w:ascii="Times New Roman" w:hAnsi="Times New Roman"/>
          <w:noProof/>
          <w:color w:val="000000" w:themeColor="text1"/>
          <w:sz w:val="24"/>
        </w:rPr>
        <w:t xml:space="preserve"> i ogr</w:t>
      </w:r>
      <w:r w:rsidRPr="00A33B9F">
        <w:rPr>
          <w:rFonts w:ascii="Times New Roman" w:hAnsi="Times New Roman"/>
          <w:noProof/>
          <w:color w:val="000000" w:themeColor="text1"/>
          <w:sz w:val="24"/>
        </w:rPr>
        <w:t>aniczenia emisji gazów cieplarnianych określone</w:t>
      </w:r>
      <w:r w:rsidR="00A33B9F" w:rsidRPr="00A33B9F">
        <w:rPr>
          <w:rFonts w:ascii="Times New Roman" w:hAnsi="Times New Roman"/>
          <w:noProof/>
          <w:color w:val="000000" w:themeColor="text1"/>
          <w:sz w:val="24"/>
        </w:rPr>
        <w:t xml:space="preserve"> w art</w:t>
      </w:r>
      <w:r w:rsidRPr="00A33B9F">
        <w:rPr>
          <w:rFonts w:ascii="Times New Roman" w:hAnsi="Times New Roman"/>
          <w:noProof/>
          <w:color w:val="000000" w:themeColor="text1"/>
          <w:sz w:val="24"/>
        </w:rPr>
        <w: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29–31 oraz są zgodne</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episami dotyczącymi biopaliw bazujących na roślinach spożywczych</w:t>
      </w:r>
      <w:r w:rsidR="00A33B9F" w:rsidRPr="00A33B9F">
        <w:rPr>
          <w:rFonts w:ascii="Times New Roman" w:hAnsi="Times New Roman"/>
          <w:noProof/>
          <w:color w:val="000000" w:themeColor="text1"/>
          <w:sz w:val="24"/>
        </w:rPr>
        <w:t xml:space="preserve"> i pas</w:t>
      </w:r>
      <w:r w:rsidRPr="00A33B9F">
        <w:rPr>
          <w:rFonts w:ascii="Times New Roman" w:hAnsi="Times New Roman"/>
          <w:noProof/>
          <w:color w:val="000000" w:themeColor="text1"/>
          <w:sz w:val="24"/>
        </w:rPr>
        <w:t>tewnych określonymi</w:t>
      </w:r>
      <w:r w:rsidR="00A33B9F" w:rsidRPr="00A33B9F">
        <w:rPr>
          <w:rFonts w:ascii="Times New Roman" w:hAnsi="Times New Roman"/>
          <w:noProof/>
          <w:color w:val="000000" w:themeColor="text1"/>
          <w:sz w:val="24"/>
        </w:rPr>
        <w:t xml:space="preserve"> w art</w:t>
      </w:r>
      <w:r w:rsidRPr="00A33B9F">
        <w:rPr>
          <w:rFonts w:ascii="Times New Roman" w:hAnsi="Times New Roman"/>
          <w:noProof/>
          <w:color w:val="000000" w:themeColor="text1"/>
          <w:sz w:val="24"/>
        </w:rPr>
        <w: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26 dyrektywy</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energii odnawialnej (</w:t>
      </w:r>
      <w:r w:rsidRPr="00A33B9F">
        <w:rPr>
          <w:rFonts w:ascii="Times New Roman" w:hAnsi="Times New Roman"/>
          <w:i/>
          <w:noProof/>
          <w:color w:val="000000" w:themeColor="text1"/>
          <w:sz w:val="24"/>
        </w:rPr>
        <w:t>dyrektywa 2018/2001/UE</w:t>
      </w:r>
      <w:r w:rsidRPr="00A33B9F">
        <w:rPr>
          <w:rFonts w:ascii="Times New Roman" w:hAnsi="Times New Roman"/>
          <w:noProof/>
          <w:color w:val="000000" w:themeColor="text1"/>
          <w:sz w:val="24"/>
        </w:rPr>
        <w:t>) oraz</w:t>
      </w:r>
      <w:r w:rsidR="00A33B9F" w:rsidRPr="00A33B9F">
        <w:rPr>
          <w:rFonts w:ascii="Times New Roman" w:hAnsi="Times New Roman"/>
          <w:noProof/>
          <w:color w:val="000000" w:themeColor="text1"/>
          <w:sz w:val="24"/>
        </w:rPr>
        <w:t xml:space="preserve"> w pow</w:t>
      </w:r>
      <w:r w:rsidRPr="00A33B9F">
        <w:rPr>
          <w:rFonts w:ascii="Times New Roman" w:hAnsi="Times New Roman"/>
          <w:noProof/>
          <w:color w:val="000000" w:themeColor="text1"/>
          <w:sz w:val="24"/>
        </w:rPr>
        <w:t>iązanych aktach wykonawczych</w:t>
      </w:r>
      <w:r w:rsidR="00A33B9F" w:rsidRPr="00A33B9F">
        <w:rPr>
          <w:rFonts w:ascii="Times New Roman" w:hAnsi="Times New Roman"/>
          <w:noProof/>
          <w:color w:val="000000" w:themeColor="text1"/>
          <w:sz w:val="24"/>
        </w:rPr>
        <w:t xml:space="preserve"> i del</w:t>
      </w:r>
      <w:r w:rsidRPr="00A33B9F">
        <w:rPr>
          <w:rFonts w:ascii="Times New Roman" w:hAnsi="Times New Roman"/>
          <w:noProof/>
          <w:color w:val="000000" w:themeColor="text1"/>
          <w:sz w:val="24"/>
        </w:rPr>
        <w:t>egowanych.</w:t>
      </w:r>
    </w:p>
    <w:p w14:paraId="31D496BC" w14:textId="32C7AD33" w:rsidR="007C4506" w:rsidRPr="00A33B9F" w:rsidRDefault="1D59FF4A" w:rsidP="002D0F1B">
      <w:pPr>
        <w:pStyle w:val="Text1"/>
        <w:ind w:left="0"/>
        <w:rPr>
          <w:rFonts w:eastAsia="Times New Roman"/>
          <w:noProof/>
          <w:color w:val="000000" w:themeColor="text1"/>
          <w:szCs w:val="24"/>
        </w:rPr>
      </w:pPr>
      <w:r w:rsidRPr="00A33B9F">
        <w:rPr>
          <w:noProof/>
          <w:color w:val="000000" w:themeColor="text1"/>
        </w:rPr>
        <w:t>Realizacja inwestycji zostanie zakończona do dnia 31 grudnia 2025</w:t>
      </w:r>
      <w:r w:rsidR="00A33B9F" w:rsidRPr="00A33B9F">
        <w:rPr>
          <w:noProof/>
          <w:color w:val="000000" w:themeColor="text1"/>
        </w:rPr>
        <w:t> </w:t>
      </w:r>
      <w:r w:rsidRPr="00A33B9F">
        <w:rPr>
          <w:noProof/>
          <w:color w:val="000000" w:themeColor="text1"/>
        </w:rPr>
        <w:t xml:space="preserve">r. </w:t>
      </w:r>
    </w:p>
    <w:p w14:paraId="0AF336A8" w14:textId="0044DA80" w:rsidR="007C4506" w:rsidRPr="00A33B9F" w:rsidRDefault="00B31839" w:rsidP="002D0F1B">
      <w:pPr>
        <w:pStyle w:val="Text1"/>
        <w:ind w:left="0"/>
        <w:rPr>
          <w:rFonts w:eastAsia="Times New Roman"/>
          <w:b/>
          <w:noProof/>
          <w:color w:val="000000" w:themeColor="text1"/>
          <w:szCs w:val="24"/>
        </w:rPr>
      </w:pPr>
      <w:r w:rsidRPr="00A33B9F">
        <w:rPr>
          <w:b/>
          <w:noProof/>
          <w:color w:val="000000" w:themeColor="text1"/>
        </w:rPr>
        <w:t>Podkomponent A2 – Rozwój narodowego systemu innowacji: wzmocnienie koordynacji, stymulowanie potencjału innowacyjnego oraz współpracy pomiędzy przedsiębiorstwami</w:t>
      </w:r>
      <w:r w:rsidR="00A33B9F" w:rsidRPr="00A33B9F">
        <w:rPr>
          <w:b/>
          <w:noProof/>
          <w:color w:val="000000" w:themeColor="text1"/>
        </w:rPr>
        <w:t xml:space="preserve"> i org</w:t>
      </w:r>
      <w:r w:rsidRPr="00A33B9F">
        <w:rPr>
          <w:b/>
          <w:noProof/>
          <w:color w:val="000000" w:themeColor="text1"/>
        </w:rPr>
        <w:t>anizacjami badawczymi,</w:t>
      </w:r>
      <w:r w:rsidR="00A33B9F" w:rsidRPr="00A33B9F">
        <w:rPr>
          <w:b/>
          <w:noProof/>
          <w:color w:val="000000" w:themeColor="text1"/>
        </w:rPr>
        <w:t xml:space="preserve"> w tym w zak</w:t>
      </w:r>
      <w:r w:rsidRPr="00A33B9F">
        <w:rPr>
          <w:b/>
          <w:noProof/>
          <w:color w:val="000000" w:themeColor="text1"/>
        </w:rPr>
        <w:t>resie technologii środowiskowych</w:t>
      </w:r>
    </w:p>
    <w:p w14:paraId="1F09EAF4" w14:textId="77777777" w:rsidR="002248AA" w:rsidRPr="00A33B9F" w:rsidRDefault="002248AA"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p>
    <w:p w14:paraId="61169AC1" w14:textId="3D6F2246"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A2.1 Przyśpieszenie procesów robotyzacji</w:t>
      </w:r>
      <w:r w:rsidR="00A33B9F" w:rsidRPr="00A33B9F">
        <w:rPr>
          <w:b/>
          <w:noProof/>
          <w:color w:val="000000"/>
          <w:u w:val="single"/>
        </w:rPr>
        <w:t xml:space="preserve"> i cyf</w:t>
      </w:r>
      <w:r w:rsidRPr="00A33B9F">
        <w:rPr>
          <w:b/>
          <w:noProof/>
          <w:color w:val="000000"/>
          <w:u w:val="single"/>
        </w:rPr>
        <w:t>ryzacji</w:t>
      </w:r>
      <w:r w:rsidR="00A33B9F" w:rsidRPr="00A33B9F">
        <w:rPr>
          <w:b/>
          <w:noProof/>
          <w:color w:val="000000"/>
          <w:u w:val="single"/>
        </w:rPr>
        <w:t xml:space="preserve"> i inn</w:t>
      </w:r>
      <w:r w:rsidRPr="00A33B9F">
        <w:rPr>
          <w:b/>
          <w:noProof/>
          <w:color w:val="000000"/>
          <w:u w:val="single"/>
        </w:rPr>
        <w:t>owacji</w:t>
      </w:r>
    </w:p>
    <w:p w14:paraId="6E9B63D8" w14:textId="3C3614D0" w:rsidR="007C4506" w:rsidRPr="00A33B9F" w:rsidRDefault="00B31839" w:rsidP="002D0F1B">
      <w:pPr>
        <w:pStyle w:val="Text1"/>
        <w:ind w:left="0"/>
        <w:rPr>
          <w:rFonts w:eastAsia="Times New Roman"/>
          <w:noProof/>
          <w:color w:val="000000"/>
          <w:szCs w:val="24"/>
        </w:rPr>
      </w:pPr>
      <w:r w:rsidRPr="00A33B9F">
        <w:rPr>
          <w:noProof/>
          <w:color w:val="000000"/>
        </w:rPr>
        <w:t>Reforma ma na celu wzmocnienie popytu na wiedzę</w:t>
      </w:r>
      <w:r w:rsidR="00A33B9F" w:rsidRPr="00A33B9F">
        <w:rPr>
          <w:noProof/>
          <w:color w:val="000000"/>
        </w:rPr>
        <w:t xml:space="preserve"> i inn</w:t>
      </w:r>
      <w:r w:rsidRPr="00A33B9F">
        <w:rPr>
          <w:noProof/>
          <w:color w:val="000000"/>
        </w:rPr>
        <w:t>owacje oraz ich efektywnego wdrażanie</w:t>
      </w:r>
      <w:r w:rsidR="00A33B9F" w:rsidRPr="00A33B9F">
        <w:rPr>
          <w:noProof/>
          <w:color w:val="000000"/>
        </w:rPr>
        <w:t xml:space="preserve"> w prz</w:t>
      </w:r>
      <w:r w:rsidRPr="00A33B9F">
        <w:rPr>
          <w:noProof/>
          <w:color w:val="000000"/>
        </w:rPr>
        <w:t>edsiębiorstwach,</w:t>
      </w:r>
      <w:r w:rsidR="00A33B9F" w:rsidRPr="00A33B9F">
        <w:rPr>
          <w:noProof/>
          <w:color w:val="000000"/>
        </w:rPr>
        <w:t xml:space="preserve"> w sek</w:t>
      </w:r>
      <w:r w:rsidRPr="00A33B9F">
        <w:rPr>
          <w:noProof/>
          <w:color w:val="000000"/>
        </w:rPr>
        <w:t xml:space="preserve">torze gospodarki cyfrowej. </w:t>
      </w:r>
    </w:p>
    <w:p w14:paraId="3F058D9F" w14:textId="1AC49D54" w:rsidR="007C4506" w:rsidRPr="00A33B9F" w:rsidRDefault="1BFBA19B" w:rsidP="002D0F1B">
      <w:pPr>
        <w:pStyle w:val="Text1"/>
        <w:ind w:left="0"/>
        <w:rPr>
          <w:noProof/>
        </w:rPr>
      </w:pPr>
      <w:r w:rsidRPr="00A33B9F">
        <w:rPr>
          <w:noProof/>
          <w:color w:val="000000" w:themeColor="text1"/>
        </w:rPr>
        <w:t>Reforma obejmuje wbudowanie</w:t>
      </w:r>
      <w:r w:rsidR="00A33B9F" w:rsidRPr="00A33B9F">
        <w:rPr>
          <w:noProof/>
          <w:color w:val="000000" w:themeColor="text1"/>
        </w:rPr>
        <w:t xml:space="preserve"> w sys</w:t>
      </w:r>
      <w:r w:rsidRPr="00A33B9F">
        <w:rPr>
          <w:noProof/>
          <w:color w:val="000000" w:themeColor="text1"/>
        </w:rPr>
        <w:t>tem podatkowy preferencji dla przedsiębiorstw przeprowadzających proces cyfryzacji poprzez inwestycje</w:t>
      </w:r>
      <w:r w:rsidR="00A33B9F" w:rsidRPr="00A33B9F">
        <w:rPr>
          <w:noProof/>
          <w:color w:val="000000" w:themeColor="text1"/>
        </w:rPr>
        <w:t xml:space="preserve"> w rob</w:t>
      </w:r>
      <w:r w:rsidRPr="00A33B9F">
        <w:rPr>
          <w:noProof/>
          <w:color w:val="000000" w:themeColor="text1"/>
        </w:rPr>
        <w:t>otyzację</w:t>
      </w:r>
      <w:r w:rsidR="00A33B9F" w:rsidRPr="00A33B9F">
        <w:rPr>
          <w:noProof/>
          <w:color w:val="000000" w:themeColor="text1"/>
        </w:rPr>
        <w:t xml:space="preserve"> i tra</w:t>
      </w:r>
      <w:r w:rsidRPr="00A33B9F">
        <w:rPr>
          <w:noProof/>
          <w:color w:val="000000" w:themeColor="text1"/>
        </w:rPr>
        <w:t>nsformację cyfrową. Ulga podatkowa ma formę odliczenia od podatku dodatkowych kosztów</w:t>
      </w:r>
      <w:r w:rsidR="00A33B9F" w:rsidRPr="00A33B9F">
        <w:rPr>
          <w:noProof/>
          <w:color w:val="000000" w:themeColor="text1"/>
        </w:rPr>
        <w:t xml:space="preserve"> w cel</w:t>
      </w:r>
      <w:r w:rsidRPr="00A33B9F">
        <w:rPr>
          <w:noProof/>
          <w:color w:val="000000" w:themeColor="text1"/>
        </w:rPr>
        <w:t xml:space="preserve">u wspierania zakupu robotów przemysłowych. </w:t>
      </w:r>
    </w:p>
    <w:p w14:paraId="2C641F87" w14:textId="583C48C5" w:rsidR="007C4506" w:rsidRPr="00A33B9F" w:rsidRDefault="68E1984B" w:rsidP="002D0F1B">
      <w:pPr>
        <w:pStyle w:val="Text1"/>
        <w:ind w:left="0"/>
        <w:rPr>
          <w:rFonts w:eastAsia="Times New Roman"/>
          <w:noProof/>
          <w:color w:val="000000"/>
          <w:szCs w:val="24"/>
        </w:rPr>
      </w:pPr>
      <w:r w:rsidRPr="00A33B9F">
        <w:rPr>
          <w:noProof/>
          <w:color w:val="000000" w:themeColor="text1"/>
        </w:rPr>
        <w:t>Realizacja reformy zostanie zakończona do dnia 30 czerwca 2022</w:t>
      </w:r>
      <w:r w:rsidR="00A33B9F" w:rsidRPr="00A33B9F">
        <w:rPr>
          <w:noProof/>
          <w:color w:val="000000" w:themeColor="text1"/>
        </w:rPr>
        <w:t> </w:t>
      </w:r>
      <w:r w:rsidRPr="00A33B9F">
        <w:rPr>
          <w:noProof/>
          <w:color w:val="000000" w:themeColor="text1"/>
        </w:rPr>
        <w:t>r.</w:t>
      </w:r>
    </w:p>
    <w:p w14:paraId="3656B9AB"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7F7F5F82" w14:textId="7C517103"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A2.1.1 Inwestycje wspierające robotyzację</w:t>
      </w:r>
      <w:r w:rsidR="00A33B9F" w:rsidRPr="00A33B9F">
        <w:rPr>
          <w:b/>
          <w:noProof/>
          <w:color w:val="000000"/>
          <w:u w:val="single"/>
        </w:rPr>
        <w:t xml:space="preserve"> i cyf</w:t>
      </w:r>
      <w:r w:rsidRPr="00A33B9F">
        <w:rPr>
          <w:b/>
          <w:noProof/>
          <w:color w:val="000000"/>
          <w:u w:val="single"/>
        </w:rPr>
        <w:t>ryzację</w:t>
      </w:r>
      <w:r w:rsidR="00A33B9F" w:rsidRPr="00A33B9F">
        <w:rPr>
          <w:b/>
          <w:noProof/>
          <w:color w:val="000000"/>
          <w:u w:val="single"/>
        </w:rPr>
        <w:t xml:space="preserve"> w prz</w:t>
      </w:r>
      <w:r w:rsidRPr="00A33B9F">
        <w:rPr>
          <w:b/>
          <w:noProof/>
          <w:color w:val="000000"/>
          <w:u w:val="single"/>
        </w:rPr>
        <w:t>edsiębiorstwach</w:t>
      </w:r>
      <w:r w:rsidRPr="00A33B9F">
        <w:rPr>
          <w:b/>
          <w:noProof/>
          <w:color w:val="000000"/>
        </w:rPr>
        <w:t xml:space="preserve"> </w:t>
      </w:r>
    </w:p>
    <w:p w14:paraId="752F31DE" w14:textId="77777777" w:rsidR="007C4506" w:rsidRPr="00A33B9F" w:rsidRDefault="00B31839" w:rsidP="002D0F1B">
      <w:pPr>
        <w:pStyle w:val="Text1"/>
        <w:ind w:left="0"/>
        <w:rPr>
          <w:rFonts w:eastAsia="Times New Roman"/>
          <w:noProof/>
          <w:color w:val="000000"/>
          <w:szCs w:val="24"/>
        </w:rPr>
      </w:pPr>
      <w:r w:rsidRPr="00A33B9F">
        <w:rPr>
          <w:noProof/>
          <w:color w:val="000000"/>
        </w:rPr>
        <w:t>Celem tej inwestycji będzie wsparcie projektów obejmujących wprowadzanie innowacyjnych rozwiązań nakierowanych na transformację cyfrową.</w:t>
      </w:r>
    </w:p>
    <w:p w14:paraId="622D9F0F" w14:textId="5E0D2513" w:rsidR="007C4506" w:rsidRPr="00A33B9F" w:rsidRDefault="00B31839" w:rsidP="002D0F1B">
      <w:pPr>
        <w:pStyle w:val="Text1"/>
        <w:ind w:left="0"/>
        <w:rPr>
          <w:rFonts w:eastAsia="Times New Roman"/>
          <w:noProof/>
          <w:color w:val="000000"/>
          <w:szCs w:val="24"/>
        </w:rPr>
      </w:pPr>
      <w:r w:rsidRPr="00A33B9F">
        <w:rPr>
          <w:noProof/>
          <w:color w:val="000000" w:themeColor="text1"/>
        </w:rPr>
        <w:t>Inwestycja obejmie cyfryzację procesów biznesowych, wspieranie transformacji</w:t>
      </w:r>
      <w:r w:rsidR="00A33B9F" w:rsidRPr="00A33B9F">
        <w:rPr>
          <w:noProof/>
          <w:color w:val="000000" w:themeColor="text1"/>
        </w:rPr>
        <w:t xml:space="preserve"> w kie</w:t>
      </w:r>
      <w:r w:rsidRPr="00A33B9F">
        <w:rPr>
          <w:noProof/>
          <w:color w:val="000000" w:themeColor="text1"/>
        </w:rPr>
        <w:t>runku przemysłu 4.0 ze szczególnym uwzględnieniem robotyzacji</w:t>
      </w:r>
      <w:r w:rsidR="00A33B9F" w:rsidRPr="00A33B9F">
        <w:rPr>
          <w:noProof/>
          <w:color w:val="000000" w:themeColor="text1"/>
        </w:rPr>
        <w:t xml:space="preserve"> i tec</w:t>
      </w:r>
      <w:r w:rsidRPr="00A33B9F">
        <w:rPr>
          <w:noProof/>
          <w:color w:val="000000" w:themeColor="text1"/>
        </w:rPr>
        <w:t>hnologii operacyjnych</w:t>
      </w:r>
      <w:r w:rsidR="00A33B9F" w:rsidRPr="00A33B9F">
        <w:rPr>
          <w:noProof/>
          <w:color w:val="000000" w:themeColor="text1"/>
        </w:rPr>
        <w:t>. W ram</w:t>
      </w:r>
      <w:r w:rsidRPr="00A33B9F">
        <w:rPr>
          <w:noProof/>
          <w:color w:val="000000" w:themeColor="text1"/>
        </w:rPr>
        <w:t>ach inwestycji wspierane będzie wykorzystanie technologii chmurowych oraz sztucznej inteligencji</w:t>
      </w:r>
      <w:r w:rsidR="00A33B9F" w:rsidRPr="00A33B9F">
        <w:rPr>
          <w:noProof/>
          <w:color w:val="000000" w:themeColor="text1"/>
        </w:rPr>
        <w:t xml:space="preserve"> w int</w:t>
      </w:r>
      <w:r w:rsidRPr="00A33B9F">
        <w:rPr>
          <w:noProof/>
          <w:color w:val="000000" w:themeColor="text1"/>
        </w:rPr>
        <w:t>egracji procesów produkcyjnych</w:t>
      </w:r>
      <w:r w:rsidR="00A33B9F" w:rsidRPr="00A33B9F">
        <w:rPr>
          <w:noProof/>
          <w:color w:val="000000" w:themeColor="text1"/>
        </w:rPr>
        <w:t xml:space="preserve"> i biz</w:t>
      </w:r>
      <w:r w:rsidRPr="00A33B9F">
        <w:rPr>
          <w:noProof/>
          <w:color w:val="000000" w:themeColor="text1"/>
        </w:rPr>
        <w:t>nesowych oraz zarządzaniu nimi; wdrażanie inteligentnych linii produkcyjnych, budowę inteligentnych fabryk; wdrożenie nowoczesnych technologii cyfrowych, które wspierają transformację</w:t>
      </w:r>
      <w:r w:rsidR="00A33B9F" w:rsidRPr="00A33B9F">
        <w:rPr>
          <w:noProof/>
          <w:color w:val="000000" w:themeColor="text1"/>
        </w:rPr>
        <w:t xml:space="preserve"> w kie</w:t>
      </w:r>
      <w:r w:rsidRPr="00A33B9F">
        <w:rPr>
          <w:noProof/>
          <w:color w:val="000000" w:themeColor="text1"/>
        </w:rPr>
        <w:t>runku redukcji emisji środowiskowych (w szczególności gazów cieplarnianych) oraz redukcji wykorzystania zasobów naturalnych</w:t>
      </w:r>
      <w:r w:rsidR="00A33B9F" w:rsidRPr="00A33B9F">
        <w:rPr>
          <w:noProof/>
          <w:color w:val="000000" w:themeColor="text1"/>
        </w:rPr>
        <w:t xml:space="preserve"> i zmn</w:t>
      </w:r>
      <w:r w:rsidRPr="00A33B9F">
        <w:rPr>
          <w:noProof/>
          <w:color w:val="000000" w:themeColor="text1"/>
        </w:rPr>
        <w:t>iejszenia oddziaływania środowiskowego procesów produkcyjnych</w:t>
      </w:r>
      <w:r w:rsidR="00A33B9F" w:rsidRPr="00A33B9F">
        <w:rPr>
          <w:noProof/>
          <w:color w:val="000000" w:themeColor="text1"/>
        </w:rPr>
        <w:t xml:space="preserve"> i biz</w:t>
      </w:r>
      <w:r w:rsidRPr="00A33B9F">
        <w:rPr>
          <w:noProof/>
          <w:color w:val="000000" w:themeColor="text1"/>
        </w:rPr>
        <w:t>nesowych.</w:t>
      </w:r>
    </w:p>
    <w:p w14:paraId="5AFC7AC4" w14:textId="43AFF71C" w:rsidR="007C4506" w:rsidRPr="00A33B9F" w:rsidRDefault="00B31839" w:rsidP="002D0F1B">
      <w:pPr>
        <w:pStyle w:val="Text1"/>
        <w:ind w:left="0"/>
        <w:rPr>
          <w:rFonts w:eastAsia="Times New Roman"/>
          <w:noProof/>
          <w:color w:val="000000"/>
          <w:szCs w:val="24"/>
        </w:rPr>
      </w:pPr>
      <w:r w:rsidRPr="00A33B9F">
        <w:rPr>
          <w:noProof/>
          <w:color w:val="000000"/>
        </w:rPr>
        <w:t>Realizacja inwestycji zostanie zakończona do dnia 30 czerwca 2026</w:t>
      </w:r>
      <w:r w:rsidR="00A33B9F" w:rsidRPr="00A33B9F">
        <w:rPr>
          <w:noProof/>
          <w:color w:val="000000"/>
        </w:rPr>
        <w:t> </w:t>
      </w:r>
      <w:r w:rsidRPr="00A33B9F">
        <w:rPr>
          <w:noProof/>
          <w:color w:val="000000"/>
        </w:rPr>
        <w:t>r.</w:t>
      </w:r>
    </w:p>
    <w:p w14:paraId="3E62BDBC" w14:textId="2C7BF8A0" w:rsidR="0002330F" w:rsidRPr="00A33B9F"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p>
    <w:p w14:paraId="2AFDDB7B" w14:textId="77777777" w:rsidR="00AF33BE" w:rsidRPr="00A33B9F" w:rsidRDefault="00AF33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p>
    <w:p w14:paraId="07445389" w14:textId="21A790C1"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A2.2 Stworzenie warunków do przejścia na model gospodarki</w:t>
      </w:r>
      <w:r w:rsidR="00A33B9F" w:rsidRPr="00A33B9F">
        <w:rPr>
          <w:b/>
          <w:noProof/>
          <w:color w:val="000000"/>
          <w:u w:val="single"/>
        </w:rPr>
        <w:t xml:space="preserve"> o obi</w:t>
      </w:r>
      <w:r w:rsidRPr="00A33B9F">
        <w:rPr>
          <w:b/>
          <w:noProof/>
          <w:color w:val="000000"/>
          <w:u w:val="single"/>
        </w:rPr>
        <w:t>egu zamkniętym</w:t>
      </w:r>
    </w:p>
    <w:p w14:paraId="2E41BD47" w14:textId="611CED0C" w:rsidR="007C4506" w:rsidRPr="00A33B9F" w:rsidRDefault="00B31839" w:rsidP="002D0F1B">
      <w:pPr>
        <w:pStyle w:val="Text1"/>
        <w:ind w:left="0"/>
        <w:rPr>
          <w:rFonts w:eastAsia="Times New Roman"/>
          <w:noProof/>
          <w:color w:val="000000"/>
          <w:szCs w:val="24"/>
        </w:rPr>
      </w:pPr>
      <w:r w:rsidRPr="00A33B9F">
        <w:rPr>
          <w:noProof/>
          <w:color w:val="000000" w:themeColor="text1"/>
        </w:rPr>
        <w:t>Celem reformy jest stworzenie odpowiednich ram prawnych dla funkcjonowania obrotu surowcami wtórnymi. Reforma wprowadzi rozporządzenia</w:t>
      </w:r>
      <w:r w:rsidR="00A33B9F" w:rsidRPr="00A33B9F">
        <w:rPr>
          <w:noProof/>
          <w:color w:val="000000" w:themeColor="text1"/>
        </w:rPr>
        <w:t xml:space="preserve"> o zni</w:t>
      </w:r>
      <w:r w:rsidRPr="00A33B9F">
        <w:rPr>
          <w:noProof/>
          <w:color w:val="000000" w:themeColor="text1"/>
        </w:rPr>
        <w:t>esieniu statusu odpadów odnoszące się do kluczowych odpadów przemysłowych (o największym potencjale gospodarczym) oraz wdrożenie definicji surowca wtórnego, co ułatwiłoby obrót</w:t>
      </w:r>
      <w:r w:rsidR="00A33B9F" w:rsidRPr="00A33B9F">
        <w:rPr>
          <w:noProof/>
          <w:color w:val="000000" w:themeColor="text1"/>
        </w:rPr>
        <w:t xml:space="preserve"> i wyk</w:t>
      </w:r>
      <w:r w:rsidRPr="00A33B9F">
        <w:rPr>
          <w:noProof/>
          <w:color w:val="000000" w:themeColor="text1"/>
        </w:rPr>
        <w:t xml:space="preserve">orzystanie odpadów jako surowców wtórnych. </w:t>
      </w:r>
    </w:p>
    <w:p w14:paraId="4B9F17DB" w14:textId="021DEEF8" w:rsidR="007C4506" w:rsidRPr="00A33B9F" w:rsidRDefault="00B31839" w:rsidP="002D0F1B">
      <w:pPr>
        <w:pStyle w:val="Text1"/>
        <w:ind w:left="0"/>
        <w:rPr>
          <w:rFonts w:eastAsia="Times New Roman"/>
          <w:noProof/>
          <w:color w:val="000000"/>
          <w:szCs w:val="24"/>
        </w:rPr>
      </w:pPr>
      <w:r w:rsidRPr="00A33B9F">
        <w:rPr>
          <w:noProof/>
          <w:color w:val="000000"/>
        </w:rPr>
        <w:t>Reforma obejmuje ramy rozwoju rynku surowców wtórnych</w:t>
      </w:r>
      <w:r w:rsidR="00A33B9F" w:rsidRPr="00A33B9F">
        <w:rPr>
          <w:noProof/>
          <w:color w:val="000000"/>
        </w:rPr>
        <w:t xml:space="preserve"> w cel</w:t>
      </w:r>
      <w:r w:rsidRPr="00A33B9F">
        <w:rPr>
          <w:noProof/>
          <w:color w:val="000000"/>
        </w:rPr>
        <w:t>u ułatwienia gospodarowania tymi surowcami, czego skutkiem będzie ograniczenie eksploatacji złóż surowców naturalnych, dzięki zastąpieniu naturalnych surowców</w:t>
      </w:r>
      <w:r w:rsidR="00A33B9F" w:rsidRPr="00A33B9F">
        <w:rPr>
          <w:noProof/>
          <w:color w:val="000000"/>
        </w:rPr>
        <w:t xml:space="preserve"> i pro</w:t>
      </w:r>
      <w:r w:rsidRPr="00A33B9F">
        <w:rPr>
          <w:noProof/>
          <w:color w:val="000000"/>
        </w:rPr>
        <w:t>duktów. Reforma doprowadzi do ograniczenia magazynowania odpadów na hałdach.</w:t>
      </w:r>
    </w:p>
    <w:p w14:paraId="462D9EF0" w14:textId="4EB5D955" w:rsidR="007C4506" w:rsidRPr="00A33B9F" w:rsidRDefault="00B31839" w:rsidP="002D0F1B">
      <w:pPr>
        <w:pStyle w:val="Text1"/>
        <w:ind w:left="0"/>
        <w:rPr>
          <w:rFonts w:eastAsia="Times New Roman"/>
          <w:noProof/>
          <w:color w:val="000000"/>
          <w:szCs w:val="24"/>
        </w:rPr>
      </w:pPr>
      <w:r w:rsidRPr="00A33B9F">
        <w:rPr>
          <w:noProof/>
          <w:color w:val="000000"/>
        </w:rPr>
        <w:t>Realizacja reformy zostanie zakończona do dnia 30 czerwca 2024</w:t>
      </w:r>
      <w:r w:rsidR="00A33B9F" w:rsidRPr="00A33B9F">
        <w:rPr>
          <w:noProof/>
          <w:color w:val="000000"/>
        </w:rPr>
        <w:t> </w:t>
      </w:r>
      <w:r w:rsidRPr="00A33B9F">
        <w:rPr>
          <w:noProof/>
          <w:color w:val="000000"/>
        </w:rPr>
        <w:t>r.</w:t>
      </w:r>
    </w:p>
    <w:p w14:paraId="049F31CB"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73D571A" w14:textId="656B6CFA"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A2.2.1 Inwestycje we wdrażanie technologii</w:t>
      </w:r>
      <w:r w:rsidR="00A33B9F" w:rsidRPr="00A33B9F">
        <w:rPr>
          <w:b/>
          <w:noProof/>
          <w:color w:val="000000"/>
          <w:u w:val="single"/>
        </w:rPr>
        <w:t xml:space="preserve"> i inn</w:t>
      </w:r>
      <w:r w:rsidRPr="00A33B9F">
        <w:rPr>
          <w:b/>
          <w:noProof/>
          <w:color w:val="000000"/>
          <w:u w:val="single"/>
        </w:rPr>
        <w:t>owacji środowiskowych,</w:t>
      </w:r>
      <w:r w:rsidR="00A33B9F" w:rsidRPr="00A33B9F">
        <w:rPr>
          <w:b/>
          <w:noProof/>
          <w:color w:val="000000"/>
          <w:u w:val="single"/>
        </w:rPr>
        <w:t xml:space="preserve"> w tym</w:t>
      </w:r>
      <w:r w:rsidRPr="00A33B9F">
        <w:rPr>
          <w:noProof/>
          <w:color w:val="000000"/>
          <w:u w:val="single"/>
        </w:rPr>
        <w:t xml:space="preserve"> </w:t>
      </w:r>
      <w:r w:rsidRPr="00A33B9F">
        <w:rPr>
          <w:b/>
          <w:noProof/>
          <w:color w:val="000000"/>
          <w:u w:val="single"/>
        </w:rPr>
        <w:t>związanych</w:t>
      </w:r>
      <w:r w:rsidR="00A33B9F" w:rsidRPr="00A33B9F">
        <w:rPr>
          <w:b/>
          <w:noProof/>
          <w:color w:val="000000"/>
          <w:u w:val="single"/>
        </w:rPr>
        <w:t xml:space="preserve"> z gos</w:t>
      </w:r>
      <w:r w:rsidRPr="00A33B9F">
        <w:rPr>
          <w:b/>
          <w:noProof/>
          <w:color w:val="000000"/>
          <w:u w:val="single"/>
        </w:rPr>
        <w:t>podarką</w:t>
      </w:r>
      <w:r w:rsidR="00A33B9F" w:rsidRPr="00A33B9F">
        <w:rPr>
          <w:b/>
          <w:noProof/>
          <w:color w:val="000000"/>
          <w:u w:val="single"/>
        </w:rPr>
        <w:t xml:space="preserve"> o obi</w:t>
      </w:r>
      <w:r w:rsidRPr="00A33B9F">
        <w:rPr>
          <w:b/>
          <w:noProof/>
          <w:color w:val="000000"/>
          <w:u w:val="single"/>
        </w:rPr>
        <w:t>egu zamkniętym</w:t>
      </w:r>
    </w:p>
    <w:p w14:paraId="1020E616" w14:textId="500715C5" w:rsidR="007C4506" w:rsidRPr="00A33B9F" w:rsidRDefault="00B31839" w:rsidP="002D0F1B">
      <w:pPr>
        <w:pStyle w:val="Text1"/>
        <w:ind w:left="0"/>
        <w:rPr>
          <w:rFonts w:eastAsia="Times New Roman"/>
          <w:noProof/>
          <w:color w:val="000000"/>
          <w:szCs w:val="24"/>
        </w:rPr>
      </w:pPr>
      <w:r w:rsidRPr="00A33B9F">
        <w:rPr>
          <w:noProof/>
          <w:color w:val="000000" w:themeColor="text1"/>
        </w:rPr>
        <w:t>Celem tej inwestycji będzie wsparcie wykorzystania surowców wtórnych,</w:t>
      </w:r>
      <w:r w:rsidR="00A33B9F" w:rsidRPr="00A33B9F">
        <w:rPr>
          <w:noProof/>
          <w:color w:val="000000" w:themeColor="text1"/>
        </w:rPr>
        <w:t xml:space="preserve"> w tym</w:t>
      </w:r>
      <w:r w:rsidRPr="00A33B9F">
        <w:rPr>
          <w:noProof/>
          <w:color w:val="000000" w:themeColor="text1"/>
        </w:rPr>
        <w:t xml:space="preserve"> przez finansowanie m.in. infrastruktury badawczo-rozwojowej, na potrzeby opracowania technologii</w:t>
      </w:r>
      <w:r w:rsidR="00A33B9F" w:rsidRPr="00A33B9F">
        <w:rPr>
          <w:noProof/>
          <w:color w:val="000000" w:themeColor="text1"/>
        </w:rPr>
        <w:t xml:space="preserve"> w zak</w:t>
      </w:r>
      <w:r w:rsidRPr="00A33B9F">
        <w:rPr>
          <w:noProof/>
          <w:color w:val="000000" w:themeColor="text1"/>
        </w:rPr>
        <w:t>resie wykorzystania odpadów jako surowców wtórnych</w:t>
      </w:r>
      <w:r w:rsidR="00A33B9F" w:rsidRPr="00A33B9F">
        <w:rPr>
          <w:noProof/>
          <w:color w:val="000000" w:themeColor="text1"/>
        </w:rPr>
        <w:t xml:space="preserve"> z myś</w:t>
      </w:r>
      <w:r w:rsidRPr="00A33B9F">
        <w:rPr>
          <w:noProof/>
          <w:color w:val="000000" w:themeColor="text1"/>
        </w:rPr>
        <w:t>lą</w:t>
      </w:r>
      <w:r w:rsidR="00A33B9F" w:rsidRPr="00A33B9F">
        <w:rPr>
          <w:noProof/>
          <w:color w:val="000000" w:themeColor="text1"/>
        </w:rPr>
        <w:t xml:space="preserve"> o stw</w:t>
      </w:r>
      <w:r w:rsidRPr="00A33B9F">
        <w:rPr>
          <w:noProof/>
          <w:color w:val="000000" w:themeColor="text1"/>
        </w:rPr>
        <w:t>orzeniu bardziej wydajnej gospodarki.</w:t>
      </w:r>
    </w:p>
    <w:p w14:paraId="2A25D3EB" w14:textId="4B38C541"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Inwestycja składać się będzie</w:t>
      </w:r>
      <w:r w:rsidR="00A33B9F" w:rsidRPr="00A33B9F">
        <w:rPr>
          <w:noProof/>
          <w:color w:val="000000" w:themeColor="text1"/>
        </w:rPr>
        <w:t xml:space="preserve"> z dwó</w:t>
      </w:r>
      <w:r w:rsidRPr="00A33B9F">
        <w:rPr>
          <w:noProof/>
          <w:color w:val="000000" w:themeColor="text1"/>
        </w:rPr>
        <w:t>ch działań</w:t>
      </w:r>
      <w:r w:rsidR="00A33B9F" w:rsidRPr="00A33B9F">
        <w:rPr>
          <w:noProof/>
          <w:color w:val="000000" w:themeColor="text1"/>
        </w:rPr>
        <w:t>. W ram</w:t>
      </w:r>
      <w:r w:rsidRPr="00A33B9F">
        <w:rPr>
          <w:noProof/>
          <w:color w:val="000000" w:themeColor="text1"/>
        </w:rPr>
        <w:t>ach pierwszego działania wspierane będą projekty przyznane MŚP</w:t>
      </w:r>
      <w:r w:rsidR="00A33B9F" w:rsidRPr="00A33B9F">
        <w:rPr>
          <w:noProof/>
          <w:color w:val="000000" w:themeColor="text1"/>
        </w:rPr>
        <w:t xml:space="preserve"> w cel</w:t>
      </w:r>
      <w:r w:rsidRPr="00A33B9F">
        <w:rPr>
          <w:noProof/>
          <w:color w:val="000000" w:themeColor="text1"/>
        </w:rPr>
        <w:t>u opracowania</w:t>
      </w:r>
      <w:r w:rsidR="00A33B9F" w:rsidRPr="00A33B9F">
        <w:rPr>
          <w:noProof/>
          <w:color w:val="000000" w:themeColor="text1"/>
        </w:rPr>
        <w:t xml:space="preserve"> i wdr</w:t>
      </w:r>
      <w:r w:rsidRPr="00A33B9F">
        <w:rPr>
          <w:noProof/>
          <w:color w:val="000000" w:themeColor="text1"/>
        </w:rPr>
        <w:t>ożenia technologii ekologicznych związanych</w:t>
      </w:r>
      <w:r w:rsidR="00A33B9F" w:rsidRPr="00A33B9F">
        <w:rPr>
          <w:noProof/>
          <w:color w:val="000000" w:themeColor="text1"/>
        </w:rPr>
        <w:t xml:space="preserve"> z gos</w:t>
      </w:r>
      <w:r w:rsidRPr="00A33B9F">
        <w:rPr>
          <w:noProof/>
          <w:color w:val="000000" w:themeColor="text1"/>
        </w:rPr>
        <w:t>podarką</w:t>
      </w:r>
      <w:r w:rsidR="00A33B9F" w:rsidRPr="00A33B9F">
        <w:rPr>
          <w:noProof/>
          <w:color w:val="000000" w:themeColor="text1"/>
        </w:rPr>
        <w:t xml:space="preserve"> o obi</w:t>
      </w:r>
      <w:r w:rsidRPr="00A33B9F">
        <w:rPr>
          <w:noProof/>
          <w:color w:val="000000" w:themeColor="text1"/>
        </w:rPr>
        <w:t>egu zamkniętym, których efektem będzie lepsza gospodarka materiałowa, zwiększenie efektywności energetycznej oraz zmiana filozofii przedsiębiorstw</w:t>
      </w:r>
      <w:r w:rsidR="00A33B9F" w:rsidRPr="00A33B9F">
        <w:rPr>
          <w:noProof/>
          <w:color w:val="000000" w:themeColor="text1"/>
        </w:rPr>
        <w:t xml:space="preserve"> w kie</w:t>
      </w:r>
      <w:r w:rsidRPr="00A33B9F">
        <w:rPr>
          <w:noProof/>
          <w:color w:val="000000" w:themeColor="text1"/>
        </w:rPr>
        <w:t xml:space="preserve">runku zerowej ilości odpadów. </w:t>
      </w:r>
    </w:p>
    <w:p w14:paraId="4C80D150" w14:textId="345847A8" w:rsidR="007C4506" w:rsidRPr="00A33B9F" w:rsidRDefault="66E7BAD6" w:rsidP="002D0F1B">
      <w:pPr>
        <w:pStyle w:val="Text1"/>
        <w:ind w:left="0"/>
        <w:rPr>
          <w:rFonts w:eastAsia="Times New Roman"/>
          <w:noProof/>
          <w:color w:val="000000"/>
          <w:szCs w:val="24"/>
        </w:rPr>
      </w:pPr>
      <w:r w:rsidRPr="00A33B9F">
        <w:rPr>
          <w:noProof/>
          <w:color w:val="000000" w:themeColor="text1"/>
        </w:rPr>
        <w:t>Realizacja działania zostanie zakończona do dnia 31 marca 2025</w:t>
      </w:r>
      <w:r w:rsidR="00A33B9F" w:rsidRPr="00A33B9F">
        <w:rPr>
          <w:noProof/>
          <w:color w:val="000000" w:themeColor="text1"/>
        </w:rPr>
        <w:t> </w:t>
      </w:r>
      <w:r w:rsidRPr="00A33B9F">
        <w:rPr>
          <w:noProof/>
          <w:color w:val="000000" w:themeColor="text1"/>
        </w:rPr>
        <w:t>r.</w:t>
      </w:r>
    </w:p>
    <w:p w14:paraId="17A13EDE" w14:textId="1C905C78"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 xml:space="preserve">W ramach drugiego działania finansowane będą projekty wspierające rozwój technologii przyczyniających się do tworzenia rynku surowców wtórnych. </w:t>
      </w:r>
    </w:p>
    <w:p w14:paraId="78110455" w14:textId="58500FB4" w:rsidR="007C4506" w:rsidRPr="00A33B9F" w:rsidRDefault="66E7BAD6" w:rsidP="002D0F1B">
      <w:pPr>
        <w:pStyle w:val="Text1"/>
        <w:ind w:left="0"/>
        <w:rPr>
          <w:rFonts w:eastAsia="Times New Roman"/>
          <w:noProof/>
          <w:color w:val="000000"/>
          <w:szCs w:val="24"/>
        </w:rPr>
      </w:pPr>
      <w:r w:rsidRPr="00A33B9F">
        <w:rPr>
          <w:noProof/>
          <w:color w:val="000000" w:themeColor="text1"/>
        </w:rPr>
        <w:t>Realizacja działania zostanie zakończona do dnia 30 września 2025</w:t>
      </w:r>
      <w:r w:rsidR="00A33B9F" w:rsidRPr="00A33B9F">
        <w:rPr>
          <w:noProof/>
          <w:color w:val="000000" w:themeColor="text1"/>
        </w:rPr>
        <w:t> </w:t>
      </w:r>
      <w:r w:rsidRPr="00A33B9F">
        <w:rPr>
          <w:noProof/>
          <w:color w:val="000000" w:themeColor="text1"/>
        </w:rPr>
        <w:t>r.</w:t>
      </w:r>
    </w:p>
    <w:p w14:paraId="6C05423B" w14:textId="553A32EB" w:rsidR="007C4506" w:rsidRPr="00A33B9F" w:rsidRDefault="4B1B7B6D" w:rsidP="6F625753">
      <w:pPr>
        <w:pStyle w:val="Text1"/>
        <w:ind w:left="0"/>
        <w:rPr>
          <w:rFonts w:eastAsia="Times New Roman"/>
          <w:noProof/>
          <w:color w:val="000000"/>
        </w:rPr>
      </w:pPr>
      <w:r w:rsidRPr="00A33B9F">
        <w:rPr>
          <w:noProof/>
          <w:color w:val="000000"/>
        </w:rPr>
        <w:t xml:space="preserve">Wybór beneficjentów będzie </w:t>
      </w:r>
      <w:r w:rsidRPr="00A33B9F">
        <w:rPr>
          <w:noProof/>
          <w:color w:val="000000" w:themeColor="text1"/>
        </w:rPr>
        <w:t>dokonywany na podstawie</w:t>
      </w:r>
      <w:r w:rsidRPr="00A33B9F">
        <w:rPr>
          <w:noProof/>
        </w:rPr>
        <w:t xml:space="preserve"> </w:t>
      </w:r>
      <w:r w:rsidRPr="00A33B9F">
        <w:rPr>
          <w:noProof/>
          <w:color w:val="000000"/>
        </w:rPr>
        <w:t>określonych kryteriów kwalifikacji, zgodnie</w:t>
      </w:r>
      <w:r w:rsidR="00A33B9F" w:rsidRPr="00A33B9F">
        <w:rPr>
          <w:noProof/>
          <w:color w:val="000000"/>
        </w:rPr>
        <w:t xml:space="preserve"> z zas</w:t>
      </w:r>
      <w:r w:rsidRPr="00A33B9F">
        <w:rPr>
          <w:noProof/>
          <w:color w:val="000000"/>
        </w:rPr>
        <w:t>adami niedyskryminacji</w:t>
      </w:r>
      <w:r w:rsidR="00A33B9F" w:rsidRPr="00A33B9F">
        <w:rPr>
          <w:noProof/>
          <w:color w:val="000000"/>
        </w:rPr>
        <w:t xml:space="preserve"> i prz</w:t>
      </w:r>
      <w:r w:rsidRPr="00A33B9F">
        <w:rPr>
          <w:noProof/>
          <w:color w:val="000000"/>
        </w:rPr>
        <w:t xml:space="preserve">ejrzystości. Projekty </w:t>
      </w:r>
      <w:r w:rsidRPr="00A33B9F">
        <w:rPr>
          <w:noProof/>
          <w:color w:val="000000" w:themeColor="text1"/>
        </w:rPr>
        <w:t>dotyczą</w:t>
      </w:r>
      <w:r w:rsidRPr="00A33B9F">
        <w:rPr>
          <w:noProof/>
          <w:color w:val="000000"/>
        </w:rPr>
        <w:t xml:space="preserve"> opracowania</w:t>
      </w:r>
      <w:r w:rsidR="00A33B9F" w:rsidRPr="00A33B9F">
        <w:rPr>
          <w:noProof/>
          <w:color w:val="000000"/>
        </w:rPr>
        <w:t xml:space="preserve"> i wdr</w:t>
      </w:r>
      <w:r w:rsidRPr="00A33B9F">
        <w:rPr>
          <w:noProof/>
          <w:color w:val="000000"/>
        </w:rPr>
        <w:t>ożenia rozwiązań</w:t>
      </w:r>
      <w:r w:rsidR="00A33B9F" w:rsidRPr="00A33B9F">
        <w:rPr>
          <w:noProof/>
          <w:color w:val="000000"/>
        </w:rPr>
        <w:t xml:space="preserve"> w zak</w:t>
      </w:r>
      <w:r w:rsidRPr="00A33B9F">
        <w:rPr>
          <w:noProof/>
          <w:color w:val="000000"/>
        </w:rPr>
        <w:t xml:space="preserve">resie zielonego sektora, które </w:t>
      </w:r>
      <w:r w:rsidRPr="00A33B9F">
        <w:rPr>
          <w:noProof/>
          <w:color w:val="000000" w:themeColor="text1"/>
        </w:rPr>
        <w:t>mają</w:t>
      </w:r>
      <w:r w:rsidR="00A33B9F" w:rsidRPr="00A33B9F">
        <w:rPr>
          <w:noProof/>
          <w:color w:val="000000" w:themeColor="text1"/>
        </w:rPr>
        <w:t xml:space="preserve"> w zał</w:t>
      </w:r>
      <w:r w:rsidRPr="00A33B9F">
        <w:rPr>
          <w:noProof/>
          <w:color w:val="000000" w:themeColor="text1"/>
        </w:rPr>
        <w:t>ożeniu</w:t>
      </w:r>
      <w:r w:rsidRPr="00A33B9F">
        <w:rPr>
          <w:noProof/>
          <w:color w:val="000000"/>
        </w:rPr>
        <w:t xml:space="preserve"> skutkować wzrostem efektywności energetycznej</w:t>
      </w:r>
      <w:r w:rsidR="00A33B9F" w:rsidRPr="00A33B9F">
        <w:rPr>
          <w:noProof/>
          <w:color w:val="000000"/>
        </w:rPr>
        <w:t xml:space="preserve"> w pro</w:t>
      </w:r>
      <w:r w:rsidRPr="00A33B9F">
        <w:rPr>
          <w:noProof/>
          <w:color w:val="000000"/>
        </w:rPr>
        <w:t>cesach produkcyjnych lub zmniejszać ilość odpadów pochodzących</w:t>
      </w:r>
      <w:r w:rsidR="00A33B9F" w:rsidRPr="00A33B9F">
        <w:rPr>
          <w:noProof/>
          <w:color w:val="000000"/>
        </w:rPr>
        <w:t xml:space="preserve"> z pro</w:t>
      </w:r>
      <w:r w:rsidRPr="00A33B9F">
        <w:rPr>
          <w:noProof/>
          <w:color w:val="000000"/>
        </w:rPr>
        <w:t>cesów produkcyjnych</w:t>
      </w:r>
      <w:r w:rsidR="00A33B9F" w:rsidRPr="00A33B9F">
        <w:rPr>
          <w:noProof/>
          <w:color w:val="000000"/>
        </w:rPr>
        <w:t xml:space="preserve"> i ope</w:t>
      </w:r>
      <w:r w:rsidRPr="00A33B9F">
        <w:rPr>
          <w:noProof/>
          <w:color w:val="000000"/>
        </w:rPr>
        <w:t>racyjnych bądź umożliwić ponowne wykorzystanie lub recykling odpadów lub redukować emisje gazów cieplarnianych</w:t>
      </w:r>
      <w:r w:rsidR="00A33B9F" w:rsidRPr="00A33B9F">
        <w:rPr>
          <w:noProof/>
          <w:color w:val="000000"/>
        </w:rPr>
        <w:t xml:space="preserve"> z pro</w:t>
      </w:r>
      <w:r w:rsidRPr="00A33B9F">
        <w:rPr>
          <w:noProof/>
          <w:color w:val="000000"/>
        </w:rPr>
        <w:t>cesów produkcyjnych</w:t>
      </w:r>
      <w:r w:rsidR="00A33B9F" w:rsidRPr="00A33B9F">
        <w:rPr>
          <w:noProof/>
          <w:color w:val="000000"/>
        </w:rPr>
        <w:t xml:space="preserve"> i ope</w:t>
      </w:r>
      <w:r w:rsidRPr="00A33B9F">
        <w:rPr>
          <w:noProof/>
          <w:color w:val="000000"/>
        </w:rPr>
        <w:t>racyjnych. Aby zapewnić zgodność środka</w:t>
      </w:r>
      <w:r w:rsidR="00A33B9F" w:rsidRPr="00A33B9F">
        <w:rPr>
          <w:noProof/>
          <w:color w:val="000000"/>
        </w:rPr>
        <w:t xml:space="preserve"> z wyt</w:t>
      </w:r>
      <w:r w:rsidRPr="00A33B9F">
        <w:rPr>
          <w:noProof/>
          <w:color w:val="000000"/>
        </w:rPr>
        <w:t>ycznymi technicznymi dotyczącymi stosowania zasady „nie czyń poważnych szkód” (2021/C</w:t>
      </w:r>
      <w:r w:rsidRPr="00A33B9F">
        <w:rPr>
          <w:noProof/>
          <w:color w:val="000000" w:themeColor="text1"/>
        </w:rPr>
        <w:t xml:space="preserve"> </w:t>
      </w:r>
      <w:r w:rsidRPr="00A33B9F">
        <w:rPr>
          <w:noProof/>
          <w:color w:val="000000"/>
        </w:rPr>
        <w:t>58/01), kryteria kwalifikowalności zawarte</w:t>
      </w:r>
      <w:r w:rsidR="00A33B9F" w:rsidRPr="00A33B9F">
        <w:rPr>
          <w:noProof/>
          <w:color w:val="000000"/>
        </w:rPr>
        <w:t xml:space="preserve"> w zak</w:t>
      </w:r>
      <w:r w:rsidRPr="00A33B9F">
        <w:rPr>
          <w:noProof/>
          <w:color w:val="000000"/>
        </w:rPr>
        <w:t>resie wymagań</w:t>
      </w:r>
      <w:r w:rsidR="00A33B9F" w:rsidRPr="00A33B9F">
        <w:rPr>
          <w:noProof/>
          <w:color w:val="000000"/>
        </w:rPr>
        <w:t xml:space="preserve"> i obo</w:t>
      </w:r>
      <w:r w:rsidRPr="00A33B9F">
        <w:rPr>
          <w:noProof/>
          <w:color w:val="000000"/>
        </w:rPr>
        <w:t>wiązków</w:t>
      </w:r>
      <w:r w:rsidR="00A33B9F" w:rsidRPr="00A33B9F">
        <w:rPr>
          <w:noProof/>
          <w:color w:val="000000"/>
        </w:rPr>
        <w:t xml:space="preserve"> w odn</w:t>
      </w:r>
      <w:r w:rsidRPr="00A33B9F">
        <w:rPr>
          <w:noProof/>
          <w:color w:val="000000"/>
        </w:rPr>
        <w:t>iesieniu do przyszłych zaproszeń do składania projektów wykluczają następujący wykaz działań: (i) działania związane</w:t>
      </w:r>
      <w:r w:rsidR="00A33B9F" w:rsidRPr="00A33B9F">
        <w:rPr>
          <w:noProof/>
          <w:color w:val="000000"/>
        </w:rPr>
        <w:t xml:space="preserve"> z pal</w:t>
      </w:r>
      <w:r w:rsidRPr="00A33B9F">
        <w:rPr>
          <w:noProof/>
          <w:color w:val="000000"/>
        </w:rPr>
        <w:t>iwami kopalnymi,</w:t>
      </w:r>
      <w:r w:rsidR="00A33B9F" w:rsidRPr="00A33B9F">
        <w:rPr>
          <w:noProof/>
          <w:color w:val="000000"/>
        </w:rPr>
        <w:t xml:space="preserve"> w tym</w:t>
      </w:r>
      <w:r w:rsidRPr="00A33B9F">
        <w:rPr>
          <w:noProof/>
          <w:color w:val="000000"/>
        </w:rPr>
        <w:t xml:space="preserve"> zastosowania niższego szczebla</w:t>
      </w:r>
      <w:r w:rsidRPr="00A33B9F">
        <w:rPr>
          <w:rFonts w:eastAsia="Times New Roman"/>
          <w:noProof/>
          <w:color w:val="000000"/>
          <w:vertAlign w:val="superscript"/>
        </w:rPr>
        <w:footnoteReference w:id="4"/>
      </w:r>
      <w:r w:rsidRPr="00A33B9F">
        <w:rPr>
          <w:noProof/>
          <w:color w:val="000000"/>
        </w:rPr>
        <w:t>; (ii) działania</w:t>
      </w:r>
      <w:r w:rsidR="00A33B9F" w:rsidRPr="00A33B9F">
        <w:rPr>
          <w:noProof/>
          <w:color w:val="000000"/>
        </w:rPr>
        <w:t xml:space="preserve"> w ram</w:t>
      </w:r>
      <w:r w:rsidRPr="00A33B9F">
        <w:rPr>
          <w:noProof/>
          <w:color w:val="000000"/>
        </w:rPr>
        <w:t>ach unijnego systemu handlu uprawnieniami do emisji (ETS) prowadzące do osiągnięcia prognozowanych emisji gazów cieplarnianych nie niższych niż odpowiednie wskaźniki emisyjności</w:t>
      </w:r>
      <w:r w:rsidRPr="00A33B9F">
        <w:rPr>
          <w:rFonts w:eastAsia="Times New Roman"/>
          <w:noProof/>
          <w:color w:val="000000"/>
          <w:vertAlign w:val="superscript"/>
        </w:rPr>
        <w:footnoteReference w:id="5"/>
      </w:r>
      <w:r w:rsidRPr="00A33B9F">
        <w:rPr>
          <w:noProof/>
          <w:color w:val="000000"/>
        </w:rPr>
        <w:t>; (iii) działalność związana ze składowiskami odpadów, spalarniami</w:t>
      </w:r>
      <w:r w:rsidRPr="00A33B9F">
        <w:rPr>
          <w:rFonts w:eastAsia="Times New Roman"/>
          <w:noProof/>
          <w:color w:val="000000"/>
          <w:vertAlign w:val="superscript"/>
        </w:rPr>
        <w:footnoteReference w:id="6"/>
      </w:r>
      <w:r w:rsidR="00A33B9F" w:rsidRPr="00A33B9F">
        <w:rPr>
          <w:noProof/>
          <w:color w:val="000000"/>
        </w:rPr>
        <w:t xml:space="preserve"> i zak</w:t>
      </w:r>
      <w:r w:rsidRPr="00A33B9F">
        <w:rPr>
          <w:noProof/>
          <w:color w:val="000000"/>
        </w:rPr>
        <w:t>ładami mechaniczno-biologicznego przetwarzania odpadów</w:t>
      </w:r>
      <w:r w:rsidRPr="00A33B9F">
        <w:rPr>
          <w:rFonts w:eastAsia="Times New Roman"/>
          <w:noProof/>
          <w:color w:val="000000"/>
          <w:vertAlign w:val="superscript"/>
        </w:rPr>
        <w:footnoteReference w:id="7"/>
      </w:r>
      <w:r w:rsidRPr="00A33B9F">
        <w:rPr>
          <w:noProof/>
          <w:color w:val="000000"/>
        </w:rPr>
        <w:t xml:space="preserve"> oraz (iv) działania,</w:t>
      </w:r>
      <w:r w:rsidR="00A33B9F" w:rsidRPr="00A33B9F">
        <w:rPr>
          <w:noProof/>
          <w:color w:val="000000"/>
        </w:rPr>
        <w:t xml:space="preserve"> w prz</w:t>
      </w:r>
      <w:r w:rsidRPr="00A33B9F">
        <w:rPr>
          <w:noProof/>
          <w:color w:val="000000"/>
        </w:rPr>
        <w:t xml:space="preserve">ypadku których długoterminowe unieszkodliwianie odpadów może szkodzić środowisku naturalnemu. </w:t>
      </w:r>
    </w:p>
    <w:p w14:paraId="53128261"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CD85426" w14:textId="24ACE51B"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A2.3 Zapewnienie instytucjonalnych</w:t>
      </w:r>
      <w:r w:rsidR="00A33B9F" w:rsidRPr="00A33B9F">
        <w:rPr>
          <w:b/>
          <w:noProof/>
          <w:color w:val="000000"/>
          <w:u w:val="single"/>
        </w:rPr>
        <w:t xml:space="preserve"> i pra</w:t>
      </w:r>
      <w:r w:rsidRPr="00A33B9F">
        <w:rPr>
          <w:b/>
          <w:noProof/>
          <w:color w:val="000000"/>
          <w:u w:val="single"/>
        </w:rPr>
        <w:t>wnych podstaw rozwoju bezzałogowych statków powietrznych</w:t>
      </w:r>
      <w:r w:rsidR="00C3621A" w:rsidRPr="00A33B9F">
        <w:rPr>
          <w:b/>
          <w:noProof/>
          <w:color w:val="000000"/>
          <w:u w:val="single"/>
        </w:rPr>
        <w:t xml:space="preserve"> </w:t>
      </w:r>
    </w:p>
    <w:p w14:paraId="0FE7ABA8" w14:textId="08E53378" w:rsidR="007C4506" w:rsidRPr="00A33B9F" w:rsidRDefault="24964141" w:rsidP="002D0F1B">
      <w:pPr>
        <w:pStyle w:val="Text1"/>
        <w:ind w:left="0"/>
        <w:rPr>
          <w:rFonts w:eastAsia="Times New Roman"/>
          <w:noProof/>
          <w:color w:val="000000"/>
          <w:szCs w:val="24"/>
        </w:rPr>
      </w:pPr>
      <w:r w:rsidRPr="00A33B9F">
        <w:rPr>
          <w:noProof/>
          <w:color w:val="000000" w:themeColor="text1"/>
        </w:rPr>
        <w:t>Celem reformy jest utworzenie podmiotu wspierającego testowanie</w:t>
      </w:r>
      <w:r w:rsidR="00A33B9F" w:rsidRPr="00A33B9F">
        <w:rPr>
          <w:noProof/>
          <w:color w:val="000000" w:themeColor="text1"/>
        </w:rPr>
        <w:t xml:space="preserve"> i wdr</w:t>
      </w:r>
      <w:r w:rsidRPr="00A33B9F">
        <w:rPr>
          <w:noProof/>
          <w:color w:val="000000" w:themeColor="text1"/>
        </w:rPr>
        <w:t>ażanie nowych rozwiązań opartych na bezzałogowych statkach powietrznych,</w:t>
      </w:r>
      <w:r w:rsidR="00A33B9F" w:rsidRPr="00A33B9F">
        <w:rPr>
          <w:noProof/>
          <w:color w:val="000000" w:themeColor="text1"/>
        </w:rPr>
        <w:t xml:space="preserve"> w szc</w:t>
      </w:r>
      <w:r w:rsidRPr="00A33B9F">
        <w:rPr>
          <w:noProof/>
          <w:color w:val="000000" w:themeColor="text1"/>
        </w:rPr>
        <w:t>zególności</w:t>
      </w:r>
      <w:r w:rsidR="00A33B9F" w:rsidRPr="00A33B9F">
        <w:rPr>
          <w:noProof/>
          <w:color w:val="000000" w:themeColor="text1"/>
        </w:rPr>
        <w:t xml:space="preserve"> w obs</w:t>
      </w:r>
      <w:r w:rsidRPr="00A33B9F">
        <w:rPr>
          <w:noProof/>
          <w:color w:val="000000" w:themeColor="text1"/>
        </w:rPr>
        <w:t>zarach zurbanizowanych.</w:t>
      </w:r>
    </w:p>
    <w:p w14:paraId="6C2A1E4A" w14:textId="20D9E6DE" w:rsidR="007C4506" w:rsidRPr="00A33B9F" w:rsidRDefault="1AE77B86" w:rsidP="002D0F1B">
      <w:pPr>
        <w:pStyle w:val="Text1"/>
        <w:ind w:left="0"/>
        <w:rPr>
          <w:rFonts w:eastAsia="Times New Roman"/>
          <w:noProof/>
          <w:color w:val="000000" w:themeColor="text1"/>
          <w:szCs w:val="24"/>
        </w:rPr>
      </w:pPr>
      <w:r w:rsidRPr="00A33B9F">
        <w:rPr>
          <w:noProof/>
          <w:color w:val="000000" w:themeColor="text1"/>
        </w:rPr>
        <w:t>W ramach reformy przyznane zostanie Polskiej Agencji Żeglugi Powietrznej prawo do posiadania kapitału własnego</w:t>
      </w:r>
      <w:r w:rsidR="00A33B9F" w:rsidRPr="00A33B9F">
        <w:rPr>
          <w:noProof/>
          <w:color w:val="000000" w:themeColor="text1"/>
        </w:rPr>
        <w:t xml:space="preserve"> w spó</w:t>
      </w:r>
      <w:r w:rsidRPr="00A33B9F">
        <w:rPr>
          <w:noProof/>
          <w:color w:val="000000" w:themeColor="text1"/>
        </w:rPr>
        <w:t>łkach handlowych oraz upoważnia się Agencję lub jej spółki zależne do prowadzenia projektów pilotażowych wspierających wdrażanie modeli biznesowych</w:t>
      </w:r>
      <w:r w:rsidR="00A33B9F" w:rsidRPr="00A33B9F">
        <w:rPr>
          <w:noProof/>
          <w:color w:val="000000" w:themeColor="text1"/>
        </w:rPr>
        <w:t xml:space="preserve"> i usł</w:t>
      </w:r>
      <w:r w:rsidRPr="00A33B9F">
        <w:rPr>
          <w:noProof/>
          <w:color w:val="000000" w:themeColor="text1"/>
        </w:rPr>
        <w:t>ug</w:t>
      </w:r>
      <w:r w:rsidR="00A33B9F" w:rsidRPr="00A33B9F">
        <w:rPr>
          <w:noProof/>
          <w:color w:val="000000" w:themeColor="text1"/>
        </w:rPr>
        <w:t xml:space="preserve"> w zak</w:t>
      </w:r>
      <w:r w:rsidRPr="00A33B9F">
        <w:rPr>
          <w:noProof/>
          <w:color w:val="000000" w:themeColor="text1"/>
        </w:rPr>
        <w:t>resie bezzałogowych statków powietrznych. Polska Agencja Żeglugi Powietrznej będzie również działać jako instytucja zapewniająca specjalistyczne usługi związane</w:t>
      </w:r>
      <w:r w:rsidR="00A33B9F" w:rsidRPr="00A33B9F">
        <w:rPr>
          <w:noProof/>
          <w:color w:val="000000" w:themeColor="text1"/>
        </w:rPr>
        <w:t xml:space="preserve"> z bez</w:t>
      </w:r>
      <w:r w:rsidRPr="00A33B9F">
        <w:rPr>
          <w:noProof/>
          <w:color w:val="000000" w:themeColor="text1"/>
        </w:rPr>
        <w:t>załogowymi statkami powietrznymi</w:t>
      </w:r>
      <w:r w:rsidR="00A33B9F" w:rsidRPr="00A33B9F">
        <w:rPr>
          <w:noProof/>
          <w:color w:val="000000" w:themeColor="text1"/>
        </w:rPr>
        <w:t xml:space="preserve"> w ram</w:t>
      </w:r>
      <w:r w:rsidRPr="00A33B9F">
        <w:rPr>
          <w:noProof/>
          <w:color w:val="000000" w:themeColor="text1"/>
        </w:rPr>
        <w:t>ach planowanej sieci centrów kompetencji.</w:t>
      </w:r>
    </w:p>
    <w:p w14:paraId="154D2A37" w14:textId="4B0C2DF6" w:rsidR="007C4506" w:rsidRPr="00A33B9F" w:rsidRDefault="185D1D45" w:rsidP="002D0F1B">
      <w:pPr>
        <w:pStyle w:val="Text1"/>
        <w:ind w:left="0"/>
        <w:rPr>
          <w:rFonts w:eastAsia="Times New Roman"/>
          <w:noProof/>
          <w:color w:val="000000"/>
          <w:szCs w:val="24"/>
        </w:rPr>
      </w:pPr>
      <w:r w:rsidRPr="00A33B9F">
        <w:rPr>
          <w:noProof/>
          <w:color w:val="000000" w:themeColor="text1"/>
        </w:rPr>
        <w:t>Realizacja reformy zostanie zakończona do</w:t>
      </w:r>
      <w:r w:rsidR="00A33B9F" w:rsidRPr="00A33B9F">
        <w:rPr>
          <w:noProof/>
          <w:color w:val="000000" w:themeColor="text1"/>
        </w:rPr>
        <w:t> </w:t>
      </w:r>
      <w:r w:rsidRPr="00A33B9F">
        <w:rPr>
          <w:noProof/>
          <w:color w:val="000000" w:themeColor="text1"/>
        </w:rPr>
        <w:t>30 czerwca 2023</w:t>
      </w:r>
      <w:r w:rsidR="00A33B9F" w:rsidRPr="00A33B9F">
        <w:rPr>
          <w:noProof/>
          <w:color w:val="000000" w:themeColor="text1"/>
        </w:rPr>
        <w:t> </w:t>
      </w:r>
      <w:r w:rsidRPr="00A33B9F">
        <w:rPr>
          <w:noProof/>
          <w:color w:val="000000" w:themeColor="text1"/>
        </w:rPr>
        <w:t>r.</w:t>
      </w:r>
    </w:p>
    <w:p w14:paraId="62486C05" w14:textId="77777777" w:rsidR="0422F8D3" w:rsidRPr="00A33B9F" w:rsidRDefault="0422F8D3" w:rsidP="0422F8D3">
      <w:pPr>
        <w:pStyle w:val="Normal0"/>
        <w:spacing w:before="120" w:after="120" w:line="240" w:lineRule="auto"/>
        <w:jc w:val="both"/>
        <w:rPr>
          <w:rFonts w:ascii="Times New Roman" w:eastAsia="Times New Roman" w:hAnsi="Times New Roman" w:cs="Times New Roman"/>
          <w:b/>
          <w:bCs/>
          <w:noProof/>
          <w:color w:val="000000" w:themeColor="text1"/>
          <w:sz w:val="24"/>
          <w:szCs w:val="24"/>
          <w:u w:val="single"/>
        </w:rPr>
      </w:pPr>
    </w:p>
    <w:p w14:paraId="6E889D12" w14:textId="2F486B56" w:rsidR="007C4506" w:rsidRPr="00A33B9F" w:rsidRDefault="05BEB465" w:rsidP="002D0F1B">
      <w:pPr>
        <w:pStyle w:val="Text1"/>
        <w:ind w:left="0"/>
        <w:rPr>
          <w:rFonts w:eastAsia="Times New Roman"/>
          <w:b/>
          <w:bCs/>
          <w:noProof/>
          <w:color w:val="000000"/>
          <w:szCs w:val="24"/>
          <w:u w:val="single"/>
        </w:rPr>
      </w:pPr>
      <w:r w:rsidRPr="00A33B9F">
        <w:rPr>
          <w:b/>
          <w:noProof/>
          <w:color w:val="000000" w:themeColor="text1"/>
          <w:u w:val="single"/>
        </w:rPr>
        <w:t>A2.3.1 Rozbudowa</w:t>
      </w:r>
      <w:r w:rsidR="00A33B9F" w:rsidRPr="00A33B9F">
        <w:rPr>
          <w:b/>
          <w:noProof/>
          <w:color w:val="000000" w:themeColor="text1"/>
          <w:u w:val="single"/>
        </w:rPr>
        <w:t xml:space="preserve"> i wyp</w:t>
      </w:r>
      <w:r w:rsidRPr="00A33B9F">
        <w:rPr>
          <w:b/>
          <w:noProof/>
          <w:color w:val="000000" w:themeColor="text1"/>
          <w:u w:val="single"/>
        </w:rPr>
        <w:t>osażenie centrów kompetencji (specjalistyczne ośrodki szkoleniowe, wsparcie wdrożeń, centra monitorowania) oraz infrastruktura do zarządzania ruchem pojazdów bezzałogowych, jako Ekosystem Innowacji</w:t>
      </w:r>
    </w:p>
    <w:p w14:paraId="02823E03" w14:textId="6A12ED76" w:rsidR="007C4506" w:rsidRPr="00A33B9F" w:rsidRDefault="66E7BAD6" w:rsidP="1C567393">
      <w:pPr>
        <w:pStyle w:val="Text1"/>
        <w:ind w:left="0"/>
        <w:rPr>
          <w:rFonts w:eastAsia="Times New Roman"/>
          <w:noProof/>
          <w:color w:val="000000"/>
        </w:rPr>
      </w:pPr>
      <w:r w:rsidRPr="00A33B9F">
        <w:rPr>
          <w:noProof/>
          <w:color w:val="000000" w:themeColor="text1"/>
        </w:rPr>
        <w:t>Celem tej inwestycji jest ustanowienie zintegrowanego systemu centrów kompetencji oraz infrastruktury dla bezzałogowych statków powietrznych.</w:t>
      </w:r>
    </w:p>
    <w:p w14:paraId="15460300" w14:textId="4F412A1F" w:rsidR="7872B18E" w:rsidRPr="00A33B9F" w:rsidRDefault="081037F6" w:rsidP="1C567393">
      <w:pPr>
        <w:pStyle w:val="Text1"/>
        <w:ind w:left="0"/>
        <w:rPr>
          <w:rFonts w:eastAsia="Times New Roman"/>
          <w:noProof/>
          <w:color w:val="000000" w:themeColor="text1"/>
        </w:rPr>
      </w:pPr>
      <w:r w:rsidRPr="00A33B9F">
        <w:rPr>
          <w:noProof/>
          <w:color w:val="000000" w:themeColor="text1"/>
        </w:rPr>
        <w:t>Inwestycja obejmie budowę lokalnych centrów wyposażonych</w:t>
      </w:r>
      <w:r w:rsidR="00A33B9F" w:rsidRPr="00A33B9F">
        <w:rPr>
          <w:noProof/>
          <w:color w:val="000000" w:themeColor="text1"/>
        </w:rPr>
        <w:t xml:space="preserve"> w inf</w:t>
      </w:r>
      <w:r w:rsidRPr="00A33B9F">
        <w:rPr>
          <w:noProof/>
          <w:color w:val="000000" w:themeColor="text1"/>
        </w:rPr>
        <w:t>rastrukturę na potrzeby bezzałogowych statków powietrznych. Lokalne centra lub infrastruktura lokalna powstaną</w:t>
      </w:r>
      <w:r w:rsidR="00A33B9F" w:rsidRPr="00A33B9F">
        <w:rPr>
          <w:noProof/>
          <w:color w:val="000000" w:themeColor="text1"/>
        </w:rPr>
        <w:t xml:space="preserve"> w dzi</w:t>
      </w:r>
      <w:r w:rsidRPr="00A33B9F">
        <w:rPr>
          <w:noProof/>
          <w:color w:val="000000" w:themeColor="text1"/>
        </w:rPr>
        <w:t>esięciu lokalizacjach. Usługa opracowana</w:t>
      </w:r>
      <w:r w:rsidR="00A33B9F" w:rsidRPr="00A33B9F">
        <w:rPr>
          <w:noProof/>
          <w:color w:val="000000" w:themeColor="text1"/>
        </w:rPr>
        <w:t xml:space="preserve"> w pie</w:t>
      </w:r>
      <w:r w:rsidRPr="00A33B9F">
        <w:rPr>
          <w:noProof/>
          <w:color w:val="000000" w:themeColor="text1"/>
        </w:rPr>
        <w:t>rwszym centrum kompetencji (kamień milowy A36G) będzie stanowiła podstawę zadań wykonywanych przez pozostałe dziewięć centrów kompetencji</w:t>
      </w:r>
      <w:r w:rsidR="00A33B9F" w:rsidRPr="00A33B9F">
        <w:rPr>
          <w:noProof/>
          <w:color w:val="000000" w:themeColor="text1"/>
        </w:rPr>
        <w:t xml:space="preserve"> w ram</w:t>
      </w:r>
      <w:r w:rsidRPr="00A33B9F">
        <w:rPr>
          <w:noProof/>
          <w:color w:val="000000" w:themeColor="text1"/>
        </w:rPr>
        <w:t>ach kamieni milowych A34G i A35G. Kluczowymi elementami projektu objętego wsparciem będą: infrastruktura naziemna, lokalne centra zarządzania danymi</w:t>
      </w:r>
      <w:r w:rsidR="00A33B9F" w:rsidRPr="00A33B9F">
        <w:rPr>
          <w:noProof/>
          <w:color w:val="000000" w:themeColor="text1"/>
        </w:rPr>
        <w:t xml:space="preserve"> i ruc</w:t>
      </w:r>
      <w:r w:rsidRPr="00A33B9F">
        <w:rPr>
          <w:noProof/>
          <w:color w:val="000000" w:themeColor="text1"/>
        </w:rPr>
        <w:t>hem wraz</w:t>
      </w:r>
      <w:r w:rsidR="00A33B9F" w:rsidRPr="00A33B9F">
        <w:rPr>
          <w:noProof/>
          <w:color w:val="000000" w:themeColor="text1"/>
        </w:rPr>
        <w:t xml:space="preserve"> z wdr</w:t>
      </w:r>
      <w:r w:rsidRPr="00A33B9F">
        <w:rPr>
          <w:noProof/>
          <w:color w:val="000000" w:themeColor="text1"/>
        </w:rPr>
        <w:t>ożonymi usługami cyfrowymi</w:t>
      </w:r>
      <w:r w:rsidR="00A33B9F" w:rsidRPr="00A33B9F">
        <w:rPr>
          <w:noProof/>
          <w:color w:val="000000" w:themeColor="text1"/>
        </w:rPr>
        <w:t xml:space="preserve"> i pro</w:t>
      </w:r>
      <w:r w:rsidRPr="00A33B9F">
        <w:rPr>
          <w:noProof/>
          <w:color w:val="000000" w:themeColor="text1"/>
        </w:rPr>
        <w:t xml:space="preserve">cedurami. </w:t>
      </w:r>
    </w:p>
    <w:p w14:paraId="4A33597F" w14:textId="6AA5588B" w:rsidR="007C4506" w:rsidRPr="00A33B9F" w:rsidRDefault="66E7BAD6" w:rsidP="1C567393">
      <w:pPr>
        <w:pStyle w:val="Text1"/>
        <w:ind w:left="0"/>
        <w:rPr>
          <w:rFonts w:eastAsia="Times New Roman"/>
          <w:noProof/>
          <w:color w:val="000000"/>
        </w:rPr>
      </w:pPr>
      <w:r w:rsidRPr="00A33B9F">
        <w:rPr>
          <w:noProof/>
          <w:color w:val="000000" w:themeColor="text1"/>
        </w:rPr>
        <w:t>Drugi element inwestycji obejmuje wdrożenie usług na potrzeby bezzałogowych statków powietrznych, aby zapewnić możliwość wykonywania zaawansowanych lotów bezzałogowymi statkami powietrznymi na skalę masową na obszarach przydzielonych poszczególnym centrom kompetencji.</w:t>
      </w:r>
    </w:p>
    <w:p w14:paraId="609773F7" w14:textId="59199E4E" w:rsidR="007C4506" w:rsidRPr="00A33B9F" w:rsidRDefault="00B31839" w:rsidP="002D0F1B">
      <w:pPr>
        <w:pStyle w:val="Text1"/>
        <w:ind w:left="0"/>
        <w:rPr>
          <w:rFonts w:eastAsia="Times New Roman"/>
          <w:noProof/>
          <w:color w:val="000000"/>
          <w:szCs w:val="24"/>
        </w:rPr>
      </w:pPr>
      <w:r w:rsidRPr="00A33B9F">
        <w:rPr>
          <w:noProof/>
          <w:color w:val="000000"/>
        </w:rPr>
        <w:t>Realizacja inwestycji zostanie zakończona do dnia 30 czerwca 2026</w:t>
      </w:r>
      <w:r w:rsidR="00A33B9F" w:rsidRPr="00A33B9F">
        <w:rPr>
          <w:noProof/>
          <w:color w:val="000000"/>
        </w:rPr>
        <w:t> </w:t>
      </w:r>
      <w:r w:rsidRPr="00A33B9F">
        <w:rPr>
          <w:noProof/>
          <w:color w:val="000000"/>
        </w:rPr>
        <w:t>r.</w:t>
      </w:r>
    </w:p>
    <w:p w14:paraId="66C992EA" w14:textId="77777777" w:rsidR="008D1A95" w:rsidRPr="00A33B9F" w:rsidRDefault="008D1A95" w:rsidP="002D0F1B">
      <w:pPr>
        <w:pStyle w:val="Text1"/>
        <w:ind w:left="0"/>
        <w:rPr>
          <w:rFonts w:eastAsia="Times New Roman"/>
          <w:noProof/>
          <w:color w:val="000000"/>
          <w:szCs w:val="24"/>
        </w:rPr>
      </w:pPr>
    </w:p>
    <w:p w14:paraId="00998E28" w14:textId="77777777"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A2.4 Wzmocnienie mechanizmów współpracy pomiędzy sektorem nauki oraz przemysłem</w:t>
      </w:r>
    </w:p>
    <w:p w14:paraId="0D368E6F" w14:textId="41529E17" w:rsidR="007C4506" w:rsidRPr="00A33B9F" w:rsidRDefault="522DEB2C" w:rsidP="6F625753">
      <w:pPr>
        <w:pStyle w:val="Text1"/>
        <w:ind w:left="0"/>
        <w:rPr>
          <w:rFonts w:eastAsia="Times New Roman"/>
          <w:noProof/>
          <w:color w:val="000000"/>
        </w:rPr>
      </w:pPr>
      <w:r w:rsidRPr="00A33B9F">
        <w:rPr>
          <w:noProof/>
          <w:color w:val="000000" w:themeColor="text1"/>
        </w:rPr>
        <w:t>Reforma obejmuje dwa działania</w:t>
      </w:r>
      <w:r w:rsidR="00A33B9F" w:rsidRPr="00A33B9F">
        <w:rPr>
          <w:noProof/>
          <w:color w:val="000000" w:themeColor="text1"/>
        </w:rPr>
        <w:t>. W nas</w:t>
      </w:r>
      <w:r w:rsidRPr="00A33B9F">
        <w:rPr>
          <w:noProof/>
          <w:color w:val="000000" w:themeColor="text1"/>
        </w:rPr>
        <w:t>tępstwie pierwszego działania uczelnie</w:t>
      </w:r>
      <w:r w:rsidR="00A33B9F" w:rsidRPr="00A33B9F">
        <w:rPr>
          <w:noProof/>
          <w:color w:val="000000" w:themeColor="text1"/>
        </w:rPr>
        <w:t xml:space="preserve"> i ins</w:t>
      </w:r>
      <w:r w:rsidRPr="00A33B9F">
        <w:rPr>
          <w:noProof/>
          <w:color w:val="000000" w:themeColor="text1"/>
        </w:rPr>
        <w:t>tytuty badawcze będą mogły stać się udziałowcami</w:t>
      </w:r>
      <w:r w:rsidR="00A33B9F" w:rsidRPr="00A33B9F">
        <w:rPr>
          <w:noProof/>
          <w:color w:val="000000" w:themeColor="text1"/>
        </w:rPr>
        <w:t xml:space="preserve"> w prz</w:t>
      </w:r>
      <w:r w:rsidRPr="00A33B9F">
        <w:rPr>
          <w:noProof/>
          <w:color w:val="000000" w:themeColor="text1"/>
        </w:rPr>
        <w:t>edsiębiorstwach. Ma to na celu doprowadzenie do większej interdyscyplinarności</w:t>
      </w:r>
      <w:r w:rsidR="00A33B9F" w:rsidRPr="00A33B9F">
        <w:rPr>
          <w:noProof/>
          <w:color w:val="000000" w:themeColor="text1"/>
        </w:rPr>
        <w:t xml:space="preserve"> i ela</w:t>
      </w:r>
      <w:r w:rsidRPr="00A33B9F">
        <w:rPr>
          <w:noProof/>
          <w:color w:val="000000" w:themeColor="text1"/>
        </w:rPr>
        <w:t xml:space="preserve">styczności transferu technologii. </w:t>
      </w:r>
    </w:p>
    <w:p w14:paraId="5A09F544" w14:textId="2F2BBDBC" w:rsidR="007C4506" w:rsidRPr="00A33B9F" w:rsidRDefault="00B31839" w:rsidP="002D0F1B">
      <w:pPr>
        <w:pStyle w:val="Text1"/>
        <w:ind w:left="0"/>
        <w:rPr>
          <w:rFonts w:eastAsia="Times New Roman"/>
          <w:noProof/>
          <w:color w:val="000000"/>
          <w:szCs w:val="24"/>
        </w:rPr>
      </w:pPr>
      <w:r w:rsidRPr="00A33B9F">
        <w:rPr>
          <w:noProof/>
          <w:color w:val="000000" w:themeColor="text1"/>
        </w:rPr>
        <w:t>Pierwsze działanie</w:t>
      </w:r>
      <w:r w:rsidR="00A33B9F" w:rsidRPr="00A33B9F">
        <w:rPr>
          <w:noProof/>
          <w:color w:val="000000" w:themeColor="text1"/>
        </w:rPr>
        <w:t xml:space="preserve"> w ram</w:t>
      </w:r>
      <w:r w:rsidRPr="00A33B9F">
        <w:rPr>
          <w:noProof/>
          <w:color w:val="000000" w:themeColor="text1"/>
        </w:rPr>
        <w:t>ach tej reformy obejmuje rozszerzenie kategorii podmiotów,</w:t>
      </w:r>
      <w:r w:rsidR="00A33B9F" w:rsidRPr="00A33B9F">
        <w:rPr>
          <w:noProof/>
          <w:color w:val="000000" w:themeColor="text1"/>
        </w:rPr>
        <w:t xml:space="preserve"> z któ</w:t>
      </w:r>
      <w:r w:rsidRPr="00A33B9F">
        <w:rPr>
          <w:noProof/>
          <w:color w:val="000000" w:themeColor="text1"/>
        </w:rPr>
        <w:t>rymi uniwersytety będą mogły tworzyć spółki celowe. Będą to instytuty badawcze, instytuty Polskiej Akademii Nauk oraz instytuty Sieci Badawczej Łukasiewicz. Reforma umożliwi utworzenie spółek celowych ukierunkowanych konkretnie na komercjalizację wyników działań</w:t>
      </w:r>
      <w:r w:rsidR="00A33B9F" w:rsidRPr="00A33B9F">
        <w:rPr>
          <w:noProof/>
          <w:color w:val="000000" w:themeColor="text1"/>
        </w:rPr>
        <w:t xml:space="preserve"> w zak</w:t>
      </w:r>
      <w:r w:rsidRPr="00A33B9F">
        <w:rPr>
          <w:noProof/>
          <w:color w:val="000000" w:themeColor="text1"/>
        </w:rPr>
        <w:t>resie badań</w:t>
      </w:r>
      <w:r w:rsidR="00A33B9F" w:rsidRPr="00A33B9F">
        <w:rPr>
          <w:noProof/>
          <w:color w:val="000000" w:themeColor="text1"/>
        </w:rPr>
        <w:t xml:space="preserve"> i roz</w:t>
      </w:r>
      <w:r w:rsidRPr="00A33B9F">
        <w:rPr>
          <w:noProof/>
          <w:color w:val="000000" w:themeColor="text1"/>
        </w:rPr>
        <w:t>woju.</w:t>
      </w:r>
    </w:p>
    <w:p w14:paraId="20127AE4" w14:textId="3E8CE24E" w:rsidR="007C4506" w:rsidRPr="00A33B9F" w:rsidRDefault="00B31839" w:rsidP="002D0F1B">
      <w:pPr>
        <w:pStyle w:val="Text1"/>
        <w:ind w:left="0"/>
        <w:rPr>
          <w:rFonts w:eastAsia="Times New Roman"/>
          <w:noProof/>
          <w:color w:val="000000"/>
          <w:szCs w:val="24"/>
        </w:rPr>
      </w:pPr>
      <w:r w:rsidRPr="00A33B9F">
        <w:rPr>
          <w:noProof/>
          <w:color w:val="000000" w:themeColor="text1"/>
        </w:rPr>
        <w:t>Realizacja reformy miała zostać zakończona do</w:t>
      </w:r>
      <w:r w:rsidR="00A33B9F" w:rsidRPr="00A33B9F">
        <w:rPr>
          <w:noProof/>
          <w:color w:val="000000" w:themeColor="text1"/>
        </w:rPr>
        <w:t> </w:t>
      </w:r>
      <w:r w:rsidRPr="00A33B9F">
        <w:rPr>
          <w:noProof/>
          <w:color w:val="000000" w:themeColor="text1"/>
        </w:rPr>
        <w:t>31 marca 2022</w:t>
      </w:r>
      <w:r w:rsidR="00A33B9F" w:rsidRPr="00A33B9F">
        <w:rPr>
          <w:noProof/>
          <w:color w:val="000000" w:themeColor="text1"/>
        </w:rPr>
        <w:t> </w:t>
      </w:r>
      <w:r w:rsidRPr="00A33B9F">
        <w:rPr>
          <w:noProof/>
          <w:color w:val="000000" w:themeColor="text1"/>
        </w:rPr>
        <w:t>r.</w:t>
      </w:r>
    </w:p>
    <w:p w14:paraId="5C185861" w14:textId="4AB1AA00" w:rsidR="007C4506" w:rsidRPr="00A33B9F" w:rsidRDefault="4BEECC2D" w:rsidP="002D0F1B">
      <w:pPr>
        <w:pStyle w:val="Text1"/>
        <w:ind w:left="0"/>
        <w:rPr>
          <w:rFonts w:eastAsia="Times New Roman"/>
          <w:noProof/>
          <w:color w:val="000000"/>
          <w:szCs w:val="24"/>
        </w:rPr>
      </w:pPr>
      <w:r w:rsidRPr="00A33B9F">
        <w:rPr>
          <w:noProof/>
          <w:color w:val="000000" w:themeColor="text1"/>
        </w:rPr>
        <w:t>W ramach drugiego działania przewidzianego</w:t>
      </w:r>
      <w:r w:rsidR="00A33B9F" w:rsidRPr="00A33B9F">
        <w:rPr>
          <w:noProof/>
          <w:color w:val="000000" w:themeColor="text1"/>
        </w:rPr>
        <w:t xml:space="preserve"> w tej</w:t>
      </w:r>
      <w:r w:rsidRPr="00A33B9F">
        <w:rPr>
          <w:noProof/>
          <w:color w:val="000000" w:themeColor="text1"/>
        </w:rPr>
        <w:t xml:space="preserve"> reformie ustanowi się – na potrzeby instytutów badawczych</w:t>
      </w:r>
      <w:r w:rsidR="00A33B9F" w:rsidRPr="00A33B9F">
        <w:rPr>
          <w:noProof/>
          <w:color w:val="000000" w:themeColor="text1"/>
        </w:rPr>
        <w:t xml:space="preserve"> i jed</w:t>
      </w:r>
      <w:r w:rsidRPr="00A33B9F">
        <w:rPr>
          <w:noProof/>
          <w:color w:val="000000" w:themeColor="text1"/>
        </w:rPr>
        <w:t>nostek podległych pod nadzorem Ministerstwa Rolnictwa</w:t>
      </w:r>
      <w:r w:rsidR="00A33B9F" w:rsidRPr="00A33B9F">
        <w:rPr>
          <w:noProof/>
          <w:color w:val="000000" w:themeColor="text1"/>
        </w:rPr>
        <w:t xml:space="preserve"> i Roz</w:t>
      </w:r>
      <w:r w:rsidRPr="00A33B9F">
        <w:rPr>
          <w:noProof/>
          <w:color w:val="000000" w:themeColor="text1"/>
        </w:rPr>
        <w:t>woju Wsi – zasady korzystania</w:t>
      </w:r>
      <w:r w:rsidR="00A33B9F" w:rsidRPr="00A33B9F">
        <w:rPr>
          <w:noProof/>
          <w:color w:val="000000" w:themeColor="text1"/>
        </w:rPr>
        <w:t xml:space="preserve"> z lab</w:t>
      </w:r>
      <w:r w:rsidRPr="00A33B9F">
        <w:rPr>
          <w:noProof/>
          <w:color w:val="000000" w:themeColor="text1"/>
        </w:rPr>
        <w:t>oratoriów, infrastruktury badawczej</w:t>
      </w:r>
      <w:r w:rsidR="00A33B9F" w:rsidRPr="00A33B9F">
        <w:rPr>
          <w:noProof/>
          <w:color w:val="000000" w:themeColor="text1"/>
        </w:rPr>
        <w:t xml:space="preserve"> i tra</w:t>
      </w:r>
      <w:r w:rsidRPr="00A33B9F">
        <w:rPr>
          <w:noProof/>
          <w:color w:val="000000" w:themeColor="text1"/>
        </w:rPr>
        <w:t>nsferu wiedzy</w:t>
      </w:r>
      <w:r w:rsidR="00A33B9F" w:rsidRPr="00A33B9F">
        <w:rPr>
          <w:noProof/>
          <w:color w:val="000000" w:themeColor="text1"/>
        </w:rPr>
        <w:t xml:space="preserve"> w ram</w:t>
      </w:r>
      <w:r w:rsidRPr="00A33B9F">
        <w:rPr>
          <w:noProof/>
          <w:color w:val="000000" w:themeColor="text1"/>
        </w:rPr>
        <w:t>ach współpracy między nauką</w:t>
      </w:r>
      <w:r w:rsidR="00A33B9F" w:rsidRPr="00A33B9F">
        <w:rPr>
          <w:noProof/>
          <w:color w:val="000000" w:themeColor="text1"/>
        </w:rPr>
        <w:t xml:space="preserve"> a świ</w:t>
      </w:r>
      <w:r w:rsidRPr="00A33B9F">
        <w:rPr>
          <w:noProof/>
          <w:color w:val="000000" w:themeColor="text1"/>
        </w:rPr>
        <w:t>atem nauki</w:t>
      </w:r>
      <w:r w:rsidR="00A33B9F" w:rsidRPr="00A33B9F">
        <w:rPr>
          <w:noProof/>
          <w:color w:val="000000" w:themeColor="text1"/>
        </w:rPr>
        <w:t xml:space="preserve"> i biz</w:t>
      </w:r>
      <w:r w:rsidRPr="00A33B9F">
        <w:rPr>
          <w:noProof/>
          <w:color w:val="000000" w:themeColor="text1"/>
        </w:rPr>
        <w:t>nesu. Zasady przyznawania pomocy będą zgodne</w:t>
      </w:r>
      <w:r w:rsidR="00A33B9F" w:rsidRPr="00A33B9F">
        <w:rPr>
          <w:noProof/>
          <w:color w:val="000000" w:themeColor="text1"/>
        </w:rPr>
        <w:t xml:space="preserve"> z zas</w:t>
      </w:r>
      <w:r w:rsidRPr="00A33B9F">
        <w:rPr>
          <w:noProof/>
          <w:color w:val="000000" w:themeColor="text1"/>
        </w:rPr>
        <w:t>adami niedyskryminacji</w:t>
      </w:r>
      <w:r w:rsidR="00A33B9F" w:rsidRPr="00A33B9F">
        <w:rPr>
          <w:noProof/>
          <w:color w:val="000000" w:themeColor="text1"/>
        </w:rPr>
        <w:t xml:space="preserve"> i prz</w:t>
      </w:r>
      <w:r w:rsidRPr="00A33B9F">
        <w:rPr>
          <w:noProof/>
          <w:color w:val="000000" w:themeColor="text1"/>
        </w:rPr>
        <w:t>ejrzystości.</w:t>
      </w:r>
    </w:p>
    <w:p w14:paraId="229874DD" w14:textId="495A6CB8" w:rsidR="007C4506" w:rsidRPr="00A33B9F" w:rsidRDefault="66E7BAD6" w:rsidP="002D0F1B">
      <w:pPr>
        <w:pStyle w:val="Text1"/>
        <w:ind w:left="0"/>
        <w:rPr>
          <w:rFonts w:eastAsia="Times New Roman"/>
          <w:noProof/>
          <w:color w:val="000000"/>
          <w:szCs w:val="24"/>
        </w:rPr>
      </w:pPr>
      <w:r w:rsidRPr="00A33B9F">
        <w:rPr>
          <w:noProof/>
          <w:color w:val="000000" w:themeColor="text1"/>
        </w:rPr>
        <w:t>Realizacja reformy miała zostać zakończona do</w:t>
      </w:r>
      <w:r w:rsidR="00A33B9F" w:rsidRPr="00A33B9F">
        <w:rPr>
          <w:noProof/>
          <w:color w:val="000000" w:themeColor="text1"/>
        </w:rPr>
        <w:t> </w:t>
      </w:r>
      <w:r w:rsidRPr="00A33B9F">
        <w:rPr>
          <w:noProof/>
          <w:color w:val="000000" w:themeColor="text1"/>
        </w:rPr>
        <w:t>31 marca 2022</w:t>
      </w:r>
      <w:r w:rsidR="00A33B9F" w:rsidRPr="00A33B9F">
        <w:rPr>
          <w:noProof/>
          <w:color w:val="000000" w:themeColor="text1"/>
        </w:rPr>
        <w:t> </w:t>
      </w:r>
      <w:r w:rsidRPr="00A33B9F">
        <w:rPr>
          <w:noProof/>
          <w:color w:val="000000" w:themeColor="text1"/>
        </w:rPr>
        <w:t>r.</w:t>
      </w:r>
    </w:p>
    <w:p w14:paraId="4B99056E"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3D0BAB01" w14:textId="2EB6BD8B"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A2.4.1 Inwestycje</w:t>
      </w:r>
      <w:r w:rsidR="00A33B9F" w:rsidRPr="00A33B9F">
        <w:rPr>
          <w:b/>
          <w:noProof/>
          <w:color w:val="000000"/>
          <w:u w:val="single"/>
        </w:rPr>
        <w:t xml:space="preserve"> w roz</w:t>
      </w:r>
      <w:r w:rsidRPr="00A33B9F">
        <w:rPr>
          <w:b/>
          <w:noProof/>
          <w:color w:val="000000"/>
          <w:u w:val="single"/>
        </w:rPr>
        <w:t>budowę potencjału badawczego</w:t>
      </w:r>
    </w:p>
    <w:p w14:paraId="60EB99DB" w14:textId="3ADDC474" w:rsidR="007C4506" w:rsidRPr="00A33B9F" w:rsidRDefault="08769F7B" w:rsidP="002D0F1B">
      <w:pPr>
        <w:pStyle w:val="Text1"/>
        <w:ind w:left="0"/>
        <w:rPr>
          <w:rFonts w:eastAsia="Times New Roman"/>
          <w:noProof/>
          <w:color w:val="000000"/>
          <w:szCs w:val="24"/>
        </w:rPr>
      </w:pPr>
      <w:r w:rsidRPr="00A33B9F">
        <w:rPr>
          <w:noProof/>
          <w:color w:val="000000" w:themeColor="text1"/>
        </w:rPr>
        <w:t>Celem tej inwestycji jest zapewnienie ściślejszej współpracy między instytucjami zajmującymi się badaniami naukowymi</w:t>
      </w:r>
      <w:r w:rsidR="00A33B9F" w:rsidRPr="00A33B9F">
        <w:rPr>
          <w:noProof/>
          <w:color w:val="000000" w:themeColor="text1"/>
        </w:rPr>
        <w:t xml:space="preserve"> i inn</w:t>
      </w:r>
      <w:r w:rsidRPr="00A33B9F">
        <w:rPr>
          <w:noProof/>
          <w:color w:val="000000" w:themeColor="text1"/>
        </w:rPr>
        <w:t>owacjami,</w:t>
      </w:r>
      <w:r w:rsidR="00A33B9F" w:rsidRPr="00A33B9F">
        <w:rPr>
          <w:noProof/>
          <w:color w:val="000000" w:themeColor="text1"/>
        </w:rPr>
        <w:t xml:space="preserve"> a tak</w:t>
      </w:r>
      <w:r w:rsidRPr="00A33B9F">
        <w:rPr>
          <w:noProof/>
          <w:color w:val="000000" w:themeColor="text1"/>
        </w:rPr>
        <w:t>że między instytucjami naukowymi</w:t>
      </w:r>
      <w:r w:rsidR="00A33B9F" w:rsidRPr="00A33B9F">
        <w:rPr>
          <w:noProof/>
          <w:color w:val="000000" w:themeColor="text1"/>
        </w:rPr>
        <w:t xml:space="preserve"> a sek</w:t>
      </w:r>
      <w:r w:rsidRPr="00A33B9F">
        <w:rPr>
          <w:noProof/>
          <w:color w:val="000000" w:themeColor="text1"/>
        </w:rPr>
        <w:t>torem przedsiębiorstw. Przyczyni się ona do wzrostu wysokiej jakości wyników prac badawczo-rozwojowych</w:t>
      </w:r>
      <w:r w:rsidR="00A33B9F" w:rsidRPr="00A33B9F">
        <w:rPr>
          <w:noProof/>
          <w:color w:val="000000" w:themeColor="text1"/>
        </w:rPr>
        <w:t xml:space="preserve"> o duż</w:t>
      </w:r>
      <w:r w:rsidRPr="00A33B9F">
        <w:rPr>
          <w:noProof/>
          <w:color w:val="000000" w:themeColor="text1"/>
        </w:rPr>
        <w:t>ym potencjale komercjalizacyjnym.</w:t>
      </w:r>
    </w:p>
    <w:p w14:paraId="6D6FDD9E" w14:textId="0095589E" w:rsidR="00141808" w:rsidRPr="00A33B9F" w:rsidRDefault="2DCD1556" w:rsidP="002D0F1B">
      <w:pPr>
        <w:pStyle w:val="Text1"/>
        <w:ind w:left="0"/>
        <w:rPr>
          <w:rFonts w:eastAsia="Times New Roman"/>
          <w:noProof/>
          <w:color w:val="000000" w:themeColor="text1"/>
          <w:szCs w:val="24"/>
        </w:rPr>
      </w:pPr>
      <w:r w:rsidRPr="00A33B9F">
        <w:rPr>
          <w:noProof/>
          <w:color w:val="000000" w:themeColor="text1"/>
        </w:rPr>
        <w:t>Inwestycja ta będzie polegała na finansowaniu infrastruktury badawczej</w:t>
      </w:r>
      <w:r w:rsidR="00A33B9F" w:rsidRPr="00A33B9F">
        <w:rPr>
          <w:noProof/>
          <w:color w:val="000000" w:themeColor="text1"/>
        </w:rPr>
        <w:t xml:space="preserve"> w ram</w:t>
      </w:r>
      <w:r w:rsidRPr="00A33B9F">
        <w:rPr>
          <w:noProof/>
          <w:color w:val="000000" w:themeColor="text1"/>
        </w:rPr>
        <w:t>ach Sieci Badawczej Łukasiewicz, Polskiej Mapy Infrastruktury Badawczej oraz</w:t>
      </w:r>
      <w:r w:rsidR="00A33B9F" w:rsidRPr="00A33B9F">
        <w:rPr>
          <w:noProof/>
          <w:color w:val="000000" w:themeColor="text1"/>
        </w:rPr>
        <w:t xml:space="preserve"> w ins</w:t>
      </w:r>
      <w:r w:rsidRPr="00A33B9F">
        <w:rPr>
          <w:noProof/>
          <w:color w:val="000000" w:themeColor="text1"/>
        </w:rPr>
        <w:t>tytutach rolno-spożywczych</w:t>
      </w:r>
      <w:r w:rsidR="00A33B9F" w:rsidRPr="00A33B9F">
        <w:rPr>
          <w:noProof/>
          <w:color w:val="000000" w:themeColor="text1"/>
        </w:rPr>
        <w:t xml:space="preserve"> i jed</w:t>
      </w:r>
      <w:r w:rsidRPr="00A33B9F">
        <w:rPr>
          <w:noProof/>
          <w:color w:val="000000" w:themeColor="text1"/>
        </w:rPr>
        <w:t>nostkach podległych pod nadzorem Ministerstwa Rolnictwa</w:t>
      </w:r>
      <w:r w:rsidR="00A33B9F" w:rsidRPr="00A33B9F">
        <w:rPr>
          <w:noProof/>
          <w:color w:val="000000" w:themeColor="text1"/>
        </w:rPr>
        <w:t xml:space="preserve"> i Roz</w:t>
      </w:r>
      <w:r w:rsidRPr="00A33B9F">
        <w:rPr>
          <w:noProof/>
          <w:color w:val="000000" w:themeColor="text1"/>
        </w:rPr>
        <w:t xml:space="preserve">woju Wsi. </w:t>
      </w:r>
    </w:p>
    <w:p w14:paraId="0839BA2B" w14:textId="20587E88" w:rsidR="00141808" w:rsidRPr="00A33B9F" w:rsidRDefault="05AB898E" w:rsidP="002D0F1B">
      <w:pPr>
        <w:pStyle w:val="Text1"/>
        <w:ind w:left="0"/>
        <w:rPr>
          <w:rFonts w:eastAsia="Times New Roman"/>
          <w:noProof/>
          <w:color w:val="000000" w:themeColor="text1"/>
          <w:szCs w:val="24"/>
        </w:rPr>
      </w:pPr>
      <w:r w:rsidRPr="00A33B9F">
        <w:rPr>
          <w:noProof/>
          <w:color w:val="000000"/>
        </w:rPr>
        <w:t>Aby</w:t>
      </w:r>
      <w:r w:rsidRPr="00A33B9F">
        <w:rPr>
          <w:noProof/>
        </w:rPr>
        <w:t xml:space="preserve"> </w:t>
      </w:r>
      <w:r w:rsidRPr="00A33B9F">
        <w:rPr>
          <w:noProof/>
          <w:color w:val="000000" w:themeColor="text1"/>
        </w:rPr>
        <w:t>zapewnić zgodność środka</w:t>
      </w:r>
      <w:r w:rsidR="00A33B9F" w:rsidRPr="00A33B9F">
        <w:rPr>
          <w:noProof/>
          <w:color w:val="000000" w:themeColor="text1"/>
        </w:rPr>
        <w:t xml:space="preserve"> z wyt</w:t>
      </w:r>
      <w:r w:rsidRPr="00A33B9F">
        <w:rPr>
          <w:noProof/>
          <w:color w:val="000000" w:themeColor="text1"/>
        </w:rPr>
        <w:t>ycznymi technicznymi dotyczącymi stosowania zasady „nie czyń poważnych szkód” (2021/C 58/01), kryteria kwalifikowalności zawarte</w:t>
      </w:r>
      <w:r w:rsidR="00A33B9F" w:rsidRPr="00A33B9F">
        <w:rPr>
          <w:noProof/>
          <w:color w:val="000000" w:themeColor="text1"/>
        </w:rPr>
        <w:t xml:space="preserve"> w zak</w:t>
      </w:r>
      <w:r w:rsidRPr="00A33B9F">
        <w:rPr>
          <w:noProof/>
          <w:color w:val="000000" w:themeColor="text1"/>
        </w:rPr>
        <w:t>resie wymagań</w:t>
      </w:r>
      <w:r w:rsidR="00A33B9F" w:rsidRPr="00A33B9F">
        <w:rPr>
          <w:noProof/>
          <w:color w:val="000000" w:themeColor="text1"/>
        </w:rPr>
        <w:t xml:space="preserve"> i obo</w:t>
      </w:r>
      <w:r w:rsidRPr="00A33B9F">
        <w:rPr>
          <w:noProof/>
          <w:color w:val="000000" w:themeColor="text1"/>
        </w:rPr>
        <w:t>wiązków</w:t>
      </w:r>
      <w:r w:rsidR="00A33B9F" w:rsidRPr="00A33B9F">
        <w:rPr>
          <w:noProof/>
          <w:color w:val="000000" w:themeColor="text1"/>
        </w:rPr>
        <w:t xml:space="preserve"> w odn</w:t>
      </w:r>
      <w:r w:rsidRPr="00A33B9F">
        <w:rPr>
          <w:noProof/>
          <w:color w:val="000000" w:themeColor="text1"/>
        </w:rPr>
        <w:t>iesieniu do przyszłych zaproszeń do składania projektów wykluczają następujący wykaz działań: (i) działania związane</w:t>
      </w:r>
      <w:r w:rsidR="00A33B9F" w:rsidRPr="00A33B9F">
        <w:rPr>
          <w:noProof/>
          <w:color w:val="000000" w:themeColor="text1"/>
        </w:rPr>
        <w:t xml:space="preserve"> z pal</w:t>
      </w:r>
      <w:r w:rsidRPr="00A33B9F">
        <w:rPr>
          <w:noProof/>
          <w:color w:val="000000" w:themeColor="text1"/>
        </w:rPr>
        <w:t>iwami kopalnymi,</w:t>
      </w:r>
      <w:r w:rsidR="00A33B9F" w:rsidRPr="00A33B9F">
        <w:rPr>
          <w:noProof/>
          <w:color w:val="000000" w:themeColor="text1"/>
        </w:rPr>
        <w:t xml:space="preserve"> w tym</w:t>
      </w:r>
      <w:r w:rsidRPr="00A33B9F">
        <w:rPr>
          <w:noProof/>
          <w:color w:val="000000" w:themeColor="text1"/>
        </w:rPr>
        <w:t xml:space="preserve"> zastosowania niższego szczebla</w:t>
      </w:r>
      <w:r w:rsidRPr="00A33B9F">
        <w:rPr>
          <w:rStyle w:val="FootnoteReference"/>
          <w:rFonts w:eastAsia="Times New Roman"/>
          <w:noProof/>
          <w:color w:val="000000" w:themeColor="text1"/>
        </w:rPr>
        <w:footnoteReference w:id="8"/>
      </w:r>
      <w:r w:rsidRPr="00A33B9F">
        <w:rPr>
          <w:noProof/>
          <w:color w:val="000000" w:themeColor="text1"/>
        </w:rPr>
        <w:t>; (ii) działania</w:t>
      </w:r>
      <w:r w:rsidR="00A33B9F" w:rsidRPr="00A33B9F">
        <w:rPr>
          <w:noProof/>
          <w:color w:val="000000" w:themeColor="text1"/>
        </w:rPr>
        <w:t xml:space="preserve"> w ram</w:t>
      </w:r>
      <w:r w:rsidRPr="00A33B9F">
        <w:rPr>
          <w:noProof/>
          <w:color w:val="000000" w:themeColor="text1"/>
        </w:rPr>
        <w:t>ach unijnego systemu handlu uprawnieniami do emisji (ETS) prowadzące do osiągnięcia prognozowanych emisji gazów cieplarnianych nie niższych niż odpowiednie wskaźniki emisyjności</w:t>
      </w:r>
      <w:r w:rsidRPr="00A33B9F">
        <w:rPr>
          <w:rStyle w:val="FootnoteReference"/>
          <w:rFonts w:eastAsia="Times New Roman"/>
          <w:noProof/>
          <w:color w:val="000000" w:themeColor="text1"/>
        </w:rPr>
        <w:footnoteReference w:id="9"/>
      </w:r>
      <w:r w:rsidRPr="00A33B9F">
        <w:rPr>
          <w:noProof/>
          <w:color w:val="000000" w:themeColor="text1"/>
        </w:rPr>
        <w:t>; (iii) działalność związana ze składowiskami odpadów, spalarniami</w:t>
      </w:r>
      <w:r w:rsidRPr="00A33B9F">
        <w:rPr>
          <w:rStyle w:val="FootnoteReference"/>
          <w:rFonts w:eastAsia="Times New Roman"/>
          <w:noProof/>
          <w:color w:val="000000" w:themeColor="text1"/>
        </w:rPr>
        <w:footnoteReference w:id="10"/>
      </w:r>
      <w:r w:rsidR="00A33B9F" w:rsidRPr="00A33B9F">
        <w:rPr>
          <w:noProof/>
          <w:color w:val="000000" w:themeColor="text1"/>
        </w:rPr>
        <w:t xml:space="preserve"> i zak</w:t>
      </w:r>
      <w:r w:rsidRPr="00A33B9F">
        <w:rPr>
          <w:noProof/>
          <w:color w:val="000000" w:themeColor="text1"/>
        </w:rPr>
        <w:t>ładami mechaniczno-biologicznego przetwarzania odpadów</w:t>
      </w:r>
      <w:r w:rsidRPr="00A33B9F">
        <w:rPr>
          <w:rStyle w:val="FootnoteReference"/>
          <w:rFonts w:eastAsia="Times New Roman"/>
          <w:noProof/>
          <w:color w:val="000000" w:themeColor="text1"/>
        </w:rPr>
        <w:footnoteReference w:id="11"/>
      </w:r>
      <w:r w:rsidRPr="00A33B9F">
        <w:rPr>
          <w:noProof/>
          <w:color w:val="000000" w:themeColor="text1"/>
        </w:rPr>
        <w:t xml:space="preserve"> oraz (iv) działania,</w:t>
      </w:r>
      <w:r w:rsidR="00A33B9F" w:rsidRPr="00A33B9F">
        <w:rPr>
          <w:noProof/>
          <w:color w:val="000000" w:themeColor="text1"/>
        </w:rPr>
        <w:t xml:space="preserve"> w prz</w:t>
      </w:r>
      <w:r w:rsidRPr="00A33B9F">
        <w:rPr>
          <w:noProof/>
          <w:color w:val="000000" w:themeColor="text1"/>
        </w:rPr>
        <w:t xml:space="preserve">ypadku których długoterminowe unieszkodliwianie odpadów może szkodzić środowisku naturalnemu. </w:t>
      </w:r>
    </w:p>
    <w:p w14:paraId="201AAA4B" w14:textId="153464F9" w:rsidR="007C4506" w:rsidRPr="00A33B9F" w:rsidRDefault="279AD3DA" w:rsidP="002D0F1B">
      <w:pPr>
        <w:pStyle w:val="Text1"/>
        <w:ind w:left="0"/>
        <w:rPr>
          <w:rFonts w:eastAsia="Times New Roman"/>
          <w:noProof/>
          <w:color w:val="000000" w:themeColor="text1"/>
          <w:szCs w:val="24"/>
        </w:rPr>
      </w:pPr>
      <w:r w:rsidRPr="00A33B9F">
        <w:rPr>
          <w:noProof/>
          <w:color w:val="000000" w:themeColor="text1"/>
        </w:rPr>
        <w:t>Następujące działania</w:t>
      </w:r>
      <w:r w:rsidR="00A33B9F" w:rsidRPr="00A33B9F">
        <w:rPr>
          <w:noProof/>
          <w:color w:val="000000" w:themeColor="text1"/>
        </w:rPr>
        <w:t xml:space="preserve"> w zak</w:t>
      </w:r>
      <w:r w:rsidRPr="00A33B9F">
        <w:rPr>
          <w:noProof/>
          <w:color w:val="000000" w:themeColor="text1"/>
        </w:rPr>
        <w:t>resie BRI uznaje się za zgodne</w:t>
      </w:r>
      <w:r w:rsidR="00A33B9F" w:rsidRPr="00A33B9F">
        <w:rPr>
          <w:noProof/>
          <w:color w:val="000000" w:themeColor="text1"/>
        </w:rPr>
        <w:t xml:space="preserve"> z wyt</w:t>
      </w:r>
      <w:r w:rsidRPr="00A33B9F">
        <w:rPr>
          <w:noProof/>
          <w:color w:val="000000" w:themeColor="text1"/>
        </w:rPr>
        <w:t>ycznymi technicznymi dotyczącymi stosowania zasady „nie czyń poważnych szkód” (2021/C 58/01): (i) te działania</w:t>
      </w:r>
      <w:r w:rsidR="00A33B9F" w:rsidRPr="00A33B9F">
        <w:rPr>
          <w:noProof/>
          <w:color w:val="000000" w:themeColor="text1"/>
        </w:rPr>
        <w:t xml:space="preserve"> w zak</w:t>
      </w:r>
      <w:r w:rsidRPr="00A33B9F">
        <w:rPr>
          <w:noProof/>
          <w:color w:val="000000" w:themeColor="text1"/>
        </w:rPr>
        <w:t>resie BRI</w:t>
      </w:r>
      <w:r w:rsidR="00A33B9F" w:rsidRPr="00A33B9F">
        <w:rPr>
          <w:noProof/>
          <w:color w:val="000000" w:themeColor="text1"/>
        </w:rPr>
        <w:t xml:space="preserve"> w ram</w:t>
      </w:r>
      <w:r w:rsidRPr="00A33B9F">
        <w:rPr>
          <w:noProof/>
          <w:color w:val="000000" w:themeColor="text1"/>
        </w:rPr>
        <w:t>ach tej inwestycji, które skutkują neutralnymi technologicznie wynikami na poziomie ich zastosowania; (ii) te działania</w:t>
      </w:r>
      <w:r w:rsidR="00A33B9F" w:rsidRPr="00A33B9F">
        <w:rPr>
          <w:noProof/>
          <w:color w:val="000000" w:themeColor="text1"/>
        </w:rPr>
        <w:t xml:space="preserve"> w zak</w:t>
      </w:r>
      <w:r w:rsidRPr="00A33B9F">
        <w:rPr>
          <w:noProof/>
          <w:color w:val="000000" w:themeColor="text1"/>
        </w:rPr>
        <w:t>resie BRI</w:t>
      </w:r>
      <w:r w:rsidR="00A33B9F" w:rsidRPr="00A33B9F">
        <w:rPr>
          <w:noProof/>
          <w:color w:val="000000" w:themeColor="text1"/>
        </w:rPr>
        <w:t xml:space="preserve"> w ram</w:t>
      </w:r>
      <w:r w:rsidRPr="00A33B9F">
        <w:rPr>
          <w:noProof/>
          <w:color w:val="000000" w:themeColor="text1"/>
        </w:rPr>
        <w:t>ach tej inwestycji, które wspierają rozwiązania alternatywne</w:t>
      </w:r>
      <w:r w:rsidR="00A33B9F" w:rsidRPr="00A33B9F">
        <w:rPr>
          <w:noProof/>
          <w:color w:val="000000" w:themeColor="text1"/>
        </w:rPr>
        <w:t xml:space="preserve"> o nis</w:t>
      </w:r>
      <w:r w:rsidRPr="00A33B9F">
        <w:rPr>
          <w:noProof/>
          <w:color w:val="000000" w:themeColor="text1"/>
        </w:rPr>
        <w:t>kim wpływie na środowisko, jeżeli takie rozwiązania alternatywne istnieją; lub (iii) te działania</w:t>
      </w:r>
      <w:r w:rsidR="00A33B9F" w:rsidRPr="00A33B9F">
        <w:rPr>
          <w:noProof/>
          <w:color w:val="000000" w:themeColor="text1"/>
        </w:rPr>
        <w:t xml:space="preserve"> w zak</w:t>
      </w:r>
      <w:r w:rsidRPr="00A33B9F">
        <w:rPr>
          <w:noProof/>
          <w:color w:val="000000" w:themeColor="text1"/>
        </w:rPr>
        <w:t>resie BRI</w:t>
      </w:r>
      <w:r w:rsidR="00A33B9F" w:rsidRPr="00A33B9F">
        <w:rPr>
          <w:noProof/>
          <w:color w:val="000000" w:themeColor="text1"/>
        </w:rPr>
        <w:t xml:space="preserve"> w ram</w:t>
      </w:r>
      <w:r w:rsidRPr="00A33B9F">
        <w:rPr>
          <w:noProof/>
          <w:color w:val="000000" w:themeColor="text1"/>
        </w:rPr>
        <w:t>ach tej inwestycji, które koncentrują się przede wszystkim na opracowywaniu rozwiązań alternatywnych</w:t>
      </w:r>
      <w:r w:rsidR="00A33B9F" w:rsidRPr="00A33B9F">
        <w:rPr>
          <w:noProof/>
          <w:color w:val="000000" w:themeColor="text1"/>
        </w:rPr>
        <w:t xml:space="preserve"> o moż</w:t>
      </w:r>
      <w:r w:rsidRPr="00A33B9F">
        <w:rPr>
          <w:noProof/>
          <w:color w:val="000000" w:themeColor="text1"/>
        </w:rPr>
        <w:t>liwie najmniejszym wpływie na środowisko</w:t>
      </w:r>
      <w:r w:rsidR="00A33B9F" w:rsidRPr="00A33B9F">
        <w:rPr>
          <w:noProof/>
          <w:color w:val="000000" w:themeColor="text1"/>
        </w:rPr>
        <w:t xml:space="preserve"> w sek</w:t>
      </w:r>
      <w:r w:rsidRPr="00A33B9F">
        <w:rPr>
          <w:noProof/>
          <w:color w:val="000000" w:themeColor="text1"/>
        </w:rPr>
        <w:t>torze</w:t>
      </w:r>
      <w:r w:rsidR="00A33B9F" w:rsidRPr="00A33B9F">
        <w:rPr>
          <w:noProof/>
          <w:color w:val="000000" w:themeColor="text1"/>
        </w:rPr>
        <w:t xml:space="preserve"> w odn</w:t>
      </w:r>
      <w:r w:rsidRPr="00A33B9F">
        <w:rPr>
          <w:noProof/>
          <w:color w:val="000000" w:themeColor="text1"/>
        </w:rPr>
        <w:t>iesieniu do tych rodzajów działalności, dla których nie istnieje alternatywa</w:t>
      </w:r>
      <w:r w:rsidR="00A33B9F" w:rsidRPr="00A33B9F">
        <w:rPr>
          <w:noProof/>
          <w:color w:val="000000" w:themeColor="text1"/>
        </w:rPr>
        <w:t xml:space="preserve"> o nie</w:t>
      </w:r>
      <w:r w:rsidRPr="00A33B9F">
        <w:rPr>
          <w:noProof/>
          <w:color w:val="000000" w:themeColor="text1"/>
        </w:rPr>
        <w:t>wielkim wpływie na środowisko pod względem technologicznym</w:t>
      </w:r>
      <w:r w:rsidR="00A33B9F" w:rsidRPr="00A33B9F">
        <w:rPr>
          <w:noProof/>
          <w:color w:val="000000" w:themeColor="text1"/>
        </w:rPr>
        <w:t xml:space="preserve"> i eko</w:t>
      </w:r>
      <w:r w:rsidRPr="00A33B9F">
        <w:rPr>
          <w:noProof/>
          <w:color w:val="000000" w:themeColor="text1"/>
        </w:rPr>
        <w:t>nomicznym.</w:t>
      </w:r>
    </w:p>
    <w:p w14:paraId="69F816B6" w14:textId="6659D617" w:rsidR="007C4506" w:rsidRPr="00A33B9F" w:rsidRDefault="200DEC7A" w:rsidP="002D0F1B">
      <w:pPr>
        <w:pStyle w:val="Text1"/>
        <w:ind w:left="0"/>
        <w:rPr>
          <w:rFonts w:eastAsia="Times New Roman"/>
          <w:noProof/>
          <w:color w:val="000000"/>
          <w:szCs w:val="24"/>
        </w:rPr>
      </w:pPr>
      <w:r w:rsidRPr="00A33B9F">
        <w:rPr>
          <w:noProof/>
          <w:color w:val="000000" w:themeColor="text1"/>
        </w:rPr>
        <w:t>Realizacja inwestycji zostanie zakończona do dnia 31 grudnia 2025</w:t>
      </w:r>
      <w:r w:rsidR="00A33B9F" w:rsidRPr="00A33B9F">
        <w:rPr>
          <w:noProof/>
          <w:color w:val="000000" w:themeColor="text1"/>
        </w:rPr>
        <w:t> </w:t>
      </w:r>
      <w:r w:rsidRPr="00A33B9F">
        <w:rPr>
          <w:noProof/>
          <w:color w:val="000000" w:themeColor="text1"/>
        </w:rPr>
        <w:t>r.</w:t>
      </w:r>
    </w:p>
    <w:p w14:paraId="7D6BE619" w14:textId="77777777" w:rsidR="0002330F" w:rsidRPr="00A33B9F" w:rsidRDefault="0002330F" w:rsidP="33C998F7">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5CCFB21C" w14:textId="318E4154" w:rsidR="007C4506" w:rsidRPr="00A33B9F" w:rsidRDefault="00B31839" w:rsidP="002D0F1B">
      <w:pPr>
        <w:pStyle w:val="Text1"/>
        <w:ind w:left="0"/>
        <w:rPr>
          <w:rFonts w:eastAsia="Times New Roman"/>
          <w:b/>
          <w:noProof/>
          <w:color w:val="000000" w:themeColor="text1"/>
          <w:szCs w:val="24"/>
        </w:rPr>
      </w:pPr>
      <w:r w:rsidRPr="00A33B9F">
        <w:rPr>
          <w:b/>
          <w:noProof/>
          <w:color w:val="000000" w:themeColor="text1"/>
        </w:rPr>
        <w:t>Podkomponent A3 – Edukacja dla nowoczesnej gospodarki</w:t>
      </w:r>
    </w:p>
    <w:p w14:paraId="396CF71A" w14:textId="77777777" w:rsidR="002248AA" w:rsidRPr="00A33B9F" w:rsidRDefault="002248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D56A643" w14:textId="0A28EE71" w:rsidR="004073CB" w:rsidRPr="00A33B9F" w:rsidRDefault="67AB9BF0" w:rsidP="00107DFB">
      <w:pPr>
        <w:pStyle w:val="Text1"/>
        <w:ind w:left="0"/>
        <w:rPr>
          <w:noProof/>
        </w:rPr>
      </w:pPr>
      <w:r w:rsidRPr="00A33B9F">
        <w:rPr>
          <w:b/>
          <w:noProof/>
          <w:color w:val="000000" w:themeColor="text1"/>
          <w:u w:val="single"/>
        </w:rPr>
        <w:t>A3.1 Siła robocza dla nowoczesnej gospodarki: poprawa dopasowania umiejętności</w:t>
      </w:r>
      <w:r w:rsidR="00A33B9F" w:rsidRPr="00A33B9F">
        <w:rPr>
          <w:b/>
          <w:noProof/>
          <w:color w:val="000000" w:themeColor="text1"/>
          <w:u w:val="single"/>
        </w:rPr>
        <w:t xml:space="preserve"> i kwa</w:t>
      </w:r>
      <w:r w:rsidRPr="00A33B9F">
        <w:rPr>
          <w:b/>
          <w:noProof/>
          <w:color w:val="000000" w:themeColor="text1"/>
          <w:u w:val="single"/>
        </w:rPr>
        <w:t>lifikacji do wymogów rynku pracy</w:t>
      </w:r>
      <w:r w:rsidR="00A33B9F" w:rsidRPr="00A33B9F">
        <w:rPr>
          <w:b/>
          <w:noProof/>
          <w:color w:val="000000" w:themeColor="text1"/>
          <w:u w:val="single"/>
        </w:rPr>
        <w:t xml:space="preserve"> w zwi</w:t>
      </w:r>
      <w:r w:rsidRPr="00A33B9F">
        <w:rPr>
          <w:b/>
          <w:noProof/>
          <w:color w:val="000000" w:themeColor="text1"/>
          <w:u w:val="single"/>
        </w:rPr>
        <w:t>ązku</w:t>
      </w:r>
      <w:r w:rsidR="00A33B9F" w:rsidRPr="00A33B9F">
        <w:rPr>
          <w:b/>
          <w:noProof/>
          <w:color w:val="000000" w:themeColor="text1"/>
          <w:u w:val="single"/>
        </w:rPr>
        <w:t xml:space="preserve"> z wdr</w:t>
      </w:r>
      <w:r w:rsidRPr="00A33B9F">
        <w:rPr>
          <w:b/>
          <w:noProof/>
          <w:color w:val="000000" w:themeColor="text1"/>
          <w:u w:val="single"/>
        </w:rPr>
        <w:t>ażaniem nowych technologii</w:t>
      </w:r>
      <w:r w:rsidR="00A33B9F" w:rsidRPr="00A33B9F">
        <w:rPr>
          <w:b/>
          <w:noProof/>
          <w:color w:val="000000" w:themeColor="text1"/>
          <w:u w:val="single"/>
        </w:rPr>
        <w:t xml:space="preserve"> w gos</w:t>
      </w:r>
      <w:r w:rsidRPr="00A33B9F">
        <w:rPr>
          <w:b/>
          <w:noProof/>
          <w:color w:val="000000" w:themeColor="text1"/>
          <w:u w:val="single"/>
        </w:rPr>
        <w:t>podarce oraz transformacją zieloną</w:t>
      </w:r>
      <w:r w:rsidR="00A33B9F" w:rsidRPr="00A33B9F">
        <w:rPr>
          <w:b/>
          <w:noProof/>
          <w:color w:val="000000" w:themeColor="text1"/>
          <w:u w:val="single"/>
        </w:rPr>
        <w:t xml:space="preserve"> i cyf</w:t>
      </w:r>
      <w:r w:rsidRPr="00A33B9F">
        <w:rPr>
          <w:b/>
          <w:noProof/>
          <w:color w:val="000000" w:themeColor="text1"/>
          <w:u w:val="single"/>
        </w:rPr>
        <w:t>rową</w:t>
      </w:r>
    </w:p>
    <w:p w14:paraId="6ED81CE6" w14:textId="5813A85E" w:rsidR="007C4506" w:rsidRPr="00A33B9F" w:rsidRDefault="00B31839" w:rsidP="002D0F1B">
      <w:pPr>
        <w:pStyle w:val="Text1"/>
        <w:ind w:left="0"/>
        <w:rPr>
          <w:rFonts w:eastAsia="Times New Roman"/>
          <w:noProof/>
          <w:color w:val="000000"/>
          <w:szCs w:val="24"/>
        </w:rPr>
      </w:pPr>
      <w:r w:rsidRPr="00A33B9F">
        <w:rPr>
          <w:noProof/>
          <w:color w:val="000000" w:themeColor="text1"/>
        </w:rPr>
        <w:t>Głównym celem reformy jest przygotowanie siły roboczej na potrzeby nowoczesnej gospodarki oraz lepsze dopasowanie umiejętności</w:t>
      </w:r>
      <w:r w:rsidR="00A33B9F" w:rsidRPr="00A33B9F">
        <w:rPr>
          <w:noProof/>
          <w:color w:val="000000" w:themeColor="text1"/>
        </w:rPr>
        <w:t xml:space="preserve"> i kwa</w:t>
      </w:r>
      <w:r w:rsidRPr="00A33B9F">
        <w:rPr>
          <w:noProof/>
          <w:color w:val="000000" w:themeColor="text1"/>
        </w:rPr>
        <w:t>lifikacji do wymogów rynku pracy</w:t>
      </w:r>
      <w:r w:rsidR="00A33B9F" w:rsidRPr="00A33B9F">
        <w:rPr>
          <w:noProof/>
          <w:color w:val="000000" w:themeColor="text1"/>
        </w:rPr>
        <w:t xml:space="preserve"> w zwi</w:t>
      </w:r>
      <w:r w:rsidRPr="00A33B9F">
        <w:rPr>
          <w:noProof/>
          <w:color w:val="000000" w:themeColor="text1"/>
        </w:rPr>
        <w:t>ązku</w:t>
      </w:r>
      <w:r w:rsidR="00A33B9F" w:rsidRPr="00A33B9F">
        <w:rPr>
          <w:noProof/>
          <w:color w:val="000000" w:themeColor="text1"/>
        </w:rPr>
        <w:t xml:space="preserve"> z wdr</w:t>
      </w:r>
      <w:r w:rsidRPr="00A33B9F">
        <w:rPr>
          <w:noProof/>
          <w:color w:val="000000" w:themeColor="text1"/>
        </w:rPr>
        <w:t>ażaniem nowych technologii</w:t>
      </w:r>
      <w:r w:rsidR="00A33B9F" w:rsidRPr="00A33B9F">
        <w:rPr>
          <w:noProof/>
          <w:color w:val="000000" w:themeColor="text1"/>
        </w:rPr>
        <w:t xml:space="preserve"> w gos</w:t>
      </w:r>
      <w:r w:rsidRPr="00A33B9F">
        <w:rPr>
          <w:noProof/>
          <w:color w:val="000000" w:themeColor="text1"/>
        </w:rPr>
        <w:t>podarce oraz transformacją zieloną</w:t>
      </w:r>
      <w:r w:rsidR="00A33B9F" w:rsidRPr="00A33B9F">
        <w:rPr>
          <w:noProof/>
          <w:color w:val="000000" w:themeColor="text1"/>
        </w:rPr>
        <w:t xml:space="preserve"> i cyf</w:t>
      </w:r>
      <w:r w:rsidRPr="00A33B9F">
        <w:rPr>
          <w:noProof/>
          <w:color w:val="000000" w:themeColor="text1"/>
        </w:rPr>
        <w:t xml:space="preserve">rową. </w:t>
      </w:r>
    </w:p>
    <w:p w14:paraId="0357DF2E" w14:textId="2EB624B6" w:rsidR="007C4506" w:rsidRPr="00A33B9F" w:rsidRDefault="00B31839" w:rsidP="002D0F1B">
      <w:pPr>
        <w:pStyle w:val="Text1"/>
        <w:ind w:left="0"/>
        <w:rPr>
          <w:rFonts w:eastAsia="Times New Roman"/>
          <w:noProof/>
          <w:color w:val="000000"/>
          <w:szCs w:val="24"/>
        </w:rPr>
      </w:pPr>
      <w:r w:rsidRPr="00A33B9F">
        <w:rPr>
          <w:noProof/>
          <w:color w:val="000000" w:themeColor="text1"/>
        </w:rPr>
        <w:t>Reforma ta ma na celu utworzenie branżowych centrów umiejętności oraz zmianę odpowiednich przepisów, aby zapewnić usługi ukierunkowanego podnoszenia</w:t>
      </w:r>
      <w:r w:rsidR="00A33B9F" w:rsidRPr="00A33B9F">
        <w:rPr>
          <w:noProof/>
          <w:color w:val="000000" w:themeColor="text1"/>
        </w:rPr>
        <w:t xml:space="preserve"> i zmi</w:t>
      </w:r>
      <w:r w:rsidRPr="00A33B9F">
        <w:rPr>
          <w:noProof/>
          <w:color w:val="000000" w:themeColor="text1"/>
        </w:rPr>
        <w:t>any kwalifikacji. Celem reformy jest również propagowanie współpracy pracodawców</w:t>
      </w:r>
      <w:r w:rsidR="00A33B9F" w:rsidRPr="00A33B9F">
        <w:rPr>
          <w:noProof/>
          <w:color w:val="000000" w:themeColor="text1"/>
        </w:rPr>
        <w:t xml:space="preserve"> z org</w:t>
      </w:r>
      <w:r w:rsidRPr="00A33B9F">
        <w:rPr>
          <w:noProof/>
          <w:color w:val="000000" w:themeColor="text1"/>
        </w:rPr>
        <w:t>anizatorami kształcenia zawodowego, która przyczyni się do rozpowszechniania innowacyjnych rozwiązań</w:t>
      </w:r>
      <w:r w:rsidR="00A33B9F" w:rsidRPr="00A33B9F">
        <w:rPr>
          <w:noProof/>
          <w:color w:val="000000" w:themeColor="text1"/>
        </w:rPr>
        <w:t xml:space="preserve"> i wsp</w:t>
      </w:r>
      <w:r w:rsidRPr="00A33B9F">
        <w:rPr>
          <w:noProof/>
          <w:color w:val="000000" w:themeColor="text1"/>
        </w:rPr>
        <w:t>ierania innowacji</w:t>
      </w:r>
      <w:r w:rsidR="00A33B9F" w:rsidRPr="00A33B9F">
        <w:rPr>
          <w:noProof/>
          <w:color w:val="000000" w:themeColor="text1"/>
        </w:rPr>
        <w:t xml:space="preserve"> w obs</w:t>
      </w:r>
      <w:r w:rsidRPr="00A33B9F">
        <w:rPr>
          <w:noProof/>
          <w:color w:val="000000" w:themeColor="text1"/>
        </w:rPr>
        <w:t>zarze szkolenia zawodowego. Uwzględniona zostanie również kwestia integracji osób</w:t>
      </w:r>
      <w:r w:rsidR="00A33B9F" w:rsidRPr="00A33B9F">
        <w:rPr>
          <w:noProof/>
          <w:color w:val="000000" w:themeColor="text1"/>
        </w:rPr>
        <w:t xml:space="preserve"> z nie</w:t>
      </w:r>
      <w:r w:rsidRPr="00A33B9F">
        <w:rPr>
          <w:noProof/>
          <w:color w:val="000000" w:themeColor="text1"/>
        </w:rPr>
        <w:t>pełnosprawnościami</w:t>
      </w:r>
      <w:r w:rsidR="00A33B9F" w:rsidRPr="00A33B9F">
        <w:rPr>
          <w:noProof/>
          <w:color w:val="000000" w:themeColor="text1"/>
        </w:rPr>
        <w:t>. W zwi</w:t>
      </w:r>
      <w:r w:rsidRPr="00A33B9F">
        <w:rPr>
          <w:noProof/>
          <w:color w:val="000000" w:themeColor="text1"/>
        </w:rPr>
        <w:t>ązku</w:t>
      </w:r>
      <w:r w:rsidR="00A33B9F" w:rsidRPr="00A33B9F">
        <w:rPr>
          <w:noProof/>
          <w:color w:val="000000" w:themeColor="text1"/>
        </w:rPr>
        <w:t xml:space="preserve"> z tym</w:t>
      </w:r>
      <w:r w:rsidRPr="00A33B9F">
        <w:rPr>
          <w:noProof/>
          <w:color w:val="000000" w:themeColor="text1"/>
        </w:rPr>
        <w:t xml:space="preserve"> centra umiejętności uzupełniają istniejącą ofertę kształcenia</w:t>
      </w:r>
      <w:r w:rsidR="00A33B9F" w:rsidRPr="00A33B9F">
        <w:rPr>
          <w:noProof/>
          <w:color w:val="000000" w:themeColor="text1"/>
        </w:rPr>
        <w:t xml:space="preserve"> i szk</w:t>
      </w:r>
      <w:r w:rsidRPr="00A33B9F">
        <w:rPr>
          <w:noProof/>
          <w:color w:val="000000" w:themeColor="text1"/>
        </w:rPr>
        <w:t>olenia zawodowego na poziomie średnim</w:t>
      </w:r>
      <w:r w:rsidR="00A33B9F" w:rsidRPr="00A33B9F">
        <w:rPr>
          <w:noProof/>
          <w:color w:val="000000" w:themeColor="text1"/>
        </w:rPr>
        <w:t xml:space="preserve"> i wyż</w:t>
      </w:r>
      <w:r w:rsidRPr="00A33B9F">
        <w:rPr>
          <w:noProof/>
          <w:color w:val="000000" w:themeColor="text1"/>
        </w:rPr>
        <w:t>szym oraz ofertę uczenia się przez całe życie.</w:t>
      </w:r>
    </w:p>
    <w:p w14:paraId="139CAF24" w14:textId="7D1945C8" w:rsidR="007C4506" w:rsidRPr="00A33B9F" w:rsidRDefault="00B31839" w:rsidP="002D0F1B">
      <w:pPr>
        <w:pStyle w:val="Text1"/>
        <w:ind w:left="0"/>
        <w:rPr>
          <w:rFonts w:eastAsia="Times New Roman"/>
          <w:noProof/>
          <w:color w:val="000000"/>
          <w:szCs w:val="24"/>
        </w:rPr>
      </w:pPr>
      <w:r w:rsidRPr="00A33B9F">
        <w:rPr>
          <w:noProof/>
          <w:color w:val="000000" w:themeColor="text1"/>
        </w:rPr>
        <w:t>Reforma obejmuje zmianę ustawy – Prawo oświatowe oraz ustawy – Karta nauczyciela. Proces ten poprzedzi przegląd realizowany</w:t>
      </w:r>
      <w:r w:rsidR="00A33B9F" w:rsidRPr="00A33B9F">
        <w:rPr>
          <w:noProof/>
          <w:color w:val="000000" w:themeColor="text1"/>
        </w:rPr>
        <w:t xml:space="preserve"> w ści</w:t>
      </w:r>
      <w:r w:rsidRPr="00A33B9F">
        <w:rPr>
          <w:noProof/>
          <w:color w:val="000000" w:themeColor="text1"/>
        </w:rPr>
        <w:t>słej współpracy</w:t>
      </w:r>
      <w:r w:rsidR="00A33B9F" w:rsidRPr="00A33B9F">
        <w:rPr>
          <w:noProof/>
          <w:color w:val="000000" w:themeColor="text1"/>
        </w:rPr>
        <w:t xml:space="preserve"> z par</w:t>
      </w:r>
      <w:r w:rsidRPr="00A33B9F">
        <w:rPr>
          <w:noProof/>
          <w:color w:val="000000" w:themeColor="text1"/>
        </w:rPr>
        <w:t>tnerami społecznymi, władzami regionalnymi, sektorami</w:t>
      </w:r>
      <w:r w:rsidR="00A33B9F" w:rsidRPr="00A33B9F">
        <w:rPr>
          <w:noProof/>
          <w:color w:val="000000" w:themeColor="text1"/>
        </w:rPr>
        <w:t xml:space="preserve"> i inn</w:t>
      </w:r>
      <w:r w:rsidRPr="00A33B9F">
        <w:rPr>
          <w:noProof/>
          <w:color w:val="000000" w:themeColor="text1"/>
        </w:rPr>
        <w:t>ymi zainteresowanymi stronami</w:t>
      </w:r>
      <w:r w:rsidR="00A33B9F" w:rsidRPr="00A33B9F">
        <w:rPr>
          <w:noProof/>
          <w:color w:val="000000" w:themeColor="text1"/>
        </w:rPr>
        <w:t>. W zmi</w:t>
      </w:r>
      <w:r w:rsidRPr="00A33B9F">
        <w:rPr>
          <w:noProof/>
          <w:color w:val="000000" w:themeColor="text1"/>
        </w:rPr>
        <w:t>anie ustawy – Prawo oświatowe uwzględnia się plan rozwoju sieci centrów umiejętności, wskazuje miejsce</w:t>
      </w:r>
      <w:r w:rsidR="00A33B9F" w:rsidRPr="00A33B9F">
        <w:rPr>
          <w:noProof/>
          <w:color w:val="000000" w:themeColor="text1"/>
        </w:rPr>
        <w:t xml:space="preserve"> i rol</w:t>
      </w:r>
      <w:r w:rsidRPr="00A33B9F">
        <w:rPr>
          <w:noProof/>
          <w:color w:val="000000" w:themeColor="text1"/>
        </w:rPr>
        <w:t>ę centrów umiejętności</w:t>
      </w:r>
      <w:r w:rsidR="00A33B9F" w:rsidRPr="00A33B9F">
        <w:rPr>
          <w:noProof/>
          <w:color w:val="000000" w:themeColor="text1"/>
        </w:rPr>
        <w:t xml:space="preserve"> w sys</w:t>
      </w:r>
      <w:r w:rsidRPr="00A33B9F">
        <w:rPr>
          <w:noProof/>
          <w:color w:val="000000" w:themeColor="text1"/>
        </w:rPr>
        <w:t>temie kształcenia</w:t>
      </w:r>
      <w:r w:rsidR="00A33B9F" w:rsidRPr="00A33B9F">
        <w:rPr>
          <w:noProof/>
          <w:color w:val="000000" w:themeColor="text1"/>
        </w:rPr>
        <w:t xml:space="preserve"> i szk</w:t>
      </w:r>
      <w:r w:rsidRPr="00A33B9F">
        <w:rPr>
          <w:noProof/>
          <w:color w:val="000000" w:themeColor="text1"/>
        </w:rPr>
        <w:t>olenia, określa warunki zatrudniania personelu</w:t>
      </w:r>
      <w:r w:rsidR="00A33B9F" w:rsidRPr="00A33B9F">
        <w:rPr>
          <w:noProof/>
          <w:color w:val="000000" w:themeColor="text1"/>
        </w:rPr>
        <w:t xml:space="preserve"> w cen</w:t>
      </w:r>
      <w:r w:rsidRPr="00A33B9F">
        <w:rPr>
          <w:noProof/>
          <w:color w:val="000000" w:themeColor="text1"/>
        </w:rPr>
        <w:t>trach umiejętności, ustanawia się przepisy dotyczące przeglądów cyklicznych</w:t>
      </w:r>
      <w:r w:rsidR="00A33B9F" w:rsidRPr="00A33B9F">
        <w:rPr>
          <w:noProof/>
          <w:color w:val="000000" w:themeColor="text1"/>
        </w:rPr>
        <w:t xml:space="preserve"> w cel</w:t>
      </w:r>
      <w:r w:rsidRPr="00A33B9F">
        <w:rPr>
          <w:noProof/>
          <w:color w:val="000000" w:themeColor="text1"/>
        </w:rPr>
        <w:t>u zapewnienia nadzoru nad zarządzaniem tymi centrami</w:t>
      </w:r>
      <w:r w:rsidR="00A33B9F" w:rsidRPr="00A33B9F">
        <w:rPr>
          <w:noProof/>
          <w:color w:val="000000" w:themeColor="text1"/>
        </w:rPr>
        <w:t xml:space="preserve"> i nad</w:t>
      </w:r>
      <w:r w:rsidRPr="00A33B9F">
        <w:rPr>
          <w:noProof/>
          <w:color w:val="000000" w:themeColor="text1"/>
        </w:rPr>
        <w:t xml:space="preserve"> ich trwałością po</w:t>
      </w:r>
      <w:r w:rsidR="00A33B9F" w:rsidRPr="00A33B9F">
        <w:rPr>
          <w:noProof/>
          <w:color w:val="000000" w:themeColor="text1"/>
        </w:rPr>
        <w:t> </w:t>
      </w:r>
      <w:r w:rsidRPr="00A33B9F">
        <w:rPr>
          <w:noProof/>
          <w:color w:val="000000" w:themeColor="text1"/>
        </w:rPr>
        <w:t>2026</w:t>
      </w:r>
      <w:r w:rsidR="00A33B9F" w:rsidRPr="00A33B9F">
        <w:rPr>
          <w:noProof/>
          <w:color w:val="000000" w:themeColor="text1"/>
        </w:rPr>
        <w:t> </w:t>
      </w:r>
      <w:r w:rsidRPr="00A33B9F">
        <w:rPr>
          <w:noProof/>
          <w:color w:val="000000" w:themeColor="text1"/>
        </w:rPr>
        <w:t>r.; dzięki dostosowanym do potrzeb przepisom dotyczącym zarządzania centrami umiejętności dostosuje się też istniejący system zarządzania, obejmujący pracodawców (w tym przedstawicieli MŚP), partnerów społecznych</w:t>
      </w:r>
      <w:r w:rsidR="00A33B9F" w:rsidRPr="00A33B9F">
        <w:rPr>
          <w:noProof/>
          <w:color w:val="000000" w:themeColor="text1"/>
        </w:rPr>
        <w:t xml:space="preserve"> i inn</w:t>
      </w:r>
      <w:r w:rsidRPr="00A33B9F">
        <w:rPr>
          <w:noProof/>
          <w:color w:val="000000" w:themeColor="text1"/>
        </w:rPr>
        <w:t>e odpowiednie zainteresowane strony,</w:t>
      </w:r>
      <w:r w:rsidR="00A33B9F" w:rsidRPr="00A33B9F">
        <w:rPr>
          <w:noProof/>
          <w:color w:val="000000" w:themeColor="text1"/>
        </w:rPr>
        <w:t xml:space="preserve"> w tym</w:t>
      </w:r>
      <w:r w:rsidRPr="00A33B9F">
        <w:rPr>
          <w:noProof/>
          <w:color w:val="000000" w:themeColor="text1"/>
        </w:rPr>
        <w:t xml:space="preserve"> samorządy terytorialne</w:t>
      </w:r>
      <w:r w:rsidR="00A33B9F" w:rsidRPr="00A33B9F">
        <w:rPr>
          <w:noProof/>
          <w:color w:val="000000" w:themeColor="text1"/>
        </w:rPr>
        <w:t xml:space="preserve"> i lok</w:t>
      </w:r>
      <w:r w:rsidRPr="00A33B9F">
        <w:rPr>
          <w:noProof/>
          <w:color w:val="000000" w:themeColor="text1"/>
        </w:rPr>
        <w:t>alne. Zmiana będzie też obejmować dokonanie ustaleń dotyczących finansowania (w tym po ustaniu wsparcia ze strony UE), ustalenie warunków szkoleń, ustanowienie przepisów dotyczących poradnictwa zawodowego</w:t>
      </w:r>
      <w:r w:rsidR="00A33B9F" w:rsidRPr="00A33B9F">
        <w:rPr>
          <w:noProof/>
          <w:color w:val="000000" w:themeColor="text1"/>
        </w:rPr>
        <w:t xml:space="preserve"> i pro</w:t>
      </w:r>
      <w:r w:rsidRPr="00A33B9F">
        <w:rPr>
          <w:noProof/>
          <w:color w:val="000000" w:themeColor="text1"/>
        </w:rPr>
        <w:t>gramów nauczania,</w:t>
      </w:r>
      <w:r w:rsidR="00A33B9F" w:rsidRPr="00A33B9F">
        <w:rPr>
          <w:noProof/>
          <w:color w:val="000000" w:themeColor="text1"/>
        </w:rPr>
        <w:t xml:space="preserve"> a tak</w:t>
      </w:r>
      <w:r w:rsidRPr="00A33B9F">
        <w:rPr>
          <w:noProof/>
          <w:color w:val="000000" w:themeColor="text1"/>
        </w:rPr>
        <w:t>że doprecyzowanie rodzajów oferowanych szkoleń, grup docelowych, rodzajów kwalifikacji</w:t>
      </w:r>
      <w:r w:rsidR="00A33B9F" w:rsidRPr="00A33B9F">
        <w:rPr>
          <w:noProof/>
          <w:color w:val="000000" w:themeColor="text1"/>
        </w:rPr>
        <w:t xml:space="preserve"> i nor</w:t>
      </w:r>
      <w:r w:rsidRPr="00A33B9F">
        <w:rPr>
          <w:noProof/>
          <w:color w:val="000000" w:themeColor="text1"/>
        </w:rPr>
        <w:t>m, mechanizmów zapewniania</w:t>
      </w:r>
      <w:r w:rsidR="00A33B9F" w:rsidRPr="00A33B9F">
        <w:rPr>
          <w:noProof/>
          <w:color w:val="000000" w:themeColor="text1"/>
        </w:rPr>
        <w:t xml:space="preserve"> i wer</w:t>
      </w:r>
      <w:r w:rsidRPr="00A33B9F">
        <w:rPr>
          <w:noProof/>
          <w:color w:val="000000" w:themeColor="text1"/>
        </w:rPr>
        <w:t>yfikacji jakości oraz sposobu powiązania sektorów</w:t>
      </w:r>
      <w:r w:rsidR="00A33B9F" w:rsidRPr="00A33B9F">
        <w:rPr>
          <w:noProof/>
          <w:color w:val="000000" w:themeColor="text1"/>
        </w:rPr>
        <w:t xml:space="preserve"> z cen</w:t>
      </w:r>
      <w:r w:rsidRPr="00A33B9F">
        <w:rPr>
          <w:noProof/>
          <w:color w:val="000000" w:themeColor="text1"/>
        </w:rPr>
        <w:t>trami umiejętności</w:t>
      </w:r>
      <w:r w:rsidR="00A33B9F" w:rsidRPr="00A33B9F">
        <w:rPr>
          <w:noProof/>
          <w:color w:val="000000" w:themeColor="text1"/>
        </w:rPr>
        <w:t>. W ram</w:t>
      </w:r>
      <w:r w:rsidRPr="00A33B9F">
        <w:rPr>
          <w:noProof/>
          <w:color w:val="000000" w:themeColor="text1"/>
        </w:rPr>
        <w:t>ach zmiany ustawy – Karta nauczyciela przewidziano zapewnienie obecnym nauczycielom kształcenia zawodowego przez centra umiejętności możliwości ustawicznego szkolenia zawodowego.</w:t>
      </w:r>
    </w:p>
    <w:p w14:paraId="2892FC7F" w14:textId="06E984D9" w:rsidR="00807FAA" w:rsidRPr="00A33B9F" w:rsidRDefault="00807FAA" w:rsidP="002D0F1B">
      <w:pPr>
        <w:pStyle w:val="Text1"/>
        <w:ind w:left="0"/>
        <w:rPr>
          <w:rFonts w:eastAsia="Times New Roman"/>
          <w:noProof/>
          <w:color w:val="000000"/>
          <w:szCs w:val="24"/>
        </w:rPr>
      </w:pPr>
      <w:r w:rsidRPr="00A33B9F">
        <w:rPr>
          <w:noProof/>
          <w:color w:val="000000" w:themeColor="text1"/>
        </w:rPr>
        <w:t>Celem reformy jest również dostosowanie koordynacji kształcenia</w:t>
      </w:r>
      <w:r w:rsidR="00A33B9F" w:rsidRPr="00A33B9F">
        <w:rPr>
          <w:noProof/>
          <w:color w:val="000000" w:themeColor="text1"/>
        </w:rPr>
        <w:t xml:space="preserve"> i szk</w:t>
      </w:r>
      <w:r w:rsidRPr="00A33B9F">
        <w:rPr>
          <w:noProof/>
          <w:color w:val="000000" w:themeColor="text1"/>
        </w:rPr>
        <w:t>olenia zawodowego, szkolnictwa wyższego</w:t>
      </w:r>
      <w:r w:rsidR="00A33B9F" w:rsidRPr="00A33B9F">
        <w:rPr>
          <w:noProof/>
          <w:color w:val="000000" w:themeColor="text1"/>
        </w:rPr>
        <w:t xml:space="preserve"> i ucz</w:t>
      </w:r>
      <w:r w:rsidRPr="00A33B9F">
        <w:rPr>
          <w:noProof/>
          <w:color w:val="000000" w:themeColor="text1"/>
        </w:rPr>
        <w:t>enia się przez całe życie</w:t>
      </w:r>
      <w:r w:rsidR="00A33B9F" w:rsidRPr="00A33B9F">
        <w:rPr>
          <w:noProof/>
          <w:color w:val="000000" w:themeColor="text1"/>
        </w:rPr>
        <w:t xml:space="preserve"> w reg</w:t>
      </w:r>
      <w:r w:rsidRPr="00A33B9F">
        <w:rPr>
          <w:noProof/>
          <w:color w:val="000000" w:themeColor="text1"/>
        </w:rPr>
        <w:t>ionach</w:t>
      </w:r>
      <w:r w:rsidR="00A33B9F" w:rsidRPr="00A33B9F">
        <w:rPr>
          <w:noProof/>
          <w:color w:val="000000" w:themeColor="text1"/>
        </w:rPr>
        <w:t xml:space="preserve"> w cel</w:t>
      </w:r>
      <w:r w:rsidRPr="00A33B9F">
        <w:rPr>
          <w:noProof/>
          <w:color w:val="000000" w:themeColor="text1"/>
        </w:rPr>
        <w:t>u wypracowania trwałych</w:t>
      </w:r>
      <w:r w:rsidR="00A33B9F" w:rsidRPr="00A33B9F">
        <w:rPr>
          <w:noProof/>
          <w:color w:val="000000" w:themeColor="text1"/>
        </w:rPr>
        <w:t xml:space="preserve"> i sku</w:t>
      </w:r>
      <w:r w:rsidRPr="00A33B9F">
        <w:rPr>
          <w:noProof/>
          <w:color w:val="000000" w:themeColor="text1"/>
        </w:rPr>
        <w:t>tecznych metod współpracy</w:t>
      </w:r>
      <w:r w:rsidR="00A33B9F" w:rsidRPr="00A33B9F">
        <w:rPr>
          <w:noProof/>
          <w:color w:val="000000" w:themeColor="text1"/>
        </w:rPr>
        <w:t xml:space="preserve"> i int</w:t>
      </w:r>
      <w:r w:rsidRPr="00A33B9F">
        <w:rPr>
          <w:noProof/>
          <w:color w:val="000000" w:themeColor="text1"/>
        </w:rPr>
        <w:t>erakcji między różnymi zainteresowanymi stronami</w:t>
      </w:r>
      <w:r w:rsidR="00A33B9F" w:rsidRPr="00A33B9F">
        <w:rPr>
          <w:noProof/>
          <w:color w:val="000000" w:themeColor="text1"/>
        </w:rPr>
        <w:t xml:space="preserve"> w dzi</w:t>
      </w:r>
      <w:r w:rsidRPr="00A33B9F">
        <w:rPr>
          <w:noProof/>
          <w:color w:val="000000" w:themeColor="text1"/>
        </w:rPr>
        <w:t>edzinie rozwoju umiejętności, które to strony wchodzą</w:t>
      </w:r>
      <w:r w:rsidR="00A33B9F" w:rsidRPr="00A33B9F">
        <w:rPr>
          <w:noProof/>
          <w:color w:val="000000" w:themeColor="text1"/>
        </w:rPr>
        <w:t xml:space="preserve"> w skł</w:t>
      </w:r>
      <w:r w:rsidRPr="00A33B9F">
        <w:rPr>
          <w:noProof/>
          <w:color w:val="000000" w:themeColor="text1"/>
        </w:rPr>
        <w:t>ad różnych struktur zarządzania (takie jak instytucje oświatowe, instytucje rynku pracy, przedsiębiorstwa</w:t>
      </w:r>
      <w:r w:rsidR="00A33B9F" w:rsidRPr="00A33B9F">
        <w:rPr>
          <w:noProof/>
          <w:color w:val="000000" w:themeColor="text1"/>
        </w:rPr>
        <w:t xml:space="preserve"> i org</w:t>
      </w:r>
      <w:r w:rsidRPr="00A33B9F">
        <w:rPr>
          <w:noProof/>
          <w:color w:val="000000" w:themeColor="text1"/>
        </w:rPr>
        <w:t xml:space="preserve">anizacje pracodawców oraz samorządy terytorialne). </w:t>
      </w:r>
    </w:p>
    <w:p w14:paraId="29ED6463" w14:textId="27E17F06" w:rsidR="00807FAA" w:rsidRPr="00A33B9F" w:rsidRDefault="00807FAA" w:rsidP="002D0F1B">
      <w:pPr>
        <w:pStyle w:val="Text1"/>
        <w:ind w:left="0"/>
        <w:rPr>
          <w:rFonts w:eastAsia="Times New Roman"/>
          <w:noProof/>
          <w:color w:val="000000"/>
          <w:szCs w:val="24"/>
        </w:rPr>
      </w:pPr>
      <w:r w:rsidRPr="00A33B9F">
        <w:rPr>
          <w:noProof/>
          <w:color w:val="000000" w:themeColor="text1"/>
        </w:rPr>
        <w:t>Cel ten zostanie osiągnięty</w:t>
      </w:r>
      <w:r w:rsidR="00A33B9F" w:rsidRPr="00A33B9F">
        <w:rPr>
          <w:noProof/>
          <w:color w:val="000000" w:themeColor="text1"/>
        </w:rPr>
        <w:t xml:space="preserve"> w dro</w:t>
      </w:r>
      <w:r w:rsidRPr="00A33B9F">
        <w:rPr>
          <w:noProof/>
          <w:color w:val="000000" w:themeColor="text1"/>
        </w:rPr>
        <w:t>dze wprowadzenia</w:t>
      </w:r>
      <w:r w:rsidR="00A33B9F" w:rsidRPr="00A33B9F">
        <w:rPr>
          <w:noProof/>
          <w:color w:val="000000" w:themeColor="text1"/>
        </w:rPr>
        <w:t xml:space="preserve"> w życ</w:t>
      </w:r>
      <w:r w:rsidRPr="00A33B9F">
        <w:rPr>
          <w:noProof/>
          <w:color w:val="000000" w:themeColor="text1"/>
        </w:rPr>
        <w:t>ie zmian</w:t>
      </w:r>
      <w:r w:rsidR="00A33B9F" w:rsidRPr="00A33B9F">
        <w:rPr>
          <w:noProof/>
          <w:color w:val="000000" w:themeColor="text1"/>
        </w:rPr>
        <w:t xml:space="preserve"> w sze</w:t>
      </w:r>
      <w:r w:rsidRPr="00A33B9F">
        <w:rPr>
          <w:noProof/>
          <w:color w:val="000000" w:themeColor="text1"/>
        </w:rPr>
        <w:t>regu aktów ustawodawczych, po przeprowadzeniu procesu przeglądu istniejących mechanizmów koordynacji</w:t>
      </w:r>
      <w:r w:rsidR="00A33B9F" w:rsidRPr="00A33B9F">
        <w:rPr>
          <w:noProof/>
          <w:color w:val="000000" w:themeColor="text1"/>
        </w:rPr>
        <w:t xml:space="preserve"> i w ści</w:t>
      </w:r>
      <w:r w:rsidRPr="00A33B9F">
        <w:rPr>
          <w:noProof/>
          <w:color w:val="000000" w:themeColor="text1"/>
        </w:rPr>
        <w:t>słej współpracy</w:t>
      </w:r>
      <w:r w:rsidR="00A33B9F" w:rsidRPr="00A33B9F">
        <w:rPr>
          <w:noProof/>
          <w:color w:val="000000" w:themeColor="text1"/>
        </w:rPr>
        <w:t xml:space="preserve"> z sam</w:t>
      </w:r>
      <w:r w:rsidRPr="00A33B9F">
        <w:rPr>
          <w:noProof/>
          <w:color w:val="000000" w:themeColor="text1"/>
        </w:rPr>
        <w:t>orządami lokalnymi</w:t>
      </w:r>
      <w:r w:rsidR="00A33B9F" w:rsidRPr="00A33B9F">
        <w:rPr>
          <w:noProof/>
          <w:color w:val="000000" w:themeColor="text1"/>
        </w:rPr>
        <w:t xml:space="preserve"> i ter</w:t>
      </w:r>
      <w:r w:rsidRPr="00A33B9F">
        <w:rPr>
          <w:noProof/>
          <w:color w:val="000000" w:themeColor="text1"/>
        </w:rPr>
        <w:t>ytorialnymi. Reforma przewiduje określenie praw</w:t>
      </w:r>
      <w:r w:rsidR="00A33B9F" w:rsidRPr="00A33B9F">
        <w:rPr>
          <w:noProof/>
          <w:color w:val="000000" w:themeColor="text1"/>
        </w:rPr>
        <w:t xml:space="preserve"> i obo</w:t>
      </w:r>
      <w:r w:rsidRPr="00A33B9F">
        <w:rPr>
          <w:noProof/>
          <w:color w:val="000000" w:themeColor="text1"/>
        </w:rPr>
        <w:t>wiązków regionów</w:t>
      </w:r>
      <w:r w:rsidR="00A33B9F" w:rsidRPr="00A33B9F">
        <w:rPr>
          <w:noProof/>
          <w:color w:val="000000" w:themeColor="text1"/>
        </w:rPr>
        <w:t xml:space="preserve"> w zak</w:t>
      </w:r>
      <w:r w:rsidRPr="00A33B9F">
        <w:rPr>
          <w:noProof/>
          <w:color w:val="000000" w:themeColor="text1"/>
        </w:rPr>
        <w:t>resie koordynacji polityki</w:t>
      </w:r>
      <w:r w:rsidR="00A33B9F" w:rsidRPr="00A33B9F">
        <w:rPr>
          <w:noProof/>
          <w:color w:val="000000" w:themeColor="text1"/>
        </w:rPr>
        <w:t xml:space="preserve"> w dzi</w:t>
      </w:r>
      <w:r w:rsidRPr="00A33B9F">
        <w:rPr>
          <w:noProof/>
          <w:color w:val="000000" w:themeColor="text1"/>
        </w:rPr>
        <w:t>edzinie umiejętności oraz wzbogacania oferty instytucji uczenia się przez całe życie</w:t>
      </w:r>
      <w:r w:rsidR="00A33B9F" w:rsidRPr="00A33B9F">
        <w:rPr>
          <w:noProof/>
          <w:color w:val="000000" w:themeColor="text1"/>
        </w:rPr>
        <w:t xml:space="preserve"> w opa</w:t>
      </w:r>
      <w:r w:rsidRPr="00A33B9F">
        <w:rPr>
          <w:noProof/>
          <w:color w:val="000000" w:themeColor="text1"/>
        </w:rPr>
        <w:t>rciu</w:t>
      </w:r>
      <w:r w:rsidR="00A33B9F" w:rsidRPr="00A33B9F">
        <w:rPr>
          <w:noProof/>
          <w:color w:val="000000" w:themeColor="text1"/>
        </w:rPr>
        <w:t xml:space="preserve"> o zop</w:t>
      </w:r>
      <w:r w:rsidRPr="00A33B9F">
        <w:rPr>
          <w:noProof/>
          <w:color w:val="000000" w:themeColor="text1"/>
        </w:rPr>
        <w:t>eracjonalizowane programy wdrażania (krajowych) Zintegrowanych Strategii Umiejętności 2030 na szczeblu regionalnym. Zmiany te obejmują prawne ustanowienie Wojewódzkich Zespołów Koordynacji (po jednym</w:t>
      </w:r>
      <w:r w:rsidR="00A33B9F" w:rsidRPr="00A33B9F">
        <w:rPr>
          <w:noProof/>
          <w:color w:val="000000" w:themeColor="text1"/>
        </w:rPr>
        <w:t xml:space="preserve"> w każ</w:t>
      </w:r>
      <w:r w:rsidRPr="00A33B9F">
        <w:rPr>
          <w:noProof/>
          <w:color w:val="000000" w:themeColor="text1"/>
        </w:rPr>
        <w:t>dym województwie) koordynujących politykę</w:t>
      </w:r>
      <w:r w:rsidR="00A33B9F" w:rsidRPr="00A33B9F">
        <w:rPr>
          <w:noProof/>
          <w:color w:val="000000" w:themeColor="text1"/>
        </w:rPr>
        <w:t xml:space="preserve"> w zak</w:t>
      </w:r>
      <w:r w:rsidRPr="00A33B9F">
        <w:rPr>
          <w:noProof/>
          <w:color w:val="000000" w:themeColor="text1"/>
        </w:rPr>
        <w:t>resie kształcenia</w:t>
      </w:r>
      <w:r w:rsidR="00A33B9F" w:rsidRPr="00A33B9F">
        <w:rPr>
          <w:noProof/>
          <w:color w:val="000000" w:themeColor="text1"/>
        </w:rPr>
        <w:t xml:space="preserve"> i szk</w:t>
      </w:r>
      <w:r w:rsidRPr="00A33B9F">
        <w:rPr>
          <w:noProof/>
          <w:color w:val="000000" w:themeColor="text1"/>
        </w:rPr>
        <w:t>olenia zawodowego, szkolnictwa wyższego oraz uczenia się przez całe życie; strukturę zarządzania uwzględniającą obowiązki regionów</w:t>
      </w:r>
      <w:r w:rsidR="00A33B9F" w:rsidRPr="00A33B9F">
        <w:rPr>
          <w:noProof/>
          <w:color w:val="000000" w:themeColor="text1"/>
        </w:rPr>
        <w:t xml:space="preserve"> i par</w:t>
      </w:r>
      <w:r w:rsidRPr="00A33B9F">
        <w:rPr>
          <w:noProof/>
          <w:color w:val="000000" w:themeColor="text1"/>
        </w:rPr>
        <w:t>tnerów społecznych; obowiązek przyjęcia zoperacjonalizowanych programów wdrażania krajowej Zintegrowanej Strategii Umiejętności 2030 na szczeblu regionalnym (po jednym</w:t>
      </w:r>
      <w:r w:rsidR="00A33B9F" w:rsidRPr="00A33B9F">
        <w:rPr>
          <w:noProof/>
          <w:color w:val="000000" w:themeColor="text1"/>
        </w:rPr>
        <w:t xml:space="preserve"> w każ</w:t>
      </w:r>
      <w:r w:rsidRPr="00A33B9F">
        <w:rPr>
          <w:noProof/>
          <w:color w:val="000000" w:themeColor="text1"/>
        </w:rPr>
        <w:t>dym województwie) oraz aktualizacji programu co pięć lat,</w:t>
      </w:r>
      <w:r w:rsidR="00A33B9F" w:rsidRPr="00A33B9F">
        <w:rPr>
          <w:noProof/>
          <w:color w:val="000000" w:themeColor="text1"/>
        </w:rPr>
        <w:t xml:space="preserve"> a tak</w:t>
      </w:r>
      <w:r w:rsidRPr="00A33B9F">
        <w:rPr>
          <w:noProof/>
          <w:color w:val="000000" w:themeColor="text1"/>
        </w:rPr>
        <w:t>że zapewnienia dostosowania oferty edukacyjnej do rozpoznanych potrzeb</w:t>
      </w:r>
      <w:r w:rsidR="00A33B9F" w:rsidRPr="00A33B9F">
        <w:rPr>
          <w:noProof/>
          <w:color w:val="000000" w:themeColor="text1"/>
        </w:rPr>
        <w:t xml:space="preserve"> w zak</w:t>
      </w:r>
      <w:r w:rsidRPr="00A33B9F">
        <w:rPr>
          <w:noProof/>
          <w:color w:val="000000" w:themeColor="text1"/>
        </w:rPr>
        <w:t>resie umiejętności. Zmiany obejmują wprowadzenie przepisów dotyczących funkcjonowania biura koordynacji (zapewniającego usługi na rzecz Wojewódzkiego Zespołu Koordynacji) oraz planu wdrażania dotyczącego monitorowania</w:t>
      </w:r>
      <w:r w:rsidR="00A33B9F" w:rsidRPr="00A33B9F">
        <w:rPr>
          <w:noProof/>
          <w:color w:val="000000" w:themeColor="text1"/>
        </w:rPr>
        <w:t xml:space="preserve"> i ewa</w:t>
      </w:r>
      <w:r w:rsidRPr="00A33B9F">
        <w:rPr>
          <w:noProof/>
          <w:color w:val="000000" w:themeColor="text1"/>
        </w:rPr>
        <w:t>luacji.</w:t>
      </w:r>
    </w:p>
    <w:p w14:paraId="1330F20D" w14:textId="71F02873" w:rsidR="00807FAA" w:rsidRPr="00A33B9F" w:rsidRDefault="00807FAA" w:rsidP="002D0F1B">
      <w:pPr>
        <w:pStyle w:val="Text1"/>
        <w:ind w:left="0"/>
        <w:rPr>
          <w:rFonts w:eastAsia="Times New Roman"/>
          <w:noProof/>
          <w:color w:val="000000" w:themeColor="text1"/>
          <w:szCs w:val="24"/>
        </w:rPr>
      </w:pPr>
      <w:r w:rsidRPr="00A33B9F">
        <w:rPr>
          <w:noProof/>
          <w:color w:val="000000" w:themeColor="text1"/>
        </w:rPr>
        <w:t>Realizacja reformy zostanie zakończona do dnia 31 marca 2025</w:t>
      </w:r>
      <w:r w:rsidR="00A33B9F" w:rsidRPr="00A33B9F">
        <w:rPr>
          <w:noProof/>
          <w:color w:val="000000" w:themeColor="text1"/>
        </w:rPr>
        <w:t> </w:t>
      </w:r>
      <w:r w:rsidRPr="00A33B9F">
        <w:rPr>
          <w:noProof/>
          <w:color w:val="000000" w:themeColor="text1"/>
        </w:rPr>
        <w:t xml:space="preserve">r. </w:t>
      </w:r>
    </w:p>
    <w:p w14:paraId="136C4316" w14:textId="77777777" w:rsidR="0002330F" w:rsidRPr="00A33B9F" w:rsidRDefault="0002330F" w:rsidP="00807FA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F8F7F17" w14:textId="38D6C5C1" w:rsidR="00014699" w:rsidRPr="00A33B9F" w:rsidRDefault="00B31839" w:rsidP="002D0F1B">
      <w:pPr>
        <w:pStyle w:val="Text1"/>
        <w:ind w:left="0"/>
        <w:rPr>
          <w:rFonts w:eastAsia="Times New Roman"/>
          <w:b/>
          <w:bCs/>
          <w:noProof/>
          <w:color w:val="000000"/>
          <w:szCs w:val="24"/>
          <w:u w:val="single"/>
        </w:rPr>
      </w:pPr>
      <w:r w:rsidRPr="00A33B9F">
        <w:rPr>
          <w:b/>
          <w:noProof/>
          <w:color w:val="000000" w:themeColor="text1"/>
          <w:u w:val="single"/>
        </w:rPr>
        <w:t>A3.1.1 Wsparcie rozwoju nowoczesnego szkolenia zawodowego, szkolnictwa wyższego oraz uczenia się przez całe życie</w:t>
      </w:r>
    </w:p>
    <w:p w14:paraId="370C55E9" w14:textId="448F2281" w:rsidR="007C4506" w:rsidRPr="00A33B9F" w:rsidRDefault="00B31839" w:rsidP="002D0F1B">
      <w:pPr>
        <w:pStyle w:val="Text1"/>
        <w:ind w:left="0"/>
        <w:rPr>
          <w:rFonts w:eastAsia="Times New Roman"/>
          <w:noProof/>
          <w:color w:val="000000"/>
          <w:szCs w:val="24"/>
        </w:rPr>
      </w:pPr>
      <w:r w:rsidRPr="00A33B9F">
        <w:rPr>
          <w:noProof/>
          <w:color w:val="000000" w:themeColor="text1"/>
        </w:rPr>
        <w:t>Celem inwestycji powiązanych</w:t>
      </w:r>
      <w:r w:rsidR="00A33B9F" w:rsidRPr="00A33B9F">
        <w:rPr>
          <w:noProof/>
          <w:color w:val="000000" w:themeColor="text1"/>
        </w:rPr>
        <w:t xml:space="preserve"> z ref</w:t>
      </w:r>
      <w:r w:rsidRPr="00A33B9F">
        <w:rPr>
          <w:noProof/>
          <w:color w:val="000000" w:themeColor="text1"/>
        </w:rPr>
        <w:t>ormą A3.1 będzie faktyczne utworzenie</w:t>
      </w:r>
      <w:r w:rsidR="00A33B9F" w:rsidRPr="00A33B9F">
        <w:rPr>
          <w:noProof/>
          <w:color w:val="000000" w:themeColor="text1"/>
        </w:rPr>
        <w:t xml:space="preserve"> i zap</w:t>
      </w:r>
      <w:r w:rsidRPr="00A33B9F">
        <w:rPr>
          <w:noProof/>
          <w:color w:val="000000" w:themeColor="text1"/>
        </w:rPr>
        <w:t>ewnienie pełnego funkcjonowania sieci branżowych centrów umiejętności</w:t>
      </w:r>
      <w:r w:rsidR="00A33B9F" w:rsidRPr="00A33B9F">
        <w:rPr>
          <w:noProof/>
          <w:color w:val="000000" w:themeColor="text1"/>
        </w:rPr>
        <w:t xml:space="preserve"> w cel</w:t>
      </w:r>
      <w:r w:rsidRPr="00A33B9F">
        <w:rPr>
          <w:noProof/>
          <w:color w:val="000000" w:themeColor="text1"/>
        </w:rPr>
        <w:t>u wsparcia rozwoju nowoczesnego szkolenia zawodowego, szkolnictwa wyższego oraz uczenia się przez całe życie. Obejmie to utworzenie centrów umiejętności oraz zapewnienie kursów</w:t>
      </w:r>
      <w:r w:rsidR="00A33B9F" w:rsidRPr="00A33B9F">
        <w:rPr>
          <w:noProof/>
          <w:color w:val="000000" w:themeColor="text1"/>
        </w:rPr>
        <w:t xml:space="preserve"> i pro</w:t>
      </w:r>
      <w:r w:rsidRPr="00A33B9F">
        <w:rPr>
          <w:noProof/>
          <w:color w:val="000000" w:themeColor="text1"/>
        </w:rPr>
        <w:t>gramów szkolenia zawodowego,</w:t>
      </w:r>
      <w:r w:rsidR="00A33B9F" w:rsidRPr="00A33B9F">
        <w:rPr>
          <w:noProof/>
          <w:color w:val="000000" w:themeColor="text1"/>
        </w:rPr>
        <w:t xml:space="preserve"> w tym</w:t>
      </w:r>
      <w:r w:rsidRPr="00A33B9F">
        <w:rPr>
          <w:noProof/>
          <w:color w:val="000000" w:themeColor="text1"/>
        </w:rPr>
        <w:t xml:space="preserve"> dla dorosłych, studentów, osób młodych, nauczycieli zajmujących się kształceniem</w:t>
      </w:r>
      <w:r w:rsidR="00A33B9F" w:rsidRPr="00A33B9F">
        <w:rPr>
          <w:noProof/>
          <w:color w:val="000000" w:themeColor="text1"/>
        </w:rPr>
        <w:t xml:space="preserve"> i szk</w:t>
      </w:r>
      <w:r w:rsidRPr="00A33B9F">
        <w:rPr>
          <w:noProof/>
          <w:color w:val="000000" w:themeColor="text1"/>
        </w:rPr>
        <w:t xml:space="preserve">oleniem zawodowym oraz pracowników. Inwestycja nie obejmuje zakupu gruntów. </w:t>
      </w:r>
    </w:p>
    <w:p w14:paraId="310025BF" w14:textId="07C1780D"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W kontekście zapewniania programów podnoszenia</w:t>
      </w:r>
      <w:r w:rsidR="00A33B9F" w:rsidRPr="00A33B9F">
        <w:rPr>
          <w:noProof/>
          <w:color w:val="000000" w:themeColor="text1"/>
        </w:rPr>
        <w:t xml:space="preserve"> i zmi</w:t>
      </w:r>
      <w:r w:rsidRPr="00A33B9F">
        <w:rPr>
          <w:noProof/>
          <w:color w:val="000000" w:themeColor="text1"/>
        </w:rPr>
        <w:t>any kwalifikacji oraz programów szkoleń</w:t>
      </w:r>
      <w:r w:rsidR="00A33B9F" w:rsidRPr="00A33B9F">
        <w:rPr>
          <w:noProof/>
          <w:color w:val="000000" w:themeColor="text1"/>
        </w:rPr>
        <w:t xml:space="preserve"> w cen</w:t>
      </w:r>
      <w:r w:rsidRPr="00A33B9F">
        <w:rPr>
          <w:noProof/>
          <w:color w:val="000000" w:themeColor="text1"/>
        </w:rPr>
        <w:t>trach umiejętności,</w:t>
      </w:r>
      <w:r w:rsidR="00A33B9F" w:rsidRPr="00A33B9F">
        <w:rPr>
          <w:noProof/>
          <w:color w:val="000000" w:themeColor="text1"/>
        </w:rPr>
        <w:t xml:space="preserve"> w tym</w:t>
      </w:r>
      <w:r w:rsidRPr="00A33B9F">
        <w:rPr>
          <w:noProof/>
          <w:color w:val="000000" w:themeColor="text1"/>
        </w:rPr>
        <w:t xml:space="preserve"> certyfikatów potwierdzających efekty uczenia się, we wszystkich centrach szkolenie odbędzie 24 000 osób uczących się. Co najmniej 60</w:t>
      </w:r>
      <w:r w:rsidR="00A33B9F" w:rsidRPr="00A33B9F">
        <w:rPr>
          <w:noProof/>
          <w:color w:val="000000" w:themeColor="text1"/>
        </w:rPr>
        <w:t> </w:t>
      </w:r>
      <w:r w:rsidRPr="00A33B9F">
        <w:rPr>
          <w:noProof/>
          <w:color w:val="000000" w:themeColor="text1"/>
        </w:rPr>
        <w:t>% spośród tych osób uczących się będą stanowić osoby dorosłe (co najmniej 25 lat – nie uwzględniając nauczycieli zajmujących się kształceniem</w:t>
      </w:r>
      <w:r w:rsidR="00A33B9F" w:rsidRPr="00A33B9F">
        <w:rPr>
          <w:noProof/>
          <w:color w:val="000000" w:themeColor="text1"/>
        </w:rPr>
        <w:t xml:space="preserve"> i szk</w:t>
      </w:r>
      <w:r w:rsidRPr="00A33B9F">
        <w:rPr>
          <w:noProof/>
          <w:color w:val="000000" w:themeColor="text1"/>
        </w:rPr>
        <w:t>oleniem zawodowym); co najmniej 20</w:t>
      </w:r>
      <w:r w:rsidR="00A33B9F" w:rsidRPr="00A33B9F">
        <w:rPr>
          <w:noProof/>
          <w:color w:val="000000" w:themeColor="text1"/>
        </w:rPr>
        <w:t> </w:t>
      </w:r>
      <w:r w:rsidRPr="00A33B9F">
        <w:rPr>
          <w:noProof/>
          <w:color w:val="000000" w:themeColor="text1"/>
        </w:rPr>
        <w:t>% osób uczących się będą stanowić osoby młode (14–24 lat); co najmniej 10</w:t>
      </w:r>
      <w:r w:rsidR="00A33B9F" w:rsidRPr="00A33B9F">
        <w:rPr>
          <w:noProof/>
          <w:color w:val="000000" w:themeColor="text1"/>
        </w:rPr>
        <w:t> </w:t>
      </w:r>
      <w:r w:rsidRPr="00A33B9F">
        <w:rPr>
          <w:noProof/>
          <w:color w:val="000000" w:themeColor="text1"/>
        </w:rPr>
        <w:t>% osób uczących się będą stanowić obecni nauczyciele zajmujący się kształceniem</w:t>
      </w:r>
      <w:r w:rsidR="00A33B9F" w:rsidRPr="00A33B9F">
        <w:rPr>
          <w:noProof/>
          <w:color w:val="000000" w:themeColor="text1"/>
        </w:rPr>
        <w:t xml:space="preserve"> i szk</w:t>
      </w:r>
      <w:r w:rsidRPr="00A33B9F">
        <w:rPr>
          <w:noProof/>
          <w:color w:val="000000" w:themeColor="text1"/>
        </w:rPr>
        <w:t>oleniem zawodowym, którzy uczestniczą</w:t>
      </w:r>
      <w:r w:rsidR="00A33B9F" w:rsidRPr="00A33B9F">
        <w:rPr>
          <w:noProof/>
          <w:color w:val="000000" w:themeColor="text1"/>
        </w:rPr>
        <w:t xml:space="preserve"> w szk</w:t>
      </w:r>
      <w:r w:rsidRPr="00A33B9F">
        <w:rPr>
          <w:noProof/>
          <w:color w:val="000000" w:themeColor="text1"/>
        </w:rPr>
        <w:t>oleniu</w:t>
      </w:r>
      <w:r w:rsidR="00A33B9F" w:rsidRPr="00A33B9F">
        <w:rPr>
          <w:noProof/>
          <w:color w:val="000000" w:themeColor="text1"/>
        </w:rPr>
        <w:t xml:space="preserve"> w pie</w:t>
      </w:r>
      <w:r w:rsidRPr="00A33B9F">
        <w:rPr>
          <w:noProof/>
          <w:color w:val="000000" w:themeColor="text1"/>
        </w:rPr>
        <w:t>rwszych dwóch latach działania centrów umiejętności (po zmianie ustawy – Karta nauczyciela). Ponadto każdy program podnoszenia kwalifikacji musi obejmować co najmniej wymiar cyfrowy</w:t>
      </w:r>
      <w:r w:rsidR="00A33B9F" w:rsidRPr="00A33B9F">
        <w:rPr>
          <w:noProof/>
          <w:color w:val="000000" w:themeColor="text1"/>
        </w:rPr>
        <w:t xml:space="preserve"> i eko</w:t>
      </w:r>
      <w:r w:rsidRPr="00A33B9F">
        <w:rPr>
          <w:noProof/>
          <w:color w:val="000000" w:themeColor="text1"/>
        </w:rPr>
        <w:t>logiczny</w:t>
      </w:r>
      <w:r w:rsidR="00A33B9F" w:rsidRPr="00A33B9F">
        <w:rPr>
          <w:noProof/>
          <w:color w:val="000000" w:themeColor="text1"/>
        </w:rPr>
        <w:t xml:space="preserve"> w opa</w:t>
      </w:r>
      <w:r w:rsidRPr="00A33B9F">
        <w:rPr>
          <w:noProof/>
          <w:color w:val="000000" w:themeColor="text1"/>
        </w:rPr>
        <w:t>rciu</w:t>
      </w:r>
      <w:r w:rsidR="00A33B9F" w:rsidRPr="00A33B9F">
        <w:rPr>
          <w:noProof/>
          <w:color w:val="000000" w:themeColor="text1"/>
        </w:rPr>
        <w:t xml:space="preserve"> o naj</w:t>
      </w:r>
      <w:r w:rsidRPr="00A33B9F">
        <w:rPr>
          <w:noProof/>
          <w:color w:val="000000" w:themeColor="text1"/>
        </w:rPr>
        <w:t>lepszą dostępną wiedzę</w:t>
      </w:r>
      <w:r w:rsidR="00A33B9F" w:rsidRPr="00A33B9F">
        <w:rPr>
          <w:noProof/>
          <w:color w:val="000000" w:themeColor="text1"/>
        </w:rPr>
        <w:t xml:space="preserve"> i dan</w:t>
      </w:r>
      <w:r w:rsidRPr="00A33B9F">
        <w:rPr>
          <w:noProof/>
          <w:color w:val="000000" w:themeColor="text1"/>
        </w:rPr>
        <w:t>e naukowe</w:t>
      </w:r>
      <w:r w:rsidR="00A33B9F" w:rsidRPr="00A33B9F">
        <w:rPr>
          <w:noProof/>
          <w:color w:val="000000" w:themeColor="text1"/>
        </w:rPr>
        <w:t>. W dzi</w:t>
      </w:r>
      <w:r w:rsidRPr="00A33B9F">
        <w:rPr>
          <w:noProof/>
          <w:color w:val="000000" w:themeColor="text1"/>
        </w:rPr>
        <w:t xml:space="preserve">ałanie centrów umiejętności zaangażowanych zostanie co najmniej 90 organizacji sektorowych (którym zapewnione zostaną szkolenia). </w:t>
      </w:r>
    </w:p>
    <w:p w14:paraId="0191D6C5" w14:textId="267F023C" w:rsidR="00014699" w:rsidRPr="00A33B9F" w:rsidRDefault="00014699" w:rsidP="002D0F1B">
      <w:pPr>
        <w:pStyle w:val="Text1"/>
        <w:ind w:left="0"/>
        <w:rPr>
          <w:rFonts w:eastAsia="Times New Roman"/>
          <w:noProof/>
          <w:color w:val="000000"/>
          <w:szCs w:val="24"/>
        </w:rPr>
      </w:pPr>
      <w:r w:rsidRPr="00A33B9F">
        <w:rPr>
          <w:noProof/>
          <w:color w:val="000000" w:themeColor="text1"/>
        </w:rPr>
        <w:t>W ramach inwestycji ustanowionych zostanie również co najmniej 14 funkcjonujących Wojewódzkich Zespołów Koordynacji, przy czym celem ogólnym jest powołanie 16 Wojewódzkich Zespołów Koordynacji (po jednym</w:t>
      </w:r>
      <w:r w:rsidR="00A33B9F" w:rsidRPr="00A33B9F">
        <w:rPr>
          <w:noProof/>
          <w:color w:val="000000" w:themeColor="text1"/>
        </w:rPr>
        <w:t xml:space="preserve"> w każ</w:t>
      </w:r>
      <w:r w:rsidRPr="00A33B9F">
        <w:rPr>
          <w:noProof/>
          <w:color w:val="000000" w:themeColor="text1"/>
        </w:rPr>
        <w:t>dym województwie). Te zespoły będą koordynować politykę</w:t>
      </w:r>
      <w:r w:rsidR="00A33B9F" w:rsidRPr="00A33B9F">
        <w:rPr>
          <w:noProof/>
          <w:color w:val="000000" w:themeColor="text1"/>
        </w:rPr>
        <w:t xml:space="preserve"> w zak</w:t>
      </w:r>
      <w:r w:rsidRPr="00A33B9F">
        <w:rPr>
          <w:noProof/>
          <w:color w:val="000000" w:themeColor="text1"/>
        </w:rPr>
        <w:t>resie kształcenia</w:t>
      </w:r>
      <w:r w:rsidR="00A33B9F" w:rsidRPr="00A33B9F">
        <w:rPr>
          <w:noProof/>
          <w:color w:val="000000" w:themeColor="text1"/>
        </w:rPr>
        <w:t xml:space="preserve"> i szk</w:t>
      </w:r>
      <w:r w:rsidRPr="00A33B9F">
        <w:rPr>
          <w:noProof/>
          <w:color w:val="000000" w:themeColor="text1"/>
        </w:rPr>
        <w:t>olenia zawodowego oraz uczenia się przez całe życie. Inwestycja obejmuje wsparcie</w:t>
      </w:r>
      <w:r w:rsidR="00A33B9F" w:rsidRPr="00A33B9F">
        <w:rPr>
          <w:noProof/>
          <w:color w:val="000000" w:themeColor="text1"/>
        </w:rPr>
        <w:t xml:space="preserve"> i roz</w:t>
      </w:r>
      <w:r w:rsidRPr="00A33B9F">
        <w:rPr>
          <w:noProof/>
          <w:color w:val="000000" w:themeColor="text1"/>
        </w:rPr>
        <w:t>wój mechanizmów koordynacji na szczeblu centralnym</w:t>
      </w:r>
      <w:r w:rsidR="00A33B9F" w:rsidRPr="00A33B9F">
        <w:rPr>
          <w:noProof/>
          <w:color w:val="000000" w:themeColor="text1"/>
        </w:rPr>
        <w:t xml:space="preserve"> i reg</w:t>
      </w:r>
      <w:r w:rsidRPr="00A33B9F">
        <w:rPr>
          <w:noProof/>
          <w:color w:val="000000" w:themeColor="text1"/>
        </w:rPr>
        <w:t>ionalnym,</w:t>
      </w:r>
      <w:r w:rsidR="00A33B9F" w:rsidRPr="00A33B9F">
        <w:rPr>
          <w:noProof/>
          <w:color w:val="000000" w:themeColor="text1"/>
        </w:rPr>
        <w:t xml:space="preserve"> a tak</w:t>
      </w:r>
      <w:r w:rsidRPr="00A33B9F">
        <w:rPr>
          <w:noProof/>
          <w:color w:val="000000" w:themeColor="text1"/>
        </w:rPr>
        <w:t>że wsparcie działań zespołów regionalnych związanych</w:t>
      </w:r>
      <w:r w:rsidR="00A33B9F" w:rsidRPr="00A33B9F">
        <w:rPr>
          <w:noProof/>
          <w:color w:val="000000" w:themeColor="text1"/>
        </w:rPr>
        <w:t xml:space="preserve"> z wyk</w:t>
      </w:r>
      <w:r w:rsidRPr="00A33B9F">
        <w:rPr>
          <w:noProof/>
          <w:color w:val="000000" w:themeColor="text1"/>
        </w:rPr>
        <w:t xml:space="preserve">onywaniem ich zadań. </w:t>
      </w:r>
    </w:p>
    <w:p w14:paraId="52E8EA61" w14:textId="4F9D8CF4" w:rsidR="00014699" w:rsidRPr="00A33B9F" w:rsidRDefault="00014699" w:rsidP="002D0F1B">
      <w:pPr>
        <w:pStyle w:val="Text1"/>
        <w:ind w:left="0"/>
        <w:rPr>
          <w:rFonts w:eastAsia="Times New Roman"/>
          <w:noProof/>
          <w:color w:val="000000"/>
          <w:szCs w:val="24"/>
        </w:rPr>
      </w:pPr>
      <w:r w:rsidRPr="00A33B9F">
        <w:rPr>
          <w:noProof/>
          <w:color w:val="000000" w:themeColor="text1"/>
        </w:rPr>
        <w:t>Co więcej, mając na uwadze cel ogólny opracowania 16 zoperacjonalizowanych programów wdrażania na poziomie regionalnym (po jednym</w:t>
      </w:r>
      <w:r w:rsidR="00A33B9F" w:rsidRPr="00A33B9F">
        <w:rPr>
          <w:noProof/>
          <w:color w:val="000000" w:themeColor="text1"/>
        </w:rPr>
        <w:t xml:space="preserve"> w każ</w:t>
      </w:r>
      <w:r w:rsidRPr="00A33B9F">
        <w:rPr>
          <w:noProof/>
          <w:color w:val="000000" w:themeColor="text1"/>
        </w:rPr>
        <w:t>dym województwie), Wojewódzkie Zespoły Koordynacji opracują co najmniej 14 zoperacjonalizowanych programów wdrażania</w:t>
      </w:r>
      <w:r w:rsidR="00A33B9F" w:rsidRPr="00A33B9F">
        <w:rPr>
          <w:noProof/>
          <w:color w:val="000000" w:themeColor="text1"/>
        </w:rPr>
        <w:t xml:space="preserve"> w obs</w:t>
      </w:r>
      <w:r w:rsidRPr="00A33B9F">
        <w:rPr>
          <w:noProof/>
          <w:color w:val="000000" w:themeColor="text1"/>
        </w:rPr>
        <w:t>zarze kształcenia</w:t>
      </w:r>
      <w:r w:rsidR="00A33B9F" w:rsidRPr="00A33B9F">
        <w:rPr>
          <w:noProof/>
          <w:color w:val="000000" w:themeColor="text1"/>
        </w:rPr>
        <w:t xml:space="preserve"> i szk</w:t>
      </w:r>
      <w:r w:rsidRPr="00A33B9F">
        <w:rPr>
          <w:noProof/>
          <w:color w:val="000000" w:themeColor="text1"/>
        </w:rPr>
        <w:t>olenia zawodowego oraz uczenia się przez całe życie. Będą to programy wdrażania krajowej Zintegrowanej Strategii Umiejętności 2030 na szczeblu regionalnym.</w:t>
      </w:r>
    </w:p>
    <w:p w14:paraId="2298B8EB" w14:textId="408F5B13"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Realizacja inwestycji zostanie zakończona do dnia 30 czerwca 2026</w:t>
      </w:r>
      <w:r w:rsidR="00A33B9F" w:rsidRPr="00A33B9F">
        <w:rPr>
          <w:noProof/>
          <w:color w:val="000000" w:themeColor="text1"/>
        </w:rPr>
        <w:t> </w:t>
      </w:r>
      <w:r w:rsidRPr="00A33B9F">
        <w:rPr>
          <w:noProof/>
          <w:color w:val="000000" w:themeColor="text1"/>
        </w:rPr>
        <w:t>r.</w:t>
      </w:r>
    </w:p>
    <w:p w14:paraId="0FB78278" w14:textId="2F476A18" w:rsidR="00F03401" w:rsidRPr="00A33B9F" w:rsidRDefault="00F03401" w:rsidP="16BD651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p>
    <w:p w14:paraId="2A062E5F" w14:textId="4E9D574A" w:rsidR="00546865" w:rsidRPr="00A33B9F" w:rsidRDefault="00B31839" w:rsidP="002D0F1B">
      <w:pPr>
        <w:pStyle w:val="Text1"/>
        <w:ind w:left="0"/>
        <w:rPr>
          <w:rFonts w:eastAsia="Times New Roman"/>
          <w:b/>
          <w:noProof/>
          <w:color w:val="000000"/>
          <w:szCs w:val="24"/>
        </w:rPr>
      </w:pPr>
      <w:r w:rsidRPr="00A33B9F">
        <w:rPr>
          <w:b/>
          <w:noProof/>
          <w:color w:val="000000"/>
        </w:rPr>
        <w:t>Podkomponent A 4 – Zwiększenie dopasowania strukturalnego, efektywności</w:t>
      </w:r>
      <w:r w:rsidR="00A33B9F" w:rsidRPr="00A33B9F">
        <w:rPr>
          <w:b/>
          <w:noProof/>
          <w:color w:val="000000"/>
        </w:rPr>
        <w:t xml:space="preserve"> i odp</w:t>
      </w:r>
      <w:r w:rsidRPr="00A33B9F">
        <w:rPr>
          <w:b/>
          <w:noProof/>
          <w:color w:val="000000"/>
        </w:rPr>
        <w:t>orności kryzysowej rynku pracy</w:t>
      </w:r>
    </w:p>
    <w:p w14:paraId="3A544A3F" w14:textId="77777777" w:rsidR="0078558D" w:rsidRPr="00A33B9F" w:rsidRDefault="0078558D" w:rsidP="00730F7D">
      <w:pPr>
        <w:spacing w:after="0"/>
        <w:rPr>
          <w:rFonts w:ascii="Times New Roman" w:eastAsia="Times New Roman" w:hAnsi="Times New Roman" w:cs="Times New Roman"/>
          <w:b/>
          <w:noProof/>
          <w:color w:val="000000"/>
          <w:sz w:val="24"/>
          <w:szCs w:val="24"/>
        </w:rPr>
      </w:pPr>
    </w:p>
    <w:p w14:paraId="12D0269F" w14:textId="77777777"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A4.1 Efektywne instytucje na rzecz rynku pracy</w:t>
      </w:r>
      <w:r w:rsidRPr="00A33B9F">
        <w:rPr>
          <w:b/>
          <w:noProof/>
          <w:color w:val="000000"/>
        </w:rPr>
        <w:t xml:space="preserve"> </w:t>
      </w:r>
    </w:p>
    <w:p w14:paraId="3FF900EA" w14:textId="3E8D290C" w:rsidR="007C4506" w:rsidRPr="00A33B9F" w:rsidRDefault="00B31839" w:rsidP="002D0F1B">
      <w:pPr>
        <w:pStyle w:val="Text1"/>
        <w:ind w:left="0"/>
        <w:rPr>
          <w:rFonts w:eastAsia="Times New Roman"/>
          <w:noProof/>
          <w:color w:val="000000"/>
          <w:szCs w:val="24"/>
        </w:rPr>
      </w:pPr>
      <w:r w:rsidRPr="00A33B9F">
        <w:rPr>
          <w:noProof/>
          <w:color w:val="000000" w:themeColor="text1"/>
        </w:rPr>
        <w:t>Nadrzędnym celem reformy jest wzrost współczynnika aktywności zawodowej, co pozwoli przyczynić się do wyższej wydajności, odporności kryzysowej oraz globalnej konkurencyjności polskiej gospodarki. Kolejnym celem jest zwiększenie elastyczności</w:t>
      </w:r>
      <w:r w:rsidR="00A33B9F" w:rsidRPr="00A33B9F">
        <w:rPr>
          <w:noProof/>
          <w:color w:val="000000" w:themeColor="text1"/>
        </w:rPr>
        <w:t xml:space="preserve"> i bez</w:t>
      </w:r>
      <w:r w:rsidRPr="00A33B9F">
        <w:rPr>
          <w:noProof/>
          <w:color w:val="000000" w:themeColor="text1"/>
        </w:rPr>
        <w:t>pieczeństwa polskiego rynku pracy. Aby osiągnąć ten cel, reforma jest ukierunkowana na: (i) zmianę sposobu funkcjonowania publicznych służb zatrudnienia oraz wzmocnienie aktywnej polityki rynku pracy; (ii) ułatwienie procesu zatrudniania pracowników będących cudzoziemcami; (iii) ułatwienie procedur naboru przez wdrożenie nowych przepisów dotyczących umów zawieranych drogą elektroniczną oraz (iv) zbadanie sposobów zwiększenia stopnia wykorzystywania porozumień zbiorowych</w:t>
      </w:r>
      <w:r w:rsidR="00A33B9F" w:rsidRPr="00A33B9F">
        <w:rPr>
          <w:noProof/>
          <w:color w:val="000000" w:themeColor="text1"/>
        </w:rPr>
        <w:t xml:space="preserve"> i jed</w:t>
      </w:r>
      <w:r w:rsidRPr="00A33B9F">
        <w:rPr>
          <w:noProof/>
          <w:color w:val="000000" w:themeColor="text1"/>
        </w:rPr>
        <w:t>nolitej umowy</w:t>
      </w:r>
      <w:r w:rsidR="00A33B9F" w:rsidRPr="00A33B9F">
        <w:rPr>
          <w:noProof/>
          <w:color w:val="000000" w:themeColor="text1"/>
        </w:rPr>
        <w:t xml:space="preserve"> o pra</w:t>
      </w:r>
      <w:r w:rsidRPr="00A33B9F">
        <w:rPr>
          <w:noProof/>
          <w:color w:val="000000" w:themeColor="text1"/>
        </w:rPr>
        <w:t>cę.</w:t>
      </w:r>
    </w:p>
    <w:p w14:paraId="51E05130" w14:textId="08BE10E7" w:rsidR="007C4506" w:rsidRPr="00A33B9F" w:rsidRDefault="66E7BAD6" w:rsidP="002D0F1B">
      <w:pPr>
        <w:pStyle w:val="Text1"/>
        <w:ind w:left="0"/>
        <w:rPr>
          <w:rFonts w:eastAsia="Times New Roman"/>
          <w:noProof/>
          <w:color w:val="000000"/>
          <w:szCs w:val="24"/>
        </w:rPr>
      </w:pPr>
      <w:r w:rsidRPr="00A33B9F">
        <w:rPr>
          <w:noProof/>
          <w:color w:val="000000" w:themeColor="text1"/>
        </w:rPr>
        <w:t>Reforma polega na przyjęciu nowych ustaw</w:t>
      </w:r>
      <w:r w:rsidR="00A33B9F" w:rsidRPr="00A33B9F">
        <w:rPr>
          <w:noProof/>
          <w:color w:val="000000" w:themeColor="text1"/>
        </w:rPr>
        <w:t xml:space="preserve"> o pub</w:t>
      </w:r>
      <w:r w:rsidRPr="00A33B9F">
        <w:rPr>
          <w:noProof/>
          <w:color w:val="000000" w:themeColor="text1"/>
        </w:rPr>
        <w:t>licznych służbach zatrudnienia,</w:t>
      </w:r>
      <w:r w:rsidR="00A33B9F" w:rsidRPr="00A33B9F">
        <w:rPr>
          <w:noProof/>
          <w:color w:val="000000" w:themeColor="text1"/>
        </w:rPr>
        <w:t xml:space="preserve"> o zat</w:t>
      </w:r>
      <w:r w:rsidRPr="00A33B9F">
        <w:rPr>
          <w:noProof/>
          <w:color w:val="000000" w:themeColor="text1"/>
        </w:rPr>
        <w:t>rudnianiu obywateli państw trzecich oraz</w:t>
      </w:r>
      <w:r w:rsidR="00A33B9F" w:rsidRPr="00A33B9F">
        <w:rPr>
          <w:noProof/>
          <w:color w:val="000000" w:themeColor="text1"/>
        </w:rPr>
        <w:t xml:space="preserve"> o zaw</w:t>
      </w:r>
      <w:r w:rsidRPr="00A33B9F">
        <w:rPr>
          <w:noProof/>
          <w:color w:val="000000" w:themeColor="text1"/>
        </w:rPr>
        <w:t>ieraniu niektórych umów</w:t>
      </w:r>
      <w:r w:rsidR="00A33B9F" w:rsidRPr="00A33B9F">
        <w:rPr>
          <w:noProof/>
          <w:color w:val="000000" w:themeColor="text1"/>
        </w:rPr>
        <w:t xml:space="preserve"> o pra</w:t>
      </w:r>
      <w:r w:rsidRPr="00A33B9F">
        <w:rPr>
          <w:noProof/>
          <w:color w:val="000000" w:themeColor="text1"/>
        </w:rPr>
        <w:t>cę</w:t>
      </w:r>
      <w:r w:rsidR="00A33B9F" w:rsidRPr="00A33B9F">
        <w:rPr>
          <w:noProof/>
          <w:color w:val="000000" w:themeColor="text1"/>
        </w:rPr>
        <w:t xml:space="preserve"> w spo</w:t>
      </w:r>
      <w:r w:rsidRPr="00A33B9F">
        <w:rPr>
          <w:noProof/>
          <w:color w:val="000000" w:themeColor="text1"/>
        </w:rPr>
        <w:t>sób elektroniczny. Ponadto reforma obejmuje przyjęcie nowych norm</w:t>
      </w:r>
      <w:r w:rsidR="00A33B9F" w:rsidRPr="00A33B9F">
        <w:rPr>
          <w:noProof/>
          <w:color w:val="000000" w:themeColor="text1"/>
        </w:rPr>
        <w:t xml:space="preserve"> i ram</w:t>
      </w:r>
      <w:r w:rsidRPr="00A33B9F">
        <w:rPr>
          <w:noProof/>
          <w:color w:val="000000" w:themeColor="text1"/>
        </w:rPr>
        <w:t xml:space="preserve"> wykonania</w:t>
      </w:r>
      <w:r w:rsidR="00A33B9F" w:rsidRPr="00A33B9F">
        <w:rPr>
          <w:noProof/>
          <w:color w:val="000000" w:themeColor="text1"/>
        </w:rPr>
        <w:t xml:space="preserve"> w zak</w:t>
      </w:r>
      <w:r w:rsidRPr="00A33B9F">
        <w:rPr>
          <w:noProof/>
          <w:color w:val="000000" w:themeColor="text1"/>
        </w:rPr>
        <w:t>resie funkcjonowania</w:t>
      </w:r>
      <w:r w:rsidR="00A33B9F" w:rsidRPr="00A33B9F">
        <w:rPr>
          <w:noProof/>
          <w:color w:val="000000" w:themeColor="text1"/>
        </w:rPr>
        <w:t xml:space="preserve"> i koo</w:t>
      </w:r>
      <w:r w:rsidRPr="00A33B9F">
        <w:rPr>
          <w:noProof/>
          <w:color w:val="000000" w:themeColor="text1"/>
        </w:rPr>
        <w:t>rdynacji publicznych służb zatrudnienia. Przeprowadzone zostaną proces konsultacji</w:t>
      </w:r>
      <w:r w:rsidR="00A33B9F" w:rsidRPr="00A33B9F">
        <w:rPr>
          <w:noProof/>
          <w:color w:val="000000" w:themeColor="text1"/>
        </w:rPr>
        <w:t xml:space="preserve"> z par</w:t>
      </w:r>
      <w:r w:rsidRPr="00A33B9F">
        <w:rPr>
          <w:noProof/>
          <w:color w:val="000000" w:themeColor="text1"/>
        </w:rPr>
        <w:t>tnerami społecznymi na temat potencjału porozumień zbiorowych oraz kompleksowe badanie dotyczące potencjalnego znaczenia jednolitej umowy</w:t>
      </w:r>
      <w:r w:rsidR="00A33B9F" w:rsidRPr="00A33B9F">
        <w:rPr>
          <w:noProof/>
          <w:color w:val="000000" w:themeColor="text1"/>
        </w:rPr>
        <w:t xml:space="preserve"> o pra</w:t>
      </w:r>
      <w:r w:rsidRPr="00A33B9F">
        <w:rPr>
          <w:noProof/>
          <w:color w:val="000000" w:themeColor="text1"/>
        </w:rPr>
        <w:t>cę. Wdrożone zostaną odpowiednie zmiany prawne ustalone</w:t>
      </w:r>
      <w:r w:rsidR="00A33B9F" w:rsidRPr="00A33B9F">
        <w:rPr>
          <w:noProof/>
          <w:color w:val="000000" w:themeColor="text1"/>
        </w:rPr>
        <w:t xml:space="preserve"> w pro</w:t>
      </w:r>
      <w:r w:rsidRPr="00A33B9F">
        <w:rPr>
          <w:noProof/>
          <w:color w:val="000000" w:themeColor="text1"/>
        </w:rPr>
        <w:t>cesie konsultacji oraz</w:t>
      </w:r>
      <w:r w:rsidR="00A33B9F" w:rsidRPr="00A33B9F">
        <w:rPr>
          <w:noProof/>
          <w:color w:val="000000" w:themeColor="text1"/>
        </w:rPr>
        <w:t xml:space="preserve"> w tok</w:t>
      </w:r>
      <w:r w:rsidRPr="00A33B9F">
        <w:rPr>
          <w:noProof/>
          <w:color w:val="000000" w:themeColor="text1"/>
        </w:rPr>
        <w:t>u badania.</w:t>
      </w:r>
    </w:p>
    <w:p w14:paraId="230F3499" w14:textId="2E0F5E54" w:rsidR="007C4506" w:rsidRPr="00A33B9F" w:rsidRDefault="00B31839" w:rsidP="002D0F1B">
      <w:pPr>
        <w:pStyle w:val="Text1"/>
        <w:ind w:left="0"/>
        <w:rPr>
          <w:rFonts w:eastAsia="Times New Roman"/>
          <w:noProof/>
          <w:color w:val="000000"/>
          <w:szCs w:val="24"/>
        </w:rPr>
      </w:pPr>
      <w:r w:rsidRPr="00A33B9F">
        <w:rPr>
          <w:noProof/>
          <w:color w:val="000000" w:themeColor="text1"/>
        </w:rPr>
        <w:t>Realizacja reformy zostanie zakończona do dnia 30 września 2024</w:t>
      </w:r>
      <w:r w:rsidR="00A33B9F" w:rsidRPr="00A33B9F">
        <w:rPr>
          <w:noProof/>
          <w:color w:val="000000" w:themeColor="text1"/>
        </w:rPr>
        <w:t> </w:t>
      </w:r>
      <w:r w:rsidRPr="00A33B9F">
        <w:rPr>
          <w:noProof/>
          <w:color w:val="000000" w:themeColor="text1"/>
        </w:rPr>
        <w:t>r.</w:t>
      </w:r>
    </w:p>
    <w:p w14:paraId="1FC39945" w14:textId="77777777" w:rsidR="075E044B" w:rsidRPr="00A33B9F" w:rsidRDefault="075E044B" w:rsidP="075E044B">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2FDB5F36" w14:textId="77777777"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 xml:space="preserve">A4.1.1 Inwestycje wspierające reformę instytucji rynku pracy </w:t>
      </w:r>
    </w:p>
    <w:p w14:paraId="3D3584B1" w14:textId="101C64B5" w:rsidR="007C4506" w:rsidRPr="00A33B9F" w:rsidRDefault="00B31839" w:rsidP="002D0F1B">
      <w:pPr>
        <w:pStyle w:val="Text1"/>
        <w:ind w:left="0"/>
        <w:rPr>
          <w:rFonts w:eastAsia="Times New Roman"/>
          <w:noProof/>
          <w:color w:val="000000"/>
          <w:szCs w:val="24"/>
        </w:rPr>
      </w:pPr>
      <w:r w:rsidRPr="00A33B9F">
        <w:rPr>
          <w:noProof/>
          <w:color w:val="000000"/>
        </w:rPr>
        <w:t>Nadrzędnym celem tej inwestycji jest zwiększenie zdolności publicznych służb zatrudnienia do wspierania funkcjonowania rynku pracy. Aby osiągnąć ten cel, inwestycja jest ukierunkowana na cyfryzację usług</w:t>
      </w:r>
      <w:r w:rsidR="00A33B9F" w:rsidRPr="00A33B9F">
        <w:rPr>
          <w:noProof/>
          <w:color w:val="000000"/>
        </w:rPr>
        <w:t xml:space="preserve"> i nar</w:t>
      </w:r>
      <w:r w:rsidRPr="00A33B9F">
        <w:rPr>
          <w:noProof/>
          <w:color w:val="000000"/>
        </w:rPr>
        <w:t>zędzi wykorzystywanych przez publiczne służby zatrudnienia, na szkolenie pracowników publicznych służb zatrudnienia,</w:t>
      </w:r>
      <w:r w:rsidR="00A33B9F" w:rsidRPr="00A33B9F">
        <w:rPr>
          <w:noProof/>
          <w:color w:val="000000"/>
        </w:rPr>
        <w:t xml:space="preserve"> a tak</w:t>
      </w:r>
      <w:r w:rsidRPr="00A33B9F">
        <w:rPr>
          <w:noProof/>
          <w:color w:val="000000"/>
        </w:rPr>
        <w:t>że przeprowadzenie kampanii informacyjnej dotyczącej nowych usług oferowanych przez publiczne służby zatrudnienia, również wśród osób, które</w:t>
      </w:r>
      <w:r w:rsidR="00A33B9F" w:rsidRPr="00A33B9F">
        <w:rPr>
          <w:noProof/>
          <w:color w:val="000000"/>
        </w:rPr>
        <w:t xml:space="preserve"> w prz</w:t>
      </w:r>
      <w:r w:rsidRPr="00A33B9F">
        <w:rPr>
          <w:noProof/>
          <w:color w:val="000000"/>
        </w:rPr>
        <w:t>yszłości skorzystają</w:t>
      </w:r>
      <w:r w:rsidR="00A33B9F" w:rsidRPr="00A33B9F">
        <w:rPr>
          <w:noProof/>
          <w:color w:val="000000"/>
        </w:rPr>
        <w:t xml:space="preserve"> z ich</w:t>
      </w:r>
      <w:r w:rsidRPr="00A33B9F">
        <w:rPr>
          <w:noProof/>
          <w:color w:val="000000"/>
        </w:rPr>
        <w:t xml:space="preserve"> wsparcia po raz pierwszy.</w:t>
      </w:r>
    </w:p>
    <w:p w14:paraId="0883A34B" w14:textId="0BAAE27B" w:rsidR="007C4506" w:rsidRPr="00A33B9F" w:rsidRDefault="4C4A4CE0" w:rsidP="002D0F1B">
      <w:pPr>
        <w:pStyle w:val="Text1"/>
        <w:ind w:left="0"/>
        <w:rPr>
          <w:rFonts w:eastAsia="Times New Roman"/>
          <w:noProof/>
          <w:color w:val="000000"/>
          <w:szCs w:val="24"/>
        </w:rPr>
      </w:pPr>
      <w:r w:rsidRPr="00A33B9F">
        <w:rPr>
          <w:noProof/>
          <w:color w:val="000000" w:themeColor="text1"/>
        </w:rPr>
        <w:t xml:space="preserve">Inwestycje obejmują (i) cyfryzację procesów prowadzonych przez publiczne służby zatrudnienia i (ii) kursy szkoleniowe dla pracowników publicznych służb zatrudnienia oraz (iii) opracowanie nowych norm. </w:t>
      </w:r>
    </w:p>
    <w:p w14:paraId="2C9D0204" w14:textId="5D35A0D3" w:rsidR="007C4506" w:rsidRPr="00A33B9F" w:rsidRDefault="00B31839" w:rsidP="002D0F1B">
      <w:pPr>
        <w:pStyle w:val="Text1"/>
        <w:ind w:left="0"/>
        <w:rPr>
          <w:rFonts w:eastAsia="Times New Roman"/>
          <w:noProof/>
          <w:color w:val="000000"/>
          <w:szCs w:val="24"/>
        </w:rPr>
      </w:pPr>
      <w:r w:rsidRPr="00A33B9F">
        <w:rPr>
          <w:noProof/>
          <w:color w:val="000000"/>
        </w:rPr>
        <w:t>Realizacja inwestycji zostanie zakończona do dnia 30 czerwca 2025</w:t>
      </w:r>
      <w:r w:rsidR="00A33B9F" w:rsidRPr="00A33B9F">
        <w:rPr>
          <w:noProof/>
          <w:color w:val="000000"/>
        </w:rPr>
        <w:t> </w:t>
      </w:r>
      <w:r w:rsidRPr="00A33B9F">
        <w:rPr>
          <w:noProof/>
          <w:color w:val="000000"/>
        </w:rPr>
        <w:t>r.</w:t>
      </w:r>
    </w:p>
    <w:p w14:paraId="0562CB0E"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6C61DB17" w14:textId="179960B8" w:rsidR="007C4506" w:rsidRPr="00A33B9F" w:rsidRDefault="00B31839" w:rsidP="002D0F1B">
      <w:pPr>
        <w:pStyle w:val="Text1"/>
        <w:ind w:left="0"/>
        <w:rPr>
          <w:rFonts w:eastAsia="Times New Roman"/>
          <w:b/>
          <w:bCs/>
          <w:noProof/>
          <w:color w:val="000000"/>
          <w:szCs w:val="24"/>
          <w:u w:val="single"/>
        </w:rPr>
      </w:pPr>
      <w:r w:rsidRPr="00A33B9F">
        <w:rPr>
          <w:b/>
          <w:noProof/>
          <w:color w:val="000000" w:themeColor="text1"/>
          <w:u w:val="single"/>
        </w:rPr>
        <w:t>A4.2 Reforma na rzecz poprawy sytuacji rodziców na rynku pracy poprzez zwiększenie dostępu do wysokiej jakości opieki nad dziećmi do lat trzech</w:t>
      </w:r>
    </w:p>
    <w:p w14:paraId="1FB01AB7" w14:textId="314A34CD" w:rsidR="007C4506" w:rsidRPr="00A33B9F" w:rsidRDefault="00B31839" w:rsidP="002D0F1B">
      <w:pPr>
        <w:pStyle w:val="Text1"/>
        <w:ind w:left="0"/>
        <w:rPr>
          <w:rFonts w:eastAsia="Times New Roman"/>
          <w:noProof/>
          <w:color w:val="000000"/>
          <w:szCs w:val="24"/>
        </w:rPr>
      </w:pPr>
      <w:r w:rsidRPr="00A33B9F">
        <w:rPr>
          <w:noProof/>
          <w:color w:val="000000" w:themeColor="text1"/>
        </w:rPr>
        <w:t>Nadrzędnym celem reformy jest ułatwienie dostępu do placówek opieki nad dziećmi do lat trzech oraz zapewnienie wysokich standardów edukacyjnych</w:t>
      </w:r>
      <w:r w:rsidR="00A33B9F" w:rsidRPr="00A33B9F">
        <w:rPr>
          <w:noProof/>
          <w:color w:val="000000" w:themeColor="text1"/>
        </w:rPr>
        <w:t xml:space="preserve"> i jak</w:t>
      </w:r>
      <w:r w:rsidRPr="00A33B9F">
        <w:rPr>
          <w:noProof/>
          <w:color w:val="000000" w:themeColor="text1"/>
        </w:rPr>
        <w:t>ościowych usług opieki nad dziećmi</w:t>
      </w:r>
      <w:r w:rsidR="00A33B9F" w:rsidRPr="00A33B9F">
        <w:rPr>
          <w:noProof/>
          <w:color w:val="000000" w:themeColor="text1"/>
        </w:rPr>
        <w:t>. W tym</w:t>
      </w:r>
      <w:r w:rsidRPr="00A33B9F">
        <w:rPr>
          <w:noProof/>
          <w:color w:val="000000" w:themeColor="text1"/>
        </w:rPr>
        <w:t xml:space="preserve"> celu reforma jest ukierunkowana na (i) usprawnienie zarządzania środkami krajowymi</w:t>
      </w:r>
      <w:r w:rsidR="00A33B9F" w:rsidRPr="00A33B9F">
        <w:rPr>
          <w:noProof/>
          <w:color w:val="000000" w:themeColor="text1"/>
        </w:rPr>
        <w:t xml:space="preserve"> i zew</w:t>
      </w:r>
      <w:r w:rsidRPr="00A33B9F">
        <w:rPr>
          <w:noProof/>
          <w:color w:val="000000" w:themeColor="text1"/>
        </w:rPr>
        <w:t>nętrznymi przeznaczonymi na tworzenie</w:t>
      </w:r>
      <w:r w:rsidR="00A33B9F" w:rsidRPr="00A33B9F">
        <w:rPr>
          <w:noProof/>
          <w:color w:val="000000" w:themeColor="text1"/>
        </w:rPr>
        <w:t xml:space="preserve"> i fun</w:t>
      </w:r>
      <w:r w:rsidRPr="00A33B9F">
        <w:rPr>
          <w:noProof/>
          <w:color w:val="000000" w:themeColor="text1"/>
        </w:rPr>
        <w:t>kcjonowanie placówek opieki nad dziećmi; (ii) wdrożenie stabilnego, długoterminowego finansowania ze środków krajowych usług opieki nad dziećmi do lat trzech;</w:t>
      </w:r>
      <w:r w:rsidR="00A33B9F" w:rsidRPr="00A33B9F">
        <w:rPr>
          <w:noProof/>
          <w:color w:val="000000" w:themeColor="text1"/>
        </w:rPr>
        <w:t xml:space="preserve"> a tak</w:t>
      </w:r>
      <w:r w:rsidRPr="00A33B9F">
        <w:rPr>
          <w:noProof/>
          <w:color w:val="000000" w:themeColor="text1"/>
        </w:rPr>
        <w:t>że (iii) wdrożenie zestawu minimalnych wiążących standardów edukacyjnych</w:t>
      </w:r>
      <w:r w:rsidR="00A33B9F" w:rsidRPr="00A33B9F">
        <w:rPr>
          <w:noProof/>
          <w:color w:val="000000" w:themeColor="text1"/>
        </w:rPr>
        <w:t xml:space="preserve"> i jak</w:t>
      </w:r>
      <w:r w:rsidRPr="00A33B9F">
        <w:rPr>
          <w:noProof/>
          <w:color w:val="000000" w:themeColor="text1"/>
        </w:rPr>
        <w:t>ościowych dla placówek opieki nad dziećmi.</w:t>
      </w:r>
    </w:p>
    <w:p w14:paraId="354B5C47" w14:textId="11909A94" w:rsidR="007C4506" w:rsidRPr="00A33B9F" w:rsidRDefault="00B31839" w:rsidP="002D0F1B">
      <w:pPr>
        <w:pStyle w:val="Text1"/>
        <w:ind w:left="0"/>
        <w:rPr>
          <w:rFonts w:eastAsia="Times New Roman"/>
          <w:noProof/>
          <w:color w:val="000000"/>
          <w:szCs w:val="24"/>
        </w:rPr>
      </w:pPr>
      <w:r w:rsidRPr="00A33B9F">
        <w:rPr>
          <w:noProof/>
          <w:color w:val="000000" w:themeColor="text1"/>
        </w:rPr>
        <w:t>Reforma polega na przyjęciu zmian ustawy</w:t>
      </w:r>
      <w:r w:rsidR="00A33B9F" w:rsidRPr="00A33B9F">
        <w:rPr>
          <w:noProof/>
          <w:color w:val="000000" w:themeColor="text1"/>
        </w:rPr>
        <w:t xml:space="preserve"> o opi</w:t>
      </w:r>
      <w:r w:rsidRPr="00A33B9F">
        <w:rPr>
          <w:noProof/>
          <w:color w:val="000000" w:themeColor="text1"/>
        </w:rPr>
        <w:t>ece nad dziećmi</w:t>
      </w:r>
      <w:r w:rsidR="00A33B9F" w:rsidRPr="00A33B9F">
        <w:rPr>
          <w:noProof/>
          <w:color w:val="000000" w:themeColor="text1"/>
        </w:rPr>
        <w:t xml:space="preserve"> w wie</w:t>
      </w:r>
      <w:r w:rsidRPr="00A33B9F">
        <w:rPr>
          <w:noProof/>
          <w:color w:val="000000" w:themeColor="text1"/>
        </w:rPr>
        <w:t>ku do lat trzech oraz na opracowaniu specjalnego wieloletniego programu dotyczącego tworzenia</w:t>
      </w:r>
      <w:r w:rsidR="00A33B9F" w:rsidRPr="00A33B9F">
        <w:rPr>
          <w:noProof/>
          <w:color w:val="000000" w:themeColor="text1"/>
        </w:rPr>
        <w:t xml:space="preserve"> i fun</w:t>
      </w:r>
      <w:r w:rsidRPr="00A33B9F">
        <w:rPr>
          <w:noProof/>
          <w:color w:val="000000" w:themeColor="text1"/>
        </w:rPr>
        <w:t>kcjonowania placówek opieki nad dziećmi. Zmiana polega m.in. na połączeniu zarządzania trzema odrębnymi źródłami finansowania procesu tworzenia oraz funkcjonowania placówek opieki nad dziećmi: finansowania krajowego, Europejskiego Funduszu Społecznego Plus oraz Instrumentu na rzecz Odbudowy</w:t>
      </w:r>
      <w:r w:rsidR="00A33B9F" w:rsidRPr="00A33B9F">
        <w:rPr>
          <w:noProof/>
          <w:color w:val="000000" w:themeColor="text1"/>
        </w:rPr>
        <w:t xml:space="preserve"> i Zwi</w:t>
      </w:r>
      <w:r w:rsidRPr="00A33B9F">
        <w:rPr>
          <w:noProof/>
          <w:color w:val="000000" w:themeColor="text1"/>
        </w:rPr>
        <w:t>ększania Odporności. Reforma polega również na opracowaniu odpowiedniego programu</w:t>
      </w:r>
      <w:r w:rsidR="00A33B9F" w:rsidRPr="00A33B9F">
        <w:rPr>
          <w:noProof/>
          <w:color w:val="000000" w:themeColor="text1"/>
        </w:rPr>
        <w:t xml:space="preserve"> i zap</w:t>
      </w:r>
      <w:r w:rsidRPr="00A33B9F">
        <w:rPr>
          <w:noProof/>
          <w:color w:val="000000" w:themeColor="text1"/>
        </w:rPr>
        <w:t>ewnieniu wystarczających środków na wprowadzenie stabilnego, długoterminowego finansowania usług opieki nad dziećmi do lat trzech ze środków krajowych. Reforma polega również na przeprowadzeniu strategicznego przeglądu obowiązujących standardów opieki</w:t>
      </w:r>
      <w:r w:rsidR="00A33B9F" w:rsidRPr="00A33B9F">
        <w:rPr>
          <w:noProof/>
          <w:color w:val="000000" w:themeColor="text1"/>
        </w:rPr>
        <w:t xml:space="preserve"> i edu</w:t>
      </w:r>
      <w:r w:rsidRPr="00A33B9F">
        <w:rPr>
          <w:noProof/>
          <w:color w:val="000000" w:themeColor="text1"/>
        </w:rPr>
        <w:t>kacji dla dzieci do lat trzech, opracowaniu odpowiednich wytycznych edukacyjnych</w:t>
      </w:r>
      <w:r w:rsidR="00A33B9F" w:rsidRPr="00A33B9F">
        <w:rPr>
          <w:noProof/>
          <w:color w:val="000000" w:themeColor="text1"/>
        </w:rPr>
        <w:t xml:space="preserve"> i wsp</w:t>
      </w:r>
      <w:r w:rsidRPr="00A33B9F">
        <w:rPr>
          <w:noProof/>
          <w:color w:val="000000" w:themeColor="text1"/>
        </w:rPr>
        <w:t>arcia dla placówek opieki nad dziećmi oraz wprowadzeniu na podstawie tego przeglądu odpowiednich zmian prawnych</w:t>
      </w:r>
      <w:r w:rsidR="00A33B9F" w:rsidRPr="00A33B9F">
        <w:rPr>
          <w:noProof/>
          <w:color w:val="000000" w:themeColor="text1"/>
        </w:rPr>
        <w:t xml:space="preserve"> w cel</w:t>
      </w:r>
      <w:r w:rsidRPr="00A33B9F">
        <w:rPr>
          <w:noProof/>
          <w:color w:val="000000" w:themeColor="text1"/>
        </w:rPr>
        <w:t>u ustanowienia zestawu wiążących minimalnych standardów edukacyjnych</w:t>
      </w:r>
      <w:r w:rsidR="00A33B9F" w:rsidRPr="00A33B9F">
        <w:rPr>
          <w:noProof/>
          <w:color w:val="000000" w:themeColor="text1"/>
        </w:rPr>
        <w:t xml:space="preserve"> i jak</w:t>
      </w:r>
      <w:r w:rsidRPr="00A33B9F">
        <w:rPr>
          <w:noProof/>
          <w:color w:val="000000" w:themeColor="text1"/>
        </w:rPr>
        <w:t>ościowych dla placówek opieki nad dziećmi, aby zapewnić wysoką jakość</w:t>
      </w:r>
      <w:r w:rsidR="00A33B9F" w:rsidRPr="00A33B9F">
        <w:rPr>
          <w:noProof/>
          <w:color w:val="000000" w:themeColor="text1"/>
        </w:rPr>
        <w:t xml:space="preserve"> i opi</w:t>
      </w:r>
      <w:r w:rsidRPr="00A33B9F">
        <w:rPr>
          <w:noProof/>
          <w:color w:val="000000" w:themeColor="text1"/>
        </w:rPr>
        <w:t xml:space="preserve">ekę od najmłodszych lat. </w:t>
      </w:r>
    </w:p>
    <w:p w14:paraId="39C8C92C" w14:textId="3E541D47" w:rsidR="007C4506" w:rsidRPr="00A33B9F" w:rsidRDefault="00B31839" w:rsidP="002D0F1B">
      <w:pPr>
        <w:pStyle w:val="Text1"/>
        <w:ind w:left="0"/>
        <w:rPr>
          <w:rFonts w:eastAsia="Times New Roman"/>
          <w:noProof/>
          <w:color w:val="000000"/>
          <w:szCs w:val="24"/>
        </w:rPr>
      </w:pPr>
      <w:r w:rsidRPr="00A33B9F">
        <w:rPr>
          <w:noProof/>
          <w:color w:val="000000"/>
        </w:rPr>
        <w:t>Realizacja reformy zostanie zakończona do dnia 30 czerwca 2024</w:t>
      </w:r>
      <w:r w:rsidR="00A33B9F" w:rsidRPr="00A33B9F">
        <w:rPr>
          <w:noProof/>
          <w:color w:val="000000"/>
        </w:rPr>
        <w:t> </w:t>
      </w:r>
      <w:r w:rsidRPr="00A33B9F">
        <w:rPr>
          <w:noProof/>
          <w:color w:val="000000"/>
        </w:rPr>
        <w:t>r.</w:t>
      </w:r>
    </w:p>
    <w:p w14:paraId="34CE0A41"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1985E9C" w14:textId="444BF572" w:rsidR="007C4506" w:rsidRPr="00A33B9F" w:rsidRDefault="00B31839" w:rsidP="002D0F1B">
      <w:pPr>
        <w:pStyle w:val="Text1"/>
        <w:ind w:left="0"/>
        <w:rPr>
          <w:rFonts w:eastAsia="Times New Roman"/>
          <w:b/>
          <w:bCs/>
          <w:noProof/>
          <w:color w:val="000000"/>
          <w:szCs w:val="24"/>
          <w:u w:val="single"/>
        </w:rPr>
      </w:pPr>
      <w:r w:rsidRPr="00A33B9F">
        <w:rPr>
          <w:b/>
          <w:noProof/>
          <w:color w:val="000000" w:themeColor="text1"/>
          <w:u w:val="single"/>
        </w:rPr>
        <w:t>A4.2.1 Wsparcie placówek opieki nad dziećmi</w:t>
      </w:r>
      <w:r w:rsidR="00A33B9F" w:rsidRPr="00A33B9F">
        <w:rPr>
          <w:b/>
          <w:noProof/>
          <w:color w:val="000000" w:themeColor="text1"/>
          <w:u w:val="single"/>
        </w:rPr>
        <w:t xml:space="preserve"> w wie</w:t>
      </w:r>
      <w:r w:rsidRPr="00A33B9F">
        <w:rPr>
          <w:b/>
          <w:noProof/>
          <w:color w:val="000000" w:themeColor="text1"/>
          <w:u w:val="single"/>
        </w:rPr>
        <w:t>ku do trzech lat (żłobki, kluby dziecięce)</w:t>
      </w:r>
      <w:r w:rsidR="00A33B9F" w:rsidRPr="00A33B9F">
        <w:rPr>
          <w:b/>
          <w:noProof/>
          <w:color w:val="000000" w:themeColor="text1"/>
          <w:u w:val="single"/>
        </w:rPr>
        <w:t xml:space="preserve"> w ram</w:t>
      </w:r>
      <w:r w:rsidRPr="00A33B9F">
        <w:rPr>
          <w:b/>
          <w:noProof/>
          <w:color w:val="000000" w:themeColor="text1"/>
          <w:u w:val="single"/>
        </w:rPr>
        <w:t>ach programu MALUCH+</w:t>
      </w:r>
    </w:p>
    <w:p w14:paraId="1BDCB003" w14:textId="6E3C9187" w:rsidR="007C4506" w:rsidRPr="00A33B9F" w:rsidRDefault="481D6064" w:rsidP="002D0F1B">
      <w:pPr>
        <w:pStyle w:val="Text1"/>
        <w:ind w:left="0"/>
        <w:rPr>
          <w:rFonts w:eastAsia="Times New Roman"/>
          <w:noProof/>
          <w:color w:val="000000"/>
          <w:szCs w:val="24"/>
        </w:rPr>
      </w:pPr>
      <w:r w:rsidRPr="00A33B9F">
        <w:rPr>
          <w:noProof/>
          <w:color w:val="000000" w:themeColor="text1"/>
        </w:rPr>
        <w:t>Nadrzędnym celem tej inwestycji jest zwiększenie dostępności placówek opieki nad dziećmi</w:t>
      </w:r>
      <w:r w:rsidR="00A33B9F" w:rsidRPr="00A33B9F">
        <w:rPr>
          <w:noProof/>
          <w:color w:val="000000" w:themeColor="text1"/>
        </w:rPr>
        <w:t xml:space="preserve"> w wie</w:t>
      </w:r>
      <w:r w:rsidRPr="00A33B9F">
        <w:rPr>
          <w:noProof/>
          <w:color w:val="000000" w:themeColor="text1"/>
        </w:rPr>
        <w:t>ku do trzech lat</w:t>
      </w:r>
      <w:r w:rsidR="00A33B9F" w:rsidRPr="00A33B9F">
        <w:rPr>
          <w:noProof/>
          <w:color w:val="000000" w:themeColor="text1"/>
        </w:rPr>
        <w:t xml:space="preserve"> w dro</w:t>
      </w:r>
      <w:r w:rsidRPr="00A33B9F">
        <w:rPr>
          <w:noProof/>
          <w:color w:val="000000" w:themeColor="text1"/>
        </w:rPr>
        <w:t>dze dotowania kosztów budowy placówek opieki nad dziećmi oraz utworzenie systemu zarządzania finansowaniem placówek opieki nad dziećmi</w:t>
      </w:r>
      <w:r w:rsidR="00A33B9F" w:rsidRPr="00A33B9F">
        <w:rPr>
          <w:noProof/>
          <w:color w:val="000000" w:themeColor="text1"/>
        </w:rPr>
        <w:t xml:space="preserve"> w wie</w:t>
      </w:r>
      <w:r w:rsidRPr="00A33B9F">
        <w:rPr>
          <w:noProof/>
          <w:color w:val="000000" w:themeColor="text1"/>
        </w:rPr>
        <w:t>ku do trzech lat</w:t>
      </w:r>
      <w:r w:rsidR="00A33B9F" w:rsidRPr="00A33B9F">
        <w:rPr>
          <w:noProof/>
          <w:color w:val="000000" w:themeColor="text1"/>
        </w:rPr>
        <w:t>. W zwi</w:t>
      </w:r>
      <w:r w:rsidRPr="00A33B9F">
        <w:rPr>
          <w:noProof/>
          <w:color w:val="000000" w:themeColor="text1"/>
        </w:rPr>
        <w:t>ązku</w:t>
      </w:r>
      <w:r w:rsidR="00A33B9F" w:rsidRPr="00A33B9F">
        <w:rPr>
          <w:noProof/>
          <w:color w:val="000000" w:themeColor="text1"/>
        </w:rPr>
        <w:t xml:space="preserve"> z tym</w:t>
      </w:r>
      <w:r w:rsidRPr="00A33B9F">
        <w:rPr>
          <w:noProof/>
          <w:color w:val="000000" w:themeColor="text1"/>
        </w:rPr>
        <w:t xml:space="preserve"> inwestycja jest ukierunkowana na (i) wdrożenie systemu informatycznego na potrzeby zarządzania finansowaniem</w:t>
      </w:r>
      <w:r w:rsidR="00A33B9F" w:rsidRPr="00A33B9F">
        <w:rPr>
          <w:noProof/>
          <w:color w:val="000000" w:themeColor="text1"/>
        </w:rPr>
        <w:t xml:space="preserve"> i two</w:t>
      </w:r>
      <w:r w:rsidRPr="00A33B9F">
        <w:rPr>
          <w:noProof/>
          <w:color w:val="000000" w:themeColor="text1"/>
        </w:rPr>
        <w:t>rzeniem placówek opieki nad dziećmi</w:t>
      </w:r>
      <w:r w:rsidR="00A33B9F" w:rsidRPr="00A33B9F">
        <w:rPr>
          <w:noProof/>
          <w:color w:val="000000" w:themeColor="text1"/>
        </w:rPr>
        <w:t xml:space="preserve"> w wie</w:t>
      </w:r>
      <w:r w:rsidRPr="00A33B9F">
        <w:rPr>
          <w:noProof/>
          <w:color w:val="000000" w:themeColor="text1"/>
        </w:rPr>
        <w:t>ku do lat trzech oraz (ii) utworzenie nowych miejsc</w:t>
      </w:r>
      <w:r w:rsidR="00A33B9F" w:rsidRPr="00A33B9F">
        <w:rPr>
          <w:noProof/>
          <w:color w:val="000000" w:themeColor="text1"/>
        </w:rPr>
        <w:t xml:space="preserve"> w pla</w:t>
      </w:r>
      <w:r w:rsidRPr="00A33B9F">
        <w:rPr>
          <w:noProof/>
          <w:color w:val="000000" w:themeColor="text1"/>
        </w:rPr>
        <w:t>cówkach opieki nad dziećmi (żłobki, kluby dziecięce) dla dzieci</w:t>
      </w:r>
      <w:r w:rsidR="00A33B9F" w:rsidRPr="00A33B9F">
        <w:rPr>
          <w:noProof/>
          <w:color w:val="000000" w:themeColor="text1"/>
        </w:rPr>
        <w:t xml:space="preserve"> w wie</w:t>
      </w:r>
      <w:r w:rsidRPr="00A33B9F">
        <w:rPr>
          <w:noProof/>
          <w:color w:val="000000" w:themeColor="text1"/>
        </w:rPr>
        <w:t>ku do lat trzech.</w:t>
      </w:r>
    </w:p>
    <w:p w14:paraId="39BEFB42" w14:textId="3BB8FB14" w:rsidR="007C4506" w:rsidRPr="00A33B9F" w:rsidRDefault="00B31839" w:rsidP="002D0F1B">
      <w:pPr>
        <w:pStyle w:val="Text1"/>
        <w:ind w:left="0"/>
        <w:rPr>
          <w:rFonts w:eastAsia="Times New Roman"/>
          <w:noProof/>
          <w:color w:val="000000"/>
          <w:szCs w:val="24"/>
        </w:rPr>
      </w:pPr>
      <w:r w:rsidRPr="00A33B9F">
        <w:rPr>
          <w:noProof/>
          <w:color w:val="000000" w:themeColor="text1"/>
        </w:rPr>
        <w:t>Inwestycja przewiduje opracowanie</w:t>
      </w:r>
      <w:r w:rsidR="00A33B9F" w:rsidRPr="00A33B9F">
        <w:rPr>
          <w:noProof/>
          <w:color w:val="000000" w:themeColor="text1"/>
        </w:rPr>
        <w:t xml:space="preserve"> i wdr</w:t>
      </w:r>
      <w:r w:rsidRPr="00A33B9F">
        <w:rPr>
          <w:noProof/>
          <w:color w:val="000000" w:themeColor="text1"/>
        </w:rPr>
        <w:t>ożenie systemu informatycznego na potrzeby zarządzania finansowaniem</w:t>
      </w:r>
      <w:r w:rsidR="00A33B9F" w:rsidRPr="00A33B9F">
        <w:rPr>
          <w:noProof/>
          <w:color w:val="000000" w:themeColor="text1"/>
        </w:rPr>
        <w:t xml:space="preserve"> i two</w:t>
      </w:r>
      <w:r w:rsidRPr="00A33B9F">
        <w:rPr>
          <w:noProof/>
          <w:color w:val="000000" w:themeColor="text1"/>
        </w:rPr>
        <w:t>rzeniem placówek opieki nad dziećmi</w:t>
      </w:r>
      <w:r w:rsidR="00A33B9F" w:rsidRPr="00A33B9F">
        <w:rPr>
          <w:noProof/>
          <w:color w:val="000000" w:themeColor="text1"/>
        </w:rPr>
        <w:t xml:space="preserve"> w wie</w:t>
      </w:r>
      <w:r w:rsidRPr="00A33B9F">
        <w:rPr>
          <w:noProof/>
          <w:color w:val="000000" w:themeColor="text1"/>
        </w:rPr>
        <w:t>ku do lat trzech. System łączy różne źródła finansowania opieki nad dziećmi (fundusze europejskie, finansowanie krajowe</w:t>
      </w:r>
      <w:r w:rsidR="00A33B9F" w:rsidRPr="00A33B9F">
        <w:rPr>
          <w:noProof/>
          <w:color w:val="000000" w:themeColor="text1"/>
        </w:rPr>
        <w:t xml:space="preserve"> z bud</w:t>
      </w:r>
      <w:r w:rsidRPr="00A33B9F">
        <w:rPr>
          <w:noProof/>
          <w:color w:val="000000" w:themeColor="text1"/>
        </w:rPr>
        <w:t>żetu centralnego, finansowanie samorządów terytorialnych).</w:t>
      </w:r>
    </w:p>
    <w:p w14:paraId="5AF032E9" w14:textId="3779DCD6" w:rsidR="007C4506" w:rsidRPr="00A33B9F" w:rsidRDefault="481D6064" w:rsidP="002D0F1B">
      <w:pPr>
        <w:pStyle w:val="Text1"/>
        <w:ind w:left="0"/>
        <w:rPr>
          <w:rFonts w:eastAsia="Times New Roman"/>
          <w:noProof/>
          <w:color w:val="000000"/>
          <w:szCs w:val="24"/>
        </w:rPr>
      </w:pPr>
      <w:r w:rsidRPr="00A33B9F">
        <w:rPr>
          <w:noProof/>
          <w:color w:val="000000" w:themeColor="text1"/>
        </w:rPr>
        <w:t>Inwestycja obejmuje również utworzenie 47 500 nowych miejsc</w:t>
      </w:r>
      <w:r w:rsidR="00A33B9F" w:rsidRPr="00A33B9F">
        <w:rPr>
          <w:noProof/>
          <w:color w:val="000000" w:themeColor="text1"/>
        </w:rPr>
        <w:t xml:space="preserve"> w żło</w:t>
      </w:r>
      <w:r w:rsidRPr="00A33B9F">
        <w:rPr>
          <w:noProof/>
          <w:color w:val="000000" w:themeColor="text1"/>
        </w:rPr>
        <w:t>bkach</w:t>
      </w:r>
      <w:r w:rsidR="00A33B9F" w:rsidRPr="00A33B9F">
        <w:rPr>
          <w:noProof/>
          <w:color w:val="000000" w:themeColor="text1"/>
        </w:rPr>
        <w:t xml:space="preserve"> i klu</w:t>
      </w:r>
      <w:r w:rsidRPr="00A33B9F">
        <w:rPr>
          <w:noProof/>
          <w:color w:val="000000" w:themeColor="text1"/>
        </w:rPr>
        <w:t>bach dziecięcych poprzez budowę nowych placówek</w:t>
      </w:r>
      <w:r w:rsidR="00A33B9F" w:rsidRPr="00A33B9F">
        <w:rPr>
          <w:noProof/>
          <w:color w:val="000000" w:themeColor="text1"/>
        </w:rPr>
        <w:t xml:space="preserve"> i rem</w:t>
      </w:r>
      <w:r w:rsidRPr="00A33B9F">
        <w:rPr>
          <w:noProof/>
          <w:color w:val="000000" w:themeColor="text1"/>
        </w:rPr>
        <w:t>onty (renowacje</w:t>
      </w:r>
      <w:r w:rsidR="00A33B9F" w:rsidRPr="00A33B9F">
        <w:rPr>
          <w:noProof/>
          <w:color w:val="000000" w:themeColor="text1"/>
        </w:rPr>
        <w:t xml:space="preserve"> i ada</w:t>
      </w:r>
      <w:r w:rsidRPr="00A33B9F">
        <w:rPr>
          <w:noProof/>
          <w:color w:val="000000" w:themeColor="text1"/>
        </w:rPr>
        <w:t>ptacje) istniejących placówek. Wyjątkowo</w:t>
      </w:r>
      <w:r w:rsidR="00A33B9F" w:rsidRPr="00A33B9F">
        <w:rPr>
          <w:noProof/>
          <w:color w:val="000000" w:themeColor="text1"/>
        </w:rPr>
        <w:t xml:space="preserve"> w raz</w:t>
      </w:r>
      <w:r w:rsidRPr="00A33B9F">
        <w:rPr>
          <w:noProof/>
          <w:color w:val="000000" w:themeColor="text1"/>
        </w:rPr>
        <w:t>ie konieczności inwestycja może obejmować zakup nieruchomości</w:t>
      </w:r>
      <w:r w:rsidR="00A33B9F" w:rsidRPr="00A33B9F">
        <w:rPr>
          <w:noProof/>
          <w:color w:val="000000" w:themeColor="text1"/>
        </w:rPr>
        <w:t xml:space="preserve"> i inf</w:t>
      </w:r>
      <w:r w:rsidRPr="00A33B9F">
        <w:rPr>
          <w:noProof/>
          <w:color w:val="000000" w:themeColor="text1"/>
        </w:rPr>
        <w:t>rastruktury (zakup gruntu lub lokali).</w:t>
      </w:r>
    </w:p>
    <w:p w14:paraId="5E048EFC" w14:textId="0279FC16" w:rsidR="007C4506" w:rsidRPr="00A33B9F" w:rsidRDefault="00B31839" w:rsidP="002D0F1B">
      <w:pPr>
        <w:pStyle w:val="Text1"/>
        <w:ind w:left="0"/>
        <w:rPr>
          <w:rFonts w:eastAsia="Times New Roman"/>
          <w:noProof/>
          <w:color w:val="000000"/>
          <w:szCs w:val="24"/>
        </w:rPr>
      </w:pPr>
      <w:r w:rsidRPr="00A33B9F">
        <w:rPr>
          <w:noProof/>
          <w:color w:val="000000"/>
        </w:rPr>
        <w:t>Będzie przestrzegane wyraźne rozgraniczenie między finansowaniem</w:t>
      </w:r>
      <w:r w:rsidR="00A33B9F" w:rsidRPr="00A33B9F">
        <w:rPr>
          <w:noProof/>
          <w:color w:val="000000"/>
        </w:rPr>
        <w:t xml:space="preserve"> w ram</w:t>
      </w:r>
      <w:r w:rsidRPr="00A33B9F">
        <w:rPr>
          <w:noProof/>
          <w:color w:val="000000"/>
        </w:rPr>
        <w:t>ach Instrumentu na rzecz Odbudowy</w:t>
      </w:r>
      <w:r w:rsidR="00A33B9F" w:rsidRPr="00A33B9F">
        <w:rPr>
          <w:noProof/>
          <w:color w:val="000000"/>
        </w:rPr>
        <w:t xml:space="preserve"> i Zwi</w:t>
      </w:r>
      <w:r w:rsidRPr="00A33B9F">
        <w:rPr>
          <w:noProof/>
          <w:color w:val="000000"/>
        </w:rPr>
        <w:t>ększania Odporności</w:t>
      </w:r>
      <w:r w:rsidR="00A33B9F" w:rsidRPr="00A33B9F">
        <w:rPr>
          <w:noProof/>
          <w:color w:val="000000"/>
        </w:rPr>
        <w:t xml:space="preserve"> a inn</w:t>
      </w:r>
      <w:r w:rsidRPr="00A33B9F">
        <w:rPr>
          <w:noProof/>
          <w:color w:val="000000"/>
        </w:rPr>
        <w:t xml:space="preserve">ymi rodzajami finansowania europejskiego. </w:t>
      </w:r>
    </w:p>
    <w:p w14:paraId="78DFE28D" w14:textId="199E5E52" w:rsidR="007C4506" w:rsidRPr="00A33B9F" w:rsidRDefault="00B31839" w:rsidP="002D0F1B">
      <w:pPr>
        <w:pStyle w:val="Text1"/>
        <w:ind w:left="0"/>
        <w:rPr>
          <w:rFonts w:eastAsia="Times New Roman"/>
          <w:noProof/>
          <w:color w:val="000000"/>
          <w:szCs w:val="24"/>
        </w:rPr>
      </w:pPr>
      <w:r w:rsidRPr="00A33B9F">
        <w:rPr>
          <w:noProof/>
          <w:color w:val="000000"/>
        </w:rPr>
        <w:t>Realizacja inwestycji zostanie zakończona do dnia 30 czerwca 2026</w:t>
      </w:r>
      <w:r w:rsidR="00A33B9F" w:rsidRPr="00A33B9F">
        <w:rPr>
          <w:noProof/>
          <w:color w:val="000000"/>
        </w:rPr>
        <w:t> </w:t>
      </w:r>
      <w:r w:rsidRPr="00A33B9F">
        <w:rPr>
          <w:noProof/>
          <w:color w:val="000000"/>
        </w:rPr>
        <w:t>r.</w:t>
      </w:r>
    </w:p>
    <w:p w14:paraId="62EBF3C5"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C45E4FB" w14:textId="77777777" w:rsidR="007C4506" w:rsidRPr="00A33B9F" w:rsidRDefault="00B31839" w:rsidP="00681D72">
      <w:pPr>
        <w:pStyle w:val="Text1"/>
        <w:pageBreakBefore/>
        <w:ind w:left="0"/>
        <w:rPr>
          <w:rFonts w:eastAsia="Times New Roman"/>
          <w:b/>
          <w:noProof/>
          <w:color w:val="000000"/>
          <w:szCs w:val="24"/>
        </w:rPr>
      </w:pPr>
      <w:r w:rsidRPr="00A33B9F">
        <w:rPr>
          <w:b/>
          <w:noProof/>
          <w:color w:val="000000"/>
          <w:u w:val="single"/>
        </w:rPr>
        <w:t>A4.3 Wdrożenie ram prawnych dla rozwoju ekonomii społecznej</w:t>
      </w:r>
    </w:p>
    <w:p w14:paraId="2C58F83D" w14:textId="3DC0DC2D" w:rsidR="007C4506" w:rsidRPr="00A33B9F" w:rsidRDefault="00B31839" w:rsidP="002D0F1B">
      <w:pPr>
        <w:pStyle w:val="Text1"/>
        <w:ind w:left="0"/>
        <w:rPr>
          <w:rFonts w:eastAsia="Times New Roman"/>
          <w:noProof/>
          <w:color w:val="000000"/>
          <w:szCs w:val="24"/>
        </w:rPr>
      </w:pPr>
      <w:r w:rsidRPr="00A33B9F">
        <w:rPr>
          <w:noProof/>
          <w:color w:val="000000"/>
        </w:rPr>
        <w:t>Nadrzędnym celem reformy jest zwiększenie współczynnika aktywności zawodowej osób zagrożonych wykluczeniem społecznym oraz wsparcie procesu deinstytucjonalizacji usług społecznych</w:t>
      </w:r>
      <w:r w:rsidR="00A33B9F" w:rsidRPr="00A33B9F">
        <w:rPr>
          <w:noProof/>
          <w:color w:val="000000"/>
        </w:rPr>
        <w:t>. W tym</w:t>
      </w:r>
      <w:r w:rsidRPr="00A33B9F">
        <w:rPr>
          <w:noProof/>
          <w:color w:val="000000"/>
        </w:rPr>
        <w:t xml:space="preserve"> celu reforma jest ukierunkowana na określenie</w:t>
      </w:r>
      <w:r w:rsidR="00A33B9F" w:rsidRPr="00A33B9F">
        <w:rPr>
          <w:noProof/>
          <w:color w:val="000000"/>
        </w:rPr>
        <w:t xml:space="preserve"> w prz</w:t>
      </w:r>
      <w:r w:rsidRPr="00A33B9F">
        <w:rPr>
          <w:noProof/>
          <w:color w:val="000000"/>
        </w:rPr>
        <w:t>episach ram funkcjonowania podmiotów ekonomii społecznej.</w:t>
      </w:r>
    </w:p>
    <w:p w14:paraId="2FA6F748" w14:textId="212E0D40" w:rsidR="007C4506" w:rsidRPr="00A33B9F" w:rsidRDefault="00B31839" w:rsidP="002D0F1B">
      <w:pPr>
        <w:pStyle w:val="Text1"/>
        <w:ind w:left="0"/>
        <w:rPr>
          <w:rFonts w:eastAsia="Times New Roman"/>
          <w:noProof/>
          <w:color w:val="000000"/>
          <w:szCs w:val="24"/>
        </w:rPr>
      </w:pPr>
      <w:r w:rsidRPr="00A33B9F">
        <w:rPr>
          <w:noProof/>
          <w:color w:val="000000" w:themeColor="text1"/>
        </w:rPr>
        <w:t>Reforma polega na przyjęciu ustawy</w:t>
      </w:r>
      <w:r w:rsidR="00A33B9F" w:rsidRPr="00A33B9F">
        <w:rPr>
          <w:noProof/>
          <w:color w:val="000000" w:themeColor="text1"/>
        </w:rPr>
        <w:t xml:space="preserve"> o eko</w:t>
      </w:r>
      <w:r w:rsidRPr="00A33B9F">
        <w:rPr>
          <w:noProof/>
          <w:color w:val="000000" w:themeColor="text1"/>
        </w:rPr>
        <w:t>nomii społecznej</w:t>
      </w:r>
      <w:r w:rsidR="00A33B9F" w:rsidRPr="00A33B9F">
        <w:rPr>
          <w:noProof/>
          <w:color w:val="000000" w:themeColor="text1"/>
        </w:rPr>
        <w:t>. W ust</w:t>
      </w:r>
      <w:r w:rsidRPr="00A33B9F">
        <w:rPr>
          <w:noProof/>
          <w:color w:val="000000" w:themeColor="text1"/>
        </w:rPr>
        <w:t>awie określa się podstawowe przepisy związane</w:t>
      </w:r>
      <w:r w:rsidR="00A33B9F" w:rsidRPr="00A33B9F">
        <w:rPr>
          <w:noProof/>
          <w:color w:val="000000" w:themeColor="text1"/>
        </w:rPr>
        <w:t xml:space="preserve"> z tym</w:t>
      </w:r>
      <w:r w:rsidRPr="00A33B9F">
        <w:rPr>
          <w:noProof/>
          <w:color w:val="000000" w:themeColor="text1"/>
        </w:rPr>
        <w:t xml:space="preserve"> sektorem,</w:t>
      </w:r>
      <w:r w:rsidR="00A33B9F" w:rsidRPr="00A33B9F">
        <w:rPr>
          <w:noProof/>
          <w:color w:val="000000" w:themeColor="text1"/>
        </w:rPr>
        <w:t xml:space="preserve"> w tym w szc</w:t>
      </w:r>
      <w:r w:rsidRPr="00A33B9F">
        <w:rPr>
          <w:noProof/>
          <w:color w:val="000000" w:themeColor="text1"/>
        </w:rPr>
        <w:t>zególności zasady funkcjonowania</w:t>
      </w:r>
      <w:r w:rsidR="00A33B9F" w:rsidRPr="00A33B9F">
        <w:rPr>
          <w:noProof/>
          <w:color w:val="000000" w:themeColor="text1"/>
        </w:rPr>
        <w:t xml:space="preserve"> i wsp</w:t>
      </w:r>
      <w:r w:rsidRPr="00A33B9F">
        <w:rPr>
          <w:noProof/>
          <w:color w:val="000000" w:themeColor="text1"/>
        </w:rPr>
        <w:t>ierania przedsiębiorstw społecznych, nowe formy współpracy między podmiotami ekonomii społecznej</w:t>
      </w:r>
      <w:r w:rsidR="00A33B9F" w:rsidRPr="00A33B9F">
        <w:rPr>
          <w:noProof/>
          <w:color w:val="000000" w:themeColor="text1"/>
        </w:rPr>
        <w:t xml:space="preserve"> a wła</w:t>
      </w:r>
      <w:r w:rsidRPr="00A33B9F">
        <w:rPr>
          <w:noProof/>
          <w:color w:val="000000" w:themeColor="text1"/>
        </w:rPr>
        <w:t>dzami lokalnymi</w:t>
      </w:r>
      <w:r w:rsidR="00A33B9F" w:rsidRPr="00A33B9F">
        <w:rPr>
          <w:noProof/>
          <w:color w:val="000000" w:themeColor="text1"/>
        </w:rPr>
        <w:t xml:space="preserve"> w zak</w:t>
      </w:r>
      <w:r w:rsidRPr="00A33B9F">
        <w:rPr>
          <w:noProof/>
          <w:color w:val="000000" w:themeColor="text1"/>
        </w:rPr>
        <w:t>resie realizacji usług społecznych,</w:t>
      </w:r>
      <w:r w:rsidR="00A33B9F" w:rsidRPr="00A33B9F">
        <w:rPr>
          <w:noProof/>
          <w:color w:val="000000" w:themeColor="text1"/>
        </w:rPr>
        <w:t xml:space="preserve"> a tak</w:t>
      </w:r>
      <w:r w:rsidRPr="00A33B9F">
        <w:rPr>
          <w:noProof/>
          <w:color w:val="000000" w:themeColor="text1"/>
        </w:rPr>
        <w:t>że zasady koordynacji polityki</w:t>
      </w:r>
      <w:r w:rsidR="00A33B9F" w:rsidRPr="00A33B9F">
        <w:rPr>
          <w:noProof/>
          <w:color w:val="000000" w:themeColor="text1"/>
        </w:rPr>
        <w:t xml:space="preserve"> w dzi</w:t>
      </w:r>
      <w:r w:rsidRPr="00A33B9F">
        <w:rPr>
          <w:noProof/>
          <w:color w:val="000000" w:themeColor="text1"/>
        </w:rPr>
        <w:t>edzinie rozwoju ekonomii społecznej.</w:t>
      </w:r>
    </w:p>
    <w:p w14:paraId="5036C115" w14:textId="57CC4774"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Realizacja reformy zostanie zakończona do dnia 30 czerwca 2022</w:t>
      </w:r>
      <w:r w:rsidR="00A33B9F" w:rsidRPr="00A33B9F">
        <w:rPr>
          <w:noProof/>
          <w:color w:val="000000" w:themeColor="text1"/>
        </w:rPr>
        <w:t> </w:t>
      </w:r>
      <w:r w:rsidRPr="00A33B9F">
        <w:rPr>
          <w:noProof/>
          <w:color w:val="000000" w:themeColor="text1"/>
        </w:rPr>
        <w:t>r.</w:t>
      </w:r>
    </w:p>
    <w:p w14:paraId="28993FCA" w14:textId="77777777" w:rsidR="008D1A95" w:rsidRPr="00A33B9F" w:rsidRDefault="008D1A95" w:rsidP="002D0F1B">
      <w:pPr>
        <w:pStyle w:val="Text1"/>
        <w:ind w:left="0"/>
        <w:rPr>
          <w:rFonts w:eastAsia="Times New Roman"/>
          <w:noProof/>
          <w:color w:val="000000" w:themeColor="text1"/>
          <w:szCs w:val="24"/>
        </w:rPr>
      </w:pPr>
    </w:p>
    <w:p w14:paraId="1AC4645D" w14:textId="4DF52A82" w:rsidR="007C4506" w:rsidRPr="00A33B9F" w:rsidRDefault="00B31839" w:rsidP="002D0F1B">
      <w:pPr>
        <w:pStyle w:val="Text1"/>
        <w:ind w:left="0"/>
        <w:rPr>
          <w:rFonts w:eastAsia="Times New Roman"/>
          <w:b/>
          <w:bCs/>
          <w:noProof/>
          <w:color w:val="000000"/>
          <w:szCs w:val="24"/>
          <w:u w:val="single"/>
        </w:rPr>
      </w:pPr>
      <w:r w:rsidRPr="00A33B9F">
        <w:rPr>
          <w:b/>
          <w:noProof/>
          <w:color w:val="000000" w:themeColor="text1"/>
          <w:u w:val="single"/>
        </w:rPr>
        <w:t>A4.3.1 Programy wsparcia inwestycyjnego umożliwiające</w:t>
      </w:r>
      <w:r w:rsidR="00A33B9F" w:rsidRPr="00A33B9F">
        <w:rPr>
          <w:b/>
          <w:noProof/>
          <w:color w:val="000000" w:themeColor="text1"/>
          <w:u w:val="single"/>
        </w:rPr>
        <w:t xml:space="preserve"> w szc</w:t>
      </w:r>
      <w:r w:rsidRPr="00A33B9F">
        <w:rPr>
          <w:b/>
          <w:noProof/>
          <w:color w:val="000000" w:themeColor="text1"/>
          <w:u w:val="single"/>
        </w:rPr>
        <w:t>zególności rozwój działalności, zwiększenie udziału</w:t>
      </w:r>
      <w:r w:rsidR="00A33B9F" w:rsidRPr="00A33B9F">
        <w:rPr>
          <w:b/>
          <w:noProof/>
          <w:color w:val="000000" w:themeColor="text1"/>
          <w:u w:val="single"/>
        </w:rPr>
        <w:t xml:space="preserve"> w rea</w:t>
      </w:r>
      <w:r w:rsidRPr="00A33B9F">
        <w:rPr>
          <w:b/>
          <w:noProof/>
          <w:color w:val="000000" w:themeColor="text1"/>
          <w:u w:val="single"/>
        </w:rPr>
        <w:t>lizacji usług społecznych, podniesienie jakości reintegracji</w:t>
      </w:r>
      <w:r w:rsidR="00A33B9F" w:rsidRPr="00A33B9F">
        <w:rPr>
          <w:b/>
          <w:noProof/>
          <w:color w:val="000000" w:themeColor="text1"/>
          <w:u w:val="single"/>
        </w:rPr>
        <w:t xml:space="preserve"> w pod</w:t>
      </w:r>
      <w:r w:rsidRPr="00A33B9F">
        <w:rPr>
          <w:b/>
          <w:noProof/>
          <w:color w:val="000000" w:themeColor="text1"/>
          <w:u w:val="single"/>
        </w:rPr>
        <w:t>miotach ekonomii społecznej</w:t>
      </w:r>
    </w:p>
    <w:p w14:paraId="78CC3A06" w14:textId="37992E05" w:rsidR="007C4506" w:rsidRPr="00A33B9F" w:rsidRDefault="66E7BAD6" w:rsidP="002D0F1B">
      <w:pPr>
        <w:pStyle w:val="Text1"/>
        <w:ind w:left="0"/>
        <w:rPr>
          <w:rFonts w:eastAsia="Times New Roman"/>
          <w:noProof/>
          <w:color w:val="000000"/>
          <w:szCs w:val="24"/>
        </w:rPr>
      </w:pPr>
      <w:r w:rsidRPr="00A33B9F">
        <w:rPr>
          <w:noProof/>
          <w:color w:val="000000" w:themeColor="text1"/>
        </w:rPr>
        <w:t>Nadrzędnym celem przedmiotowej inwestycji jest maksymalizacja oddziaływania podmiotów ekonomii społecznej pod względem reintegracji społecznej</w:t>
      </w:r>
      <w:r w:rsidR="00A33B9F" w:rsidRPr="00A33B9F">
        <w:rPr>
          <w:noProof/>
          <w:color w:val="000000" w:themeColor="text1"/>
        </w:rPr>
        <w:t xml:space="preserve"> i zaw</w:t>
      </w:r>
      <w:r w:rsidRPr="00A33B9F">
        <w:rPr>
          <w:noProof/>
          <w:color w:val="000000" w:themeColor="text1"/>
        </w:rPr>
        <w:t>odowej osób zagrożonych wykluczeniem społecznym oraz wsparcie procesu deinstytucjonalizacji usług społecznych</w:t>
      </w:r>
      <w:r w:rsidR="00A33B9F" w:rsidRPr="00A33B9F">
        <w:rPr>
          <w:noProof/>
          <w:color w:val="000000" w:themeColor="text1"/>
        </w:rPr>
        <w:t>. W tym</w:t>
      </w:r>
      <w:r w:rsidRPr="00A33B9F">
        <w:rPr>
          <w:noProof/>
          <w:color w:val="000000" w:themeColor="text1"/>
        </w:rPr>
        <w:t xml:space="preserve"> celu inwestycja jest ukierunkowana na udzielanie podmiotom pomocy</w:t>
      </w:r>
      <w:r w:rsidR="00A33B9F" w:rsidRPr="00A33B9F">
        <w:rPr>
          <w:noProof/>
          <w:color w:val="000000" w:themeColor="text1"/>
        </w:rPr>
        <w:t xml:space="preserve"> w uzy</w:t>
      </w:r>
      <w:r w:rsidRPr="00A33B9F">
        <w:rPr>
          <w:noProof/>
          <w:color w:val="000000" w:themeColor="text1"/>
        </w:rPr>
        <w:t>skaniu statusu przedsiębiorstwa społecznego oraz</w:t>
      </w:r>
      <w:r w:rsidR="00A33B9F" w:rsidRPr="00A33B9F">
        <w:rPr>
          <w:noProof/>
          <w:color w:val="000000" w:themeColor="text1"/>
        </w:rPr>
        <w:t xml:space="preserve"> w utr</w:t>
      </w:r>
      <w:r w:rsidRPr="00A33B9F">
        <w:rPr>
          <w:noProof/>
          <w:color w:val="000000" w:themeColor="text1"/>
        </w:rPr>
        <w:t>zymaniu miejsc pracy</w:t>
      </w:r>
      <w:r w:rsidR="00A33B9F" w:rsidRPr="00A33B9F">
        <w:rPr>
          <w:noProof/>
          <w:color w:val="000000" w:themeColor="text1"/>
        </w:rPr>
        <w:t xml:space="preserve"> w pod</w:t>
      </w:r>
      <w:r w:rsidRPr="00A33B9F">
        <w:rPr>
          <w:noProof/>
          <w:color w:val="000000" w:themeColor="text1"/>
        </w:rPr>
        <w:t>miotach ekonomii społecznej.</w:t>
      </w:r>
    </w:p>
    <w:p w14:paraId="51B53191" w14:textId="336F1E91" w:rsidR="007C4506" w:rsidRPr="00A33B9F" w:rsidRDefault="66E7BAD6" w:rsidP="002D0F1B">
      <w:pPr>
        <w:pStyle w:val="Text1"/>
        <w:ind w:left="0"/>
        <w:rPr>
          <w:rFonts w:eastAsia="Times New Roman"/>
          <w:noProof/>
          <w:color w:val="000000"/>
          <w:szCs w:val="24"/>
        </w:rPr>
      </w:pPr>
      <w:r w:rsidRPr="00A33B9F">
        <w:rPr>
          <w:noProof/>
          <w:color w:val="000000" w:themeColor="text1"/>
        </w:rPr>
        <w:t>Zakres inwestycji obejmuje opracowanie</w:t>
      </w:r>
      <w:r w:rsidR="00A33B9F" w:rsidRPr="00A33B9F">
        <w:rPr>
          <w:noProof/>
          <w:color w:val="000000" w:themeColor="text1"/>
        </w:rPr>
        <w:t xml:space="preserve"> i rea</w:t>
      </w:r>
      <w:r w:rsidRPr="00A33B9F">
        <w:rPr>
          <w:noProof/>
          <w:color w:val="000000" w:themeColor="text1"/>
        </w:rPr>
        <w:t>lizację programów,</w:t>
      </w:r>
      <w:r w:rsidR="00A33B9F" w:rsidRPr="00A33B9F">
        <w:rPr>
          <w:noProof/>
          <w:color w:val="000000" w:themeColor="text1"/>
        </w:rPr>
        <w:t xml:space="preserve"> w ram</w:t>
      </w:r>
      <w:r w:rsidRPr="00A33B9F">
        <w:rPr>
          <w:noProof/>
          <w:color w:val="000000" w:themeColor="text1"/>
        </w:rPr>
        <w:t>ach których przyznawane będą dotacje kwalifikującym się podmiotom. Cele umożliwiające pomiar stopnia realizacji inwestycji to: (i) nadanie statusu przedsiębiorstwa społecznego 1 400 podmiotom oraz (ii) zapewnienie wsparcia finansowego co najmniej 1 000 nowo utworzonym podmiotom społecznym.</w:t>
      </w:r>
    </w:p>
    <w:p w14:paraId="38B298FD" w14:textId="57246B54" w:rsidR="007C4506" w:rsidRPr="00A33B9F" w:rsidRDefault="00B31839" w:rsidP="002D0F1B">
      <w:pPr>
        <w:pStyle w:val="Text1"/>
        <w:ind w:left="0"/>
        <w:rPr>
          <w:rFonts w:eastAsia="Times New Roman"/>
          <w:noProof/>
          <w:color w:val="000000"/>
          <w:szCs w:val="24"/>
        </w:rPr>
      </w:pPr>
      <w:r w:rsidRPr="00A33B9F">
        <w:rPr>
          <w:noProof/>
          <w:color w:val="000000" w:themeColor="text1"/>
        </w:rPr>
        <w:t>Wybór beneficjentów będzie dokonywany na podstawie określonych kryteriów kwalifikacji, które są zgodne</w:t>
      </w:r>
      <w:r w:rsidR="00A33B9F" w:rsidRPr="00A33B9F">
        <w:rPr>
          <w:noProof/>
          <w:color w:val="000000" w:themeColor="text1"/>
        </w:rPr>
        <w:t xml:space="preserve"> z zas</w:t>
      </w:r>
      <w:r w:rsidRPr="00A33B9F">
        <w:rPr>
          <w:noProof/>
          <w:color w:val="000000" w:themeColor="text1"/>
        </w:rPr>
        <w:t>adami niedyskryminacji</w:t>
      </w:r>
      <w:r w:rsidR="00A33B9F" w:rsidRPr="00A33B9F">
        <w:rPr>
          <w:noProof/>
          <w:color w:val="000000" w:themeColor="text1"/>
        </w:rPr>
        <w:t xml:space="preserve"> i prz</w:t>
      </w:r>
      <w:r w:rsidRPr="00A33B9F">
        <w:rPr>
          <w:noProof/>
          <w:color w:val="000000" w:themeColor="text1"/>
        </w:rPr>
        <w:t>ejrzystości.</w:t>
      </w:r>
    </w:p>
    <w:p w14:paraId="1A28289F" w14:textId="2DC0FA33" w:rsidR="007C4506" w:rsidRPr="00A33B9F" w:rsidRDefault="66E7BAD6" w:rsidP="002D0F1B">
      <w:pPr>
        <w:pStyle w:val="Text1"/>
        <w:ind w:left="0"/>
        <w:rPr>
          <w:rFonts w:eastAsia="Times New Roman"/>
          <w:noProof/>
          <w:color w:val="000000" w:themeColor="text1"/>
          <w:szCs w:val="24"/>
        </w:rPr>
      </w:pPr>
      <w:r w:rsidRPr="00A33B9F">
        <w:rPr>
          <w:noProof/>
          <w:color w:val="000000" w:themeColor="text1"/>
        </w:rPr>
        <w:t>Realizacja inwestycji zostanie zakończona do dnia 31 grudnia 2025</w:t>
      </w:r>
      <w:r w:rsidR="00A33B9F" w:rsidRPr="00A33B9F">
        <w:rPr>
          <w:noProof/>
          <w:color w:val="000000" w:themeColor="text1"/>
        </w:rPr>
        <w:t> </w:t>
      </w:r>
      <w:r w:rsidRPr="00A33B9F">
        <w:rPr>
          <w:noProof/>
          <w:color w:val="000000" w:themeColor="text1"/>
        </w:rPr>
        <w:t>r.</w:t>
      </w:r>
    </w:p>
    <w:p w14:paraId="2946DB82" w14:textId="77777777" w:rsidR="00F03401" w:rsidRPr="00A33B9F" w:rsidRDefault="00F0340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66CBF28" w14:textId="425F8DDA" w:rsidR="007C4506" w:rsidRPr="00A33B9F" w:rsidRDefault="00B31839" w:rsidP="002D0F1B">
      <w:pPr>
        <w:pStyle w:val="Text1"/>
        <w:ind w:left="0"/>
        <w:rPr>
          <w:rFonts w:eastAsia="Times New Roman"/>
          <w:b/>
          <w:noProof/>
          <w:color w:val="000000"/>
          <w:szCs w:val="24"/>
        </w:rPr>
      </w:pPr>
      <w:r w:rsidRPr="00A33B9F">
        <w:rPr>
          <w:b/>
          <w:noProof/>
          <w:color w:val="000000"/>
          <w:u w:val="single"/>
        </w:rPr>
        <w:t>A4.4 Uelastycznienie form zatrudnienia</w:t>
      </w:r>
      <w:r w:rsidR="00A33B9F" w:rsidRPr="00A33B9F">
        <w:rPr>
          <w:b/>
          <w:noProof/>
          <w:color w:val="000000"/>
          <w:u w:val="single"/>
        </w:rPr>
        <w:t xml:space="preserve"> i wpr</w:t>
      </w:r>
      <w:r w:rsidRPr="00A33B9F">
        <w:rPr>
          <w:b/>
          <w:noProof/>
          <w:color w:val="000000"/>
          <w:u w:val="single"/>
        </w:rPr>
        <w:t>owadzenie pracy zdalnej</w:t>
      </w:r>
    </w:p>
    <w:p w14:paraId="3E653869" w14:textId="7AD98B5F" w:rsidR="007C4506" w:rsidRPr="00A33B9F" w:rsidRDefault="00B31839" w:rsidP="002D0F1B">
      <w:pPr>
        <w:pStyle w:val="Text1"/>
        <w:ind w:left="0"/>
        <w:rPr>
          <w:rFonts w:eastAsia="Times New Roman"/>
          <w:noProof/>
          <w:color w:val="000000"/>
          <w:szCs w:val="24"/>
        </w:rPr>
      </w:pPr>
      <w:r w:rsidRPr="00A33B9F">
        <w:rPr>
          <w:noProof/>
          <w:color w:val="000000"/>
        </w:rPr>
        <w:t>Nadrzędnym celem reformy jest ułatwienie godzenia obowiązków rodzinnych</w:t>
      </w:r>
      <w:r w:rsidR="00A33B9F" w:rsidRPr="00A33B9F">
        <w:rPr>
          <w:noProof/>
          <w:color w:val="000000"/>
        </w:rPr>
        <w:t xml:space="preserve"> i zaw</w:t>
      </w:r>
      <w:r w:rsidRPr="00A33B9F">
        <w:rPr>
          <w:noProof/>
          <w:color w:val="000000"/>
        </w:rPr>
        <w:t>odowych oraz zapewnienie pomocy osobom</w:t>
      </w:r>
      <w:r w:rsidR="00A33B9F" w:rsidRPr="00A33B9F">
        <w:rPr>
          <w:noProof/>
          <w:color w:val="000000"/>
        </w:rPr>
        <w:t xml:space="preserve"> z gru</w:t>
      </w:r>
      <w:r w:rsidRPr="00A33B9F">
        <w:rPr>
          <w:noProof/>
          <w:color w:val="000000"/>
        </w:rPr>
        <w:t>p</w:t>
      </w:r>
      <w:r w:rsidR="00A33B9F" w:rsidRPr="00A33B9F">
        <w:rPr>
          <w:noProof/>
          <w:color w:val="000000"/>
        </w:rPr>
        <w:t xml:space="preserve"> o niż</w:t>
      </w:r>
      <w:r w:rsidRPr="00A33B9F">
        <w:rPr>
          <w:noProof/>
          <w:color w:val="000000"/>
        </w:rPr>
        <w:t>szych współczynnikach aktywności zawodowej</w:t>
      </w:r>
      <w:r w:rsidR="00A33B9F" w:rsidRPr="00A33B9F">
        <w:rPr>
          <w:noProof/>
          <w:color w:val="000000"/>
        </w:rPr>
        <w:t xml:space="preserve"> w zna</w:t>
      </w:r>
      <w:r w:rsidRPr="00A33B9F">
        <w:rPr>
          <w:noProof/>
          <w:color w:val="000000"/>
        </w:rPr>
        <w:t>lezieniu stałego zatrudnienia</w:t>
      </w:r>
      <w:r w:rsidR="00A33B9F" w:rsidRPr="00A33B9F">
        <w:rPr>
          <w:noProof/>
          <w:color w:val="000000"/>
        </w:rPr>
        <w:t>. W tym</w:t>
      </w:r>
      <w:r w:rsidRPr="00A33B9F">
        <w:rPr>
          <w:noProof/>
          <w:color w:val="000000"/>
        </w:rPr>
        <w:t xml:space="preserve"> celu</w:t>
      </w:r>
      <w:r w:rsidR="00A33B9F" w:rsidRPr="00A33B9F">
        <w:rPr>
          <w:noProof/>
          <w:color w:val="000000"/>
        </w:rPr>
        <w:t xml:space="preserve"> w kod</w:t>
      </w:r>
      <w:r w:rsidRPr="00A33B9F">
        <w:rPr>
          <w:noProof/>
          <w:color w:val="000000"/>
        </w:rPr>
        <w:t>eksie pracy uwzględni się pracę zdalną</w:t>
      </w:r>
      <w:r w:rsidR="00A33B9F" w:rsidRPr="00A33B9F">
        <w:rPr>
          <w:noProof/>
          <w:color w:val="000000"/>
        </w:rPr>
        <w:t xml:space="preserve"> i ela</w:t>
      </w:r>
      <w:r w:rsidRPr="00A33B9F">
        <w:rPr>
          <w:noProof/>
          <w:color w:val="000000"/>
        </w:rPr>
        <w:t>styczne formy organizacji czasu pracy.</w:t>
      </w:r>
    </w:p>
    <w:p w14:paraId="0C2422C3" w14:textId="578490DC" w:rsidR="007C4506" w:rsidRPr="00A33B9F" w:rsidRDefault="00B31839" w:rsidP="002D0F1B">
      <w:pPr>
        <w:pStyle w:val="Text1"/>
        <w:ind w:left="0"/>
        <w:rPr>
          <w:rFonts w:eastAsia="Times New Roman"/>
          <w:noProof/>
          <w:color w:val="000000"/>
          <w:szCs w:val="24"/>
        </w:rPr>
      </w:pPr>
      <w:r w:rsidRPr="00A33B9F">
        <w:rPr>
          <w:noProof/>
          <w:color w:val="000000" w:themeColor="text1"/>
        </w:rPr>
        <w:t>Reforma polega na przyjęciu zmian</w:t>
      </w:r>
      <w:r w:rsidR="00A33B9F" w:rsidRPr="00A33B9F">
        <w:rPr>
          <w:noProof/>
          <w:color w:val="000000" w:themeColor="text1"/>
        </w:rPr>
        <w:t xml:space="preserve"> w kod</w:t>
      </w:r>
      <w:r w:rsidRPr="00A33B9F">
        <w:rPr>
          <w:noProof/>
          <w:color w:val="000000" w:themeColor="text1"/>
        </w:rPr>
        <w:t>eksie pracy. Zmiany mają umożliwić pracę zdalną</w:t>
      </w:r>
      <w:r w:rsidR="00A33B9F" w:rsidRPr="00A33B9F">
        <w:rPr>
          <w:noProof/>
          <w:color w:val="000000" w:themeColor="text1"/>
        </w:rPr>
        <w:t xml:space="preserve"> w dow</w:t>
      </w:r>
      <w:r w:rsidRPr="00A33B9F">
        <w:rPr>
          <w:noProof/>
          <w:color w:val="000000" w:themeColor="text1"/>
        </w:rPr>
        <w:t>olnym czasie,</w:t>
      </w:r>
      <w:r w:rsidR="00A33B9F" w:rsidRPr="00A33B9F">
        <w:rPr>
          <w:noProof/>
          <w:color w:val="000000" w:themeColor="text1"/>
        </w:rPr>
        <w:t xml:space="preserve"> a nie</w:t>
      </w:r>
      <w:r w:rsidRPr="00A33B9F">
        <w:rPr>
          <w:noProof/>
          <w:color w:val="000000" w:themeColor="text1"/>
        </w:rPr>
        <w:t xml:space="preserve"> tylko</w:t>
      </w:r>
      <w:r w:rsidR="00A33B9F" w:rsidRPr="00A33B9F">
        <w:rPr>
          <w:noProof/>
          <w:color w:val="000000" w:themeColor="text1"/>
        </w:rPr>
        <w:t xml:space="preserve"> w nad</w:t>
      </w:r>
      <w:r w:rsidRPr="00A33B9F">
        <w:rPr>
          <w:noProof/>
          <w:color w:val="000000" w:themeColor="text1"/>
        </w:rPr>
        <w:t>zwyczajnych okolicznościach, oraz pozwolić na stosowanie elastycznych form organizacji czasu pracy</w:t>
      </w:r>
      <w:r w:rsidR="00A33B9F" w:rsidRPr="00A33B9F">
        <w:rPr>
          <w:noProof/>
          <w:color w:val="000000" w:themeColor="text1"/>
        </w:rPr>
        <w:t>. W ram</w:t>
      </w:r>
      <w:r w:rsidRPr="00A33B9F">
        <w:rPr>
          <w:noProof/>
          <w:color w:val="000000" w:themeColor="text1"/>
        </w:rPr>
        <w:t>ach zmiany określa się również szereg uzgodnień operacyjnych dotyczących pracy zdalnej</w:t>
      </w:r>
      <w:r w:rsidR="00A33B9F" w:rsidRPr="00A33B9F">
        <w:rPr>
          <w:noProof/>
          <w:color w:val="000000" w:themeColor="text1"/>
        </w:rPr>
        <w:t xml:space="preserve"> i ela</w:t>
      </w:r>
      <w:r w:rsidRPr="00A33B9F">
        <w:rPr>
          <w:noProof/>
          <w:color w:val="000000" w:themeColor="text1"/>
        </w:rPr>
        <w:t>stycznej,</w:t>
      </w:r>
      <w:r w:rsidR="00A33B9F" w:rsidRPr="00A33B9F">
        <w:rPr>
          <w:noProof/>
          <w:color w:val="000000" w:themeColor="text1"/>
        </w:rPr>
        <w:t xml:space="preserve"> w tym</w:t>
      </w:r>
      <w:r w:rsidRPr="00A33B9F">
        <w:rPr>
          <w:noProof/>
          <w:color w:val="000000" w:themeColor="text1"/>
        </w:rPr>
        <w:t>: (i) możliwość pracy zdalnej poza miejscem zatrudnienia</w:t>
      </w:r>
      <w:r w:rsidR="00A33B9F" w:rsidRPr="00A33B9F">
        <w:rPr>
          <w:noProof/>
          <w:color w:val="000000" w:themeColor="text1"/>
        </w:rPr>
        <w:t xml:space="preserve"> w opa</w:t>
      </w:r>
      <w:r w:rsidRPr="00A33B9F">
        <w:rPr>
          <w:noProof/>
          <w:color w:val="000000" w:themeColor="text1"/>
        </w:rPr>
        <w:t>rciu</w:t>
      </w:r>
      <w:r w:rsidR="00A33B9F" w:rsidRPr="00A33B9F">
        <w:rPr>
          <w:noProof/>
          <w:color w:val="000000" w:themeColor="text1"/>
        </w:rPr>
        <w:t xml:space="preserve"> o uzg</w:t>
      </w:r>
      <w:r w:rsidRPr="00A33B9F">
        <w:rPr>
          <w:noProof/>
          <w:color w:val="000000" w:themeColor="text1"/>
        </w:rPr>
        <w:t>odnienia między pracownikiem</w:t>
      </w:r>
      <w:r w:rsidR="00A33B9F" w:rsidRPr="00A33B9F">
        <w:rPr>
          <w:noProof/>
          <w:color w:val="000000" w:themeColor="text1"/>
        </w:rPr>
        <w:t xml:space="preserve"> i pra</w:t>
      </w:r>
      <w:r w:rsidRPr="00A33B9F">
        <w:rPr>
          <w:noProof/>
          <w:color w:val="000000" w:themeColor="text1"/>
        </w:rPr>
        <w:t>codawcą; (ii) określenie przepisów dotyczących narzędzi pracy, jakie ma zapewnić pracodawca, oraz (iii) opracowanie ram dotyczących zasad bezpieczeństwa</w:t>
      </w:r>
      <w:r w:rsidR="00A33B9F" w:rsidRPr="00A33B9F">
        <w:rPr>
          <w:noProof/>
          <w:color w:val="000000" w:themeColor="text1"/>
        </w:rPr>
        <w:t xml:space="preserve"> i hig</w:t>
      </w:r>
      <w:r w:rsidRPr="00A33B9F">
        <w:rPr>
          <w:noProof/>
          <w:color w:val="000000" w:themeColor="text1"/>
        </w:rPr>
        <w:t>ieny pracy mających zastosowanie do pracy zdalnej.</w:t>
      </w:r>
    </w:p>
    <w:p w14:paraId="29520B70" w14:textId="62BC6CD8" w:rsidR="007C4506" w:rsidRPr="00A33B9F" w:rsidRDefault="00B31839" w:rsidP="002D0F1B">
      <w:pPr>
        <w:pStyle w:val="Text1"/>
        <w:ind w:left="0"/>
        <w:rPr>
          <w:rFonts w:eastAsia="Times New Roman"/>
          <w:noProof/>
          <w:color w:val="000000" w:themeColor="text1"/>
          <w:szCs w:val="24"/>
        </w:rPr>
      </w:pPr>
      <w:r w:rsidRPr="00A33B9F">
        <w:rPr>
          <w:noProof/>
          <w:color w:val="000000" w:themeColor="text1"/>
        </w:rPr>
        <w:t>Realizacja reformy zostanie zakończona do dnia 30 września 2022</w:t>
      </w:r>
      <w:r w:rsidR="00A33B9F" w:rsidRPr="00A33B9F">
        <w:rPr>
          <w:noProof/>
          <w:color w:val="000000" w:themeColor="text1"/>
        </w:rPr>
        <w:t> </w:t>
      </w:r>
      <w:r w:rsidRPr="00A33B9F">
        <w:rPr>
          <w:noProof/>
          <w:color w:val="000000" w:themeColor="text1"/>
        </w:rPr>
        <w:t>r.</w:t>
      </w:r>
    </w:p>
    <w:p w14:paraId="3AE0ECCD" w14:textId="76F5728C" w:rsidR="0040111E" w:rsidRPr="00A33B9F" w:rsidRDefault="0040111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25AD9223" w14:textId="5C29698F" w:rsidR="007C4506" w:rsidRPr="00A33B9F" w:rsidRDefault="00B31839" w:rsidP="00681D72">
      <w:pPr>
        <w:pStyle w:val="Text1"/>
        <w:pageBreakBefore/>
        <w:ind w:left="0"/>
        <w:rPr>
          <w:rFonts w:eastAsia="Times New Roman"/>
          <w:b/>
          <w:noProof/>
          <w:color w:val="000000"/>
          <w:szCs w:val="24"/>
          <w:u w:val="single"/>
        </w:rPr>
      </w:pPr>
      <w:r w:rsidRPr="00A33B9F">
        <w:rPr>
          <w:b/>
          <w:noProof/>
          <w:color w:val="000000"/>
          <w:u w:val="single"/>
        </w:rPr>
        <w:t>A4.5 Przedłużanie kariery zawodowej</w:t>
      </w:r>
      <w:r w:rsidR="00A33B9F" w:rsidRPr="00A33B9F">
        <w:rPr>
          <w:b/>
          <w:noProof/>
          <w:color w:val="000000"/>
          <w:u w:val="single"/>
        </w:rPr>
        <w:t xml:space="preserve"> i pro</w:t>
      </w:r>
      <w:r w:rsidRPr="00A33B9F">
        <w:rPr>
          <w:b/>
          <w:noProof/>
          <w:color w:val="000000"/>
          <w:u w:val="single"/>
        </w:rPr>
        <w:t>mowanie pracy po przekroczeniu ustawowego wieku emerytalnego</w:t>
      </w:r>
    </w:p>
    <w:p w14:paraId="279728C5" w14:textId="4014EC87" w:rsidR="007C4506" w:rsidRPr="00A33B9F" w:rsidRDefault="00B31839" w:rsidP="002D0F1B">
      <w:pPr>
        <w:pStyle w:val="Text1"/>
        <w:ind w:left="0"/>
        <w:rPr>
          <w:rFonts w:eastAsia="Times New Roman"/>
          <w:noProof/>
          <w:color w:val="000000"/>
          <w:szCs w:val="24"/>
        </w:rPr>
      </w:pPr>
      <w:r w:rsidRPr="00A33B9F">
        <w:rPr>
          <w:noProof/>
          <w:color w:val="000000"/>
        </w:rPr>
        <w:t>Nadrzędnym celem reformy jest zwiększenie zdolności</w:t>
      </w:r>
      <w:r w:rsidR="00A33B9F" w:rsidRPr="00A33B9F">
        <w:rPr>
          <w:noProof/>
          <w:color w:val="000000"/>
        </w:rPr>
        <w:t xml:space="preserve"> i mot</w:t>
      </w:r>
      <w:r w:rsidRPr="00A33B9F">
        <w:rPr>
          <w:noProof/>
          <w:color w:val="000000"/>
        </w:rPr>
        <w:t>ywacji pracowników do pozostawania na rynku pracy po osiągnięciu wieku emerytalnego</w:t>
      </w:r>
      <w:r w:rsidR="00A33B9F" w:rsidRPr="00A33B9F">
        <w:rPr>
          <w:noProof/>
          <w:color w:val="000000"/>
        </w:rPr>
        <w:t>. W tym</w:t>
      </w:r>
      <w:r w:rsidRPr="00A33B9F">
        <w:rPr>
          <w:noProof/>
          <w:color w:val="000000"/>
        </w:rPr>
        <w:t xml:space="preserve"> celu wprowadza się zachętę podatkową dla osób, które osiągnęły ustawowy wiek emerytalny, ale zdecydowały się nie przechodzić na emeryturę</w:t>
      </w:r>
      <w:r w:rsidR="00A33B9F" w:rsidRPr="00A33B9F">
        <w:rPr>
          <w:noProof/>
          <w:color w:val="000000"/>
        </w:rPr>
        <w:t xml:space="preserve"> i w dal</w:t>
      </w:r>
      <w:r w:rsidRPr="00A33B9F">
        <w:rPr>
          <w:noProof/>
          <w:color w:val="000000"/>
        </w:rPr>
        <w:t>szym ciągu pracują</w:t>
      </w:r>
      <w:r w:rsidR="00A33B9F" w:rsidRPr="00A33B9F">
        <w:rPr>
          <w:noProof/>
          <w:color w:val="000000"/>
        </w:rPr>
        <w:t>. W cią</w:t>
      </w:r>
      <w:r w:rsidRPr="00A33B9F">
        <w:rPr>
          <w:noProof/>
          <w:color w:val="000000"/>
        </w:rPr>
        <w:t xml:space="preserve">gu dwóch lat od wprowadzenia zachęty podatkowej opublikowane zostanie sprawozdanie oceniające jej wpływ na rzeczywisty wiek przejścia na emeryturę. </w:t>
      </w:r>
    </w:p>
    <w:p w14:paraId="5BAAF82F" w14:textId="026AE6A6" w:rsidR="007C4506" w:rsidRPr="00A33B9F" w:rsidRDefault="78FD86D7" w:rsidP="002D0F1B">
      <w:pPr>
        <w:pStyle w:val="Text1"/>
        <w:ind w:left="0"/>
        <w:rPr>
          <w:rFonts w:eastAsia="Times New Roman"/>
          <w:noProof/>
          <w:color w:val="000000"/>
        </w:rPr>
      </w:pPr>
      <w:r w:rsidRPr="00A33B9F">
        <w:rPr>
          <w:noProof/>
          <w:color w:val="000000" w:themeColor="text1"/>
        </w:rPr>
        <w:t>Reforma polega na przyjęciu zmian</w:t>
      </w:r>
      <w:r w:rsidR="00A33B9F" w:rsidRPr="00A33B9F">
        <w:rPr>
          <w:noProof/>
          <w:color w:val="000000" w:themeColor="text1"/>
        </w:rPr>
        <w:t xml:space="preserve"> w ust</w:t>
      </w:r>
      <w:r w:rsidRPr="00A33B9F">
        <w:rPr>
          <w:noProof/>
          <w:color w:val="000000" w:themeColor="text1"/>
        </w:rPr>
        <w:t>awie</w:t>
      </w:r>
      <w:r w:rsidR="00A33B9F" w:rsidRPr="00A33B9F">
        <w:rPr>
          <w:noProof/>
          <w:color w:val="000000" w:themeColor="text1"/>
        </w:rPr>
        <w:t xml:space="preserve"> o pod</w:t>
      </w:r>
      <w:r w:rsidRPr="00A33B9F">
        <w:rPr>
          <w:noProof/>
          <w:color w:val="000000" w:themeColor="text1"/>
        </w:rPr>
        <w:t>atku dochodowym od osób fizycznych oraz na ocenie tego działania</w:t>
      </w:r>
      <w:r w:rsidR="00A33B9F" w:rsidRPr="00A33B9F">
        <w:rPr>
          <w:noProof/>
          <w:color w:val="000000" w:themeColor="text1"/>
        </w:rPr>
        <w:t>. W ram</w:t>
      </w:r>
      <w:r w:rsidRPr="00A33B9F">
        <w:rPr>
          <w:noProof/>
          <w:color w:val="000000" w:themeColor="text1"/>
        </w:rPr>
        <w:t>ach zmiany od</w:t>
      </w:r>
      <w:r w:rsidR="00A33B9F" w:rsidRPr="00A33B9F">
        <w:rPr>
          <w:noProof/>
          <w:color w:val="000000" w:themeColor="text1"/>
        </w:rPr>
        <w:t> </w:t>
      </w:r>
      <w:r w:rsidRPr="00A33B9F">
        <w:rPr>
          <w:noProof/>
          <w:color w:val="000000" w:themeColor="text1"/>
        </w:rPr>
        <w:t>2023</w:t>
      </w:r>
      <w:r w:rsidR="00A33B9F" w:rsidRPr="00A33B9F">
        <w:rPr>
          <w:noProof/>
          <w:color w:val="000000" w:themeColor="text1"/>
        </w:rPr>
        <w:t> </w:t>
      </w:r>
      <w:r w:rsidRPr="00A33B9F">
        <w:rPr>
          <w:noProof/>
          <w:color w:val="000000" w:themeColor="text1"/>
        </w:rPr>
        <w:t>r. obniża się podatek dochodowy od osób fizycznych</w:t>
      </w:r>
      <w:r w:rsidR="00A33B9F" w:rsidRPr="00A33B9F">
        <w:rPr>
          <w:noProof/>
          <w:color w:val="000000" w:themeColor="text1"/>
        </w:rPr>
        <w:t xml:space="preserve"> w prz</w:t>
      </w:r>
      <w:r w:rsidRPr="00A33B9F">
        <w:rPr>
          <w:noProof/>
          <w:color w:val="000000" w:themeColor="text1"/>
        </w:rPr>
        <w:t>ypadku osób, które osiągnęły ustawowy wiek emerytalny, ale nie chcą przejść na emeryturę</w:t>
      </w:r>
      <w:r w:rsidR="00A33B9F" w:rsidRPr="00A33B9F">
        <w:rPr>
          <w:noProof/>
          <w:color w:val="000000" w:themeColor="text1"/>
        </w:rPr>
        <w:t xml:space="preserve"> i w dal</w:t>
      </w:r>
      <w:r w:rsidRPr="00A33B9F">
        <w:rPr>
          <w:noProof/>
          <w:color w:val="000000" w:themeColor="text1"/>
        </w:rPr>
        <w:t>szym ciągu pracują. Pracownicy objęci zakresem pierwszego progu podatku dochodowego (85 528 PLN</w:t>
      </w:r>
      <w:r w:rsidR="00A33B9F" w:rsidRPr="00A33B9F">
        <w:rPr>
          <w:noProof/>
          <w:color w:val="000000" w:themeColor="text1"/>
        </w:rPr>
        <w:t xml:space="preserve"> w 2</w:t>
      </w:r>
      <w:r w:rsidRPr="00A33B9F">
        <w:rPr>
          <w:noProof/>
          <w:color w:val="000000" w:themeColor="text1"/>
        </w:rPr>
        <w:t>021</w:t>
      </w:r>
      <w:r w:rsidR="00A33B9F" w:rsidRPr="00A33B9F">
        <w:rPr>
          <w:noProof/>
          <w:color w:val="000000" w:themeColor="text1"/>
        </w:rPr>
        <w:t> </w:t>
      </w:r>
      <w:r w:rsidRPr="00A33B9F">
        <w:rPr>
          <w:noProof/>
          <w:color w:val="000000" w:themeColor="text1"/>
        </w:rPr>
        <w:t>r.)</w:t>
      </w:r>
      <w:r w:rsidR="00A33B9F" w:rsidRPr="00A33B9F">
        <w:rPr>
          <w:noProof/>
          <w:color w:val="000000" w:themeColor="text1"/>
        </w:rPr>
        <w:t xml:space="preserve"> i zar</w:t>
      </w:r>
      <w:r w:rsidRPr="00A33B9F">
        <w:rPr>
          <w:noProof/>
          <w:color w:val="000000" w:themeColor="text1"/>
        </w:rPr>
        <w:t>abiający nie więcej niż przeciętne wynagrodzenie brutto</w:t>
      </w:r>
      <w:r w:rsidR="00A33B9F" w:rsidRPr="00A33B9F">
        <w:rPr>
          <w:noProof/>
          <w:color w:val="000000" w:themeColor="text1"/>
        </w:rPr>
        <w:t xml:space="preserve"> w gos</w:t>
      </w:r>
      <w:r w:rsidRPr="00A33B9F">
        <w:rPr>
          <w:noProof/>
          <w:color w:val="000000" w:themeColor="text1"/>
        </w:rPr>
        <w:t>podarce publicznej</w:t>
      </w:r>
      <w:r w:rsidR="00A33B9F" w:rsidRPr="00A33B9F">
        <w:rPr>
          <w:noProof/>
          <w:color w:val="000000" w:themeColor="text1"/>
        </w:rPr>
        <w:t xml:space="preserve"> w Pol</w:t>
      </w:r>
      <w:r w:rsidRPr="00A33B9F">
        <w:rPr>
          <w:noProof/>
          <w:color w:val="000000" w:themeColor="text1"/>
        </w:rPr>
        <w:t>sce są zwolnieni</w:t>
      </w:r>
      <w:r w:rsidR="00A33B9F" w:rsidRPr="00A33B9F">
        <w:rPr>
          <w:noProof/>
          <w:color w:val="000000" w:themeColor="text1"/>
        </w:rPr>
        <w:t xml:space="preserve"> z odp</w:t>
      </w:r>
      <w:r w:rsidRPr="00A33B9F">
        <w:rPr>
          <w:noProof/>
          <w:color w:val="000000" w:themeColor="text1"/>
        </w:rPr>
        <w:t>rowadzania podatku dochodowego. Stawka podatku dochodowego od osób fizycznych</w:t>
      </w:r>
      <w:r w:rsidR="00A33B9F" w:rsidRPr="00A33B9F">
        <w:rPr>
          <w:noProof/>
          <w:color w:val="000000" w:themeColor="text1"/>
        </w:rPr>
        <w:t xml:space="preserve"> w prz</w:t>
      </w:r>
      <w:r w:rsidRPr="00A33B9F">
        <w:rPr>
          <w:noProof/>
          <w:color w:val="000000" w:themeColor="text1"/>
        </w:rPr>
        <w:t>ypadku innych pracowników</w:t>
      </w:r>
      <w:r w:rsidR="00A33B9F" w:rsidRPr="00A33B9F">
        <w:rPr>
          <w:noProof/>
          <w:color w:val="000000" w:themeColor="text1"/>
        </w:rPr>
        <w:t xml:space="preserve"> o wyż</w:t>
      </w:r>
      <w:r w:rsidRPr="00A33B9F">
        <w:rPr>
          <w:noProof/>
          <w:color w:val="000000" w:themeColor="text1"/>
        </w:rPr>
        <w:t>szych zarobkach, którzy osiągnęli ustawowy wiek emerytalny, ale nie przeszli na emeryturę</w:t>
      </w:r>
      <w:r w:rsidR="00A33B9F" w:rsidRPr="00A33B9F">
        <w:rPr>
          <w:noProof/>
          <w:color w:val="000000" w:themeColor="text1"/>
        </w:rPr>
        <w:t xml:space="preserve"> i w dal</w:t>
      </w:r>
      <w:r w:rsidRPr="00A33B9F">
        <w:rPr>
          <w:noProof/>
          <w:color w:val="000000" w:themeColor="text1"/>
        </w:rPr>
        <w:t>szym ciągu pracują, zostaje obniżona. Dzięki tej zachęcie podatkowej podatnicy będą zarabiać dodatkowe kwoty odpowiadające kwocie niezapłaconego podatku dochodowego, co ma ich zachęcić do wydłużenia okresu ich aktywności zawodowej</w:t>
      </w:r>
      <w:r w:rsidR="00A33B9F" w:rsidRPr="00A33B9F">
        <w:rPr>
          <w:noProof/>
          <w:color w:val="000000" w:themeColor="text1"/>
        </w:rPr>
        <w:t>. W cią</w:t>
      </w:r>
      <w:r w:rsidRPr="00A33B9F">
        <w:rPr>
          <w:noProof/>
          <w:color w:val="000000" w:themeColor="text1"/>
        </w:rPr>
        <w:t>gu dwóch lat od wprowadzenia powyższego działania sporządzone zostanie sprawozdanie</w:t>
      </w:r>
      <w:r w:rsidR="00A33B9F" w:rsidRPr="00A33B9F">
        <w:rPr>
          <w:noProof/>
          <w:color w:val="000000" w:themeColor="text1"/>
        </w:rPr>
        <w:t xml:space="preserve"> w cel</w:t>
      </w:r>
      <w:r w:rsidRPr="00A33B9F">
        <w:rPr>
          <w:noProof/>
          <w:color w:val="000000" w:themeColor="text1"/>
        </w:rPr>
        <w:t>u oceny wpływu zmian</w:t>
      </w:r>
      <w:r w:rsidR="00A33B9F" w:rsidRPr="00A33B9F">
        <w:rPr>
          <w:noProof/>
          <w:color w:val="000000" w:themeColor="text1"/>
        </w:rPr>
        <w:t xml:space="preserve"> w pod</w:t>
      </w:r>
      <w:r w:rsidRPr="00A33B9F">
        <w:rPr>
          <w:noProof/>
          <w:color w:val="000000" w:themeColor="text1"/>
        </w:rPr>
        <w:t>atku dochodowym od osób fizycznych na rzeczywisty wiek przejścia na emeryturę. Ocena ta będzie miała na celu przeanalizowanie wpływu na współczynnik aktywności zawodowej, trwałość systemu emerytalnego, finanse publiczne oraz równouprawnienie płci.</w:t>
      </w:r>
    </w:p>
    <w:p w14:paraId="39416CA2" w14:textId="2733D75D" w:rsidR="007C4506" w:rsidRPr="00A33B9F" w:rsidRDefault="00B31839" w:rsidP="002D0F1B">
      <w:pPr>
        <w:pStyle w:val="Text1"/>
        <w:ind w:left="0"/>
        <w:rPr>
          <w:rFonts w:eastAsia="Times New Roman"/>
          <w:noProof/>
          <w:color w:val="000000"/>
          <w:szCs w:val="24"/>
        </w:rPr>
      </w:pPr>
      <w:r w:rsidRPr="00A33B9F">
        <w:rPr>
          <w:noProof/>
          <w:color w:val="000000"/>
        </w:rPr>
        <w:t>Realizacja reformy zostanie zakończona do dnia 31 grudnia 2024</w:t>
      </w:r>
      <w:r w:rsidR="00A33B9F" w:rsidRPr="00A33B9F">
        <w:rPr>
          <w:noProof/>
          <w:color w:val="000000"/>
        </w:rPr>
        <w:t> </w:t>
      </w:r>
      <w:r w:rsidRPr="00A33B9F">
        <w:rPr>
          <w:noProof/>
          <w:color w:val="000000"/>
        </w:rPr>
        <w:t>r.</w:t>
      </w:r>
    </w:p>
    <w:p w14:paraId="6F9501DD" w14:textId="77777777" w:rsidR="0002330F" w:rsidRPr="00A33B9F"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077CAAA" w14:textId="77777777" w:rsidR="007C4506" w:rsidRPr="00A33B9F" w:rsidRDefault="00B31839" w:rsidP="002D0F1B">
      <w:pPr>
        <w:pStyle w:val="Text1"/>
        <w:ind w:left="0"/>
        <w:rPr>
          <w:rFonts w:eastAsia="Times New Roman"/>
          <w:b/>
          <w:noProof/>
          <w:color w:val="000000"/>
          <w:szCs w:val="24"/>
          <w:u w:val="single"/>
        </w:rPr>
      </w:pPr>
      <w:r w:rsidRPr="00A33B9F">
        <w:rPr>
          <w:b/>
          <w:noProof/>
          <w:color w:val="000000"/>
          <w:u w:val="single"/>
        </w:rPr>
        <w:t>A4.6 Wzrost współczynnika aktywności zawodowej określonych grup poprzez rozwój opieki długoterminowej</w:t>
      </w:r>
    </w:p>
    <w:p w14:paraId="53289D32" w14:textId="7587E886" w:rsidR="007C4506" w:rsidRPr="00A33B9F" w:rsidRDefault="00B31839" w:rsidP="002D0F1B">
      <w:pPr>
        <w:pStyle w:val="Text1"/>
        <w:ind w:left="0"/>
        <w:rPr>
          <w:rFonts w:eastAsia="Times New Roman"/>
          <w:noProof/>
          <w:color w:val="000000"/>
          <w:szCs w:val="24"/>
        </w:rPr>
      </w:pPr>
      <w:r w:rsidRPr="00A33B9F">
        <w:rPr>
          <w:noProof/>
          <w:color w:val="000000"/>
        </w:rPr>
        <w:t>Nadrzędnym celem reformy jest wzrost współczynnika aktywności zawodowej określonych grup,</w:t>
      </w:r>
      <w:r w:rsidR="00A33B9F" w:rsidRPr="00A33B9F">
        <w:rPr>
          <w:noProof/>
          <w:color w:val="000000"/>
        </w:rPr>
        <w:t xml:space="preserve"> w szc</w:t>
      </w:r>
      <w:r w:rsidRPr="00A33B9F">
        <w:rPr>
          <w:noProof/>
          <w:color w:val="000000"/>
        </w:rPr>
        <w:t>zególności kobiet, poprzez rozwój systemu opieki długoterminowej</w:t>
      </w:r>
      <w:r w:rsidR="00A33B9F" w:rsidRPr="00A33B9F">
        <w:rPr>
          <w:noProof/>
          <w:color w:val="000000"/>
        </w:rPr>
        <w:t xml:space="preserve"> w Pol</w:t>
      </w:r>
      <w:r w:rsidRPr="00A33B9F">
        <w:rPr>
          <w:noProof/>
          <w:color w:val="000000"/>
        </w:rPr>
        <w:t>sce</w:t>
      </w:r>
      <w:r w:rsidR="00A33B9F" w:rsidRPr="00A33B9F">
        <w:rPr>
          <w:noProof/>
          <w:color w:val="000000"/>
        </w:rPr>
        <w:t>. W tym</w:t>
      </w:r>
      <w:r w:rsidRPr="00A33B9F">
        <w:rPr>
          <w:noProof/>
          <w:color w:val="000000"/>
        </w:rPr>
        <w:t xml:space="preserve"> celu przeprowadza się strategiczny przegląd systemu opieki długoterminowej,</w:t>
      </w:r>
      <w:r w:rsidR="00A33B9F" w:rsidRPr="00A33B9F">
        <w:rPr>
          <w:noProof/>
          <w:color w:val="000000"/>
        </w:rPr>
        <w:t xml:space="preserve"> w nas</w:t>
      </w:r>
      <w:r w:rsidRPr="00A33B9F">
        <w:rPr>
          <w:noProof/>
          <w:color w:val="000000"/>
        </w:rPr>
        <w:t xml:space="preserve">tępstwie którego nastąpią istotne zmiany legislacyjne. </w:t>
      </w:r>
    </w:p>
    <w:p w14:paraId="0422B214" w14:textId="29372500" w:rsidR="007C4506" w:rsidRPr="00A33B9F" w:rsidRDefault="66E7BAD6" w:rsidP="002D0F1B">
      <w:pPr>
        <w:pStyle w:val="Text1"/>
        <w:ind w:left="0"/>
        <w:rPr>
          <w:rFonts w:eastAsia="Times New Roman"/>
          <w:noProof/>
          <w:color w:val="000000"/>
          <w:szCs w:val="24"/>
        </w:rPr>
      </w:pPr>
      <w:r w:rsidRPr="00A33B9F">
        <w:rPr>
          <w:noProof/>
          <w:color w:val="000000" w:themeColor="text1"/>
        </w:rPr>
        <w:t>Reforma polega na opublikowaniu analizy systemu opieki długoterminowej</w:t>
      </w:r>
      <w:r w:rsidR="00A33B9F" w:rsidRPr="00A33B9F">
        <w:rPr>
          <w:noProof/>
          <w:color w:val="000000" w:themeColor="text1"/>
        </w:rPr>
        <w:t xml:space="preserve"> w Pol</w:t>
      </w:r>
      <w:r w:rsidRPr="00A33B9F">
        <w:rPr>
          <w:noProof/>
          <w:color w:val="000000" w:themeColor="text1"/>
        </w:rPr>
        <w:t>sce,</w:t>
      </w:r>
      <w:r w:rsidR="00A33B9F" w:rsidRPr="00A33B9F">
        <w:rPr>
          <w:noProof/>
          <w:color w:val="000000" w:themeColor="text1"/>
        </w:rPr>
        <w:t xml:space="preserve"> a nas</w:t>
      </w:r>
      <w:r w:rsidRPr="00A33B9F">
        <w:rPr>
          <w:noProof/>
          <w:color w:val="000000" w:themeColor="text1"/>
        </w:rPr>
        <w:t>tępnie na zmianie odpowiednich przepisów</w:t>
      </w:r>
      <w:r w:rsidR="00A33B9F" w:rsidRPr="00A33B9F">
        <w:rPr>
          <w:noProof/>
          <w:color w:val="000000" w:themeColor="text1"/>
        </w:rPr>
        <w:t xml:space="preserve"> w cel</w:t>
      </w:r>
      <w:r w:rsidRPr="00A33B9F">
        <w:rPr>
          <w:noProof/>
          <w:color w:val="000000" w:themeColor="text1"/>
        </w:rPr>
        <w:t>u realizacji priorytetów</w:t>
      </w:r>
      <w:r w:rsidR="00A33B9F" w:rsidRPr="00A33B9F">
        <w:rPr>
          <w:noProof/>
          <w:color w:val="000000" w:themeColor="text1"/>
        </w:rPr>
        <w:t xml:space="preserve"> w zak</w:t>
      </w:r>
      <w:r w:rsidRPr="00A33B9F">
        <w:rPr>
          <w:noProof/>
          <w:color w:val="000000" w:themeColor="text1"/>
        </w:rPr>
        <w:t>resie reform określonych</w:t>
      </w:r>
      <w:r w:rsidR="00A33B9F" w:rsidRPr="00A33B9F">
        <w:rPr>
          <w:noProof/>
          <w:color w:val="000000" w:themeColor="text1"/>
        </w:rPr>
        <w:t xml:space="preserve"> w tej</w:t>
      </w:r>
      <w:r w:rsidRPr="00A33B9F">
        <w:rPr>
          <w:noProof/>
          <w:color w:val="000000" w:themeColor="text1"/>
        </w:rPr>
        <w:t xml:space="preserve"> analizie</w:t>
      </w:r>
      <w:r w:rsidR="00A33B9F" w:rsidRPr="00A33B9F">
        <w:rPr>
          <w:noProof/>
          <w:color w:val="000000" w:themeColor="text1"/>
        </w:rPr>
        <w:t>. W ram</w:t>
      </w:r>
      <w:r w:rsidRPr="00A33B9F">
        <w:rPr>
          <w:noProof/>
          <w:color w:val="000000" w:themeColor="text1"/>
        </w:rPr>
        <w:t>ach analizy bada się</w:t>
      </w:r>
      <w:r w:rsidR="00A33B9F" w:rsidRPr="00A33B9F">
        <w:rPr>
          <w:noProof/>
          <w:color w:val="000000" w:themeColor="text1"/>
        </w:rPr>
        <w:t xml:space="preserve"> w szc</w:t>
      </w:r>
      <w:r w:rsidRPr="00A33B9F">
        <w:rPr>
          <w:noProof/>
          <w:color w:val="000000" w:themeColor="text1"/>
        </w:rPr>
        <w:t>zególności możliwe sposoby integracji społecznej</w:t>
      </w:r>
      <w:r w:rsidR="00A33B9F" w:rsidRPr="00A33B9F">
        <w:rPr>
          <w:noProof/>
          <w:color w:val="000000" w:themeColor="text1"/>
        </w:rPr>
        <w:t xml:space="preserve"> i zdr</w:t>
      </w:r>
      <w:r w:rsidRPr="00A33B9F">
        <w:rPr>
          <w:noProof/>
          <w:color w:val="000000" w:themeColor="text1"/>
        </w:rPr>
        <w:t>owotnej opieki długoterminowej, przyspieszenia deinstytucjonalizacji tych usług, podporządkowania ich jednemu organowi, ograniczenia fragmentacji świadczenia opieki, stworzenia stabilnego systemu odpowiedniego finansowania usług</w:t>
      </w:r>
      <w:r w:rsidR="00A33B9F" w:rsidRPr="00A33B9F">
        <w:rPr>
          <w:noProof/>
          <w:color w:val="000000" w:themeColor="text1"/>
        </w:rPr>
        <w:t xml:space="preserve"> w zak</w:t>
      </w:r>
      <w:r w:rsidRPr="00A33B9F">
        <w:rPr>
          <w:noProof/>
          <w:color w:val="000000" w:themeColor="text1"/>
        </w:rPr>
        <w:t>resie opieki długoterminowej, zwłaszcza opieki środowiskowej</w:t>
      </w:r>
      <w:r w:rsidR="00A33B9F" w:rsidRPr="00A33B9F">
        <w:rPr>
          <w:noProof/>
          <w:color w:val="000000" w:themeColor="text1"/>
        </w:rPr>
        <w:t xml:space="preserve"> i dom</w:t>
      </w:r>
      <w:r w:rsidRPr="00A33B9F">
        <w:rPr>
          <w:noProof/>
          <w:color w:val="000000" w:themeColor="text1"/>
        </w:rPr>
        <w:t>owej, oraz sposoby wprowadzenia ram jakościowych dotyczących usług</w:t>
      </w:r>
      <w:r w:rsidR="00A33B9F" w:rsidRPr="00A33B9F">
        <w:rPr>
          <w:noProof/>
          <w:color w:val="000000" w:themeColor="text1"/>
        </w:rPr>
        <w:t xml:space="preserve"> w zak</w:t>
      </w:r>
      <w:r w:rsidRPr="00A33B9F">
        <w:rPr>
          <w:noProof/>
          <w:color w:val="000000" w:themeColor="text1"/>
        </w:rPr>
        <w:t>resie opieki długoterminowej (wymogów dotyczących pracowników, wyposażenia, dopuszczania do rynku podmiotów świadczących usługi</w:t>
      </w:r>
      <w:r w:rsidR="00A33B9F" w:rsidRPr="00A33B9F">
        <w:rPr>
          <w:noProof/>
          <w:color w:val="000000" w:themeColor="text1"/>
        </w:rPr>
        <w:t xml:space="preserve"> w zak</w:t>
      </w:r>
      <w:r w:rsidRPr="00A33B9F">
        <w:rPr>
          <w:noProof/>
          <w:color w:val="000000" w:themeColor="text1"/>
        </w:rPr>
        <w:t>resie opieki długoterminowej)</w:t>
      </w:r>
      <w:r w:rsidR="00A33B9F" w:rsidRPr="00A33B9F">
        <w:rPr>
          <w:noProof/>
          <w:color w:val="000000" w:themeColor="text1"/>
        </w:rPr>
        <w:t>. W ram</w:t>
      </w:r>
      <w:r w:rsidRPr="00A33B9F">
        <w:rPr>
          <w:noProof/>
          <w:color w:val="000000" w:themeColor="text1"/>
        </w:rPr>
        <w:t>ach analizy bada się również sposoby dokonania przeglądu świadczeń opiekuńczych, aby umożliwić kontynuowanie pracy. Analiza zostanie przeprowadzona</w:t>
      </w:r>
      <w:r w:rsidR="00A33B9F" w:rsidRPr="00A33B9F">
        <w:rPr>
          <w:noProof/>
          <w:color w:val="000000" w:themeColor="text1"/>
        </w:rPr>
        <w:t xml:space="preserve"> w por</w:t>
      </w:r>
      <w:r w:rsidRPr="00A33B9F">
        <w:rPr>
          <w:noProof/>
          <w:color w:val="000000" w:themeColor="text1"/>
        </w:rPr>
        <w:t>ozumieniu</w:t>
      </w:r>
      <w:r w:rsidR="00A33B9F" w:rsidRPr="00A33B9F">
        <w:rPr>
          <w:noProof/>
          <w:color w:val="000000" w:themeColor="text1"/>
        </w:rPr>
        <w:t xml:space="preserve"> z odp</w:t>
      </w:r>
      <w:r w:rsidRPr="00A33B9F">
        <w:rPr>
          <w:noProof/>
          <w:color w:val="000000" w:themeColor="text1"/>
        </w:rPr>
        <w:t>owiednimi zainteresowanymi stronami,</w:t>
      </w:r>
      <w:r w:rsidR="00A33B9F" w:rsidRPr="00A33B9F">
        <w:rPr>
          <w:noProof/>
          <w:color w:val="000000" w:themeColor="text1"/>
        </w:rPr>
        <w:t xml:space="preserve"> w tym</w:t>
      </w:r>
      <w:r w:rsidRPr="00A33B9F">
        <w:rPr>
          <w:noProof/>
          <w:color w:val="000000" w:themeColor="text1"/>
        </w:rPr>
        <w:t xml:space="preserve"> partnerami społecznymi, którzy zajmują się przepisami dotyczącymi opieki długoterminowej,</w:t>
      </w:r>
      <w:r w:rsidR="00A33B9F" w:rsidRPr="00A33B9F">
        <w:rPr>
          <w:noProof/>
          <w:color w:val="000000" w:themeColor="text1"/>
        </w:rPr>
        <w:t xml:space="preserve"> i sam</w:t>
      </w:r>
      <w:r w:rsidRPr="00A33B9F">
        <w:rPr>
          <w:noProof/>
          <w:color w:val="000000" w:themeColor="text1"/>
        </w:rPr>
        <w:t>orządami terytorialnymi. Priorytety</w:t>
      </w:r>
      <w:r w:rsidR="00A33B9F" w:rsidRPr="00A33B9F">
        <w:rPr>
          <w:noProof/>
          <w:color w:val="000000" w:themeColor="text1"/>
        </w:rPr>
        <w:t xml:space="preserve"> w zak</w:t>
      </w:r>
      <w:r w:rsidRPr="00A33B9F">
        <w:rPr>
          <w:noProof/>
          <w:color w:val="000000" w:themeColor="text1"/>
        </w:rPr>
        <w:t>resie reform określone</w:t>
      </w:r>
      <w:r w:rsidR="00A33B9F" w:rsidRPr="00A33B9F">
        <w:rPr>
          <w:noProof/>
          <w:color w:val="000000" w:themeColor="text1"/>
        </w:rPr>
        <w:t xml:space="preserve"> w ana</w:t>
      </w:r>
      <w:r w:rsidRPr="00A33B9F">
        <w:rPr>
          <w:noProof/>
          <w:color w:val="000000" w:themeColor="text1"/>
        </w:rPr>
        <w:t>lizie realizuje się</w:t>
      </w:r>
      <w:r w:rsidR="00A33B9F" w:rsidRPr="00A33B9F">
        <w:rPr>
          <w:noProof/>
          <w:color w:val="000000" w:themeColor="text1"/>
        </w:rPr>
        <w:t xml:space="preserve"> w dro</w:t>
      </w:r>
      <w:r w:rsidRPr="00A33B9F">
        <w:rPr>
          <w:noProof/>
          <w:color w:val="000000" w:themeColor="text1"/>
        </w:rPr>
        <w:t>dze zmiany stosownych przepisów</w:t>
      </w:r>
      <w:r w:rsidR="00A33B9F" w:rsidRPr="00A33B9F">
        <w:rPr>
          <w:noProof/>
          <w:color w:val="000000" w:themeColor="text1"/>
        </w:rPr>
        <w:t xml:space="preserve"> w ram</w:t>
      </w:r>
      <w:r w:rsidRPr="00A33B9F">
        <w:rPr>
          <w:noProof/>
          <w:color w:val="000000" w:themeColor="text1"/>
        </w:rPr>
        <w:t>ach reformy.</w:t>
      </w:r>
    </w:p>
    <w:p w14:paraId="0F874AFA" w14:textId="5E900012" w:rsidR="007C4506" w:rsidRPr="00A33B9F" w:rsidRDefault="00B31839" w:rsidP="002D0F1B">
      <w:pPr>
        <w:pStyle w:val="Text1"/>
        <w:ind w:left="0"/>
        <w:rPr>
          <w:rFonts w:eastAsia="Times New Roman"/>
          <w:noProof/>
          <w:color w:val="000000"/>
          <w:szCs w:val="24"/>
        </w:rPr>
      </w:pPr>
      <w:r w:rsidRPr="00A33B9F">
        <w:rPr>
          <w:noProof/>
          <w:color w:val="000000"/>
        </w:rPr>
        <w:t>Realizacja reformy zostanie zakończona do dnia 31 grudnia 2024</w:t>
      </w:r>
      <w:r w:rsidR="00A33B9F" w:rsidRPr="00A33B9F">
        <w:rPr>
          <w:noProof/>
          <w:color w:val="000000"/>
        </w:rPr>
        <w:t> </w:t>
      </w:r>
      <w:r w:rsidRPr="00A33B9F">
        <w:rPr>
          <w:noProof/>
          <w:color w:val="000000"/>
        </w:rPr>
        <w:t>r.</w:t>
      </w:r>
    </w:p>
    <w:p w14:paraId="42300483" w14:textId="65212474" w:rsidR="00081AC2" w:rsidRPr="00A33B9F" w:rsidRDefault="00081AC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2B42C771" w14:textId="77777777" w:rsidR="007C4506" w:rsidRPr="00A33B9F" w:rsidRDefault="004C514D" w:rsidP="002D0F1B">
      <w:pPr>
        <w:pStyle w:val="Text1"/>
        <w:ind w:left="0"/>
        <w:rPr>
          <w:rFonts w:eastAsia="Times New Roman"/>
          <w:b/>
          <w:noProof/>
          <w:color w:val="000000"/>
          <w:szCs w:val="24"/>
          <w:u w:val="single"/>
        </w:rPr>
      </w:pPr>
      <w:r w:rsidRPr="00A33B9F">
        <w:rPr>
          <w:b/>
          <w:noProof/>
          <w:color w:val="000000"/>
          <w:u w:val="single"/>
        </w:rPr>
        <w:t>A4.7 Ograniczenie segmentacji rynku pracy</w:t>
      </w:r>
    </w:p>
    <w:p w14:paraId="4065AE86" w14:textId="32AD5D86" w:rsidR="007C4506" w:rsidRPr="00A33B9F" w:rsidRDefault="00B31839" w:rsidP="002D0F1B">
      <w:pPr>
        <w:pStyle w:val="Text1"/>
        <w:ind w:left="0"/>
        <w:rPr>
          <w:rFonts w:eastAsia="Times New Roman"/>
          <w:noProof/>
          <w:color w:val="000000"/>
          <w:szCs w:val="24"/>
        </w:rPr>
      </w:pPr>
      <w:r w:rsidRPr="00A33B9F">
        <w:rPr>
          <w:noProof/>
          <w:color w:val="000000" w:themeColor="text1"/>
        </w:rPr>
        <w:t>Nadrzędnym celem reformy jest ograniczenie segmentacji rynku pracy</w:t>
      </w:r>
      <w:r w:rsidR="00A33B9F" w:rsidRPr="00A33B9F">
        <w:rPr>
          <w:noProof/>
          <w:color w:val="000000" w:themeColor="text1"/>
        </w:rPr>
        <w:t xml:space="preserve"> i zwi</w:t>
      </w:r>
      <w:r w:rsidRPr="00A33B9F">
        <w:rPr>
          <w:noProof/>
          <w:color w:val="000000" w:themeColor="text1"/>
        </w:rPr>
        <w:t>ększenie zabezpieczeń społecznych określonych pracowników</w:t>
      </w:r>
      <w:r w:rsidR="00A33B9F" w:rsidRPr="00A33B9F">
        <w:rPr>
          <w:noProof/>
          <w:color w:val="000000" w:themeColor="text1"/>
        </w:rPr>
        <w:t>. W tym</w:t>
      </w:r>
      <w:r w:rsidRPr="00A33B9F">
        <w:rPr>
          <w:noProof/>
          <w:color w:val="000000" w:themeColor="text1"/>
        </w:rPr>
        <w:t xml:space="preserve"> celu wszystkie cywilnoprawne umowy</w:t>
      </w:r>
      <w:r w:rsidR="00A33B9F" w:rsidRPr="00A33B9F">
        <w:rPr>
          <w:noProof/>
          <w:color w:val="000000" w:themeColor="text1"/>
        </w:rPr>
        <w:t xml:space="preserve"> o pra</w:t>
      </w:r>
      <w:r w:rsidRPr="00A33B9F">
        <w:rPr>
          <w:noProof/>
          <w:color w:val="000000" w:themeColor="text1"/>
        </w:rPr>
        <w:t>cę będą podlegały składkom na ubezpieczenie społeczne</w:t>
      </w:r>
      <w:r w:rsidR="00A33B9F" w:rsidRPr="00A33B9F">
        <w:rPr>
          <w:noProof/>
          <w:color w:val="000000" w:themeColor="text1"/>
        </w:rPr>
        <w:t xml:space="preserve"> z wyj</w:t>
      </w:r>
      <w:r w:rsidRPr="00A33B9F">
        <w:rPr>
          <w:noProof/>
          <w:color w:val="000000" w:themeColor="text1"/>
        </w:rPr>
        <w:t>ątkiem umów zlecenia zawartych</w:t>
      </w:r>
      <w:r w:rsidR="00A33B9F" w:rsidRPr="00A33B9F">
        <w:rPr>
          <w:noProof/>
          <w:color w:val="000000" w:themeColor="text1"/>
        </w:rPr>
        <w:t xml:space="preserve"> z ucz</w:t>
      </w:r>
      <w:r w:rsidRPr="00A33B9F">
        <w:rPr>
          <w:noProof/>
          <w:color w:val="000000" w:themeColor="text1"/>
        </w:rPr>
        <w:t>niami szkół średnich oraz studentami</w:t>
      </w:r>
      <w:r w:rsidR="00A33B9F" w:rsidRPr="00A33B9F">
        <w:rPr>
          <w:noProof/>
          <w:color w:val="000000" w:themeColor="text1"/>
        </w:rPr>
        <w:t xml:space="preserve"> w wie</w:t>
      </w:r>
      <w:r w:rsidRPr="00A33B9F">
        <w:rPr>
          <w:noProof/>
          <w:color w:val="000000" w:themeColor="text1"/>
        </w:rPr>
        <w:t>ku do</w:t>
      </w:r>
      <w:r w:rsidR="00A33B9F" w:rsidRPr="00A33B9F">
        <w:rPr>
          <w:noProof/>
          <w:color w:val="000000" w:themeColor="text1"/>
        </w:rPr>
        <w:t> </w:t>
      </w:r>
      <w:r w:rsidRPr="00A33B9F">
        <w:rPr>
          <w:noProof/>
          <w:color w:val="000000" w:themeColor="text1"/>
        </w:rPr>
        <w:t xml:space="preserve">26 lat. </w:t>
      </w:r>
    </w:p>
    <w:p w14:paraId="25F3A1F5" w14:textId="79FDAE1B" w:rsidR="0002330F" w:rsidRPr="00A33B9F" w:rsidRDefault="00B31839" w:rsidP="002D0F1B">
      <w:pPr>
        <w:pStyle w:val="Text1"/>
        <w:ind w:left="0"/>
        <w:rPr>
          <w:rFonts w:eastAsia="Times New Roman"/>
          <w:noProof/>
          <w:color w:val="000000"/>
        </w:rPr>
      </w:pPr>
      <w:r w:rsidRPr="00A33B9F">
        <w:rPr>
          <w:noProof/>
          <w:color w:val="000000" w:themeColor="text1"/>
        </w:rPr>
        <w:t>Reforma zostanie zrealizowana</w:t>
      </w:r>
      <w:r w:rsidR="00A33B9F" w:rsidRPr="00A33B9F">
        <w:rPr>
          <w:noProof/>
          <w:color w:val="000000" w:themeColor="text1"/>
        </w:rPr>
        <w:t xml:space="preserve"> w dro</w:t>
      </w:r>
      <w:r w:rsidRPr="00A33B9F">
        <w:rPr>
          <w:noProof/>
          <w:color w:val="000000" w:themeColor="text1"/>
        </w:rPr>
        <w:t>dze aktów prawnych,</w:t>
      </w:r>
      <w:r w:rsidR="00A33B9F" w:rsidRPr="00A33B9F">
        <w:rPr>
          <w:noProof/>
          <w:color w:val="000000" w:themeColor="text1"/>
        </w:rPr>
        <w:t xml:space="preserve"> w któ</w:t>
      </w:r>
      <w:r w:rsidRPr="00A33B9F">
        <w:rPr>
          <w:noProof/>
          <w:color w:val="000000" w:themeColor="text1"/>
        </w:rPr>
        <w:t>rych zapewni się, aby zatrudnienie na podstawie umów cywilnoprawnych podlegało składkom na ubezpieczenie społeczne: emerytalnym, rentowym, wypadkowym</w:t>
      </w:r>
      <w:r w:rsidR="00A33B9F" w:rsidRPr="00A33B9F">
        <w:rPr>
          <w:noProof/>
          <w:color w:val="000000" w:themeColor="text1"/>
        </w:rPr>
        <w:t xml:space="preserve"> i z tyt</w:t>
      </w:r>
      <w:r w:rsidRPr="00A33B9F">
        <w:rPr>
          <w:noProof/>
          <w:color w:val="000000" w:themeColor="text1"/>
        </w:rPr>
        <w:t>ułu chorób zawodowych oraz –</w:t>
      </w:r>
      <w:r w:rsidR="00A33B9F" w:rsidRPr="00A33B9F">
        <w:rPr>
          <w:noProof/>
          <w:color w:val="000000" w:themeColor="text1"/>
        </w:rPr>
        <w:t xml:space="preserve"> z wyj</w:t>
      </w:r>
      <w:r w:rsidRPr="00A33B9F">
        <w:rPr>
          <w:noProof/>
          <w:color w:val="000000" w:themeColor="text1"/>
        </w:rPr>
        <w:t>ątkiem umów</w:t>
      </w:r>
      <w:r w:rsidR="00A33B9F" w:rsidRPr="00A33B9F">
        <w:rPr>
          <w:noProof/>
          <w:color w:val="000000" w:themeColor="text1"/>
        </w:rPr>
        <w:t xml:space="preserve"> o dzi</w:t>
      </w:r>
      <w:r w:rsidRPr="00A33B9F">
        <w:rPr>
          <w:noProof/>
          <w:color w:val="000000" w:themeColor="text1"/>
        </w:rPr>
        <w:t>eło,</w:t>
      </w:r>
      <w:r w:rsidR="00A33B9F" w:rsidRPr="00A33B9F">
        <w:rPr>
          <w:noProof/>
          <w:color w:val="000000" w:themeColor="text1"/>
        </w:rPr>
        <w:t xml:space="preserve"> w prz</w:t>
      </w:r>
      <w:r w:rsidRPr="00A33B9F">
        <w:rPr>
          <w:noProof/>
          <w:color w:val="000000" w:themeColor="text1"/>
        </w:rPr>
        <w:t>ypadku których będą dobrowolne – chorobowym. Ponadto znosi się zasadę, zgodnie</w:t>
      </w:r>
      <w:r w:rsidR="00A33B9F" w:rsidRPr="00A33B9F">
        <w:rPr>
          <w:noProof/>
          <w:color w:val="000000" w:themeColor="text1"/>
        </w:rPr>
        <w:t xml:space="preserve"> z któ</w:t>
      </w:r>
      <w:r w:rsidRPr="00A33B9F">
        <w:rPr>
          <w:noProof/>
          <w:color w:val="000000" w:themeColor="text1"/>
        </w:rPr>
        <w:t>rą</w:t>
      </w:r>
      <w:r w:rsidR="00A33B9F" w:rsidRPr="00A33B9F">
        <w:rPr>
          <w:noProof/>
          <w:color w:val="000000" w:themeColor="text1"/>
        </w:rPr>
        <w:t xml:space="preserve"> w prz</w:t>
      </w:r>
      <w:r w:rsidRPr="00A33B9F">
        <w:rPr>
          <w:noProof/>
          <w:color w:val="000000" w:themeColor="text1"/>
        </w:rPr>
        <w:t>ypadku umów cywilnoprawnych składki na ubezpieczenie społeczne są płacone na podstawie minimalnego wynagrodzenia.</w:t>
      </w:r>
    </w:p>
    <w:p w14:paraId="02E9806A" w14:textId="633238A0" w:rsidR="00C333AD" w:rsidRPr="00A33B9F" w:rsidRDefault="00B31839" w:rsidP="002D0F1B">
      <w:pPr>
        <w:pStyle w:val="Text1"/>
        <w:ind w:left="0"/>
        <w:rPr>
          <w:rFonts w:eastAsia="Times New Roman"/>
          <w:noProof/>
          <w:color w:val="000000" w:themeColor="text1"/>
        </w:rPr>
        <w:sectPr w:rsidR="00C333AD" w:rsidRPr="00A33B9F" w:rsidSect="00234C48">
          <w:headerReference w:type="even" r:id="rId19"/>
          <w:headerReference w:type="default" r:id="rId20"/>
          <w:footerReference w:type="even" r:id="rId21"/>
          <w:footerReference w:type="default" r:id="rId22"/>
          <w:headerReference w:type="first" r:id="rId23"/>
          <w:footerReference w:type="first" r:id="rId24"/>
          <w:pgSz w:w="11907" w:h="16839"/>
          <w:pgMar w:top="1134" w:right="1418" w:bottom="709" w:left="1418" w:header="709" w:footer="0" w:gutter="0"/>
          <w:pgNumType w:start="1"/>
          <w:cols w:space="720"/>
        </w:sectPr>
      </w:pPr>
      <w:r w:rsidRPr="00A33B9F">
        <w:rPr>
          <w:noProof/>
          <w:color w:val="000000" w:themeColor="text1"/>
        </w:rPr>
        <w:t>Realizacja reformy zostanie zakończona do dnia 31 grudnia 2023</w:t>
      </w:r>
      <w:r w:rsidR="00A33B9F" w:rsidRPr="00A33B9F">
        <w:rPr>
          <w:noProof/>
          <w:color w:val="000000" w:themeColor="text1"/>
        </w:rPr>
        <w:t> </w:t>
      </w:r>
      <w:r w:rsidRPr="00A33B9F">
        <w:rPr>
          <w:noProof/>
          <w:color w:val="000000" w:themeColor="text1"/>
        </w:rPr>
        <w:t>r.</w:t>
      </w:r>
    </w:p>
    <w:p w14:paraId="28FC8010" w14:textId="3FB9645A" w:rsidR="00C333AD" w:rsidRPr="00A33B9F" w:rsidRDefault="00C333AD" w:rsidP="00C333A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 xml:space="preserve">A.2.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na potrzeby bezzwrotnego wsparcia finansowego</w:t>
      </w:r>
    </w:p>
    <w:p w14:paraId="08CE6F91" w14:textId="527E0B0F" w:rsidR="007C4506" w:rsidRPr="00A33B9F" w:rsidRDefault="00C333AD" w:rsidP="00C333A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A1 – OTOCZENIE DZIAŁALNOŚCI GOSPODARCZEJ</w:t>
      </w:r>
    </w:p>
    <w:tbl>
      <w:tblPr>
        <w:tblStyle w:val="NormalTable0"/>
        <w:tblW w:w="153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7"/>
        <w:gridCol w:w="2130"/>
        <w:gridCol w:w="1133"/>
        <w:gridCol w:w="1979"/>
        <w:gridCol w:w="1559"/>
        <w:gridCol w:w="1139"/>
        <w:gridCol w:w="992"/>
        <w:gridCol w:w="846"/>
        <w:gridCol w:w="855"/>
        <w:gridCol w:w="704"/>
        <w:gridCol w:w="3265"/>
      </w:tblGrid>
      <w:tr w:rsidR="007C4506" w:rsidRPr="00A33B9F" w14:paraId="726EA917" w14:textId="77777777" w:rsidTr="3FFE86F7">
        <w:trPr>
          <w:trHeight w:val="807"/>
          <w:tblHeader/>
          <w:jc w:val="center"/>
        </w:trPr>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334FB1B" w14:textId="00D35492" w:rsidR="007C4506" w:rsidRPr="00A33B9F" w:rsidRDefault="00B31839"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21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4695AC7"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8221195"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97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D909AED"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2B1FE9B"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95D8EA5"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7540E1"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2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B83F06" w14:textId="2553585A"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7C4506" w:rsidRPr="00A33B9F" w14:paraId="119887F0" w14:textId="77777777" w:rsidTr="3FFE86F7">
        <w:trPr>
          <w:trHeight w:val="692"/>
          <w:jc w:val="center"/>
        </w:trPr>
        <w:tc>
          <w:tcPr>
            <w:tcW w:w="707" w:type="dxa"/>
            <w:vMerge/>
            <w:vAlign w:val="center"/>
          </w:tcPr>
          <w:p w14:paraId="61CDCEAD"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30" w:type="dxa"/>
            <w:vMerge/>
            <w:vAlign w:val="center"/>
          </w:tcPr>
          <w:p w14:paraId="6BB9E253"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3" w:type="dxa"/>
            <w:vMerge/>
            <w:vAlign w:val="center"/>
          </w:tcPr>
          <w:p w14:paraId="23DE523C"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79" w:type="dxa"/>
            <w:vMerge/>
            <w:vAlign w:val="center"/>
          </w:tcPr>
          <w:p w14:paraId="52E56223"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07547A01"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5145CAE"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4E149BB"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996A6EA"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4400C56"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C72651D"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265" w:type="dxa"/>
            <w:vMerge/>
            <w:vAlign w:val="center"/>
          </w:tcPr>
          <w:p w14:paraId="5043CB0F"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A06FB8" w:rsidRPr="00A33B9F" w14:paraId="62BC400A" w14:textId="77777777" w:rsidTr="3FFE86F7">
        <w:trPr>
          <w:trHeight w:val="1247"/>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841BE" w14:textId="1F5BE90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A1G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19D8E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A1.1 Reforma ram budżetowych</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21DF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97582B" w14:textId="588FD071"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Opracowanie dokumentu koncepcyjnego</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standardowego planu kont zintegrowanego</w:t>
            </w:r>
            <w:r w:rsidR="00A33B9F" w:rsidRPr="00A33B9F">
              <w:rPr>
                <w:rFonts w:ascii="Times New Roman" w:hAnsi="Times New Roman"/>
                <w:noProof/>
                <w:color w:val="000000" w:themeColor="text1"/>
                <w:sz w:val="18"/>
              </w:rPr>
              <w:t xml:space="preserve"> z kla</w:t>
            </w:r>
            <w:r w:rsidRPr="00A33B9F">
              <w:rPr>
                <w:rFonts w:ascii="Times New Roman" w:hAnsi="Times New Roman"/>
                <w:noProof/>
                <w:color w:val="000000" w:themeColor="text1"/>
                <w:sz w:val="18"/>
              </w:rPr>
              <w:t>syfikacją budżetową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FFFBC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Publikacja na stronie internetowej Ministerstwa Finansów</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7BEAA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4A9C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584B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B5F073"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BE425F"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53015B" w14:textId="686303EE"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Opublikowanie dokumentu koncepcyjnego</w:t>
            </w:r>
            <w:r w:rsidR="00A33B9F" w:rsidRPr="00A33B9F">
              <w:rPr>
                <w:rFonts w:ascii="Times New Roman" w:hAnsi="Times New Roman"/>
                <w:noProof/>
                <w:color w:val="000000" w:themeColor="text1"/>
                <w:sz w:val="18"/>
              </w:rPr>
              <w:t xml:space="preserve"> w Biu</w:t>
            </w:r>
            <w:r w:rsidRPr="00A33B9F">
              <w:rPr>
                <w:rFonts w:ascii="Times New Roman" w:hAnsi="Times New Roman"/>
                <w:noProof/>
                <w:color w:val="000000" w:themeColor="text1"/>
                <w:sz w:val="18"/>
              </w:rPr>
              <w:t>letynie Informacji Publicznej (na ogólnodostępnej stronie internetowej) Ministerstwa Finansów</w:t>
            </w:r>
            <w:r w:rsidR="00A33B9F" w:rsidRPr="00A33B9F">
              <w:rPr>
                <w:rFonts w:ascii="Times New Roman" w:hAnsi="Times New Roman"/>
                <w:noProof/>
                <w:color w:val="000000" w:themeColor="text1"/>
                <w:sz w:val="18"/>
              </w:rPr>
              <w:t>. W dok</w:t>
            </w:r>
            <w:r w:rsidRPr="00A33B9F">
              <w:rPr>
                <w:rFonts w:ascii="Times New Roman" w:hAnsi="Times New Roman"/>
                <w:noProof/>
                <w:color w:val="000000" w:themeColor="text1"/>
                <w:sz w:val="18"/>
              </w:rPr>
              <w:t>umencie koncepcyjnym należy przedstawić opis</w:t>
            </w:r>
            <w:r w:rsidR="00A33B9F" w:rsidRPr="00A33B9F">
              <w:rPr>
                <w:rFonts w:ascii="Times New Roman" w:hAnsi="Times New Roman"/>
                <w:noProof/>
                <w:color w:val="000000" w:themeColor="text1"/>
                <w:sz w:val="18"/>
              </w:rPr>
              <w:t xml:space="preserve"> i str</w:t>
            </w:r>
            <w:r w:rsidRPr="00A33B9F">
              <w:rPr>
                <w:rFonts w:ascii="Times New Roman" w:hAnsi="Times New Roman"/>
                <w:noProof/>
                <w:color w:val="000000" w:themeColor="text1"/>
                <w:sz w:val="18"/>
              </w:rPr>
              <w:t>ukturę nowego systemu klasyfikacji.</w:t>
            </w:r>
          </w:p>
        </w:tc>
      </w:tr>
      <w:tr w:rsidR="00A06FB8" w:rsidRPr="00A33B9F" w14:paraId="5C49D920"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999B5" w14:textId="24065C99"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BDB44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A1.1 Reforma ram budżetowych</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8E22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3F861" w14:textId="74EBEBB6" w:rsidR="00BE1B25" w:rsidRPr="00A33B9F" w:rsidRDefault="1CC96A5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przygotowanych przez Ministerstwo Finansów zmian ustawy</w:t>
            </w:r>
            <w:r w:rsidR="00A33B9F" w:rsidRPr="00A33B9F">
              <w:rPr>
                <w:rFonts w:ascii="Times New Roman" w:hAnsi="Times New Roman"/>
                <w:noProof/>
                <w:color w:val="000000" w:themeColor="text1"/>
                <w:sz w:val="18"/>
              </w:rPr>
              <w:t xml:space="preserve"> o fin</w:t>
            </w:r>
            <w:r w:rsidRPr="00A33B9F">
              <w:rPr>
                <w:rFonts w:ascii="Times New Roman" w:hAnsi="Times New Roman"/>
                <w:noProof/>
                <w:color w:val="000000" w:themeColor="text1"/>
                <w:sz w:val="18"/>
              </w:rPr>
              <w:t>ansach publicznych obejmujących wdrożenie nowego systemu budżetowego,</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nowego systemu klasyfikacji, nowego modelu zarządzania budżetem oraz zdefiniowanie na nowo średniookresowych ram budżetowych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365D80" w14:textId="72079E1F"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enionej ustawie</w:t>
            </w:r>
            <w:r w:rsidR="00A33B9F" w:rsidRPr="00A33B9F">
              <w:rPr>
                <w:rFonts w:ascii="Times New Roman" w:hAnsi="Times New Roman"/>
                <w:noProof/>
                <w:color w:val="000000" w:themeColor="text1"/>
                <w:sz w:val="18"/>
              </w:rPr>
              <w:t xml:space="preserve"> o fin</w:t>
            </w:r>
            <w:r w:rsidRPr="00A33B9F">
              <w:rPr>
                <w:rFonts w:ascii="Times New Roman" w:hAnsi="Times New Roman"/>
                <w:noProof/>
                <w:color w:val="000000" w:themeColor="text1"/>
                <w:sz w:val="18"/>
              </w:rPr>
              <w:t>ansach publicznych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tej zmiany</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F38F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A318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512BE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103B7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32F1D6"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7F395B" w14:textId="27E53E4B" w:rsidR="00BE1B25" w:rsidRPr="00A33B9F" w:rsidRDefault="0E8F20D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zmian</w:t>
            </w:r>
            <w:r w:rsidR="00A33B9F" w:rsidRPr="00A33B9F">
              <w:rPr>
                <w:rFonts w:ascii="Times New Roman" w:hAnsi="Times New Roman"/>
                <w:noProof/>
                <w:sz w:val="18"/>
              </w:rPr>
              <w:t xml:space="preserve"> w ust</w:t>
            </w:r>
            <w:r w:rsidRPr="00A33B9F">
              <w:rPr>
                <w:rFonts w:ascii="Times New Roman" w:hAnsi="Times New Roman"/>
                <w:noProof/>
                <w:sz w:val="18"/>
              </w:rPr>
              <w:t>awie</w:t>
            </w:r>
            <w:r w:rsidR="00A33B9F" w:rsidRPr="00A33B9F">
              <w:rPr>
                <w:rFonts w:ascii="Times New Roman" w:hAnsi="Times New Roman"/>
                <w:noProof/>
                <w:sz w:val="18"/>
              </w:rPr>
              <w:t xml:space="preserve"> o fin</w:t>
            </w:r>
            <w:r w:rsidRPr="00A33B9F">
              <w:rPr>
                <w:rFonts w:ascii="Times New Roman" w:hAnsi="Times New Roman"/>
                <w:noProof/>
                <w:sz w:val="18"/>
              </w:rPr>
              <w:t>ansach publicznych</w:t>
            </w:r>
            <w:r w:rsidR="00A33B9F" w:rsidRPr="00A33B9F">
              <w:rPr>
                <w:rFonts w:ascii="Times New Roman" w:hAnsi="Times New Roman"/>
                <w:noProof/>
                <w:sz w:val="18"/>
              </w:rPr>
              <w:t xml:space="preserve"> w cel</w:t>
            </w:r>
            <w:r w:rsidRPr="00A33B9F">
              <w:rPr>
                <w:rFonts w:ascii="Times New Roman" w:hAnsi="Times New Roman"/>
                <w:noProof/>
                <w:sz w:val="18"/>
              </w:rPr>
              <w:t>u wdrożenia nowego systemu budżetowego,</w:t>
            </w:r>
            <w:r w:rsidR="00A33B9F" w:rsidRPr="00A33B9F">
              <w:rPr>
                <w:rFonts w:ascii="Times New Roman" w:hAnsi="Times New Roman"/>
                <w:noProof/>
                <w:sz w:val="18"/>
              </w:rPr>
              <w:t xml:space="preserve"> w tym</w:t>
            </w:r>
            <w:r w:rsidRPr="00A33B9F">
              <w:rPr>
                <w:rFonts w:ascii="Times New Roman" w:hAnsi="Times New Roman"/>
                <w:noProof/>
                <w:sz w:val="18"/>
              </w:rPr>
              <w:t xml:space="preserve"> nowego systemu klasyfikacji, nowego modelu zarządzania budżetem oraz zdefiniowanie na nowo średniookresowych ram budżetowych.</w:t>
            </w:r>
            <w:r w:rsidRPr="00A33B9F">
              <w:rPr>
                <w:rFonts w:ascii="Times New Roman" w:hAnsi="Times New Roman"/>
                <w:noProof/>
                <w:color w:val="000000" w:themeColor="text1"/>
                <w:sz w:val="18"/>
              </w:rPr>
              <w:t xml:space="preserve"> Nowy system klasyfikacji zapewni integrację obowiązującej klasyfikacji budżetowej</w:t>
            </w:r>
            <w:r w:rsidR="00A33B9F" w:rsidRPr="00A33B9F">
              <w:rPr>
                <w:rFonts w:ascii="Times New Roman" w:hAnsi="Times New Roman"/>
                <w:noProof/>
                <w:color w:val="000000" w:themeColor="text1"/>
                <w:sz w:val="18"/>
              </w:rPr>
              <w:t xml:space="preserve"> i kla</w:t>
            </w:r>
            <w:r w:rsidRPr="00A33B9F">
              <w:rPr>
                <w:rFonts w:ascii="Times New Roman" w:hAnsi="Times New Roman"/>
                <w:noProof/>
                <w:color w:val="000000" w:themeColor="text1"/>
                <w:sz w:val="18"/>
              </w:rPr>
              <w:t>syfikacji zadaniowej oraz zapewni jej powiązanie</w:t>
            </w:r>
            <w:r w:rsidR="00A33B9F" w:rsidRPr="00A33B9F">
              <w:rPr>
                <w:rFonts w:ascii="Times New Roman" w:hAnsi="Times New Roman"/>
                <w:noProof/>
                <w:color w:val="000000" w:themeColor="text1"/>
                <w:sz w:val="18"/>
              </w:rPr>
              <w:t xml:space="preserve"> z jed</w:t>
            </w:r>
            <w:r w:rsidRPr="00A33B9F">
              <w:rPr>
                <w:rFonts w:ascii="Times New Roman" w:hAnsi="Times New Roman"/>
                <w:noProof/>
                <w:color w:val="000000" w:themeColor="text1"/>
                <w:sz w:val="18"/>
              </w:rPr>
              <w:t>nolitym planem kont. Transakcje będą rejestrowane na tych samych zasadach, co – zgodnie</w:t>
            </w:r>
            <w:r w:rsidR="00A33B9F" w:rsidRPr="00A33B9F">
              <w:rPr>
                <w:rFonts w:ascii="Times New Roman" w:hAnsi="Times New Roman"/>
                <w:noProof/>
                <w:color w:val="000000" w:themeColor="text1"/>
                <w:sz w:val="18"/>
              </w:rPr>
              <w:t xml:space="preserve"> z ocz</w:t>
            </w:r>
            <w:r w:rsidRPr="00A33B9F">
              <w:rPr>
                <w:rFonts w:ascii="Times New Roman" w:hAnsi="Times New Roman"/>
                <w:noProof/>
                <w:color w:val="000000" w:themeColor="text1"/>
                <w:sz w:val="18"/>
              </w:rPr>
              <w:t>ekiwaniami – poprawi jakość danych</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awozdaniach budżetowych, finansowych</w:t>
            </w:r>
            <w:r w:rsidR="00A33B9F" w:rsidRPr="00A33B9F">
              <w:rPr>
                <w:rFonts w:ascii="Times New Roman" w:hAnsi="Times New Roman"/>
                <w:noProof/>
                <w:color w:val="000000" w:themeColor="text1"/>
                <w:sz w:val="18"/>
              </w:rPr>
              <w:t xml:space="preserve"> i str</w:t>
            </w:r>
            <w:r w:rsidRPr="00A33B9F">
              <w:rPr>
                <w:rFonts w:ascii="Times New Roman" w:hAnsi="Times New Roman"/>
                <w:noProof/>
                <w:color w:val="000000" w:themeColor="text1"/>
                <w:sz w:val="18"/>
              </w:rPr>
              <w:t>ategicznych. Nowy system będzie zawierał szereg rozłącznych segmentów wraz ze strukturą kodowania danych</w:t>
            </w:r>
            <w:r w:rsidR="00A33B9F" w:rsidRPr="00A33B9F">
              <w:rPr>
                <w:rFonts w:ascii="Times New Roman" w:hAnsi="Times New Roman"/>
                <w:noProof/>
                <w:color w:val="000000" w:themeColor="text1"/>
                <w:sz w:val="18"/>
              </w:rPr>
              <w:t xml:space="preserve"> w tyc</w:t>
            </w:r>
            <w:r w:rsidRPr="00A33B9F">
              <w:rPr>
                <w:rFonts w:ascii="Times New Roman" w:hAnsi="Times New Roman"/>
                <w:noProof/>
                <w:color w:val="000000" w:themeColor="text1"/>
                <w:sz w:val="18"/>
              </w:rPr>
              <w:t>h segmentach, co będzie miało korzystny wpływ na zaspokojenie potrzeb informacyjnych różnych użytkowników systemu.</w:t>
            </w:r>
          </w:p>
        </w:tc>
      </w:tr>
      <w:tr w:rsidR="00A06FB8" w:rsidRPr="00A33B9F" w14:paraId="5D1E5DAD"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D5EC4" w14:textId="231B2AE2"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8F93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A1.1 Reforma ram budżetowych</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37E2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534BC6" w14:textId="10E0E2F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zmienionej ustawy</w:t>
            </w:r>
            <w:r w:rsidR="00A33B9F" w:rsidRPr="00A33B9F">
              <w:rPr>
                <w:rFonts w:ascii="Times New Roman" w:hAnsi="Times New Roman"/>
                <w:noProof/>
                <w:color w:val="000000"/>
                <w:sz w:val="18"/>
              </w:rPr>
              <w:t xml:space="preserve"> o fin</w:t>
            </w:r>
            <w:r w:rsidRPr="00A33B9F">
              <w:rPr>
                <w:rFonts w:ascii="Times New Roman" w:hAnsi="Times New Roman"/>
                <w:noProof/>
                <w:color w:val="000000"/>
                <w:sz w:val="18"/>
              </w:rPr>
              <w:t>ansowaniu publicznym ukierunkowanej na rozszerzenie zakresu stabilizującej reguły wydatkowej (SRW)</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uwzględnienia państwowych funduszy celowych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C29F82" w14:textId="5CB15C7B"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enionej ustawie</w:t>
            </w:r>
            <w:r w:rsidR="00A33B9F" w:rsidRPr="00A33B9F">
              <w:rPr>
                <w:rFonts w:ascii="Times New Roman" w:hAnsi="Times New Roman"/>
                <w:noProof/>
                <w:color w:val="000000" w:themeColor="text1"/>
                <w:sz w:val="18"/>
              </w:rPr>
              <w:t xml:space="preserve"> o fin</w:t>
            </w:r>
            <w:r w:rsidRPr="00A33B9F">
              <w:rPr>
                <w:rFonts w:ascii="Times New Roman" w:hAnsi="Times New Roman"/>
                <w:noProof/>
                <w:color w:val="000000" w:themeColor="text1"/>
                <w:sz w:val="18"/>
              </w:rPr>
              <w:t>ansach publicznych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tej zmiany</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96589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p w14:paraId="5A4B2E9D" w14:textId="77777777" w:rsidR="0035718C" w:rsidRPr="00A33B9F" w:rsidRDefault="0035718C" w:rsidP="0035718C">
            <w:pPr>
              <w:rPr>
                <w:noProof/>
              </w:rPr>
            </w:pPr>
          </w:p>
          <w:p w14:paraId="18851FD0" w14:textId="77777777" w:rsidR="0035718C" w:rsidRPr="00A33B9F" w:rsidRDefault="0035718C" w:rsidP="0035718C">
            <w:pPr>
              <w:rPr>
                <w:noProof/>
              </w:rPr>
            </w:pPr>
          </w:p>
          <w:p w14:paraId="28B13216" w14:textId="77777777" w:rsidR="0035718C" w:rsidRPr="00A33B9F" w:rsidRDefault="0035718C" w:rsidP="0035718C">
            <w:pPr>
              <w:rPr>
                <w:noProof/>
              </w:rPr>
            </w:pPr>
          </w:p>
          <w:p w14:paraId="0DA70637" w14:textId="77777777" w:rsidR="0035718C" w:rsidRPr="00A33B9F" w:rsidRDefault="0035718C" w:rsidP="0035718C">
            <w:pPr>
              <w:rPr>
                <w:noProof/>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624170"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8484D5"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56CC74"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B281B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2021</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0EE1EC" w14:textId="4E395E9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zmienionej ustawy</w:t>
            </w:r>
            <w:r w:rsidR="00A33B9F" w:rsidRPr="00A33B9F">
              <w:rPr>
                <w:rFonts w:ascii="Times New Roman" w:hAnsi="Times New Roman"/>
                <w:noProof/>
                <w:color w:val="000000"/>
                <w:sz w:val="18"/>
              </w:rPr>
              <w:t xml:space="preserve"> o fin</w:t>
            </w:r>
            <w:r w:rsidRPr="00A33B9F">
              <w:rPr>
                <w:rFonts w:ascii="Times New Roman" w:hAnsi="Times New Roman"/>
                <w:noProof/>
                <w:color w:val="000000"/>
                <w:sz w:val="18"/>
              </w:rPr>
              <w:t>ansowaniu publicznym</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rozszerzenia zakresu stabilizującej reguły wydatkowej (SRW).</w:t>
            </w:r>
            <w:r w:rsidRPr="00A33B9F">
              <w:rPr>
                <w:noProof/>
              </w:rPr>
              <w:t xml:space="preserve"> </w:t>
            </w:r>
            <w:r w:rsidRPr="00A33B9F">
              <w:rPr>
                <w:noProof/>
              </w:rPr>
              <w:br/>
            </w:r>
            <w:r w:rsidRPr="00A33B9F">
              <w:rPr>
                <w:rFonts w:ascii="Times New Roman" w:hAnsi="Times New Roman"/>
                <w:noProof/>
                <w:color w:val="000000"/>
                <w:sz w:val="18"/>
              </w:rPr>
              <w:t>Zakładane skutki zmian to objęcie zakresem SRW większej liczby jednostek sektora instytucji rządowych</w:t>
            </w:r>
            <w:r w:rsidR="00A33B9F" w:rsidRPr="00A33B9F">
              <w:rPr>
                <w:rFonts w:ascii="Times New Roman" w:hAnsi="Times New Roman"/>
                <w:noProof/>
                <w:color w:val="000000"/>
                <w:sz w:val="18"/>
              </w:rPr>
              <w:t xml:space="preserve"> i sam</w:t>
            </w:r>
            <w:r w:rsidRPr="00A33B9F">
              <w:rPr>
                <w:rFonts w:ascii="Times New Roman" w:hAnsi="Times New Roman"/>
                <w:noProof/>
                <w:color w:val="000000"/>
                <w:sz w:val="18"/>
              </w:rPr>
              <w:t>orządowych (państwowych funduszy celowych), co pozwoli na zwiększenie przejrzystości</w:t>
            </w:r>
            <w:r w:rsidR="00A33B9F" w:rsidRPr="00A33B9F">
              <w:rPr>
                <w:rFonts w:ascii="Times New Roman" w:hAnsi="Times New Roman"/>
                <w:noProof/>
                <w:color w:val="000000"/>
                <w:sz w:val="18"/>
              </w:rPr>
              <w:t xml:space="preserve"> i efe</w:t>
            </w:r>
            <w:r w:rsidRPr="00A33B9F">
              <w:rPr>
                <w:rFonts w:ascii="Times New Roman" w:hAnsi="Times New Roman"/>
                <w:noProof/>
                <w:color w:val="000000"/>
                <w:sz w:val="18"/>
              </w:rPr>
              <w:t>ktywności zarządzania finansami publicznymi. Za przygotowanie zmiany odpowiedzialne jest Ministerstwo Finansów.</w:t>
            </w:r>
          </w:p>
        </w:tc>
      </w:tr>
      <w:tr w:rsidR="00A06FB8" w:rsidRPr="00A33B9F" w14:paraId="1D5532F1"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8DEE6" w14:textId="6448D6A6"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B2B68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A1.1 Reforma ram budżetowych</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DE33F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0E99C2" w14:textId="0322E4B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Przegląd funkcjonowania stabilizującej reguły wydatkowej</w:t>
            </w:r>
            <w:r w:rsidR="00A33B9F" w:rsidRPr="00A33B9F">
              <w:rPr>
                <w:rFonts w:ascii="Times New Roman" w:hAnsi="Times New Roman"/>
                <w:noProof/>
                <w:color w:val="000000"/>
                <w:sz w:val="18"/>
              </w:rPr>
              <w:t xml:space="preserve"> w lat</w:t>
            </w:r>
            <w:r w:rsidRPr="00A33B9F">
              <w:rPr>
                <w:rFonts w:ascii="Times New Roman" w:hAnsi="Times New Roman"/>
                <w:noProof/>
                <w:color w:val="000000"/>
                <w:sz w:val="18"/>
              </w:rPr>
              <w:t>ach 2019–2023</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w:t>
            </w:r>
            <w:r w:rsidRPr="00A33B9F">
              <w:rPr>
                <w:noProof/>
              </w:rPr>
              <w:t xml:space="preserve"> </w:t>
            </w:r>
            <w:r w:rsidRPr="00A33B9F">
              <w:rPr>
                <w:noProof/>
              </w:rPr>
              <w:br/>
            </w:r>
            <w:r w:rsidRPr="00A33B9F">
              <w:rPr>
                <w:rFonts w:ascii="Times New Roman" w:hAnsi="Times New Roman"/>
                <w:noProof/>
                <w:color w:val="000000"/>
                <w:sz w:val="18"/>
              </w:rPr>
              <w:t>– oceny skuteczności funkcjonowania reguły,</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stosowania klauzuli wyjścia</w:t>
            </w:r>
            <w:r w:rsidR="00A33B9F" w:rsidRPr="00A33B9F">
              <w:rPr>
                <w:rFonts w:ascii="Times New Roman" w:hAnsi="Times New Roman"/>
                <w:noProof/>
                <w:color w:val="000000"/>
                <w:sz w:val="18"/>
              </w:rPr>
              <w:t xml:space="preserve"> i kla</w:t>
            </w:r>
            <w:r w:rsidRPr="00A33B9F">
              <w:rPr>
                <w:rFonts w:ascii="Times New Roman" w:hAnsi="Times New Roman"/>
                <w:noProof/>
                <w:color w:val="000000"/>
                <w:sz w:val="18"/>
              </w:rPr>
              <w:t>uzuli powrotu</w:t>
            </w:r>
            <w:r w:rsidRPr="00A33B9F">
              <w:rPr>
                <w:noProof/>
              </w:rPr>
              <w:t xml:space="preserve"> </w:t>
            </w:r>
            <w:r w:rsidRPr="00A33B9F">
              <w:rPr>
                <w:noProof/>
              </w:rPr>
              <w:br/>
            </w:r>
            <w:r w:rsidRPr="00A33B9F">
              <w:rPr>
                <w:rFonts w:ascii="Times New Roman" w:hAnsi="Times New Roman"/>
                <w:noProof/>
                <w:color w:val="000000"/>
                <w:sz w:val="18"/>
              </w:rPr>
              <w:t>– analizy wpływu zmian</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episach UE na formułę stabilizującej reguły wydatkowej</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31CD74" w14:textId="5CE6B68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Publikacja</w:t>
            </w:r>
            <w:r w:rsidR="00A33B9F" w:rsidRPr="00A33B9F">
              <w:rPr>
                <w:rFonts w:ascii="Times New Roman" w:hAnsi="Times New Roman"/>
                <w:noProof/>
                <w:color w:val="000000"/>
                <w:sz w:val="18"/>
              </w:rPr>
              <w:t xml:space="preserve"> w Biu</w:t>
            </w:r>
            <w:r w:rsidRPr="00A33B9F">
              <w:rPr>
                <w:rFonts w:ascii="Times New Roman" w:hAnsi="Times New Roman"/>
                <w:noProof/>
                <w:color w:val="000000"/>
                <w:sz w:val="18"/>
              </w:rPr>
              <w:t>letynie Informacji Publicznej na stronie internetowej Ministerstwa Finansów</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F56C0"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9CC1F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EF996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3C948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96DD5"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CCBA0C" w14:textId="59C8BB4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Publikacja przeglądu funkcjonowania stabilizującej reguły wydatkowej (SRW), ze szczególnym uwzględnieniem jej zakresu, po pięciu latach jej stosowania (przegląd dotyczący okresu 2019–2023). Przegląd zostanie opublikowany na stronie internetowej Ministerstwa Finansów.</w:t>
            </w:r>
            <w:r w:rsidRPr="00A33B9F">
              <w:rPr>
                <w:noProof/>
              </w:rPr>
              <w:t xml:space="preserve"> </w:t>
            </w:r>
            <w:r w:rsidRPr="00A33B9F">
              <w:rPr>
                <w:noProof/>
              </w:rPr>
              <w:br/>
            </w:r>
            <w:r w:rsidRPr="00A33B9F">
              <w:rPr>
                <w:rFonts w:ascii="Times New Roman" w:hAnsi="Times New Roman"/>
                <w:noProof/>
                <w:color w:val="000000" w:themeColor="text1"/>
                <w:sz w:val="18"/>
              </w:rPr>
              <w:t>SRW wprowadzono</w:t>
            </w:r>
            <w:r w:rsidR="00A33B9F" w:rsidRPr="00A33B9F">
              <w:rPr>
                <w:rFonts w:ascii="Times New Roman" w:hAnsi="Times New Roman"/>
                <w:noProof/>
                <w:color w:val="000000" w:themeColor="text1"/>
                <w:sz w:val="18"/>
              </w:rPr>
              <w:t xml:space="preserve"> w 2</w:t>
            </w:r>
            <w:r w:rsidRPr="00A33B9F">
              <w:rPr>
                <w:rFonts w:ascii="Times New Roman" w:hAnsi="Times New Roman"/>
                <w:noProof/>
                <w:color w:val="000000" w:themeColor="text1"/>
                <w:sz w:val="18"/>
              </w:rPr>
              <w:t>013</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jako narzędzie wsparcia polityki fiskalnej. W 2018</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przeprowadzono przegląd funkcjonowania SRW</w:t>
            </w:r>
            <w:r w:rsidR="00A33B9F" w:rsidRPr="00A33B9F">
              <w:rPr>
                <w:rFonts w:ascii="Times New Roman" w:hAnsi="Times New Roman"/>
                <w:noProof/>
                <w:color w:val="000000" w:themeColor="text1"/>
                <w:sz w:val="18"/>
              </w:rPr>
              <w:t xml:space="preserve"> w cią</w:t>
            </w:r>
            <w:r w:rsidRPr="00A33B9F">
              <w:rPr>
                <w:rFonts w:ascii="Times New Roman" w:hAnsi="Times New Roman"/>
                <w:noProof/>
                <w:color w:val="000000" w:themeColor="text1"/>
                <w:sz w:val="18"/>
              </w:rPr>
              <w:t>gu pierwszych pięciu lat. Następny przegląd obejmie lata 2019–2023. Analiza funkcjonowania SRW umożliwi opracowanie zaleceń dotyczących m.in.: osiągnięcia celów</w:t>
            </w:r>
            <w:r w:rsidR="00A33B9F" w:rsidRPr="00A33B9F">
              <w:rPr>
                <w:rFonts w:ascii="Times New Roman" w:hAnsi="Times New Roman"/>
                <w:noProof/>
                <w:color w:val="000000" w:themeColor="text1"/>
                <w:sz w:val="18"/>
              </w:rPr>
              <w:t xml:space="preserve"> i par</w:t>
            </w:r>
            <w:r w:rsidRPr="00A33B9F">
              <w:rPr>
                <w:rFonts w:ascii="Times New Roman" w:hAnsi="Times New Roman"/>
                <w:noProof/>
                <w:color w:val="000000" w:themeColor="text1"/>
                <w:sz w:val="18"/>
              </w:rPr>
              <w:t>ametrów formuły SRW oraz jej zakresu.</w:t>
            </w:r>
          </w:p>
        </w:tc>
      </w:tr>
      <w:tr w:rsidR="00A06FB8" w:rsidRPr="00A33B9F" w14:paraId="1BA92451"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941E47" w14:textId="595F8122"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5A6DB" w14:textId="7805180E"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A1.2 Dalsze ograniczanie obciążenia regulacyjnego</w:t>
            </w:r>
            <w:r w:rsidR="00A33B9F" w:rsidRPr="00A33B9F">
              <w:rPr>
                <w:rFonts w:ascii="Times New Roman" w:hAnsi="Times New Roman"/>
                <w:noProof/>
                <w:color w:val="000000" w:themeColor="text1"/>
                <w:sz w:val="18"/>
              </w:rPr>
              <w:t xml:space="preserve"> i adm</w:t>
            </w:r>
            <w:r w:rsidRPr="00A33B9F">
              <w:rPr>
                <w:rFonts w:ascii="Times New Roman" w:hAnsi="Times New Roman"/>
                <w:noProof/>
                <w:color w:val="000000" w:themeColor="text1"/>
                <w:sz w:val="18"/>
              </w:rPr>
              <w:t>inistracyjnego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31EBCB" w14:textId="77187AD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391831" w14:textId="7F3E9D6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pakietu legislacyjnego ukierunkowanego na ograniczenie administracyjnego obciążenia przedsiębiorstw</w:t>
            </w:r>
            <w:r w:rsidR="00A33B9F" w:rsidRPr="00A33B9F">
              <w:rPr>
                <w:rFonts w:ascii="Times New Roman" w:hAnsi="Times New Roman"/>
                <w:noProof/>
                <w:color w:val="000000"/>
                <w:sz w:val="18"/>
              </w:rPr>
              <w:t xml:space="preserve"> i oby</w:t>
            </w:r>
            <w:r w:rsidRPr="00A33B9F">
              <w:rPr>
                <w:rFonts w:ascii="Times New Roman" w:hAnsi="Times New Roman"/>
                <w:noProof/>
                <w:color w:val="000000"/>
                <w:sz w:val="18"/>
              </w:rPr>
              <w:t>wateli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2D3D6" w14:textId="64B62C42"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Przepisy</w:t>
            </w:r>
            <w:r w:rsidR="00A33B9F" w:rsidRPr="00A33B9F">
              <w:rPr>
                <w:rFonts w:ascii="Times New Roman" w:hAnsi="Times New Roman"/>
                <w:noProof/>
                <w:color w:val="000000" w:themeColor="text1"/>
                <w:sz w:val="18"/>
              </w:rPr>
              <w:t xml:space="preserve"> w pak</w:t>
            </w:r>
            <w:r w:rsidRPr="00A33B9F">
              <w:rPr>
                <w:rFonts w:ascii="Times New Roman" w:hAnsi="Times New Roman"/>
                <w:noProof/>
                <w:color w:val="000000" w:themeColor="text1"/>
                <w:sz w:val="18"/>
              </w:rPr>
              <w:t>iecie legislacyjnym wskazujące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3886A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CEB11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8BF34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434170" w14:textId="41F5976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97C7B7" w14:textId="05BD106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9E3BC" w14:textId="01122DCA"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pakietu legislacyjnego mającego na celu wyeliminowanie barier prawnych, które mają wpływ na klimat inwestycyjny,</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poprzez:</w:t>
            </w:r>
          </w:p>
          <w:p w14:paraId="7B05B523" w14:textId="3955135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 uproszczenie procedur administracyjnych</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cedur milczącej zgody w co najmniej 12 procedurach,</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związanych</w:t>
            </w:r>
            <w:r w:rsidR="00A33B9F" w:rsidRPr="00A33B9F">
              <w:rPr>
                <w:rFonts w:ascii="Times New Roman" w:hAnsi="Times New Roman"/>
                <w:noProof/>
                <w:color w:val="000000" w:themeColor="text1"/>
                <w:sz w:val="18"/>
              </w:rPr>
              <w:t xml:space="preserve"> z zaw</w:t>
            </w:r>
            <w:r w:rsidRPr="00A33B9F">
              <w:rPr>
                <w:rFonts w:ascii="Times New Roman" w:hAnsi="Times New Roman"/>
                <w:noProof/>
                <w:color w:val="000000" w:themeColor="text1"/>
                <w:sz w:val="18"/>
              </w:rPr>
              <w:t>odami marynarza oraz handlem napojami alkoholowymi;</w:t>
            </w:r>
          </w:p>
          <w:p w14:paraId="2998C8A3" w14:textId="64991C1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 ograniczenie stosowania procedury dwuinstancyjnej w co najmniej 10 procedurach związanych</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obami geologicznymi;</w:t>
            </w:r>
            <w:r w:rsidR="00C3621A" w:rsidRPr="00A33B9F">
              <w:rPr>
                <w:rFonts w:ascii="Times New Roman" w:hAnsi="Times New Roman"/>
                <w:noProof/>
                <w:color w:val="000000" w:themeColor="text1"/>
                <w:sz w:val="18"/>
              </w:rPr>
              <w:t xml:space="preserve"> </w:t>
            </w:r>
          </w:p>
          <w:p w14:paraId="2CBE7EFE" w14:textId="1724931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3) digitalizację sposobu obsługi wniosków w co najmniej ośmiu procedurach administracyjnych związanych na przykład ze składaniem oświadczeń przez operatorów turystycznych</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edsiębiorców do Ubezpieczeniowego Funduszu Gwarancyjnego oraz składaniem przez studentów wniosków</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yznanie świadczeń społecznych,</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związanych</w:t>
            </w:r>
            <w:r w:rsidR="00A33B9F" w:rsidRPr="00A33B9F">
              <w:rPr>
                <w:rFonts w:ascii="Times New Roman" w:hAnsi="Times New Roman"/>
                <w:noProof/>
                <w:color w:val="000000" w:themeColor="text1"/>
                <w:sz w:val="18"/>
              </w:rPr>
              <w:t xml:space="preserve"> z pro</w:t>
            </w:r>
            <w:r w:rsidRPr="00A33B9F">
              <w:rPr>
                <w:rFonts w:ascii="Times New Roman" w:hAnsi="Times New Roman"/>
                <w:noProof/>
                <w:color w:val="000000" w:themeColor="text1"/>
                <w:sz w:val="18"/>
              </w:rPr>
              <w:t xml:space="preserve">cedurami geodezyjnymi; </w:t>
            </w:r>
          </w:p>
          <w:p w14:paraId="2E2196DF" w14:textId="53B79B2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4) wprowadzenie innych racjonalizacji procedur administracyjnych (takich jak ograniczenie liczby dokumentów lub mniejsza liczba formalności) związanych</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z wpr</w:t>
            </w:r>
            <w:r w:rsidRPr="00A33B9F">
              <w:rPr>
                <w:rFonts w:ascii="Times New Roman" w:hAnsi="Times New Roman"/>
                <w:noProof/>
                <w:color w:val="000000" w:themeColor="text1"/>
                <w:sz w:val="18"/>
              </w:rPr>
              <w:t>owadzeniem szeregu usprawnień</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cesie planowania przestrzennego,</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cesie budowy</w:t>
            </w:r>
            <w:r w:rsidR="00A33B9F" w:rsidRPr="00A33B9F">
              <w:rPr>
                <w:rFonts w:ascii="Times New Roman" w:hAnsi="Times New Roman"/>
                <w:noProof/>
                <w:color w:val="000000" w:themeColor="text1"/>
                <w:sz w:val="18"/>
              </w:rPr>
              <w:t xml:space="preserve"> i w pro</w:t>
            </w:r>
            <w:r w:rsidRPr="00A33B9F">
              <w:rPr>
                <w:rFonts w:ascii="Times New Roman" w:hAnsi="Times New Roman"/>
                <w:noProof/>
                <w:color w:val="000000" w:themeColor="text1"/>
                <w:sz w:val="18"/>
              </w:rPr>
              <w:t>cesie scalania gruntów;</w:t>
            </w:r>
          </w:p>
          <w:p w14:paraId="086BE4BA" w14:textId="7BE3487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5) przedłużenie terminu na wypełnienie obowiązków spoczywających na przedsiębiorcach</w:t>
            </w:r>
            <w:r w:rsidR="00A33B9F" w:rsidRPr="00A33B9F">
              <w:rPr>
                <w:rFonts w:ascii="Times New Roman" w:hAnsi="Times New Roman"/>
                <w:noProof/>
                <w:color w:val="000000" w:themeColor="text1"/>
                <w:sz w:val="18"/>
              </w:rPr>
              <w:t xml:space="preserve"> i oso</w:t>
            </w:r>
            <w:r w:rsidRPr="00A33B9F">
              <w:rPr>
                <w:rFonts w:ascii="Times New Roman" w:hAnsi="Times New Roman"/>
                <w:noProof/>
                <w:color w:val="000000" w:themeColor="text1"/>
                <w:sz w:val="18"/>
              </w:rPr>
              <w:t>bach fizycznych wobec administracji</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niektórych procedur administracyjnych – na przykład przedłużenie</w:t>
            </w:r>
            <w:r w:rsidR="00A33B9F" w:rsidRPr="00A33B9F">
              <w:rPr>
                <w:rFonts w:ascii="Times New Roman" w:hAnsi="Times New Roman"/>
                <w:noProof/>
                <w:color w:val="000000" w:themeColor="text1"/>
                <w:sz w:val="18"/>
              </w:rPr>
              <w:t xml:space="preserve"> z 3</w:t>
            </w:r>
            <w:r w:rsidRPr="00A33B9F">
              <w:rPr>
                <w:rFonts w:ascii="Times New Roman" w:hAnsi="Times New Roman"/>
                <w:noProof/>
                <w:color w:val="000000" w:themeColor="text1"/>
                <w:sz w:val="18"/>
              </w:rPr>
              <w:t>0 do</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60 dni terminu rejestracji samochodu zakupionego</w:t>
            </w:r>
            <w:r w:rsidR="00A33B9F" w:rsidRPr="00A33B9F">
              <w:rPr>
                <w:rFonts w:ascii="Times New Roman" w:hAnsi="Times New Roman"/>
                <w:noProof/>
                <w:color w:val="000000" w:themeColor="text1"/>
                <w:sz w:val="18"/>
              </w:rPr>
              <w:t xml:space="preserve"> w inn</w:t>
            </w:r>
            <w:r w:rsidRPr="00A33B9F">
              <w:rPr>
                <w:rFonts w:ascii="Times New Roman" w:hAnsi="Times New Roman"/>
                <w:noProof/>
                <w:color w:val="000000" w:themeColor="text1"/>
                <w:sz w:val="18"/>
              </w:rPr>
              <w:t>ych państwach członkowskich lub przedłużenie terminu korzystania</w:t>
            </w:r>
            <w:r w:rsidR="00A33B9F" w:rsidRPr="00A33B9F">
              <w:rPr>
                <w:rFonts w:ascii="Times New Roman" w:hAnsi="Times New Roman"/>
                <w:noProof/>
                <w:color w:val="000000" w:themeColor="text1"/>
                <w:sz w:val="18"/>
              </w:rPr>
              <w:t xml:space="preserve"> z bon</w:t>
            </w:r>
            <w:r w:rsidRPr="00A33B9F">
              <w:rPr>
                <w:rFonts w:ascii="Times New Roman" w:hAnsi="Times New Roman"/>
                <w:noProof/>
                <w:color w:val="000000" w:themeColor="text1"/>
                <w:sz w:val="18"/>
              </w:rPr>
              <w:t>u turystycznego</w:t>
            </w:r>
            <w:r w:rsidR="00A33B9F" w:rsidRPr="00A33B9F">
              <w:rPr>
                <w:rFonts w:ascii="Times New Roman" w:hAnsi="Times New Roman"/>
                <w:noProof/>
                <w:color w:val="000000" w:themeColor="text1"/>
                <w:sz w:val="18"/>
              </w:rPr>
              <w:t xml:space="preserve"> z 3</w:t>
            </w:r>
            <w:r w:rsidRPr="00A33B9F">
              <w:rPr>
                <w:rFonts w:ascii="Times New Roman" w:hAnsi="Times New Roman"/>
                <w:noProof/>
                <w:color w:val="000000" w:themeColor="text1"/>
                <w:sz w:val="18"/>
              </w:rPr>
              <w:t>1 marca 2022</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na</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30 września 2022</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xml:space="preserve">r. </w:t>
            </w:r>
          </w:p>
        </w:tc>
      </w:tr>
      <w:tr w:rsidR="00A06FB8" w:rsidRPr="00A33B9F" w14:paraId="72551064"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97EEC" w14:textId="2B213C3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A7G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EF58F" w14:textId="0624CA72"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A1.2.1 Inwestycje dla przedsiębiorstw</w:t>
            </w:r>
            <w:r w:rsidR="00A33B9F" w:rsidRPr="00A33B9F">
              <w:rPr>
                <w:rFonts w:ascii="Times New Roman" w:hAnsi="Times New Roman"/>
                <w:noProof/>
                <w:color w:val="000000"/>
                <w:sz w:val="18"/>
              </w:rPr>
              <w:t xml:space="preserve"> w pro</w:t>
            </w:r>
            <w:r w:rsidRPr="00A33B9F">
              <w:rPr>
                <w:rFonts w:ascii="Times New Roman" w:hAnsi="Times New Roman"/>
                <w:noProof/>
                <w:color w:val="000000"/>
                <w:sz w:val="18"/>
              </w:rPr>
              <w:t>dukty, usługi</w:t>
            </w:r>
            <w:r w:rsidR="00A33B9F" w:rsidRPr="00A33B9F">
              <w:rPr>
                <w:rFonts w:ascii="Times New Roman" w:hAnsi="Times New Roman"/>
                <w:noProof/>
                <w:color w:val="000000"/>
                <w:sz w:val="18"/>
              </w:rPr>
              <w:t xml:space="preserve"> i kom</w:t>
            </w:r>
            <w:r w:rsidRPr="00A33B9F">
              <w:rPr>
                <w:rFonts w:ascii="Times New Roman" w:hAnsi="Times New Roman"/>
                <w:noProof/>
                <w:color w:val="000000"/>
                <w:sz w:val="18"/>
              </w:rPr>
              <w:t>petencje pracowników oraz kadry związane</w:t>
            </w:r>
            <w:r w:rsidR="00A33B9F" w:rsidRPr="00A33B9F">
              <w:rPr>
                <w:rFonts w:ascii="Times New Roman" w:hAnsi="Times New Roman"/>
                <w:noProof/>
                <w:color w:val="000000"/>
                <w:sz w:val="18"/>
              </w:rPr>
              <w:t xml:space="preserve"> z dyw</w:t>
            </w:r>
            <w:r w:rsidRPr="00A33B9F">
              <w:rPr>
                <w:rFonts w:ascii="Times New Roman" w:hAnsi="Times New Roman"/>
                <w:noProof/>
                <w:color w:val="000000"/>
                <w:sz w:val="18"/>
              </w:rPr>
              <w:t xml:space="preserve">ersyfikacją działalności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1A4C5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D6B863" w14:textId="06F002D3" w:rsidR="00BE1B25" w:rsidRPr="00A33B9F" w:rsidRDefault="627415CB" w:rsidP="1C56739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T1 – Liczba MŚP</w:t>
            </w:r>
            <w:r w:rsidR="00A33B9F" w:rsidRPr="00A33B9F">
              <w:rPr>
                <w:rFonts w:ascii="Times New Roman" w:hAnsi="Times New Roman"/>
                <w:noProof/>
                <w:color w:val="000000" w:themeColor="text1"/>
                <w:sz w:val="18"/>
              </w:rPr>
              <w:t xml:space="preserve"> i mik</w:t>
            </w:r>
            <w:r w:rsidRPr="00A33B9F">
              <w:rPr>
                <w:rFonts w:ascii="Times New Roman" w:hAnsi="Times New Roman"/>
                <w:noProof/>
                <w:color w:val="000000" w:themeColor="text1"/>
                <w:sz w:val="18"/>
              </w:rPr>
              <w:t>roprzedsiębiorstw</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HoReCa, kultury</w:t>
            </w:r>
            <w:r w:rsidR="00A33B9F" w:rsidRPr="00A33B9F">
              <w:rPr>
                <w:rFonts w:ascii="Times New Roman" w:hAnsi="Times New Roman"/>
                <w:noProof/>
                <w:color w:val="000000" w:themeColor="text1"/>
                <w:sz w:val="18"/>
              </w:rPr>
              <w:t xml:space="preserve"> i tur</w:t>
            </w:r>
            <w:r w:rsidRPr="00A33B9F">
              <w:rPr>
                <w:rFonts w:ascii="Times New Roman" w:hAnsi="Times New Roman"/>
                <w:noProof/>
                <w:color w:val="000000" w:themeColor="text1"/>
                <w:sz w:val="18"/>
              </w:rPr>
              <w:t>ystyki, które podpisały umowy na realizację projektów ukierunkowanych na modernizację ich działalności gospodarczej</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F8BA6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F94F2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584315" w14:textId="77777777" w:rsidR="00BE1B25" w:rsidRPr="00A33B9F" w:rsidRDefault="25DB7D71" w:rsidP="4220C7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3A0141" w14:textId="747C8F3D" w:rsidR="00BE1B25" w:rsidRPr="00A33B9F" w:rsidRDefault="275A8C29" w:rsidP="4220C7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1 214</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F9947D" w14:textId="17DADD6F" w:rsidR="00BE1B25" w:rsidRPr="00A33B9F" w:rsidRDefault="39A241CE" w:rsidP="1C56739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623E38" w14:textId="7F62BD45"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C365D5" w14:textId="191B9315" w:rsidR="00BE1B25" w:rsidRPr="00A33B9F" w:rsidRDefault="4ED1C4AF" w:rsidP="5F97B6F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Co najmniej 1 214 MŚP</w:t>
            </w:r>
            <w:r w:rsidR="00A33B9F" w:rsidRPr="00A33B9F">
              <w:rPr>
                <w:rFonts w:ascii="Times New Roman" w:hAnsi="Times New Roman"/>
                <w:noProof/>
                <w:color w:val="000000" w:themeColor="text1"/>
                <w:sz w:val="18"/>
              </w:rPr>
              <w:t xml:space="preserve"> i mik</w:t>
            </w:r>
            <w:r w:rsidRPr="00A33B9F">
              <w:rPr>
                <w:rFonts w:ascii="Times New Roman" w:hAnsi="Times New Roman"/>
                <w:noProof/>
                <w:color w:val="000000" w:themeColor="text1"/>
                <w:sz w:val="18"/>
              </w:rPr>
              <w:t>roprzedsiębiorstw</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HoReCa, kultury</w:t>
            </w:r>
            <w:r w:rsidR="00A33B9F" w:rsidRPr="00A33B9F">
              <w:rPr>
                <w:rFonts w:ascii="Times New Roman" w:hAnsi="Times New Roman"/>
                <w:noProof/>
                <w:color w:val="000000" w:themeColor="text1"/>
                <w:sz w:val="18"/>
              </w:rPr>
              <w:t xml:space="preserve"> i tur</w:t>
            </w:r>
            <w:r w:rsidRPr="00A33B9F">
              <w:rPr>
                <w:rFonts w:ascii="Times New Roman" w:hAnsi="Times New Roman"/>
                <w:noProof/>
                <w:color w:val="000000" w:themeColor="text1"/>
                <w:sz w:val="18"/>
              </w:rPr>
              <w:t>ystyki podpisało umowy na realizację projektów ukierunkowanych na modernizację ich działalności gospodarczej. Projekty obejmują następujące trzy rodzaje działalności:</w:t>
            </w:r>
            <w:r w:rsidRPr="00A33B9F">
              <w:rPr>
                <w:noProof/>
              </w:rPr>
              <w:t xml:space="preserve"> </w:t>
            </w:r>
            <w:r w:rsidRPr="00A33B9F">
              <w:rPr>
                <w:noProof/>
              </w:rPr>
              <w:br/>
            </w:r>
            <w:r w:rsidRPr="00A33B9F">
              <w:rPr>
                <w:rFonts w:ascii="Times New Roman" w:hAnsi="Times New Roman"/>
                <w:noProof/>
                <w:color w:val="000000" w:themeColor="text1"/>
                <w:sz w:val="18"/>
              </w:rPr>
              <w:t>1) inwestycje</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jektowanie</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dukcję swoich towarów</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 takie jak: (i) zakup maszyn</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ądzeń niezbędnych do wyprowadzenia na rynek nowych produktów/usług; (ii) prace budowlane,</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budowa nowych linii produkcyjnych; (iii) inwestycje związane</w:t>
            </w:r>
            <w:r w:rsidR="00A33B9F" w:rsidRPr="00A33B9F">
              <w:rPr>
                <w:rFonts w:ascii="Times New Roman" w:hAnsi="Times New Roman"/>
                <w:noProof/>
                <w:color w:val="000000" w:themeColor="text1"/>
                <w:sz w:val="18"/>
              </w:rPr>
              <w:t xml:space="preserve"> z zie</w:t>
            </w:r>
            <w:r w:rsidRPr="00A33B9F">
              <w:rPr>
                <w:rFonts w:ascii="Times New Roman" w:hAnsi="Times New Roman"/>
                <w:noProof/>
                <w:color w:val="000000" w:themeColor="text1"/>
                <w:sz w:val="18"/>
              </w:rPr>
              <w:t>loną transformacją,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zachęcające do zapobiegania powstawaniu odpadów, recyklingu/ponownego wykorzystania odpadów oraz wdrożenia rozwiązań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energii ze źródeł odnawialnych;</w:t>
            </w:r>
            <w:r w:rsidRPr="00A33B9F">
              <w:rPr>
                <w:noProof/>
              </w:rPr>
              <w:t xml:space="preserve"> </w:t>
            </w:r>
            <w:r w:rsidRPr="00A33B9F">
              <w:rPr>
                <w:noProof/>
              </w:rPr>
              <w:br/>
            </w:r>
            <w:r w:rsidRPr="00A33B9F">
              <w:rPr>
                <w:rFonts w:ascii="Times New Roman" w:hAnsi="Times New Roman"/>
                <w:noProof/>
                <w:color w:val="000000" w:themeColor="text1"/>
                <w:sz w:val="18"/>
              </w:rPr>
              <w:t>2) usługi doradcze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realizacji projektów;</w:t>
            </w:r>
            <w:r w:rsidRPr="00A33B9F">
              <w:rPr>
                <w:noProof/>
              </w:rPr>
              <w:t xml:space="preserve"> </w:t>
            </w:r>
            <w:r w:rsidRPr="00A33B9F">
              <w:rPr>
                <w:noProof/>
              </w:rPr>
              <w:br/>
            </w:r>
            <w:r w:rsidRPr="00A33B9F">
              <w:rPr>
                <w:rFonts w:ascii="Times New Roman" w:hAnsi="Times New Roman"/>
                <w:noProof/>
                <w:color w:val="000000" w:themeColor="text1"/>
                <w:sz w:val="18"/>
              </w:rPr>
              <w:t>3) podnoszenie/zmiana kwalifikacji pracowników dzięki zapewnieniu szkoleń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nowych rozwiązań informatycznych, nowych technologii, analizy potrzeb klienta, zarządzania informacjami/danymi,</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zarządzania ryzykiem.</w:t>
            </w:r>
          </w:p>
          <w:p w14:paraId="78844966" w14:textId="4186A18E" w:rsidR="00BE1B25" w:rsidRPr="00A33B9F" w:rsidRDefault="00BE1B25" w:rsidP="0D54E88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highlight w:val="yellow"/>
              </w:rPr>
            </w:pPr>
          </w:p>
          <w:p w14:paraId="310E4922" w14:textId="2BAC9C7D" w:rsidR="00BE1B25" w:rsidRPr="00A33B9F" w:rsidRDefault="5302AEA7" w:rsidP="5C2B26C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p>
          <w:p w14:paraId="07459315" w14:textId="3886817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5ED379B7" w14:textId="3769C25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działania muszą być zgodne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p>
        </w:tc>
      </w:tr>
      <w:tr w:rsidR="00A06FB8" w:rsidRPr="00A33B9F" w14:paraId="1F30A922"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B0A208" w14:textId="350EB81B"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A8G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EA448" w14:textId="6CADC42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A1.2.1 Inwestycje dla przedsiębiorstw</w:t>
            </w:r>
            <w:r w:rsidR="00A33B9F" w:rsidRPr="00A33B9F">
              <w:rPr>
                <w:rFonts w:ascii="Times New Roman" w:hAnsi="Times New Roman"/>
                <w:noProof/>
                <w:color w:val="000000"/>
                <w:sz w:val="18"/>
              </w:rPr>
              <w:t xml:space="preserve"> w pro</w:t>
            </w:r>
            <w:r w:rsidRPr="00A33B9F">
              <w:rPr>
                <w:rFonts w:ascii="Times New Roman" w:hAnsi="Times New Roman"/>
                <w:noProof/>
                <w:color w:val="000000"/>
                <w:sz w:val="18"/>
              </w:rPr>
              <w:t>dukty, usługi</w:t>
            </w:r>
            <w:r w:rsidR="00A33B9F" w:rsidRPr="00A33B9F">
              <w:rPr>
                <w:rFonts w:ascii="Times New Roman" w:hAnsi="Times New Roman"/>
                <w:noProof/>
                <w:color w:val="000000"/>
                <w:sz w:val="18"/>
              </w:rPr>
              <w:t xml:space="preserve"> i kom</w:t>
            </w:r>
            <w:r w:rsidRPr="00A33B9F">
              <w:rPr>
                <w:rFonts w:ascii="Times New Roman" w:hAnsi="Times New Roman"/>
                <w:noProof/>
                <w:color w:val="000000"/>
                <w:sz w:val="18"/>
              </w:rPr>
              <w:t>petencje pracowników oraz kadry związane</w:t>
            </w:r>
            <w:r w:rsidR="00A33B9F" w:rsidRPr="00A33B9F">
              <w:rPr>
                <w:rFonts w:ascii="Times New Roman" w:hAnsi="Times New Roman"/>
                <w:noProof/>
                <w:color w:val="000000"/>
                <w:sz w:val="18"/>
              </w:rPr>
              <w:t xml:space="preserve"> z dyw</w:t>
            </w:r>
            <w:r w:rsidRPr="00A33B9F">
              <w:rPr>
                <w:rFonts w:ascii="Times New Roman" w:hAnsi="Times New Roman"/>
                <w:noProof/>
                <w:color w:val="000000"/>
                <w:sz w:val="18"/>
              </w:rPr>
              <w:t xml:space="preserve">ersyfikacją działalności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A125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CBE57" w14:textId="1C2FC98D"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T2 – Liczba MŚP</w:t>
            </w:r>
            <w:r w:rsidR="00A33B9F" w:rsidRPr="00A33B9F">
              <w:rPr>
                <w:rFonts w:ascii="Times New Roman" w:hAnsi="Times New Roman"/>
                <w:noProof/>
                <w:color w:val="000000" w:themeColor="text1"/>
                <w:sz w:val="18"/>
              </w:rPr>
              <w:t xml:space="preserve"> i mik</w:t>
            </w:r>
            <w:r w:rsidRPr="00A33B9F">
              <w:rPr>
                <w:rFonts w:ascii="Times New Roman" w:hAnsi="Times New Roman"/>
                <w:noProof/>
                <w:color w:val="000000" w:themeColor="text1"/>
                <w:sz w:val="18"/>
              </w:rPr>
              <w:t>roprzedsiębiorstw</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HoReCa, kultury</w:t>
            </w:r>
            <w:r w:rsidR="00A33B9F" w:rsidRPr="00A33B9F">
              <w:rPr>
                <w:rFonts w:ascii="Times New Roman" w:hAnsi="Times New Roman"/>
                <w:noProof/>
                <w:color w:val="000000" w:themeColor="text1"/>
                <w:sz w:val="18"/>
              </w:rPr>
              <w:t xml:space="preserve"> i tur</w:t>
            </w:r>
            <w:r w:rsidRPr="00A33B9F">
              <w:rPr>
                <w:rFonts w:ascii="Times New Roman" w:hAnsi="Times New Roman"/>
                <w:noProof/>
                <w:color w:val="000000" w:themeColor="text1"/>
                <w:sz w:val="18"/>
              </w:rPr>
              <w:t>ystyki, które zmodernizowały swoją działalność gospodarczą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5DB19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7ED7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E56103" w14:textId="79F41F82" w:rsidR="00BE1B25" w:rsidRPr="00A33B9F" w:rsidRDefault="39A241CE" w:rsidP="1C56739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40225E" w14:textId="7DB8FB63" w:rsidR="00BE1B25" w:rsidRPr="00A33B9F" w:rsidRDefault="288379F4" w:rsidP="4220C7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2510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7EA1C0" w14:textId="0A03F64F" w:rsidR="00BE1B25" w:rsidRPr="00A33B9F" w:rsidRDefault="25DB7D71" w:rsidP="4220C7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E49A7A" w14:textId="550CDA16" w:rsidR="00BE1B25" w:rsidRPr="00A33B9F" w:rsidRDefault="25DB7D71" w:rsidP="4220C7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05B39" w14:textId="23CD382A" w:rsidR="00BE1B25" w:rsidRPr="00A33B9F" w:rsidRDefault="4AA75EAF" w:rsidP="4220C7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2 510 MŚP</w:t>
            </w:r>
            <w:r w:rsidR="00A33B9F" w:rsidRPr="00A33B9F">
              <w:rPr>
                <w:rFonts w:ascii="Times New Roman" w:hAnsi="Times New Roman"/>
                <w:noProof/>
                <w:color w:val="000000" w:themeColor="text1"/>
                <w:sz w:val="18"/>
              </w:rPr>
              <w:t xml:space="preserve"> i mik</w:t>
            </w:r>
            <w:r w:rsidRPr="00A33B9F">
              <w:rPr>
                <w:rFonts w:ascii="Times New Roman" w:hAnsi="Times New Roman"/>
                <w:noProof/>
                <w:color w:val="000000" w:themeColor="text1"/>
                <w:sz w:val="18"/>
              </w:rPr>
              <w:t>roprzedsiębiorstw</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HoReCa, kultury</w:t>
            </w:r>
            <w:r w:rsidR="00A33B9F" w:rsidRPr="00A33B9F">
              <w:rPr>
                <w:rFonts w:ascii="Times New Roman" w:hAnsi="Times New Roman"/>
                <w:noProof/>
                <w:color w:val="000000" w:themeColor="text1"/>
                <w:sz w:val="18"/>
              </w:rPr>
              <w:t xml:space="preserve"> i tur</w:t>
            </w:r>
            <w:r w:rsidRPr="00A33B9F">
              <w:rPr>
                <w:rFonts w:ascii="Times New Roman" w:hAnsi="Times New Roman"/>
                <w:noProof/>
                <w:color w:val="000000" w:themeColor="text1"/>
                <w:sz w:val="18"/>
              </w:rPr>
              <w:t>ystyki zrealizowało projekty ukierunkowane na modernizację ich działalności gospodarczej. Projekty obejmują następujące trzy rodzaje działalności:</w:t>
            </w:r>
            <w:r w:rsidRPr="00A33B9F">
              <w:rPr>
                <w:noProof/>
              </w:rPr>
              <w:t xml:space="preserve"> </w:t>
            </w:r>
            <w:r w:rsidRPr="00A33B9F">
              <w:rPr>
                <w:noProof/>
              </w:rPr>
              <w:br/>
            </w:r>
            <w:r w:rsidRPr="00A33B9F">
              <w:rPr>
                <w:rFonts w:ascii="Times New Roman" w:hAnsi="Times New Roman"/>
                <w:noProof/>
                <w:color w:val="000000" w:themeColor="text1"/>
                <w:sz w:val="18"/>
              </w:rPr>
              <w:t>1) inwestycje</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jektowanie</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dukcję swoich towarów</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 takie jak: (i) zakup maszyn</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ądzeń niezbędnych do wyprowadzenia na rynek nowych produktów/usług; (ii) prace budowlane,</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budowa nowych linii produkcyjnych; (iii) inwestycje związane</w:t>
            </w:r>
            <w:r w:rsidR="00A33B9F" w:rsidRPr="00A33B9F">
              <w:rPr>
                <w:rFonts w:ascii="Times New Roman" w:hAnsi="Times New Roman"/>
                <w:noProof/>
                <w:color w:val="000000" w:themeColor="text1"/>
                <w:sz w:val="18"/>
              </w:rPr>
              <w:t xml:space="preserve"> z zie</w:t>
            </w:r>
            <w:r w:rsidRPr="00A33B9F">
              <w:rPr>
                <w:rFonts w:ascii="Times New Roman" w:hAnsi="Times New Roman"/>
                <w:noProof/>
                <w:color w:val="000000" w:themeColor="text1"/>
                <w:sz w:val="18"/>
              </w:rPr>
              <w:t>loną transformacją,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zachęcające do zapobiegania powstawaniu odpadów, recyklingu/ponownego wykorzystania odpadów oraz wdrożenia rozwiązań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energii ze źródeł odnawialnych;</w:t>
            </w:r>
            <w:r w:rsidRPr="00A33B9F">
              <w:rPr>
                <w:noProof/>
              </w:rPr>
              <w:t xml:space="preserve"> </w:t>
            </w:r>
            <w:r w:rsidRPr="00A33B9F">
              <w:rPr>
                <w:noProof/>
              </w:rPr>
              <w:br/>
            </w:r>
            <w:r w:rsidRPr="00A33B9F">
              <w:rPr>
                <w:rFonts w:ascii="Times New Roman" w:hAnsi="Times New Roman"/>
                <w:noProof/>
                <w:color w:val="000000" w:themeColor="text1"/>
                <w:sz w:val="18"/>
              </w:rPr>
              <w:t>2) usługi doradcze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realizacji projektów;</w:t>
            </w:r>
            <w:r w:rsidRPr="00A33B9F">
              <w:rPr>
                <w:noProof/>
              </w:rPr>
              <w:t xml:space="preserve"> </w:t>
            </w:r>
            <w:r w:rsidRPr="00A33B9F">
              <w:rPr>
                <w:noProof/>
              </w:rPr>
              <w:br/>
            </w:r>
            <w:r w:rsidRPr="00A33B9F">
              <w:rPr>
                <w:rFonts w:ascii="Times New Roman" w:hAnsi="Times New Roman"/>
                <w:noProof/>
                <w:color w:val="000000" w:themeColor="text1"/>
                <w:sz w:val="18"/>
              </w:rPr>
              <w:t>3) podnoszenie/zmiana kwalifikacji pracowników dzięki zapewnieniu szkoleń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nowych rozwiązań informatycznych, nowych technologii, analizy potrzeb klienta, zarządzania informacjami/danymi,</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zarządzania ryzykiem.</w:t>
            </w:r>
          </w:p>
          <w:p w14:paraId="6F52FCD5" w14:textId="4186A18E" w:rsidR="00BE1B25" w:rsidRPr="00A33B9F" w:rsidRDefault="00BE1B25" w:rsidP="4220C7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00972B48" w14:textId="76E17DB6" w:rsidR="00BE1B25" w:rsidRPr="00A33B9F" w:rsidRDefault="589292CE" w:rsidP="5C2B26C0">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p>
          <w:p w14:paraId="2EF56932" w14:textId="3E4C9E8C"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p>
          <w:p w14:paraId="7A3F6E35" w14:textId="757AB950" w:rsidR="00BE1B25" w:rsidRPr="00A33B9F" w:rsidRDefault="25DB7D71" w:rsidP="4220C7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działania muszą być zgodne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p>
        </w:tc>
      </w:tr>
      <w:tr w:rsidR="00A06FB8" w:rsidRPr="00A33B9F" w14:paraId="475E0527"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3E586" w14:textId="5911A729"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A12G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DADD42" w14:textId="1773CD6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A1.3 Reforma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FA45C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041D63" w14:textId="0878F8C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nowej ustawy</w:t>
            </w:r>
            <w:r w:rsidR="00A33B9F" w:rsidRPr="00A33B9F">
              <w:rPr>
                <w:rFonts w:ascii="Times New Roman" w:hAnsi="Times New Roman"/>
                <w:noProof/>
                <w:color w:val="000000"/>
                <w:sz w:val="18"/>
              </w:rPr>
              <w:t xml:space="preserve"> o pla</w:t>
            </w:r>
            <w:r w:rsidRPr="00A33B9F">
              <w:rPr>
                <w:rFonts w:ascii="Times New Roman" w:hAnsi="Times New Roman"/>
                <w:noProof/>
                <w:color w:val="000000"/>
                <w:sz w:val="18"/>
              </w:rPr>
              <w:t>nowaniu przestrzennym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A1DC63" w14:textId="62AC90F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pla</w:t>
            </w:r>
            <w:r w:rsidRPr="00A33B9F">
              <w:rPr>
                <w:rFonts w:ascii="Times New Roman" w:hAnsi="Times New Roman"/>
                <w:noProof/>
                <w:color w:val="000000" w:themeColor="text1"/>
                <w:sz w:val="18"/>
              </w:rPr>
              <w:t>nowaniu przestrzennym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53EF7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473E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6D69F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E3591B"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9A566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6BC3F8" w14:textId="4BCCC61B" w:rsidR="00BE1B25" w:rsidRPr="00A33B9F" w:rsidRDefault="7DAC2E2F" w:rsidP="1C56739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Przeprowadzenie konsultacji publicznych,</w:t>
            </w:r>
            <w:r w:rsidR="00A33B9F" w:rsidRPr="00A33B9F">
              <w:rPr>
                <w:rFonts w:ascii="Times New Roman" w:hAnsi="Times New Roman"/>
                <w:noProof/>
                <w:color w:val="000000" w:themeColor="text1"/>
                <w:sz w:val="18"/>
              </w:rPr>
              <w:t xml:space="preserve"> a nas</w:t>
            </w:r>
            <w:r w:rsidRPr="00A33B9F">
              <w:rPr>
                <w:rFonts w:ascii="Times New Roman" w:hAnsi="Times New Roman"/>
                <w:noProof/>
                <w:color w:val="000000" w:themeColor="text1"/>
                <w:sz w:val="18"/>
              </w:rPr>
              <w:t>tępnie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nowej ustawy</w:t>
            </w:r>
            <w:r w:rsidR="00A33B9F" w:rsidRPr="00A33B9F">
              <w:rPr>
                <w:rFonts w:ascii="Times New Roman" w:hAnsi="Times New Roman"/>
                <w:noProof/>
                <w:color w:val="000000" w:themeColor="text1"/>
                <w:sz w:val="18"/>
              </w:rPr>
              <w:t xml:space="preserve"> o pla</w:t>
            </w:r>
            <w:r w:rsidRPr="00A33B9F">
              <w:rPr>
                <w:rFonts w:ascii="Times New Roman" w:hAnsi="Times New Roman"/>
                <w:noProof/>
                <w:color w:val="000000" w:themeColor="text1"/>
                <w:sz w:val="18"/>
              </w:rPr>
              <w:t>nowaniu przestrzennym, na podstawie której:</w:t>
            </w:r>
            <w:r w:rsidR="00C3621A" w:rsidRPr="00A33B9F">
              <w:rPr>
                <w:rFonts w:ascii="Times New Roman" w:hAnsi="Times New Roman"/>
                <w:noProof/>
                <w:color w:val="000000" w:themeColor="text1"/>
                <w:sz w:val="18"/>
              </w:rPr>
              <w:t xml:space="preserve"> </w:t>
            </w:r>
            <w:r w:rsidRPr="00A33B9F">
              <w:rPr>
                <w:noProof/>
              </w:rPr>
              <w:br/>
              <w:t xml:space="preserve"> </w:t>
            </w:r>
            <w:r w:rsidRPr="00A33B9F">
              <w:rPr>
                <w:noProof/>
              </w:rPr>
              <w:br/>
              <w:t>1)</w:t>
            </w:r>
            <w:r w:rsidRPr="00A33B9F">
              <w:rPr>
                <w:rFonts w:ascii="Times New Roman" w:hAnsi="Times New Roman"/>
                <w:noProof/>
                <w:color w:val="000000" w:themeColor="text1"/>
                <w:sz w:val="18"/>
              </w:rPr>
              <w:t xml:space="preserve"> wprowadza się wymóg opracowania</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yjęcia przez wszystkie gminy ogólnych planów zagospodarowania przestrzennego przekształcanych</w:t>
            </w:r>
            <w:r w:rsidR="00A33B9F" w:rsidRPr="00A33B9F">
              <w:rPr>
                <w:rFonts w:ascii="Times New Roman" w:hAnsi="Times New Roman"/>
                <w:noProof/>
                <w:color w:val="000000" w:themeColor="text1"/>
                <w:sz w:val="18"/>
              </w:rPr>
              <w:t xml:space="preserve"> w akt</w:t>
            </w:r>
            <w:r w:rsidRPr="00A33B9F">
              <w:rPr>
                <w:rFonts w:ascii="Times New Roman" w:hAnsi="Times New Roman"/>
                <w:noProof/>
                <w:color w:val="000000" w:themeColor="text1"/>
                <w:sz w:val="18"/>
              </w:rPr>
              <w:t>y prawa miejscowego, określających ogólne zasady zabudowy na obszarze gminy;</w:t>
            </w:r>
            <w:r w:rsidR="00C3621A" w:rsidRPr="00A33B9F">
              <w:rPr>
                <w:rFonts w:ascii="Times New Roman" w:hAnsi="Times New Roman"/>
                <w:noProof/>
                <w:color w:val="000000" w:themeColor="text1"/>
                <w:sz w:val="18"/>
              </w:rPr>
              <w:t xml:space="preserve"> </w:t>
            </w:r>
            <w:r w:rsidRPr="00A33B9F">
              <w:rPr>
                <w:noProof/>
              </w:rPr>
              <w:br/>
              <w:t>2)</w:t>
            </w:r>
            <w:r w:rsidRPr="00A33B9F">
              <w:rPr>
                <w:rFonts w:ascii="Times New Roman" w:hAnsi="Times New Roman"/>
                <w:noProof/>
                <w:color w:val="000000" w:themeColor="text1"/>
                <w:sz w:val="18"/>
              </w:rPr>
              <w:t xml:space="preserve"> wprowadza się wymóg zobowiązujący inwestorów do realizacji dodatkowych przedsięwzięć na rzecz gminy przy realizacji nowych projektów zabudowy</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m.in. ograniczenia rozwoju zabudowy mieszkaniowej bez wystarczającego wyposażenia</w:t>
            </w:r>
            <w:r w:rsidR="00A33B9F" w:rsidRPr="00A33B9F">
              <w:rPr>
                <w:rFonts w:ascii="Times New Roman" w:hAnsi="Times New Roman"/>
                <w:noProof/>
                <w:color w:val="000000" w:themeColor="text1"/>
                <w:sz w:val="18"/>
              </w:rPr>
              <w:t xml:space="preserve"> w usł</w:t>
            </w:r>
            <w:r w:rsidRPr="00A33B9F">
              <w:rPr>
                <w:rFonts w:ascii="Times New Roman" w:hAnsi="Times New Roman"/>
                <w:noProof/>
                <w:color w:val="000000" w:themeColor="text1"/>
                <w:sz w:val="18"/>
              </w:rPr>
              <w:t>ugi;</w:t>
            </w:r>
            <w:r w:rsidRPr="00A33B9F">
              <w:rPr>
                <w:noProof/>
              </w:rPr>
              <w:t xml:space="preserve"> </w:t>
            </w:r>
            <w:r w:rsidRPr="00A33B9F">
              <w:rPr>
                <w:noProof/>
              </w:rPr>
              <w:br/>
              <w:t>3)</w:t>
            </w:r>
            <w:r w:rsidRPr="00A33B9F">
              <w:rPr>
                <w:rFonts w:ascii="Times New Roman" w:hAnsi="Times New Roman"/>
                <w:noProof/>
                <w:color w:val="000000" w:themeColor="text1"/>
                <w:sz w:val="18"/>
              </w:rPr>
              <w:t xml:space="preserve"> określa się proces,</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którego zainteresowane strony mogą uczestniczyć</w:t>
            </w:r>
            <w:r w:rsidR="00A33B9F" w:rsidRPr="00A33B9F">
              <w:rPr>
                <w:rFonts w:ascii="Times New Roman" w:hAnsi="Times New Roman"/>
                <w:noProof/>
                <w:color w:val="000000" w:themeColor="text1"/>
                <w:sz w:val="18"/>
              </w:rPr>
              <w:t xml:space="preserve"> w opr</w:t>
            </w:r>
            <w:r w:rsidRPr="00A33B9F">
              <w:rPr>
                <w:rFonts w:ascii="Times New Roman" w:hAnsi="Times New Roman"/>
                <w:noProof/>
                <w:color w:val="000000" w:themeColor="text1"/>
                <w:sz w:val="18"/>
              </w:rPr>
              <w:t>acowywaniu strategii</w:t>
            </w:r>
            <w:r w:rsidR="00A33B9F" w:rsidRPr="00A33B9F">
              <w:rPr>
                <w:rFonts w:ascii="Times New Roman" w:hAnsi="Times New Roman"/>
                <w:noProof/>
                <w:color w:val="000000" w:themeColor="text1"/>
                <w:sz w:val="18"/>
              </w:rPr>
              <w:t xml:space="preserve"> i pla</w:t>
            </w:r>
            <w:r w:rsidRPr="00A33B9F">
              <w:rPr>
                <w:rFonts w:ascii="Times New Roman" w:hAnsi="Times New Roman"/>
                <w:noProof/>
                <w:color w:val="000000" w:themeColor="text1"/>
                <w:sz w:val="18"/>
              </w:rPr>
              <w:t>nów ogólnych</w:t>
            </w:r>
            <w:r w:rsidR="00A33B9F" w:rsidRPr="00A33B9F">
              <w:rPr>
                <w:rFonts w:ascii="Times New Roman" w:hAnsi="Times New Roman"/>
                <w:noProof/>
                <w:color w:val="000000" w:themeColor="text1"/>
                <w:sz w:val="18"/>
              </w:rPr>
              <w:t xml:space="preserve"> w gmi</w:t>
            </w:r>
            <w:r w:rsidRPr="00A33B9F">
              <w:rPr>
                <w:rFonts w:ascii="Times New Roman" w:hAnsi="Times New Roman"/>
                <w:noProof/>
                <w:color w:val="000000" w:themeColor="text1"/>
                <w:sz w:val="18"/>
              </w:rPr>
              <w:t xml:space="preserve">nach. </w:t>
            </w:r>
          </w:p>
        </w:tc>
      </w:tr>
      <w:tr w:rsidR="00A06FB8" w:rsidRPr="00A33B9F" w14:paraId="797495AD"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DF9E56" w14:textId="54B0AE75" w:rsidR="00BE1B25" w:rsidRPr="00A33B9F" w:rsidRDefault="00BE1B25" w:rsidP="00BE1B25">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A13G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036239" w14:textId="066C016C" w:rsidR="00BE1B25" w:rsidRPr="00A33B9F" w:rsidRDefault="00BE1B25" w:rsidP="00BE1B25">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A1.3.1 Wdrożenie reformy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E611D7" w14:textId="77777777" w:rsidR="00BE1B25" w:rsidRPr="00A33B9F" w:rsidRDefault="00BE1B25" w:rsidP="00BE1B25">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5A0B35" w14:textId="4C8BCEE5" w:rsidR="00BE1B25" w:rsidRPr="00A33B9F" w:rsidRDefault="00BE1B25" w:rsidP="00BE1B25">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Opublikowanie dokumentu,</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rym określono mechanizm przydziału</w:t>
            </w:r>
            <w:r w:rsidR="00A33B9F" w:rsidRPr="00A33B9F">
              <w:rPr>
                <w:rFonts w:ascii="Times New Roman" w:hAnsi="Times New Roman"/>
                <w:noProof/>
                <w:color w:val="000000" w:themeColor="text1"/>
                <w:sz w:val="18"/>
              </w:rPr>
              <w:t xml:space="preserve"> i ori</w:t>
            </w:r>
            <w:r w:rsidRPr="00A33B9F">
              <w:rPr>
                <w:rFonts w:ascii="Times New Roman" w:hAnsi="Times New Roman"/>
                <w:noProof/>
                <w:color w:val="000000" w:themeColor="text1"/>
                <w:sz w:val="18"/>
              </w:rPr>
              <w:t>entacyjną kwotę wsparcia, jakie ma zostać przyznane każdej gminie</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na wdrożenie reformy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871BC" w14:textId="2CE0D7E3" w:rsidR="00BE1B25" w:rsidRPr="00A33B9F" w:rsidRDefault="7FE92C8E" w:rsidP="7FE92C8E">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Publikacja na stronie internetowej Ministerstwa Rozwoju</w:t>
            </w:r>
            <w:r w:rsidR="00A33B9F" w:rsidRPr="00A33B9F">
              <w:rPr>
                <w:rFonts w:ascii="Times New Roman" w:hAnsi="Times New Roman"/>
                <w:noProof/>
                <w:color w:val="000000" w:themeColor="text1"/>
                <w:sz w:val="18"/>
              </w:rPr>
              <w:t xml:space="preserve"> i Tec</w:t>
            </w:r>
            <w:r w:rsidRPr="00A33B9F">
              <w:rPr>
                <w:rFonts w:ascii="Times New Roman" w:hAnsi="Times New Roman"/>
                <w:noProof/>
                <w:color w:val="000000" w:themeColor="text1"/>
                <w:sz w:val="18"/>
              </w:rPr>
              <w:t>hnologii</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A5D23" w14:textId="77777777" w:rsidR="00BE1B25" w:rsidRPr="00A33B9F" w:rsidRDefault="00BE1B25" w:rsidP="00BE1B25">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8610EB" w14:textId="77777777" w:rsidR="00BE1B25" w:rsidRPr="00A33B9F" w:rsidRDefault="00BE1B25" w:rsidP="00BE1B25">
            <w:pPr>
              <w:pStyle w:val="Normal0"/>
              <w:spacing w:line="240" w:lineRule="auto"/>
              <w:rPr>
                <w:rFonts w:ascii="Times New Roman" w:eastAsia="Times New Roman" w:hAnsi="Times New Roman" w:cs="Times New Roman"/>
                <w:noProof/>
                <w:color w:val="000000" w:themeColor="text1"/>
                <w:sz w:val="18"/>
                <w:szCs w:val="18"/>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7805D2" w14:textId="77777777" w:rsidR="00BE1B25" w:rsidRPr="00A33B9F" w:rsidRDefault="00BE1B25" w:rsidP="00BE1B25">
            <w:pPr>
              <w:pStyle w:val="Normal0"/>
              <w:spacing w:line="240" w:lineRule="auto"/>
              <w:rPr>
                <w:rFonts w:ascii="Times New Roman" w:eastAsia="Times New Roman" w:hAnsi="Times New Roman" w:cs="Times New Roman"/>
                <w:noProof/>
                <w:color w:val="000000" w:themeColor="text1"/>
                <w:sz w:val="18"/>
                <w:szCs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8B0D65" w14:textId="56A20685" w:rsidR="00BE1B25" w:rsidRPr="00A33B9F" w:rsidRDefault="48818174" w:rsidP="00BE1B25">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A538D7" w14:textId="20E103F2" w:rsidR="00BE1B25" w:rsidRPr="00A33B9F" w:rsidRDefault="48818174" w:rsidP="00BE1B25">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70B6C4" w14:textId="469F4790"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Przeprowadzenie konsultacji publicznych,</w:t>
            </w:r>
            <w:r w:rsidR="00A33B9F" w:rsidRPr="00A33B9F">
              <w:rPr>
                <w:rFonts w:ascii="Times New Roman" w:hAnsi="Times New Roman"/>
                <w:noProof/>
                <w:color w:val="000000" w:themeColor="text1"/>
                <w:sz w:val="18"/>
              </w:rPr>
              <w:t xml:space="preserve"> a nas</w:t>
            </w:r>
            <w:r w:rsidRPr="00A33B9F">
              <w:rPr>
                <w:rFonts w:ascii="Times New Roman" w:hAnsi="Times New Roman"/>
                <w:noProof/>
                <w:color w:val="000000" w:themeColor="text1"/>
                <w:sz w:val="18"/>
              </w:rPr>
              <w:t>tępnie opublikowanie dokumentu,</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rym określono mechanizm przydziału</w:t>
            </w:r>
            <w:r w:rsidR="00A33B9F" w:rsidRPr="00A33B9F">
              <w:rPr>
                <w:rFonts w:ascii="Times New Roman" w:hAnsi="Times New Roman"/>
                <w:noProof/>
                <w:color w:val="000000" w:themeColor="text1"/>
                <w:sz w:val="18"/>
              </w:rPr>
              <w:t xml:space="preserve"> i ori</w:t>
            </w:r>
            <w:r w:rsidRPr="00A33B9F">
              <w:rPr>
                <w:rFonts w:ascii="Times New Roman" w:hAnsi="Times New Roman"/>
                <w:noProof/>
                <w:color w:val="000000" w:themeColor="text1"/>
                <w:sz w:val="18"/>
              </w:rPr>
              <w:t>entacyjną kwotę wsparcia, jakie ma otrzymać każda gmina na wdrożenie reformy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rej mowa</w:t>
            </w:r>
            <w:r w:rsidR="00A33B9F" w:rsidRPr="00A33B9F">
              <w:rPr>
                <w:rFonts w:ascii="Times New Roman" w:hAnsi="Times New Roman"/>
                <w:noProof/>
                <w:color w:val="000000" w:themeColor="text1"/>
                <w:sz w:val="18"/>
              </w:rPr>
              <w:t xml:space="preserve"> w kam</w:t>
            </w:r>
            <w:r w:rsidRPr="00A33B9F">
              <w:rPr>
                <w:rFonts w:ascii="Times New Roman" w:hAnsi="Times New Roman"/>
                <w:noProof/>
                <w:color w:val="000000" w:themeColor="text1"/>
                <w:sz w:val="18"/>
              </w:rPr>
              <w:t>ieniu milowym A12G W szczególności</w:t>
            </w:r>
            <w:r w:rsidR="00A33B9F" w:rsidRPr="00A33B9F">
              <w:rPr>
                <w:rFonts w:ascii="Times New Roman" w:hAnsi="Times New Roman"/>
                <w:noProof/>
                <w:color w:val="000000" w:themeColor="text1"/>
                <w:sz w:val="18"/>
              </w:rPr>
              <w:t xml:space="preserve"> w dok</w:t>
            </w:r>
            <w:r w:rsidRPr="00A33B9F">
              <w:rPr>
                <w:rFonts w:ascii="Times New Roman" w:hAnsi="Times New Roman"/>
                <w:noProof/>
                <w:color w:val="000000" w:themeColor="text1"/>
                <w:sz w:val="18"/>
              </w:rPr>
              <w:t>umencie wskaże się kwotę wsparcia, która zostanie przyznana każdej gminie, oraz wyjaśni się, na jakiego rodzaju działania można wykorzystać to wsparcie.</w:t>
            </w:r>
          </w:p>
          <w:p w14:paraId="3B7B4B86" w14:textId="1EE42EC7"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Wszystkie gminy</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otrzymają wsparcie na wdrożenie tego działania</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kwoty wsparcia, która ma zostać przyznana każdej gminie, uwzględni się liczbę ludności</w:t>
            </w:r>
            <w:r w:rsidR="00A33B9F" w:rsidRPr="00A33B9F">
              <w:rPr>
                <w:rFonts w:ascii="Times New Roman" w:hAnsi="Times New Roman"/>
                <w:noProof/>
                <w:color w:val="000000" w:themeColor="text1"/>
                <w:sz w:val="18"/>
              </w:rPr>
              <w:t xml:space="preserve"> i wie</w:t>
            </w:r>
            <w:r w:rsidRPr="00A33B9F">
              <w:rPr>
                <w:rFonts w:ascii="Times New Roman" w:hAnsi="Times New Roman"/>
                <w:noProof/>
                <w:color w:val="000000" w:themeColor="text1"/>
                <w:sz w:val="18"/>
              </w:rPr>
              <w:t>lkość obszaru gminy (gminy</w:t>
            </w:r>
            <w:r w:rsidR="00A33B9F" w:rsidRPr="00A33B9F">
              <w:rPr>
                <w:rFonts w:ascii="Times New Roman" w:hAnsi="Times New Roman"/>
                <w:noProof/>
                <w:color w:val="000000" w:themeColor="text1"/>
                <w:sz w:val="18"/>
              </w:rPr>
              <w:t xml:space="preserve"> o wię</w:t>
            </w:r>
            <w:r w:rsidRPr="00A33B9F">
              <w:rPr>
                <w:rFonts w:ascii="Times New Roman" w:hAnsi="Times New Roman"/>
                <w:noProof/>
                <w:color w:val="000000" w:themeColor="text1"/>
                <w:sz w:val="18"/>
              </w:rPr>
              <w:t>kszej gęstości zaludnienia/gminy</w:t>
            </w:r>
            <w:r w:rsidR="00A33B9F" w:rsidRPr="00A33B9F">
              <w:rPr>
                <w:rFonts w:ascii="Times New Roman" w:hAnsi="Times New Roman"/>
                <w:noProof/>
                <w:color w:val="000000" w:themeColor="text1"/>
                <w:sz w:val="18"/>
              </w:rPr>
              <w:t xml:space="preserve"> o roz</w:t>
            </w:r>
            <w:r w:rsidRPr="00A33B9F">
              <w:rPr>
                <w:rFonts w:ascii="Times New Roman" w:hAnsi="Times New Roman"/>
                <w:noProof/>
                <w:color w:val="000000" w:themeColor="text1"/>
                <w:sz w:val="18"/>
              </w:rPr>
              <w:t>ległym obszarze otrzymują większe wsparcie), uwzględniając jednocześnie szczególne potrzeby gmin.</w:t>
            </w:r>
          </w:p>
        </w:tc>
      </w:tr>
      <w:tr w:rsidR="00A06FB8" w:rsidRPr="00A33B9F" w14:paraId="22527DB0"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F18D26" w14:textId="1546ACA9"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A14G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33D61" w14:textId="5906320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A1.3.1 Wdrożenie reformy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8566D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82841" w14:textId="597D3BAC" w:rsidR="00BE1B25" w:rsidRPr="00A33B9F" w:rsidRDefault="00BE1B25" w:rsidP="0014005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Pracownicy samorządów</w:t>
            </w:r>
            <w:r w:rsidR="00A33B9F" w:rsidRPr="00A33B9F">
              <w:rPr>
                <w:rFonts w:ascii="Times New Roman" w:hAnsi="Times New Roman"/>
                <w:noProof/>
                <w:color w:val="000000" w:themeColor="text1"/>
                <w:sz w:val="18"/>
              </w:rPr>
              <w:t xml:space="preserve"> i pla</w:t>
            </w:r>
            <w:r w:rsidRPr="00A33B9F">
              <w:rPr>
                <w:rFonts w:ascii="Times New Roman" w:hAnsi="Times New Roman"/>
                <w:noProof/>
                <w:color w:val="000000" w:themeColor="text1"/>
                <w:sz w:val="18"/>
              </w:rPr>
              <w:t>niści przestrzenni terytorialnych, którzy ukończyli szkolenie dotyczące nowej ustawy</w:t>
            </w:r>
            <w:r w:rsidR="00A33B9F" w:rsidRPr="00A33B9F">
              <w:rPr>
                <w:rFonts w:ascii="Times New Roman" w:hAnsi="Times New Roman"/>
                <w:noProof/>
                <w:color w:val="000000" w:themeColor="text1"/>
                <w:sz w:val="18"/>
              </w:rPr>
              <w:t xml:space="preserve"> o pla</w:t>
            </w:r>
            <w:r w:rsidRPr="00A33B9F">
              <w:rPr>
                <w:rFonts w:ascii="Times New Roman" w:hAnsi="Times New Roman"/>
                <w:noProof/>
                <w:color w:val="000000" w:themeColor="text1"/>
                <w:sz w:val="18"/>
              </w:rPr>
              <w:t>nowaniu przestrzennym.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02A5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24BC9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22F001"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9DDCF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850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CD073"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04FD3E"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B29A20" w14:textId="26345779" w:rsidR="00BE1B25" w:rsidRPr="00A33B9F" w:rsidRDefault="05FA2C35"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Co najmniej 850 pracowników samorządów terytorialnych oraz planistów przestrzennych ukończyło szkolenie lub studia podyplomowe dotyczące nowej ustawy</w:t>
            </w:r>
            <w:r w:rsidR="00A33B9F" w:rsidRPr="00A33B9F">
              <w:rPr>
                <w:rFonts w:ascii="Times New Roman" w:hAnsi="Times New Roman"/>
                <w:noProof/>
                <w:color w:val="000000" w:themeColor="text1"/>
                <w:sz w:val="18"/>
              </w:rPr>
              <w:t xml:space="preserve"> o pla</w:t>
            </w:r>
            <w:r w:rsidRPr="00A33B9F">
              <w:rPr>
                <w:rFonts w:ascii="Times New Roman" w:hAnsi="Times New Roman"/>
                <w:noProof/>
                <w:color w:val="000000" w:themeColor="text1"/>
                <w:sz w:val="18"/>
              </w:rPr>
              <w:t>nowaniu przestrzennym,</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rej mowa</w:t>
            </w:r>
            <w:r w:rsidR="00A33B9F" w:rsidRPr="00A33B9F">
              <w:rPr>
                <w:rFonts w:ascii="Times New Roman" w:hAnsi="Times New Roman"/>
                <w:noProof/>
                <w:color w:val="000000" w:themeColor="text1"/>
                <w:sz w:val="18"/>
              </w:rPr>
              <w:t xml:space="preserve"> w kam</w:t>
            </w:r>
            <w:r w:rsidRPr="00A33B9F">
              <w:rPr>
                <w:rFonts w:ascii="Times New Roman" w:hAnsi="Times New Roman"/>
                <w:noProof/>
                <w:color w:val="000000" w:themeColor="text1"/>
                <w:sz w:val="18"/>
              </w:rPr>
              <w:t>ieniu milowym A12G.</w:t>
            </w:r>
          </w:p>
        </w:tc>
      </w:tr>
      <w:tr w:rsidR="00A06FB8" w:rsidRPr="00A33B9F" w14:paraId="233E0710"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1E336A" w14:textId="519DBF38"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A15G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E62CEC" w14:textId="0D6FB72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A1.3.1 Wdrożenie reformy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873CF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178283" w14:textId="26A534E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Pracownicy samorządów</w:t>
            </w:r>
            <w:r w:rsidR="00A33B9F" w:rsidRPr="00A33B9F">
              <w:rPr>
                <w:rFonts w:ascii="Times New Roman" w:hAnsi="Times New Roman"/>
                <w:noProof/>
                <w:color w:val="000000" w:themeColor="text1"/>
                <w:sz w:val="18"/>
              </w:rPr>
              <w:t xml:space="preserve"> i pla</w:t>
            </w:r>
            <w:r w:rsidRPr="00A33B9F">
              <w:rPr>
                <w:rFonts w:ascii="Times New Roman" w:hAnsi="Times New Roman"/>
                <w:noProof/>
                <w:color w:val="000000" w:themeColor="text1"/>
                <w:sz w:val="18"/>
              </w:rPr>
              <w:t>niści przestrzenni terytorialnych, którzy ukończyli szkolenie dotyczące nowej ustawy</w:t>
            </w:r>
            <w:r w:rsidR="00A33B9F" w:rsidRPr="00A33B9F">
              <w:rPr>
                <w:rFonts w:ascii="Times New Roman" w:hAnsi="Times New Roman"/>
                <w:noProof/>
                <w:color w:val="000000" w:themeColor="text1"/>
                <w:sz w:val="18"/>
              </w:rPr>
              <w:t xml:space="preserve"> o pla</w:t>
            </w:r>
            <w:r w:rsidRPr="00A33B9F">
              <w:rPr>
                <w:rFonts w:ascii="Times New Roman" w:hAnsi="Times New Roman"/>
                <w:noProof/>
                <w:color w:val="000000" w:themeColor="text1"/>
                <w:sz w:val="18"/>
              </w:rPr>
              <w:t>nowaniu przestrzennym.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BAF0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2BBB6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600D04"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850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C896E8" w14:textId="13E5D419"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1 700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86818B"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69B85"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A57601" w14:textId="01FF5210" w:rsidR="00BE1B25" w:rsidRPr="00A33B9F" w:rsidRDefault="05FA2C35"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Co najmniej 1 700 pracowników samorządów terytorialnych oraz planistów przestrzennych ukończyło szkolenie lub studia podyplomowe dotyczące nowej ustawy</w:t>
            </w:r>
            <w:r w:rsidR="00A33B9F" w:rsidRPr="00A33B9F">
              <w:rPr>
                <w:rFonts w:ascii="Times New Roman" w:hAnsi="Times New Roman"/>
                <w:noProof/>
                <w:color w:val="000000" w:themeColor="text1"/>
                <w:sz w:val="18"/>
              </w:rPr>
              <w:t xml:space="preserve"> o pla</w:t>
            </w:r>
            <w:r w:rsidRPr="00A33B9F">
              <w:rPr>
                <w:rFonts w:ascii="Times New Roman" w:hAnsi="Times New Roman"/>
                <w:noProof/>
                <w:color w:val="000000" w:themeColor="text1"/>
                <w:sz w:val="18"/>
              </w:rPr>
              <w:t>nowaniu przestrzennym,</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rej mowa</w:t>
            </w:r>
            <w:r w:rsidR="00A33B9F" w:rsidRPr="00A33B9F">
              <w:rPr>
                <w:rFonts w:ascii="Times New Roman" w:hAnsi="Times New Roman"/>
                <w:noProof/>
                <w:color w:val="000000" w:themeColor="text1"/>
                <w:sz w:val="18"/>
              </w:rPr>
              <w:t xml:space="preserve"> w kam</w:t>
            </w:r>
            <w:r w:rsidRPr="00A33B9F">
              <w:rPr>
                <w:rFonts w:ascii="Times New Roman" w:hAnsi="Times New Roman"/>
                <w:noProof/>
                <w:color w:val="000000" w:themeColor="text1"/>
                <w:sz w:val="18"/>
              </w:rPr>
              <w:t>ieniu milowym A12G.</w:t>
            </w:r>
          </w:p>
        </w:tc>
      </w:tr>
      <w:tr w:rsidR="00A06FB8" w:rsidRPr="00A33B9F" w14:paraId="07B6E8D5" w14:textId="77777777" w:rsidTr="3FFE86F7">
        <w:trPr>
          <w:trHeight w:val="786"/>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502F61" w14:textId="7828E305"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A16G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36861D" w14:textId="1EE8AE6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A1.3.1 Wdrożenie reformy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C3D356" w14:textId="4F288A6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8F6B0D" w14:textId="73611668" w:rsidR="00BE1B25" w:rsidRPr="00A33B9F"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Odsetek gmin, które przyjęły ogólne plany zagospodarowania przestrzennego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0A9F4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8D1A31" w14:textId="6EA57629" w:rsidR="00BE1B25" w:rsidRPr="00A33B9F" w:rsidRDefault="00C6157F"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(procent)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32BADF" w14:textId="2CC93140"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B428" w14:textId="17222EB8" w:rsidR="00BE1B25" w:rsidRPr="00A33B9F" w:rsidRDefault="6340D16A"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0756C0" w14:textId="3759D595"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97ACAA" w14:textId="57C2351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C7AFFB" w14:textId="3E7D018D" w:rsidR="00BE1B25" w:rsidRPr="00A33B9F" w:rsidRDefault="42A0F06B"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10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gmin opracowało</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yjęło ogólny plan zagospodarowania przestrzennego, zgodnie</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ogiem określonym</w:t>
            </w:r>
            <w:r w:rsidR="00A33B9F" w:rsidRPr="00A33B9F">
              <w:rPr>
                <w:rFonts w:ascii="Times New Roman" w:hAnsi="Times New Roman"/>
                <w:noProof/>
                <w:color w:val="000000" w:themeColor="text1"/>
                <w:sz w:val="18"/>
              </w:rPr>
              <w:t xml:space="preserve"> w now</w:t>
            </w:r>
            <w:r w:rsidRPr="00A33B9F">
              <w:rPr>
                <w:rFonts w:ascii="Times New Roman" w:hAnsi="Times New Roman"/>
                <w:noProof/>
                <w:color w:val="000000" w:themeColor="text1"/>
                <w:sz w:val="18"/>
              </w:rPr>
              <w:t>ej ustawie,</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rej mowa</w:t>
            </w:r>
            <w:r w:rsidR="00A33B9F" w:rsidRPr="00A33B9F">
              <w:rPr>
                <w:rFonts w:ascii="Times New Roman" w:hAnsi="Times New Roman"/>
                <w:noProof/>
                <w:color w:val="000000" w:themeColor="text1"/>
                <w:sz w:val="18"/>
              </w:rPr>
              <w:t xml:space="preserve"> w kam</w:t>
            </w:r>
            <w:r w:rsidRPr="00A33B9F">
              <w:rPr>
                <w:rFonts w:ascii="Times New Roman" w:hAnsi="Times New Roman"/>
                <w:noProof/>
                <w:color w:val="000000" w:themeColor="text1"/>
                <w:sz w:val="18"/>
              </w:rPr>
              <w:t>ieniu milowym A12G.</w:t>
            </w:r>
          </w:p>
        </w:tc>
      </w:tr>
      <w:tr w:rsidR="00A06FB8" w:rsidRPr="00A33B9F" w14:paraId="710E0C51"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B77162" w14:textId="2A15C7B4"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A17G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57EC3" w14:textId="1E38615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A1.3.1 Wdrożenie reformy planowania</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ospodarowania przestrzennego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5CF317" w14:textId="7BBA755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E69F42" w14:textId="715E9894" w:rsidR="00BE1B25" w:rsidRPr="00A33B9F"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Odsetek gmin, które przyjęły ogólne plany zagospodarowania przestrzennego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78820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20A188" w14:textId="551068AA" w:rsidR="00BE1B25" w:rsidRPr="00A33B9F" w:rsidRDefault="00C6157F"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(procent)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E19C39" w14:textId="3AB740B8" w:rsidR="00BE1B25" w:rsidRPr="00A33B9F" w:rsidRDefault="130702A5" w:rsidP="0A6A8AC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330AEE" w14:textId="4661FF7E" w:rsidR="00BE1B25" w:rsidRPr="00A33B9F" w:rsidRDefault="75A33BB1" w:rsidP="4220C7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80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37063C" w14:textId="40977AD9"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F6E0FE" w14:textId="22B4B2F4"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26F21" w14:textId="39BE8665" w:rsidR="00BE1B25" w:rsidRPr="00A33B9F" w:rsidRDefault="6C4D44FD" w:rsidP="4220C7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80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gmin opracowało</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yjęło ogólny plan zagospodarowania przestrzennego, zgodnie</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ogiem określonym</w:t>
            </w:r>
            <w:r w:rsidR="00A33B9F" w:rsidRPr="00A33B9F">
              <w:rPr>
                <w:rFonts w:ascii="Times New Roman" w:hAnsi="Times New Roman"/>
                <w:noProof/>
                <w:color w:val="000000" w:themeColor="text1"/>
                <w:sz w:val="18"/>
              </w:rPr>
              <w:t xml:space="preserve"> w now</w:t>
            </w:r>
            <w:r w:rsidRPr="00A33B9F">
              <w:rPr>
                <w:rFonts w:ascii="Times New Roman" w:hAnsi="Times New Roman"/>
                <w:noProof/>
                <w:color w:val="000000" w:themeColor="text1"/>
                <w:sz w:val="18"/>
              </w:rPr>
              <w:t>ej ustawie,</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rej mowa</w:t>
            </w:r>
            <w:r w:rsidR="00A33B9F" w:rsidRPr="00A33B9F">
              <w:rPr>
                <w:rFonts w:ascii="Times New Roman" w:hAnsi="Times New Roman"/>
                <w:noProof/>
                <w:color w:val="000000" w:themeColor="text1"/>
                <w:sz w:val="18"/>
              </w:rPr>
              <w:t xml:space="preserve"> w kam</w:t>
            </w:r>
            <w:r w:rsidRPr="00A33B9F">
              <w:rPr>
                <w:rFonts w:ascii="Times New Roman" w:hAnsi="Times New Roman"/>
                <w:noProof/>
                <w:color w:val="000000" w:themeColor="text1"/>
                <w:sz w:val="18"/>
              </w:rPr>
              <w:t>ieniu milowym A12G.</w:t>
            </w:r>
          </w:p>
        </w:tc>
      </w:tr>
      <w:tr w:rsidR="00A06FB8" w:rsidRPr="00A33B9F" w14:paraId="35E6BF2C"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1B77A1" w14:textId="2BBDA42E"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A18G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4D0D73" w14:textId="0179815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 Reforma na rzecz poprawienia warunków konkurencyjności</w:t>
            </w:r>
            <w:r w:rsidR="00A33B9F" w:rsidRPr="00A33B9F">
              <w:rPr>
                <w:rFonts w:ascii="Times New Roman" w:hAnsi="Times New Roman"/>
                <w:noProof/>
                <w:color w:val="000000"/>
                <w:sz w:val="18"/>
              </w:rPr>
              <w:t xml:space="preserve"> i och</w:t>
            </w:r>
            <w:r w:rsidRPr="00A33B9F">
              <w:rPr>
                <w:rFonts w:ascii="Times New Roman" w:hAnsi="Times New Roman"/>
                <w:noProof/>
                <w:color w:val="000000"/>
                <w:sz w:val="18"/>
              </w:rPr>
              <w:t>rony producentów/konsumentów</w:t>
            </w:r>
            <w:r w:rsidR="00A33B9F" w:rsidRPr="00A33B9F">
              <w:rPr>
                <w:rFonts w:ascii="Times New Roman" w:hAnsi="Times New Roman"/>
                <w:noProof/>
                <w:color w:val="000000"/>
                <w:sz w:val="18"/>
              </w:rPr>
              <w:t xml:space="preserve"> w sek</w:t>
            </w:r>
            <w:r w:rsidRPr="00A33B9F">
              <w:rPr>
                <w:rFonts w:ascii="Times New Roman" w:hAnsi="Times New Roman"/>
                <w:noProof/>
                <w:color w:val="000000"/>
                <w:sz w:val="18"/>
              </w:rPr>
              <w:t xml:space="preserve">torze rolnym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F925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7788BB" w14:textId="7989D6E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nowej ustawy</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eciwdziałaniu nieuczciwemu wykorzystywaniu przewagi kontraktowej</w:t>
            </w:r>
            <w:r w:rsidR="00A33B9F" w:rsidRPr="00A33B9F">
              <w:rPr>
                <w:rFonts w:ascii="Times New Roman" w:hAnsi="Times New Roman"/>
                <w:noProof/>
                <w:color w:val="000000" w:themeColor="text1"/>
                <w:sz w:val="18"/>
              </w:rPr>
              <w:t xml:space="preserve"> w obr</w:t>
            </w:r>
            <w:r w:rsidRPr="00A33B9F">
              <w:rPr>
                <w:rFonts w:ascii="Times New Roman" w:hAnsi="Times New Roman"/>
                <w:noProof/>
                <w:color w:val="000000" w:themeColor="text1"/>
                <w:sz w:val="18"/>
              </w:rPr>
              <w:t>ocie produktami rolnymi</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żywczymi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8527F" w14:textId="1F60FEE2"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now</w:t>
            </w:r>
            <w:r w:rsidRPr="00A33B9F">
              <w:rPr>
                <w:rFonts w:ascii="Times New Roman" w:hAnsi="Times New Roman"/>
                <w:noProof/>
                <w:color w:val="000000" w:themeColor="text1"/>
                <w:sz w:val="18"/>
              </w:rPr>
              <w:t>ej ustawie</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eciwdziałaniu nieuczciwemu wykorzystywaniu przewagi kontraktowej</w:t>
            </w:r>
            <w:r w:rsidR="00A33B9F" w:rsidRPr="00A33B9F">
              <w:rPr>
                <w:rFonts w:ascii="Times New Roman" w:hAnsi="Times New Roman"/>
                <w:noProof/>
                <w:color w:val="000000" w:themeColor="text1"/>
                <w:sz w:val="18"/>
              </w:rPr>
              <w:t xml:space="preserve"> w obr</w:t>
            </w:r>
            <w:r w:rsidRPr="00A33B9F">
              <w:rPr>
                <w:rFonts w:ascii="Times New Roman" w:hAnsi="Times New Roman"/>
                <w:noProof/>
                <w:color w:val="000000" w:themeColor="text1"/>
                <w:sz w:val="18"/>
              </w:rPr>
              <w:t>ocie produktami rolnymi</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żywczymi wskazujący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7717C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9A23A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536B0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D34D64"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D6423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3FCC4E" w14:textId="506B5013" w:rsidR="00BE1B25" w:rsidRPr="00A33B9F" w:rsidRDefault="00BE1B25" w:rsidP="00BE1B25">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 przeprowadzeniu konsultacji publicznych wejście</w:t>
            </w:r>
            <w:r w:rsidR="00A33B9F" w:rsidRPr="00A33B9F">
              <w:rPr>
                <w:rFonts w:ascii="Times New Roman" w:hAnsi="Times New Roman"/>
                <w:noProof/>
                <w:sz w:val="18"/>
              </w:rPr>
              <w:t xml:space="preserve"> w życ</w:t>
            </w:r>
            <w:r w:rsidRPr="00A33B9F">
              <w:rPr>
                <w:rFonts w:ascii="Times New Roman" w:hAnsi="Times New Roman"/>
                <w:noProof/>
                <w:sz w:val="18"/>
              </w:rPr>
              <w:t>ie nowej ustawy</w:t>
            </w:r>
            <w:r w:rsidR="00A33B9F" w:rsidRPr="00A33B9F">
              <w:rPr>
                <w:rFonts w:ascii="Times New Roman" w:hAnsi="Times New Roman"/>
                <w:noProof/>
                <w:sz w:val="18"/>
              </w:rPr>
              <w:t xml:space="preserve"> o prz</w:t>
            </w:r>
            <w:r w:rsidRPr="00A33B9F">
              <w:rPr>
                <w:rFonts w:ascii="Times New Roman" w:hAnsi="Times New Roman"/>
                <w:noProof/>
                <w:sz w:val="18"/>
              </w:rPr>
              <w:t>eciwdziałaniu nieuczciwemu wykorzystywaniu przewagi kontraktowej</w:t>
            </w:r>
            <w:r w:rsidR="00A33B9F" w:rsidRPr="00A33B9F">
              <w:rPr>
                <w:rFonts w:ascii="Times New Roman" w:hAnsi="Times New Roman"/>
                <w:noProof/>
                <w:sz w:val="18"/>
              </w:rPr>
              <w:t xml:space="preserve"> w obr</w:t>
            </w:r>
            <w:r w:rsidRPr="00A33B9F">
              <w:rPr>
                <w:rFonts w:ascii="Times New Roman" w:hAnsi="Times New Roman"/>
                <w:noProof/>
                <w:sz w:val="18"/>
              </w:rPr>
              <w:t>ocie produktami rolnymi</w:t>
            </w:r>
            <w:r w:rsidR="00A33B9F" w:rsidRPr="00A33B9F">
              <w:rPr>
                <w:rFonts w:ascii="Times New Roman" w:hAnsi="Times New Roman"/>
                <w:noProof/>
                <w:sz w:val="18"/>
              </w:rPr>
              <w:t xml:space="preserve"> i spo</w:t>
            </w:r>
            <w:r w:rsidRPr="00A33B9F">
              <w:rPr>
                <w:rFonts w:ascii="Times New Roman" w:hAnsi="Times New Roman"/>
                <w:noProof/>
                <w:sz w:val="18"/>
              </w:rPr>
              <w:t>żywczymi, na podstawie której:</w:t>
            </w:r>
            <w:r w:rsidR="00C3621A" w:rsidRPr="00A33B9F">
              <w:rPr>
                <w:rFonts w:ascii="Times New Roman" w:hAnsi="Times New Roman"/>
                <w:noProof/>
                <w:sz w:val="18"/>
              </w:rPr>
              <w:t xml:space="preserve"> </w:t>
            </w:r>
            <w:r w:rsidRPr="00A33B9F">
              <w:rPr>
                <w:noProof/>
              </w:rPr>
              <w:br/>
            </w:r>
            <w:r w:rsidRPr="00A33B9F">
              <w:rPr>
                <w:rFonts w:ascii="Times New Roman" w:hAnsi="Times New Roman"/>
                <w:noProof/>
                <w:sz w:val="18"/>
              </w:rPr>
              <w:t xml:space="preserve"> 1) zapewniono podstawę dla lepszego funkcjonowania łańcucha dostaw żywności</w:t>
            </w:r>
            <w:r w:rsidR="00A33B9F" w:rsidRPr="00A33B9F">
              <w:rPr>
                <w:rFonts w:ascii="Times New Roman" w:hAnsi="Times New Roman"/>
                <w:noProof/>
                <w:sz w:val="18"/>
              </w:rPr>
              <w:t xml:space="preserve"> i zat</w:t>
            </w:r>
            <w:r w:rsidRPr="00A33B9F">
              <w:rPr>
                <w:rFonts w:ascii="Times New Roman" w:hAnsi="Times New Roman"/>
                <w:noProof/>
                <w:sz w:val="18"/>
              </w:rPr>
              <w:t>wierdzono zbiór zasad dotyczących dobrych praktyk</w:t>
            </w:r>
            <w:r w:rsidR="00A33B9F" w:rsidRPr="00A33B9F">
              <w:rPr>
                <w:rFonts w:ascii="Times New Roman" w:hAnsi="Times New Roman"/>
                <w:noProof/>
                <w:sz w:val="18"/>
              </w:rPr>
              <w:t xml:space="preserve"> w zak</w:t>
            </w:r>
            <w:r w:rsidRPr="00A33B9F">
              <w:rPr>
                <w:rFonts w:ascii="Times New Roman" w:hAnsi="Times New Roman"/>
                <w:noProof/>
                <w:sz w:val="18"/>
              </w:rPr>
              <w:t>resie relacji pionowych</w:t>
            </w:r>
            <w:r w:rsidR="00A33B9F" w:rsidRPr="00A33B9F">
              <w:rPr>
                <w:rFonts w:ascii="Times New Roman" w:hAnsi="Times New Roman"/>
                <w:noProof/>
                <w:sz w:val="18"/>
              </w:rPr>
              <w:t xml:space="preserve"> w łań</w:t>
            </w:r>
            <w:r w:rsidRPr="00A33B9F">
              <w:rPr>
                <w:rFonts w:ascii="Times New Roman" w:hAnsi="Times New Roman"/>
                <w:noProof/>
                <w:sz w:val="18"/>
              </w:rPr>
              <w:t>cuchu dostaw żywności,</w:t>
            </w:r>
            <w:r w:rsidR="00A33B9F" w:rsidRPr="00A33B9F">
              <w:rPr>
                <w:rFonts w:ascii="Times New Roman" w:hAnsi="Times New Roman"/>
                <w:noProof/>
                <w:sz w:val="18"/>
              </w:rPr>
              <w:t xml:space="preserve"> a tak</w:t>
            </w:r>
            <w:r w:rsidRPr="00A33B9F">
              <w:rPr>
                <w:rFonts w:ascii="Times New Roman" w:hAnsi="Times New Roman"/>
                <w:noProof/>
                <w:sz w:val="18"/>
              </w:rPr>
              <w:t>że zagwarantowano minimalną harmonizację norm,</w:t>
            </w:r>
            <w:r w:rsidR="00A33B9F" w:rsidRPr="00A33B9F">
              <w:rPr>
                <w:rFonts w:ascii="Times New Roman" w:hAnsi="Times New Roman"/>
                <w:noProof/>
                <w:sz w:val="18"/>
              </w:rPr>
              <w:t xml:space="preserve"> o któ</w:t>
            </w:r>
            <w:r w:rsidRPr="00A33B9F">
              <w:rPr>
                <w:rFonts w:ascii="Times New Roman" w:hAnsi="Times New Roman"/>
                <w:noProof/>
                <w:sz w:val="18"/>
              </w:rPr>
              <w:t>rej mowa</w:t>
            </w:r>
            <w:r w:rsidR="00A33B9F" w:rsidRPr="00A33B9F">
              <w:rPr>
                <w:rFonts w:ascii="Times New Roman" w:hAnsi="Times New Roman"/>
                <w:noProof/>
                <w:sz w:val="18"/>
              </w:rPr>
              <w:t xml:space="preserve"> w dyr</w:t>
            </w:r>
            <w:r w:rsidRPr="00A33B9F">
              <w:rPr>
                <w:rFonts w:ascii="Times New Roman" w:hAnsi="Times New Roman"/>
                <w:noProof/>
                <w:sz w:val="18"/>
              </w:rPr>
              <w:t>ektywie (UE) 2019/633;</w:t>
            </w:r>
            <w:r w:rsidR="00C3621A" w:rsidRPr="00A33B9F">
              <w:rPr>
                <w:rFonts w:ascii="Times New Roman" w:hAnsi="Times New Roman"/>
                <w:noProof/>
                <w:sz w:val="18"/>
              </w:rPr>
              <w:t xml:space="preserve"> </w:t>
            </w:r>
            <w:r w:rsidRPr="00A33B9F">
              <w:rPr>
                <w:noProof/>
              </w:rPr>
              <w:br/>
            </w:r>
            <w:r w:rsidRPr="00A33B9F">
              <w:rPr>
                <w:rFonts w:ascii="Times New Roman" w:hAnsi="Times New Roman"/>
                <w:noProof/>
                <w:sz w:val="18"/>
              </w:rPr>
              <w:t xml:space="preserve"> 2) zapewniono ochronę wszystkich transakcji handlowych dotyczących produktów rolnych</w:t>
            </w:r>
            <w:r w:rsidR="00A33B9F" w:rsidRPr="00A33B9F">
              <w:rPr>
                <w:rFonts w:ascii="Times New Roman" w:hAnsi="Times New Roman"/>
                <w:noProof/>
                <w:sz w:val="18"/>
              </w:rPr>
              <w:t xml:space="preserve"> i spo</w:t>
            </w:r>
            <w:r w:rsidRPr="00A33B9F">
              <w:rPr>
                <w:rFonts w:ascii="Times New Roman" w:hAnsi="Times New Roman"/>
                <w:noProof/>
                <w:sz w:val="18"/>
              </w:rPr>
              <w:t>żywczych przed nieuczciwymi praktykami handlowymi;</w:t>
            </w:r>
            <w:r w:rsidR="00C3621A" w:rsidRPr="00A33B9F">
              <w:rPr>
                <w:rFonts w:ascii="Times New Roman" w:hAnsi="Times New Roman"/>
                <w:noProof/>
                <w:sz w:val="18"/>
              </w:rPr>
              <w:t xml:space="preserve"> </w:t>
            </w:r>
            <w:r w:rsidRPr="00A33B9F">
              <w:rPr>
                <w:noProof/>
              </w:rPr>
              <w:br/>
            </w:r>
            <w:r w:rsidRPr="00A33B9F">
              <w:rPr>
                <w:rFonts w:ascii="Times New Roman" w:hAnsi="Times New Roman"/>
                <w:noProof/>
                <w:sz w:val="18"/>
              </w:rPr>
              <w:t xml:space="preserve"> 3)</w:t>
            </w:r>
            <w:r w:rsidR="00A33B9F" w:rsidRPr="00A33B9F">
              <w:rPr>
                <w:rFonts w:ascii="Times New Roman" w:hAnsi="Times New Roman"/>
                <w:noProof/>
                <w:sz w:val="18"/>
              </w:rPr>
              <w:t xml:space="preserve"> i któ</w:t>
            </w:r>
            <w:r w:rsidRPr="00A33B9F">
              <w:rPr>
                <w:rFonts w:ascii="Times New Roman" w:hAnsi="Times New Roman"/>
                <w:noProof/>
                <w:sz w:val="18"/>
              </w:rPr>
              <w:t>ra wykracza poza zakres stosowania dyrektywy Parlamentu Europejskiego</w:t>
            </w:r>
            <w:r w:rsidR="00A33B9F" w:rsidRPr="00A33B9F">
              <w:rPr>
                <w:rFonts w:ascii="Times New Roman" w:hAnsi="Times New Roman"/>
                <w:noProof/>
                <w:sz w:val="18"/>
              </w:rPr>
              <w:t xml:space="preserve"> i Rad</w:t>
            </w:r>
            <w:r w:rsidRPr="00A33B9F">
              <w:rPr>
                <w:rFonts w:ascii="Times New Roman" w:hAnsi="Times New Roman"/>
                <w:noProof/>
                <w:sz w:val="18"/>
              </w:rPr>
              <w:t>y (UE) 2019/633</w:t>
            </w:r>
            <w:r w:rsidR="00A33B9F" w:rsidRPr="00A33B9F">
              <w:rPr>
                <w:rFonts w:ascii="Times New Roman" w:hAnsi="Times New Roman"/>
                <w:noProof/>
                <w:sz w:val="18"/>
              </w:rPr>
              <w:t xml:space="preserve"> z dni</w:t>
            </w:r>
            <w:r w:rsidRPr="00A33B9F">
              <w:rPr>
                <w:rFonts w:ascii="Times New Roman" w:hAnsi="Times New Roman"/>
                <w:noProof/>
                <w:sz w:val="18"/>
              </w:rPr>
              <w:t>a 17 kwietnia 2019</w:t>
            </w:r>
            <w:r w:rsidR="00A33B9F" w:rsidRPr="00A33B9F">
              <w:rPr>
                <w:rFonts w:ascii="Times New Roman" w:hAnsi="Times New Roman"/>
                <w:noProof/>
                <w:sz w:val="18"/>
              </w:rPr>
              <w:t> </w:t>
            </w:r>
            <w:r w:rsidRPr="00A33B9F">
              <w:rPr>
                <w:rFonts w:ascii="Times New Roman" w:hAnsi="Times New Roman"/>
                <w:noProof/>
                <w:sz w:val="18"/>
              </w:rPr>
              <w:t>r.</w:t>
            </w:r>
            <w:r w:rsidR="00A33B9F" w:rsidRPr="00A33B9F">
              <w:rPr>
                <w:rFonts w:ascii="Times New Roman" w:hAnsi="Times New Roman"/>
                <w:noProof/>
                <w:sz w:val="18"/>
              </w:rPr>
              <w:t xml:space="preserve"> w spr</w:t>
            </w:r>
            <w:r w:rsidRPr="00A33B9F">
              <w:rPr>
                <w:rFonts w:ascii="Times New Roman" w:hAnsi="Times New Roman"/>
                <w:noProof/>
                <w:sz w:val="18"/>
              </w:rPr>
              <w:t>awie nieuczciwych praktyk handlowych</w:t>
            </w:r>
            <w:r w:rsidR="00A33B9F" w:rsidRPr="00A33B9F">
              <w:rPr>
                <w:rFonts w:ascii="Times New Roman" w:hAnsi="Times New Roman"/>
                <w:noProof/>
                <w:sz w:val="18"/>
              </w:rPr>
              <w:t xml:space="preserve"> w rel</w:t>
            </w:r>
            <w:r w:rsidRPr="00A33B9F">
              <w:rPr>
                <w:rFonts w:ascii="Times New Roman" w:hAnsi="Times New Roman"/>
                <w:noProof/>
                <w:sz w:val="18"/>
              </w:rPr>
              <w:t>acjach między przedsiębiorcami</w:t>
            </w:r>
            <w:r w:rsidR="00A33B9F" w:rsidRPr="00A33B9F">
              <w:rPr>
                <w:rFonts w:ascii="Times New Roman" w:hAnsi="Times New Roman"/>
                <w:noProof/>
                <w:sz w:val="18"/>
              </w:rPr>
              <w:t xml:space="preserve"> w łań</w:t>
            </w:r>
            <w:r w:rsidRPr="00A33B9F">
              <w:rPr>
                <w:rFonts w:ascii="Times New Roman" w:hAnsi="Times New Roman"/>
                <w:noProof/>
                <w:sz w:val="18"/>
              </w:rPr>
              <w:t>cuchu dostaw produktów rolnych</w:t>
            </w:r>
            <w:r w:rsidR="00A33B9F" w:rsidRPr="00A33B9F">
              <w:rPr>
                <w:rFonts w:ascii="Times New Roman" w:hAnsi="Times New Roman"/>
                <w:noProof/>
                <w:sz w:val="18"/>
              </w:rPr>
              <w:t xml:space="preserve"> i spo</w:t>
            </w:r>
            <w:r w:rsidRPr="00A33B9F">
              <w:rPr>
                <w:rFonts w:ascii="Times New Roman" w:hAnsi="Times New Roman"/>
                <w:noProof/>
                <w:sz w:val="18"/>
              </w:rPr>
              <w:t>żywczych.</w:t>
            </w:r>
            <w:r w:rsidR="00C3621A" w:rsidRPr="00A33B9F">
              <w:rPr>
                <w:rFonts w:ascii="Times New Roman" w:hAnsi="Times New Roman"/>
                <w:noProof/>
                <w:sz w:val="18"/>
              </w:rPr>
              <w:t xml:space="preserve"> </w:t>
            </w:r>
            <w:r w:rsidRPr="00A33B9F">
              <w:rPr>
                <w:noProof/>
              </w:rPr>
              <w:br/>
            </w:r>
            <w:r w:rsidRPr="00A33B9F">
              <w:rPr>
                <w:rFonts w:ascii="Times New Roman" w:hAnsi="Times New Roman"/>
                <w:noProof/>
                <w:sz w:val="18"/>
              </w:rPr>
              <w:t>Ustawa ta wykracza poza zakres stosowania dyrektywy</w:t>
            </w:r>
            <w:r w:rsidR="00A33B9F" w:rsidRPr="00A33B9F">
              <w:rPr>
                <w:rFonts w:ascii="Times New Roman" w:hAnsi="Times New Roman"/>
                <w:noProof/>
                <w:sz w:val="18"/>
              </w:rPr>
              <w:t xml:space="preserve"> w spr</w:t>
            </w:r>
            <w:r w:rsidRPr="00A33B9F">
              <w:rPr>
                <w:rFonts w:ascii="Times New Roman" w:hAnsi="Times New Roman"/>
                <w:noProof/>
                <w:sz w:val="18"/>
              </w:rPr>
              <w:t>awie nieuczciwych praktyk handlowych</w:t>
            </w:r>
            <w:r w:rsidR="00A33B9F" w:rsidRPr="00A33B9F">
              <w:rPr>
                <w:rFonts w:ascii="Times New Roman" w:hAnsi="Times New Roman"/>
                <w:noProof/>
                <w:sz w:val="18"/>
              </w:rPr>
              <w:t xml:space="preserve"> w nas</w:t>
            </w:r>
            <w:r w:rsidRPr="00A33B9F">
              <w:rPr>
                <w:rFonts w:ascii="Times New Roman" w:hAnsi="Times New Roman"/>
                <w:noProof/>
                <w:sz w:val="18"/>
              </w:rPr>
              <w:t>tępujący sposób:</w:t>
            </w:r>
            <w:r w:rsidR="00C3621A" w:rsidRPr="00A33B9F">
              <w:rPr>
                <w:rFonts w:ascii="Times New Roman" w:hAnsi="Times New Roman"/>
                <w:noProof/>
                <w:sz w:val="18"/>
              </w:rPr>
              <w:t xml:space="preserve"> </w:t>
            </w:r>
            <w:r w:rsidRPr="00A33B9F">
              <w:rPr>
                <w:noProof/>
              </w:rPr>
              <w:br/>
            </w:r>
            <w:r w:rsidRPr="00A33B9F">
              <w:rPr>
                <w:rFonts w:ascii="Times New Roman" w:hAnsi="Times New Roman"/>
                <w:noProof/>
                <w:sz w:val="18"/>
              </w:rPr>
              <w:t>a)</w:t>
            </w:r>
            <w:r w:rsidR="00A33B9F" w:rsidRPr="00A33B9F">
              <w:rPr>
                <w:rFonts w:ascii="Times New Roman" w:hAnsi="Times New Roman"/>
                <w:noProof/>
                <w:sz w:val="18"/>
              </w:rPr>
              <w:t xml:space="preserve"> o ile</w:t>
            </w:r>
            <w:r w:rsidRPr="00A33B9F">
              <w:rPr>
                <w:rFonts w:ascii="Times New Roman" w:hAnsi="Times New Roman"/>
                <w:noProof/>
                <w:sz w:val="18"/>
              </w:rPr>
              <w:t xml:space="preserve"> dyrektywa zawiera jedynie zamknięty wykaz nieuczciwych praktyk handlowych,</w:t>
            </w:r>
            <w:r w:rsidR="00A33B9F" w:rsidRPr="00A33B9F">
              <w:rPr>
                <w:rFonts w:ascii="Times New Roman" w:hAnsi="Times New Roman"/>
                <w:noProof/>
                <w:sz w:val="18"/>
              </w:rPr>
              <w:t xml:space="preserve"> w now</w:t>
            </w:r>
            <w:r w:rsidRPr="00A33B9F">
              <w:rPr>
                <w:rFonts w:ascii="Times New Roman" w:hAnsi="Times New Roman"/>
                <w:noProof/>
                <w:sz w:val="18"/>
              </w:rPr>
              <w:t>ej ustawie – oprócz tego wykazu – wprowadza się otwartą definicję nieuczciwych praktyk handlowych</w:t>
            </w:r>
            <w:r w:rsidR="00A33B9F" w:rsidRPr="00A33B9F">
              <w:rPr>
                <w:rFonts w:ascii="Times New Roman" w:hAnsi="Times New Roman"/>
                <w:noProof/>
                <w:sz w:val="18"/>
              </w:rPr>
              <w:t>. W szc</w:t>
            </w:r>
            <w:r w:rsidRPr="00A33B9F">
              <w:rPr>
                <w:rFonts w:ascii="Times New Roman" w:hAnsi="Times New Roman"/>
                <w:noProof/>
                <w:sz w:val="18"/>
              </w:rPr>
              <w:t>zególności Urząd Ochrony Konkurencji</w:t>
            </w:r>
            <w:r w:rsidR="00A33B9F" w:rsidRPr="00A33B9F">
              <w:rPr>
                <w:rFonts w:ascii="Times New Roman" w:hAnsi="Times New Roman"/>
                <w:noProof/>
                <w:sz w:val="18"/>
              </w:rPr>
              <w:t xml:space="preserve"> i Kon</w:t>
            </w:r>
            <w:r w:rsidRPr="00A33B9F">
              <w:rPr>
                <w:rFonts w:ascii="Times New Roman" w:hAnsi="Times New Roman"/>
                <w:noProof/>
                <w:sz w:val="18"/>
              </w:rPr>
              <w:t>sumentów (UOKiK) uznaje takie dodatkowe praktyki handlowe za nieuczciwe, jeżeli (i) są one niezgodne</w:t>
            </w:r>
            <w:r w:rsidR="00A33B9F" w:rsidRPr="00A33B9F">
              <w:rPr>
                <w:rFonts w:ascii="Times New Roman" w:hAnsi="Times New Roman"/>
                <w:noProof/>
                <w:sz w:val="18"/>
              </w:rPr>
              <w:t xml:space="preserve"> z wym</w:t>
            </w:r>
            <w:r w:rsidRPr="00A33B9F">
              <w:rPr>
                <w:rFonts w:ascii="Times New Roman" w:hAnsi="Times New Roman"/>
                <w:noProof/>
                <w:sz w:val="18"/>
              </w:rPr>
              <w:t>ogami dobrych praktyk handlowych (ii)</w:t>
            </w:r>
            <w:r w:rsidR="00A33B9F" w:rsidRPr="00A33B9F">
              <w:rPr>
                <w:rFonts w:ascii="Times New Roman" w:hAnsi="Times New Roman"/>
                <w:noProof/>
                <w:sz w:val="18"/>
              </w:rPr>
              <w:t xml:space="preserve"> i w ist</w:t>
            </w:r>
            <w:r w:rsidRPr="00A33B9F">
              <w:rPr>
                <w:rFonts w:ascii="Times New Roman" w:hAnsi="Times New Roman"/>
                <w:noProof/>
                <w:sz w:val="18"/>
              </w:rPr>
              <w:t xml:space="preserve">otny sposób zakłócają lub mogą zakłócić interes drugiej strony umowy; </w:t>
            </w:r>
          </w:p>
          <w:p w14:paraId="766BBF65" w14:textId="487B50E2" w:rsidR="00BE1B25" w:rsidRPr="00A33B9F" w:rsidRDefault="00BE1B25" w:rsidP="00BE1B25">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b)</w:t>
            </w:r>
            <w:r w:rsidR="00A33B9F" w:rsidRPr="00A33B9F">
              <w:rPr>
                <w:rFonts w:ascii="Times New Roman" w:hAnsi="Times New Roman"/>
                <w:noProof/>
                <w:sz w:val="18"/>
              </w:rPr>
              <w:t xml:space="preserve"> o ile w dyr</w:t>
            </w:r>
            <w:r w:rsidRPr="00A33B9F">
              <w:rPr>
                <w:rFonts w:ascii="Times New Roman" w:hAnsi="Times New Roman"/>
                <w:noProof/>
                <w:sz w:val="18"/>
              </w:rPr>
              <w:t>ektywie przewidziano jedynie ochronę dostawców produktów rolnych</w:t>
            </w:r>
            <w:r w:rsidR="00A33B9F" w:rsidRPr="00A33B9F">
              <w:rPr>
                <w:rFonts w:ascii="Times New Roman" w:hAnsi="Times New Roman"/>
                <w:noProof/>
                <w:sz w:val="18"/>
              </w:rPr>
              <w:t xml:space="preserve"> i spo</w:t>
            </w:r>
            <w:r w:rsidRPr="00A33B9F">
              <w:rPr>
                <w:rFonts w:ascii="Times New Roman" w:hAnsi="Times New Roman"/>
                <w:noProof/>
                <w:sz w:val="18"/>
              </w:rPr>
              <w:t>żywczych,</w:t>
            </w:r>
            <w:r w:rsidR="00A33B9F" w:rsidRPr="00A33B9F">
              <w:rPr>
                <w:rFonts w:ascii="Times New Roman" w:hAnsi="Times New Roman"/>
                <w:noProof/>
                <w:sz w:val="18"/>
              </w:rPr>
              <w:t xml:space="preserve"> o tyl</w:t>
            </w:r>
            <w:r w:rsidRPr="00A33B9F">
              <w:rPr>
                <w:rFonts w:ascii="Times New Roman" w:hAnsi="Times New Roman"/>
                <w:noProof/>
                <w:sz w:val="18"/>
              </w:rPr>
              <w:t>e nowa ustawa zapewni ochronę wszystkich podmiotów handlowych,</w:t>
            </w:r>
            <w:r w:rsidR="00A33B9F" w:rsidRPr="00A33B9F">
              <w:rPr>
                <w:rFonts w:ascii="Times New Roman" w:hAnsi="Times New Roman"/>
                <w:noProof/>
                <w:sz w:val="18"/>
              </w:rPr>
              <w:t xml:space="preserve"> w tym</w:t>
            </w:r>
            <w:r w:rsidRPr="00A33B9F">
              <w:rPr>
                <w:rFonts w:ascii="Times New Roman" w:hAnsi="Times New Roman"/>
                <w:noProof/>
                <w:sz w:val="18"/>
              </w:rPr>
              <w:t xml:space="preserve"> nabywców produktów rolnych</w:t>
            </w:r>
            <w:r w:rsidR="00A33B9F" w:rsidRPr="00A33B9F">
              <w:rPr>
                <w:rFonts w:ascii="Times New Roman" w:hAnsi="Times New Roman"/>
                <w:noProof/>
                <w:sz w:val="18"/>
              </w:rPr>
              <w:t xml:space="preserve"> i spo</w:t>
            </w:r>
            <w:r w:rsidRPr="00A33B9F">
              <w:rPr>
                <w:rFonts w:ascii="Times New Roman" w:hAnsi="Times New Roman"/>
                <w:noProof/>
                <w:sz w:val="18"/>
              </w:rPr>
              <w:t xml:space="preserve">żywczych. </w:t>
            </w:r>
          </w:p>
          <w:p w14:paraId="7B5ABDAF" w14:textId="5F4E080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Reforma umożliwia Urzędowi Ochrony Konkurencji</w:t>
            </w:r>
            <w:r w:rsidR="00A33B9F" w:rsidRPr="00A33B9F">
              <w:rPr>
                <w:rFonts w:ascii="Times New Roman" w:hAnsi="Times New Roman"/>
                <w:noProof/>
                <w:color w:val="000000"/>
                <w:sz w:val="18"/>
              </w:rPr>
              <w:t xml:space="preserve"> i Kon</w:t>
            </w:r>
            <w:r w:rsidRPr="00A33B9F">
              <w:rPr>
                <w:rFonts w:ascii="Times New Roman" w:hAnsi="Times New Roman"/>
                <w:noProof/>
                <w:color w:val="000000"/>
                <w:sz w:val="18"/>
              </w:rPr>
              <w:t xml:space="preserve">sumentów nie tylko zbadanie spraw przedłożonych przez uczestników rynku, ale również wszczęcie własnego postępowania przygotowawczego. </w:t>
            </w:r>
          </w:p>
        </w:tc>
      </w:tr>
      <w:tr w:rsidR="00A06FB8" w:rsidRPr="00A33B9F" w14:paraId="376BE365"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6D80A2" w14:textId="25505493"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A19G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F0C8C0" w14:textId="4EEEC29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 Reforma na rzecz poprawienia warunków konkurencyjności</w:t>
            </w:r>
            <w:r w:rsidR="00A33B9F" w:rsidRPr="00A33B9F">
              <w:rPr>
                <w:rFonts w:ascii="Times New Roman" w:hAnsi="Times New Roman"/>
                <w:noProof/>
                <w:color w:val="000000"/>
                <w:sz w:val="18"/>
              </w:rPr>
              <w:t xml:space="preserve"> i och</w:t>
            </w:r>
            <w:r w:rsidRPr="00A33B9F">
              <w:rPr>
                <w:rFonts w:ascii="Times New Roman" w:hAnsi="Times New Roman"/>
                <w:noProof/>
                <w:color w:val="000000"/>
                <w:sz w:val="18"/>
              </w:rPr>
              <w:t>rony producentów/konsumentów</w:t>
            </w:r>
            <w:r w:rsidR="00A33B9F" w:rsidRPr="00A33B9F">
              <w:rPr>
                <w:rFonts w:ascii="Times New Roman" w:hAnsi="Times New Roman"/>
                <w:noProof/>
                <w:color w:val="000000"/>
                <w:sz w:val="18"/>
              </w:rPr>
              <w:t xml:space="preserve"> w sek</w:t>
            </w:r>
            <w:r w:rsidRPr="00A33B9F">
              <w:rPr>
                <w:rFonts w:ascii="Times New Roman" w:hAnsi="Times New Roman"/>
                <w:noProof/>
                <w:color w:val="000000"/>
                <w:sz w:val="18"/>
              </w:rPr>
              <w:t xml:space="preserve">torze rolnym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5670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1A4DB0" w14:textId="030FD8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Przyjęcie przeglądu śródokresowego nowej ustawy</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eciwdziałaniu nieuczciwemu wykorzystywaniu przewagi kontraktowej</w:t>
            </w:r>
            <w:r w:rsidR="00A33B9F" w:rsidRPr="00A33B9F">
              <w:rPr>
                <w:rFonts w:ascii="Times New Roman" w:hAnsi="Times New Roman"/>
                <w:noProof/>
                <w:color w:val="000000" w:themeColor="text1"/>
                <w:sz w:val="18"/>
              </w:rPr>
              <w:t xml:space="preserve"> w obr</w:t>
            </w:r>
            <w:r w:rsidRPr="00A33B9F">
              <w:rPr>
                <w:rFonts w:ascii="Times New Roman" w:hAnsi="Times New Roman"/>
                <w:noProof/>
                <w:color w:val="000000" w:themeColor="text1"/>
                <w:sz w:val="18"/>
              </w:rPr>
              <w:t>ocie produktami rolnymi</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żywczymi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0EFF1" w14:textId="4B2AAD6B"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Publikacja na stronie internetowej Urzędu Ochrony Konkurencji</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sumentów</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7A3EC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9C278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90C8A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E9D3A3"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1C751"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215B3B" w14:textId="00BCEAB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 przeglądzie zawarto ocenę, czy osiągnięte zostały cele reformy dotyczącej nieuczciwych praktyk handlowych</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rolno-spożywczym, oraz określono możliwości działania</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rozwiązania ewentualnych problemów</w:t>
            </w:r>
            <w:r w:rsidR="00A33B9F" w:rsidRPr="00A33B9F">
              <w:rPr>
                <w:rFonts w:ascii="Times New Roman" w:hAnsi="Times New Roman"/>
                <w:noProof/>
                <w:color w:val="000000" w:themeColor="text1"/>
                <w:sz w:val="18"/>
              </w:rPr>
              <w:t xml:space="preserve"> z wdr</w:t>
            </w:r>
            <w:r w:rsidRPr="00A33B9F">
              <w:rPr>
                <w:rFonts w:ascii="Times New Roman" w:hAnsi="Times New Roman"/>
                <w:noProof/>
                <w:color w:val="000000" w:themeColor="text1"/>
                <w:sz w:val="18"/>
              </w:rPr>
              <w:t>ażaniem.</w:t>
            </w:r>
            <w:r w:rsidR="00C3621A" w:rsidRPr="00A33B9F">
              <w:rPr>
                <w:rFonts w:ascii="Times New Roman" w:hAnsi="Times New Roman"/>
                <w:noProof/>
                <w:color w:val="000000" w:themeColor="text1"/>
                <w:sz w:val="18"/>
              </w:rPr>
              <w:t xml:space="preserve"> </w:t>
            </w:r>
          </w:p>
        </w:tc>
      </w:tr>
      <w:tr w:rsidR="00A06FB8" w:rsidRPr="00A33B9F" w14:paraId="45D37336"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C88BF" w14:textId="3A11EF12" w:rsidR="00360ACF" w:rsidRPr="00A33B9F" w:rsidRDefault="00360ACF" w:rsidP="00360AC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A20G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703EB" w14:textId="774070E5"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A1.4.1 Inwestycje na rzecz dywersyfikacji</w:t>
            </w:r>
            <w:r w:rsidR="00A33B9F" w:rsidRPr="00A33B9F">
              <w:rPr>
                <w:rFonts w:ascii="Times New Roman" w:hAnsi="Times New Roman"/>
                <w:noProof/>
                <w:color w:val="000000"/>
                <w:sz w:val="18"/>
              </w:rPr>
              <w:t xml:space="preserve"> i skr</w:t>
            </w:r>
            <w:r w:rsidRPr="00A33B9F">
              <w:rPr>
                <w:rFonts w:ascii="Times New Roman" w:hAnsi="Times New Roman"/>
                <w:noProof/>
                <w:color w:val="000000"/>
                <w:sz w:val="18"/>
              </w:rPr>
              <w:t>acania łańcucha dostaw produktów rolnych</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żywczych oraz budowy odporności podmiotów uczestniczących</w:t>
            </w:r>
            <w:r w:rsidR="00A33B9F" w:rsidRPr="00A33B9F">
              <w:rPr>
                <w:rFonts w:ascii="Times New Roman" w:hAnsi="Times New Roman"/>
                <w:noProof/>
                <w:color w:val="000000"/>
                <w:sz w:val="18"/>
              </w:rPr>
              <w:t xml:space="preserve"> w łań</w:t>
            </w:r>
            <w:r w:rsidRPr="00A33B9F">
              <w:rPr>
                <w:rFonts w:ascii="Times New Roman" w:hAnsi="Times New Roman"/>
                <w:noProof/>
                <w:color w:val="000000"/>
                <w:sz w:val="18"/>
              </w:rPr>
              <w:t>cuchu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6E23DD" w14:textId="6A45228B"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2B8CB" w14:textId="5CEA7963"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Przyjęcie kryteriów kwalifikacji beneficjentów</w:t>
            </w:r>
            <w:r w:rsidR="00A33B9F" w:rsidRPr="00A33B9F">
              <w:rPr>
                <w:rFonts w:ascii="Times New Roman" w:hAnsi="Times New Roman"/>
                <w:noProof/>
                <w:color w:val="000000"/>
                <w:sz w:val="18"/>
              </w:rPr>
              <w:t xml:space="preserve"> w odn</w:t>
            </w:r>
            <w:r w:rsidRPr="00A33B9F">
              <w:rPr>
                <w:rFonts w:ascii="Times New Roman" w:hAnsi="Times New Roman"/>
                <w:noProof/>
                <w:color w:val="000000"/>
                <w:sz w:val="18"/>
              </w:rPr>
              <w:t>iesieniu do wszystkich projektów objętych zakresem tej inwestycji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57FF9D" w14:textId="4FDCBC4F"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Opublikowanie na stronie internetowej Ministerstwa Rolnictwa</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woju Wsi oraz Agencji Restrukturyzacji</w:t>
            </w:r>
            <w:r w:rsidR="00A33B9F" w:rsidRPr="00A33B9F">
              <w:rPr>
                <w:rFonts w:ascii="Times New Roman" w:hAnsi="Times New Roman"/>
                <w:noProof/>
                <w:color w:val="000000" w:themeColor="text1"/>
                <w:sz w:val="18"/>
              </w:rPr>
              <w:t xml:space="preserve"> i Mod</w:t>
            </w:r>
            <w:r w:rsidRPr="00A33B9F">
              <w:rPr>
                <w:rFonts w:ascii="Times New Roman" w:hAnsi="Times New Roman"/>
                <w:noProof/>
                <w:color w:val="000000" w:themeColor="text1"/>
                <w:sz w:val="18"/>
              </w:rPr>
              <w:t>ernizacji Rolnictwa informacji na temat przyjęcia kryteriów wyboru beneficjentów</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F608E5" w14:textId="73C32A21"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C01162" w14:textId="213429ED"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67AE6D" w14:textId="69393F57"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B4C8F" w14:textId="543FC911" w:rsidR="00360ACF" w:rsidRPr="00A33B9F" w:rsidRDefault="00360ACF" w:rsidP="00360AC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4F64C" w14:textId="2E117090" w:rsidR="00360ACF" w:rsidRPr="00A33B9F" w:rsidRDefault="00360ACF" w:rsidP="00360AC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98E44" w14:textId="77772F8C" w:rsidR="00360ACF" w:rsidRPr="00A33B9F" w:rsidRDefault="00360ACF" w:rsidP="00360A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Przyjęcie kryteriów kwalifikacji beneficjentów</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wszystkich projektów objętych zakresem tej inwestycji</w:t>
            </w:r>
            <w:r w:rsidR="00A33B9F" w:rsidRPr="00A33B9F">
              <w:rPr>
                <w:rFonts w:ascii="Times New Roman" w:hAnsi="Times New Roman"/>
                <w:noProof/>
                <w:color w:val="000000" w:themeColor="text1"/>
                <w:sz w:val="18"/>
              </w:rPr>
              <w:t xml:space="preserve"> w nas</w:t>
            </w:r>
            <w:r w:rsidRPr="00A33B9F">
              <w:rPr>
                <w:rFonts w:ascii="Times New Roman" w:hAnsi="Times New Roman"/>
                <w:noProof/>
                <w:color w:val="000000" w:themeColor="text1"/>
                <w:sz w:val="18"/>
              </w:rPr>
              <w:t>tępstwie konsultacji publicznych. Kryteria kwalifikacji są zgodne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niedyskryminacji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ejrzystości.</w:t>
            </w:r>
            <w:r w:rsidRPr="00A33B9F">
              <w:rPr>
                <w:noProof/>
              </w:rPr>
              <w:t xml:space="preserve"> </w:t>
            </w:r>
            <w:r w:rsidRPr="00A33B9F">
              <w:rPr>
                <w:noProof/>
              </w:rPr>
              <w:br/>
            </w:r>
            <w:r w:rsidRPr="00A33B9F">
              <w:rPr>
                <w:rFonts w:ascii="Times New Roman" w:hAnsi="Times New Roman"/>
                <w:noProof/>
                <w:color w:val="000000" w:themeColor="text1"/>
                <w:sz w:val="18"/>
              </w:rPr>
              <w:t>W ramach kryteriów kwalifikacji pierwszeństwo przyznaje się następującym obszarom:</w:t>
            </w:r>
            <w:r w:rsidRPr="00A33B9F">
              <w:rPr>
                <w:noProof/>
              </w:rPr>
              <w:t xml:space="preserve"> </w:t>
            </w:r>
            <w:r w:rsidRPr="00A33B9F">
              <w:rPr>
                <w:noProof/>
              </w:rPr>
              <w:br/>
            </w:r>
            <w:r w:rsidRPr="00A33B9F">
              <w:rPr>
                <w:rFonts w:ascii="Times New Roman" w:hAnsi="Times New Roman"/>
                <w:noProof/>
                <w:color w:val="000000" w:themeColor="text1"/>
                <w:sz w:val="18"/>
              </w:rPr>
              <w:t>(i) transformacji cyfrowej;</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(ii) tworzeniu miejsc pracy;</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(iii) ochronie środowiska</w:t>
            </w:r>
            <w:r w:rsidR="00A33B9F" w:rsidRPr="00A33B9F">
              <w:rPr>
                <w:rFonts w:ascii="Times New Roman" w:hAnsi="Times New Roman"/>
                <w:noProof/>
                <w:color w:val="000000" w:themeColor="text1"/>
                <w:sz w:val="18"/>
              </w:rPr>
              <w:t xml:space="preserve"> i pra</w:t>
            </w:r>
            <w:r w:rsidRPr="00A33B9F">
              <w:rPr>
                <w:rFonts w:ascii="Times New Roman" w:hAnsi="Times New Roman"/>
                <w:noProof/>
                <w:color w:val="000000" w:themeColor="text1"/>
                <w:sz w:val="18"/>
              </w:rPr>
              <w:t>ktykom</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zrównoważonej produkcji żywności;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(iv) gospodarce</w:t>
            </w:r>
            <w:r w:rsidR="00A33B9F" w:rsidRPr="00A33B9F">
              <w:rPr>
                <w:rFonts w:ascii="Times New Roman" w:hAnsi="Times New Roman"/>
                <w:noProof/>
                <w:color w:val="000000" w:themeColor="text1"/>
                <w:sz w:val="18"/>
              </w:rPr>
              <w:t xml:space="preserve"> o obi</w:t>
            </w:r>
            <w:r w:rsidRPr="00A33B9F">
              <w:rPr>
                <w:rFonts w:ascii="Times New Roman" w:hAnsi="Times New Roman"/>
                <w:noProof/>
                <w:color w:val="000000" w:themeColor="text1"/>
                <w:sz w:val="18"/>
              </w:rPr>
              <w:t>egu zamkniętym,</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działaniom związanym</w:t>
            </w:r>
            <w:r w:rsidR="00A33B9F" w:rsidRPr="00A33B9F">
              <w:rPr>
                <w:rFonts w:ascii="Times New Roman" w:hAnsi="Times New Roman"/>
                <w:noProof/>
                <w:color w:val="000000" w:themeColor="text1"/>
                <w:sz w:val="18"/>
              </w:rPr>
              <w:t xml:space="preserve"> z zap</w:t>
            </w:r>
            <w:r w:rsidRPr="00A33B9F">
              <w:rPr>
                <w:rFonts w:ascii="Times New Roman" w:hAnsi="Times New Roman"/>
                <w:noProof/>
                <w:color w:val="000000" w:themeColor="text1"/>
                <w:sz w:val="18"/>
              </w:rPr>
              <w:t>obieganiem marnotrawieniu żywności.</w:t>
            </w:r>
            <w:r w:rsidRPr="00A33B9F">
              <w:rPr>
                <w:noProof/>
              </w:rPr>
              <w:t xml:space="preserve"> </w:t>
            </w:r>
            <w:r w:rsidRPr="00A33B9F">
              <w:rPr>
                <w:noProof/>
              </w:rPr>
              <w:br/>
            </w:r>
            <w:r w:rsidRPr="00A33B9F">
              <w:rPr>
                <w:rFonts w:ascii="Times New Roman" w:hAnsi="Times New Roman"/>
                <w:noProof/>
                <w:color w:val="000000" w:themeColor="text1"/>
                <w:sz w:val="18"/>
              </w:rPr>
              <w:t>Proces składania</w:t>
            </w:r>
            <w:r w:rsidR="00A33B9F" w:rsidRPr="00A33B9F">
              <w:rPr>
                <w:rFonts w:ascii="Times New Roman" w:hAnsi="Times New Roman"/>
                <w:noProof/>
                <w:color w:val="000000" w:themeColor="text1"/>
                <w:sz w:val="18"/>
              </w:rPr>
              <w:t xml:space="preserve"> i wer</w:t>
            </w:r>
            <w:r w:rsidRPr="00A33B9F">
              <w:rPr>
                <w:rFonts w:ascii="Times New Roman" w:hAnsi="Times New Roman"/>
                <w:noProof/>
                <w:color w:val="000000" w:themeColor="text1"/>
                <w:sz w:val="18"/>
              </w:rPr>
              <w:t>yfikacji wniosków realizuje Agencja Restrukturyzacji</w:t>
            </w:r>
            <w:r w:rsidR="00A33B9F" w:rsidRPr="00A33B9F">
              <w:rPr>
                <w:rFonts w:ascii="Times New Roman" w:hAnsi="Times New Roman"/>
                <w:noProof/>
                <w:color w:val="000000" w:themeColor="text1"/>
                <w:sz w:val="18"/>
              </w:rPr>
              <w:t xml:space="preserve"> i Mod</w:t>
            </w:r>
            <w:r w:rsidRPr="00A33B9F">
              <w:rPr>
                <w:rFonts w:ascii="Times New Roman" w:hAnsi="Times New Roman"/>
                <w:noProof/>
                <w:color w:val="000000" w:themeColor="text1"/>
                <w:sz w:val="18"/>
              </w:rPr>
              <w:t>ernizacji Rolnictwa (ARiMR)</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spójności, przejrzystości</w:t>
            </w:r>
            <w:r w:rsidR="00A33B9F" w:rsidRPr="00A33B9F">
              <w:rPr>
                <w:rFonts w:ascii="Times New Roman" w:hAnsi="Times New Roman"/>
                <w:noProof/>
                <w:color w:val="000000" w:themeColor="text1"/>
                <w:sz w:val="18"/>
              </w:rPr>
              <w:t xml:space="preserve"> i zap</w:t>
            </w:r>
            <w:r w:rsidRPr="00A33B9F">
              <w:rPr>
                <w:rFonts w:ascii="Times New Roman" w:hAnsi="Times New Roman"/>
                <w:noProof/>
                <w:color w:val="000000" w:themeColor="text1"/>
                <w:sz w:val="18"/>
              </w:rPr>
              <w:t>obiegania podwójnemu finansowaniu.</w:t>
            </w:r>
          </w:p>
        </w:tc>
      </w:tr>
      <w:tr w:rsidR="00A06FB8" w:rsidRPr="00A33B9F" w14:paraId="6765AB1E" w14:textId="77777777" w:rsidTr="3FFE86F7">
        <w:trPr>
          <w:trHeight w:val="624"/>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07C906" w14:textId="6877A1A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A21G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C32C6" w14:textId="0618713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A1.4.1 Inwestycje na rzecz dywersyfikacji</w:t>
            </w:r>
            <w:r w:rsidR="00A33B9F" w:rsidRPr="00A33B9F">
              <w:rPr>
                <w:rFonts w:ascii="Times New Roman" w:hAnsi="Times New Roman"/>
                <w:noProof/>
                <w:color w:val="000000"/>
                <w:sz w:val="18"/>
              </w:rPr>
              <w:t xml:space="preserve"> i skr</w:t>
            </w:r>
            <w:r w:rsidRPr="00A33B9F">
              <w:rPr>
                <w:rFonts w:ascii="Times New Roman" w:hAnsi="Times New Roman"/>
                <w:noProof/>
                <w:color w:val="000000"/>
                <w:sz w:val="18"/>
              </w:rPr>
              <w:t>acania łańcucha dostaw produktów rolnych</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żywczych oraz budowy odporności podmiotów uczestniczących</w:t>
            </w:r>
            <w:r w:rsidR="00A33B9F" w:rsidRPr="00A33B9F">
              <w:rPr>
                <w:rFonts w:ascii="Times New Roman" w:hAnsi="Times New Roman"/>
                <w:noProof/>
                <w:color w:val="000000"/>
                <w:sz w:val="18"/>
              </w:rPr>
              <w:t xml:space="preserve"> w łań</w:t>
            </w:r>
            <w:r w:rsidRPr="00A33B9F">
              <w:rPr>
                <w:rFonts w:ascii="Times New Roman" w:hAnsi="Times New Roman"/>
                <w:noProof/>
                <w:color w:val="000000"/>
                <w:sz w:val="18"/>
              </w:rPr>
              <w:t>cuchu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28537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B60DF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Wybudowane lub zmodernizowane centra przechowalniczo-dystrybucyjne oraz zmodernizowane rynki hurtowe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AD8D1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A2992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7EFE0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9E551" w14:textId="0F62E80A" w:rsidR="00BE1B25" w:rsidRPr="00A33B9F" w:rsidRDefault="37AF6CEF" w:rsidP="6ACA42D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77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C933B"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E97451"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092807" w14:textId="310FF3C5" w:rsidR="00BE1B25" w:rsidRPr="00A33B9F" w:rsidRDefault="41C7DCD7" w:rsidP="6ACA42D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Wybudowanie lub zmodernizowanie co najmniej 77 centrów przechowalniczo-dystrybucyjnych oraz rynków hurtowych (w tym spółdzielni) Założeniem jest</w:t>
            </w:r>
            <w:r w:rsidR="00C3621A" w:rsidRPr="00A33B9F">
              <w:rPr>
                <w:rFonts w:ascii="Times New Roman" w:hAnsi="Times New Roman"/>
                <w:noProof/>
                <w:color w:val="000000" w:themeColor="text1"/>
                <w:sz w:val="18"/>
              </w:rPr>
              <w:t xml:space="preserve"> </w:t>
            </w:r>
            <w:r w:rsidRPr="00A33B9F">
              <w:rPr>
                <w:rFonts w:ascii="Times New Roman" w:hAnsi="Times New Roman"/>
                <w:noProof/>
                <w:color w:val="000000" w:themeColor="text1"/>
                <w:sz w:val="18"/>
              </w:rPr>
              <w:t>stworzenie zbioru niezależnych centrów przechowalniczo-dystrybucyjnych na szczeblu lokalnym</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zróżnicowania</w:t>
            </w:r>
            <w:r w:rsidR="00A33B9F" w:rsidRPr="00A33B9F">
              <w:rPr>
                <w:rFonts w:ascii="Times New Roman" w:hAnsi="Times New Roman"/>
                <w:noProof/>
                <w:color w:val="000000" w:themeColor="text1"/>
                <w:sz w:val="18"/>
              </w:rPr>
              <w:t xml:space="preserve"> i skr</w:t>
            </w:r>
            <w:r w:rsidRPr="00A33B9F">
              <w:rPr>
                <w:rFonts w:ascii="Times New Roman" w:hAnsi="Times New Roman"/>
                <w:noProof/>
                <w:color w:val="000000" w:themeColor="text1"/>
                <w:sz w:val="18"/>
              </w:rPr>
              <w:t>ócenia łańcucha dostaw żywności,</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zachęcenia do stosowania praktyk polegających na bardziej zrównoważonej produkcji</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rolno-spożywczy,</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poprzez zapobieganie marnotrawieniu żywności. Inwestycja obejmuje:</w:t>
            </w:r>
          </w:p>
          <w:p w14:paraId="3091E0EA" w14:textId="05A4464A" w:rsidR="00BE1B25" w:rsidRPr="00A33B9F" w:rsidRDefault="7F3C1A26" w:rsidP="00394B30">
            <w:pPr>
              <w:pStyle w:val="Normal0"/>
              <w:numPr>
                <w:ilvl w:val="0"/>
                <w:numId w:val="3"/>
              </w:num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budowę lub modernizację budynków</w:t>
            </w:r>
            <w:r w:rsidR="00A33B9F" w:rsidRPr="00A33B9F">
              <w:rPr>
                <w:rFonts w:ascii="Times New Roman" w:hAnsi="Times New Roman"/>
                <w:noProof/>
                <w:color w:val="000000" w:themeColor="text1"/>
                <w:sz w:val="18"/>
              </w:rPr>
              <w:t xml:space="preserve"> i odp</w:t>
            </w:r>
            <w:r w:rsidRPr="00A33B9F">
              <w:rPr>
                <w:rFonts w:ascii="Times New Roman" w:hAnsi="Times New Roman"/>
                <w:noProof/>
                <w:color w:val="000000" w:themeColor="text1"/>
                <w:sz w:val="18"/>
              </w:rPr>
              <w:t>owiedniej infrastruktury, takiej jak zakłady pakowania, ładowania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udogodnienia społeczne oraz laboratoria. Ponadto inwestycje będą obejmować zakup paneli fotowoltaicznych oraz budowę instalacji do odzyskiwania ciepła, pieców na biomasę oraz chłodziarek</w:t>
            </w:r>
            <w:r w:rsidR="00A33B9F" w:rsidRPr="00A33B9F">
              <w:rPr>
                <w:rFonts w:ascii="Times New Roman" w:hAnsi="Times New Roman"/>
                <w:noProof/>
                <w:color w:val="000000" w:themeColor="text1"/>
                <w:sz w:val="18"/>
              </w:rPr>
              <w:t xml:space="preserve"> o ogr</w:t>
            </w:r>
            <w:r w:rsidRPr="00A33B9F">
              <w:rPr>
                <w:rFonts w:ascii="Times New Roman" w:hAnsi="Times New Roman"/>
                <w:noProof/>
                <w:color w:val="000000" w:themeColor="text1"/>
                <w:sz w:val="18"/>
              </w:rPr>
              <w:t>aniczonym lub neutralnym wpływie na środowisko. Modernizacja budynków obejmuje również inwestycje</w:t>
            </w:r>
            <w:r w:rsidR="00A33B9F" w:rsidRPr="00A33B9F">
              <w:rPr>
                <w:rFonts w:ascii="Times New Roman" w:hAnsi="Times New Roman"/>
                <w:noProof/>
                <w:color w:val="000000" w:themeColor="text1"/>
                <w:sz w:val="18"/>
              </w:rPr>
              <w:t xml:space="preserve"> w ter</w:t>
            </w:r>
            <w:r w:rsidRPr="00A33B9F">
              <w:rPr>
                <w:rFonts w:ascii="Times New Roman" w:hAnsi="Times New Roman"/>
                <w:noProof/>
                <w:color w:val="000000" w:themeColor="text1"/>
                <w:sz w:val="18"/>
              </w:rPr>
              <w:t>momodernizację budynków, budowę oczyszczalni ścieków oraz budowę instalacji służących oszczędzaniu wody</w:t>
            </w:r>
            <w:r w:rsidR="00A33B9F" w:rsidRPr="00A33B9F">
              <w:rPr>
                <w:rFonts w:ascii="Times New Roman" w:hAnsi="Times New Roman"/>
                <w:noProof/>
                <w:color w:val="000000" w:themeColor="text1"/>
                <w:sz w:val="18"/>
              </w:rPr>
              <w:t xml:space="preserve"> i ene</w:t>
            </w:r>
            <w:r w:rsidRPr="00A33B9F">
              <w:rPr>
                <w:rFonts w:ascii="Times New Roman" w:hAnsi="Times New Roman"/>
                <w:noProof/>
                <w:color w:val="000000" w:themeColor="text1"/>
                <w:sz w:val="18"/>
              </w:rPr>
              <w:t>rgii;</w:t>
            </w:r>
          </w:p>
          <w:p w14:paraId="76854333" w14:textId="15DFB394" w:rsidR="00BE1B25" w:rsidRPr="00A33B9F" w:rsidRDefault="7F3C1A26" w:rsidP="00394B30">
            <w:pPr>
              <w:pStyle w:val="Normal0"/>
              <w:numPr>
                <w:ilvl w:val="0"/>
                <w:numId w:val="3"/>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sidRPr="00A33B9F">
              <w:rPr>
                <w:rFonts w:ascii="Times New Roman" w:hAnsi="Times New Roman"/>
                <w:noProof/>
                <w:color w:val="000000" w:themeColor="text1"/>
                <w:sz w:val="18"/>
              </w:rPr>
              <w:t>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maszyn</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ądzeń do przechowywania, wprowadzania do obrotu, pakowania</w:t>
            </w:r>
            <w:r w:rsidR="00A33B9F" w:rsidRPr="00A33B9F">
              <w:rPr>
                <w:rFonts w:ascii="Times New Roman" w:hAnsi="Times New Roman"/>
                <w:noProof/>
                <w:color w:val="000000" w:themeColor="text1"/>
                <w:sz w:val="18"/>
              </w:rPr>
              <w:t xml:space="preserve"> i tra</w:t>
            </w:r>
            <w:r w:rsidRPr="00A33B9F">
              <w:rPr>
                <w:rFonts w:ascii="Times New Roman" w:hAnsi="Times New Roman"/>
                <w:noProof/>
                <w:color w:val="000000" w:themeColor="text1"/>
                <w:sz w:val="18"/>
              </w:rPr>
              <w:t>nsportu produktów rolno-spożywczych;</w:t>
            </w:r>
          </w:p>
          <w:p w14:paraId="5DC2F90F" w14:textId="729AF8C6" w:rsidR="00BE1B25" w:rsidRPr="00A33B9F" w:rsidRDefault="7F3C1A26" w:rsidP="00394B30">
            <w:pPr>
              <w:pStyle w:val="Normal0"/>
              <w:numPr>
                <w:ilvl w:val="0"/>
                <w:numId w:val="3"/>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sidRPr="00A33B9F">
              <w:rPr>
                <w:rFonts w:ascii="Times New Roman" w:hAnsi="Times New Roman"/>
                <w:noProof/>
                <w:color w:val="000000" w:themeColor="text1"/>
                <w:sz w:val="18"/>
              </w:rPr>
              <w:t>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systemów informatycznych do zapewnienia obsługi, przechowywania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produktów spożywczych,</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systemów związanych</w:t>
            </w:r>
            <w:r w:rsidR="00A33B9F" w:rsidRPr="00A33B9F">
              <w:rPr>
                <w:rFonts w:ascii="Times New Roman" w:hAnsi="Times New Roman"/>
                <w:noProof/>
                <w:color w:val="000000" w:themeColor="text1"/>
                <w:sz w:val="18"/>
              </w:rPr>
              <w:t xml:space="preserve"> z zar</w:t>
            </w:r>
            <w:r w:rsidRPr="00A33B9F">
              <w:rPr>
                <w:rFonts w:ascii="Times New Roman" w:hAnsi="Times New Roman"/>
                <w:noProof/>
                <w:color w:val="000000" w:themeColor="text1"/>
                <w:sz w:val="18"/>
              </w:rPr>
              <w:t>ządzaniem</w:t>
            </w:r>
            <w:r w:rsidR="00A33B9F" w:rsidRPr="00A33B9F">
              <w:rPr>
                <w:rFonts w:ascii="Times New Roman" w:hAnsi="Times New Roman"/>
                <w:noProof/>
                <w:color w:val="000000" w:themeColor="text1"/>
                <w:sz w:val="18"/>
              </w:rPr>
              <w:t xml:space="preserve"> i ksi</w:t>
            </w:r>
            <w:r w:rsidRPr="00A33B9F">
              <w:rPr>
                <w:rFonts w:ascii="Times New Roman" w:hAnsi="Times New Roman"/>
                <w:noProof/>
                <w:color w:val="000000" w:themeColor="text1"/>
                <w:sz w:val="18"/>
              </w:rPr>
              <w:t>ęgowością;</w:t>
            </w:r>
          </w:p>
          <w:p w14:paraId="0791B279" w14:textId="7DA557E2" w:rsidR="00BE1B25" w:rsidRPr="00A33B9F" w:rsidRDefault="7F3C1A26" w:rsidP="00394B30">
            <w:pPr>
              <w:pStyle w:val="Normal0"/>
              <w:numPr>
                <w:ilvl w:val="0"/>
                <w:numId w:val="3"/>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sidRPr="00A33B9F">
              <w:rPr>
                <w:rFonts w:ascii="Times New Roman" w:hAnsi="Times New Roman"/>
                <w:noProof/>
                <w:color w:val="000000" w:themeColor="text1"/>
                <w:sz w:val="18"/>
              </w:rPr>
              <w:t>zakup nowych specjalistycznych środków transportu do celów gospodarki magazynowej (takich jak wózki widłowe) oraz do transportu produktów rolno-spożywczych (takich jak cysterny, silosy, chłodnie</w:t>
            </w:r>
            <w:r w:rsidR="00A33B9F" w:rsidRPr="00A33B9F">
              <w:rPr>
                <w:rFonts w:ascii="Times New Roman" w:hAnsi="Times New Roman"/>
                <w:noProof/>
                <w:color w:val="000000" w:themeColor="text1"/>
                <w:sz w:val="18"/>
              </w:rPr>
              <w:t xml:space="preserve"> i izo</w:t>
            </w:r>
            <w:r w:rsidRPr="00A33B9F">
              <w:rPr>
                <w:rFonts w:ascii="Times New Roman" w:hAnsi="Times New Roman"/>
                <w:noProof/>
                <w:color w:val="000000" w:themeColor="text1"/>
                <w:sz w:val="18"/>
              </w:rPr>
              <w:t>termy). Zakup środków transportu musi przebiegać zgodnie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p>
          <w:p w14:paraId="767B1C88" w14:textId="3412DEED" w:rsidR="00BE1B25" w:rsidRPr="00A33B9F" w:rsidRDefault="7F3C1A26" w:rsidP="00394B30">
            <w:pPr>
              <w:pStyle w:val="Normal0"/>
              <w:numPr>
                <w:ilvl w:val="0"/>
                <w:numId w:val="3"/>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inwestycje związane</w:t>
            </w:r>
            <w:r w:rsidR="00A33B9F" w:rsidRPr="00A33B9F">
              <w:rPr>
                <w:rFonts w:ascii="Times New Roman" w:hAnsi="Times New Roman"/>
                <w:noProof/>
                <w:color w:val="000000" w:themeColor="text1"/>
                <w:sz w:val="18"/>
              </w:rPr>
              <w:t xml:space="preserve"> z zap</w:t>
            </w:r>
            <w:r w:rsidRPr="00A33B9F">
              <w:rPr>
                <w:rFonts w:ascii="Times New Roman" w:hAnsi="Times New Roman"/>
                <w:noProof/>
                <w:color w:val="000000" w:themeColor="text1"/>
                <w:sz w:val="18"/>
              </w:rPr>
              <w:t>ewnieniem zgodności</w:t>
            </w:r>
            <w:r w:rsidR="00A33B9F" w:rsidRPr="00A33B9F">
              <w:rPr>
                <w:rFonts w:ascii="Times New Roman" w:hAnsi="Times New Roman"/>
                <w:noProof/>
                <w:color w:val="000000" w:themeColor="text1"/>
                <w:sz w:val="18"/>
              </w:rPr>
              <w:t xml:space="preserve"> z cer</w:t>
            </w:r>
            <w:r w:rsidRPr="00A33B9F">
              <w:rPr>
                <w:rFonts w:ascii="Times New Roman" w:hAnsi="Times New Roman"/>
                <w:noProof/>
                <w:color w:val="000000" w:themeColor="text1"/>
                <w:sz w:val="18"/>
              </w:rPr>
              <w:t>tyfikowanymi systemami zarządzania jakością;</w:t>
            </w:r>
          </w:p>
          <w:p w14:paraId="04CD0502" w14:textId="1697553D" w:rsidR="00BE1B25" w:rsidRPr="00A33B9F" w:rsidRDefault="4046D921" w:rsidP="00394B30">
            <w:pPr>
              <w:pStyle w:val="Normal0"/>
              <w:numPr>
                <w:ilvl w:val="0"/>
                <w:numId w:val="3"/>
              </w:numPr>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sidRPr="00A33B9F">
              <w:rPr>
                <w:rFonts w:ascii="Times New Roman" w:hAnsi="Times New Roman"/>
                <w:noProof/>
                <w:color w:val="000000" w:themeColor="text1"/>
                <w:sz w:val="18"/>
              </w:rPr>
              <w:t>Pobierane</w:t>
            </w:r>
            <w:r w:rsidR="00A33B9F" w:rsidRPr="00A33B9F">
              <w:rPr>
                <w:rFonts w:ascii="Times New Roman" w:hAnsi="Times New Roman"/>
                <w:noProof/>
                <w:color w:val="000000" w:themeColor="text1"/>
                <w:sz w:val="18"/>
              </w:rPr>
              <w:t xml:space="preserve"> z gór</w:t>
            </w:r>
            <w:r w:rsidRPr="00A33B9F">
              <w:rPr>
                <w:rFonts w:ascii="Times New Roman" w:hAnsi="Times New Roman"/>
                <w:noProof/>
                <w:color w:val="000000" w:themeColor="text1"/>
                <w:sz w:val="18"/>
              </w:rPr>
              <w:t>y opłaty za patenty</w:t>
            </w:r>
            <w:r w:rsidR="00A33B9F" w:rsidRPr="00A33B9F">
              <w:rPr>
                <w:rFonts w:ascii="Times New Roman" w:hAnsi="Times New Roman"/>
                <w:noProof/>
                <w:color w:val="000000" w:themeColor="text1"/>
                <w:sz w:val="18"/>
              </w:rPr>
              <w:t xml:space="preserve"> i lic</w:t>
            </w:r>
            <w:r w:rsidRPr="00A33B9F">
              <w:rPr>
                <w:rFonts w:ascii="Times New Roman" w:hAnsi="Times New Roman"/>
                <w:noProof/>
                <w:color w:val="000000" w:themeColor="text1"/>
                <w:sz w:val="18"/>
              </w:rPr>
              <w:t>encje.</w:t>
            </w:r>
          </w:p>
          <w:p w14:paraId="26CC8732" w14:textId="17941C6B" w:rsidR="6E7F559E" w:rsidRPr="00A33B9F" w:rsidRDefault="6E7F559E" w:rsidP="6E7F559E">
            <w:pPr>
              <w:pStyle w:val="Normal0"/>
              <w:spacing w:after="0" w:line="240" w:lineRule="auto"/>
              <w:rPr>
                <w:rFonts w:ascii="Times New Roman" w:eastAsia="Times New Roman" w:hAnsi="Times New Roman" w:cs="Times New Roman"/>
                <w:noProof/>
                <w:color w:val="000000" w:themeColor="text1"/>
                <w:sz w:val="18"/>
                <w:szCs w:val="18"/>
              </w:rPr>
            </w:pPr>
          </w:p>
          <w:p w14:paraId="4F497344" w14:textId="2F83F4D6"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p>
          <w:p w14:paraId="6182907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2BA226A1" w14:textId="5C8A244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Inwestycje będą realizowane zgodnie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środków transportu, energii odnawialnej</w:t>
            </w:r>
            <w:r w:rsidR="00A33B9F" w:rsidRPr="00A33B9F">
              <w:rPr>
                <w:rFonts w:ascii="Times New Roman" w:hAnsi="Times New Roman"/>
                <w:noProof/>
                <w:color w:val="000000" w:themeColor="text1"/>
                <w:sz w:val="18"/>
              </w:rPr>
              <w:t xml:space="preserve"> i gos</w:t>
            </w:r>
            <w:r w:rsidRPr="00A33B9F">
              <w:rPr>
                <w:rFonts w:ascii="Times New Roman" w:hAnsi="Times New Roman"/>
                <w:noProof/>
                <w:color w:val="000000" w:themeColor="text1"/>
                <w:sz w:val="18"/>
              </w:rPr>
              <w:t>podarki odpadami.</w:t>
            </w:r>
          </w:p>
        </w:tc>
      </w:tr>
      <w:tr w:rsidR="00A06FB8" w:rsidRPr="00A33B9F" w14:paraId="2592C230"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568215" w14:textId="508075D4"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A22G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3DEAB" w14:textId="7455897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A1.4.1 Inwestycje na rzecz dywersyfikacji</w:t>
            </w:r>
            <w:r w:rsidR="00A33B9F" w:rsidRPr="00A33B9F">
              <w:rPr>
                <w:rFonts w:ascii="Times New Roman" w:hAnsi="Times New Roman"/>
                <w:noProof/>
                <w:color w:val="000000"/>
                <w:sz w:val="18"/>
              </w:rPr>
              <w:t xml:space="preserve"> i skr</w:t>
            </w:r>
            <w:r w:rsidRPr="00A33B9F">
              <w:rPr>
                <w:rFonts w:ascii="Times New Roman" w:hAnsi="Times New Roman"/>
                <w:noProof/>
                <w:color w:val="000000"/>
                <w:sz w:val="18"/>
              </w:rPr>
              <w:t>acania łańcucha dostaw produktów rolnych</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żywczych oraz budowy odporności podmiotów uczestniczących</w:t>
            </w:r>
            <w:r w:rsidR="00A33B9F" w:rsidRPr="00A33B9F">
              <w:rPr>
                <w:rFonts w:ascii="Times New Roman" w:hAnsi="Times New Roman"/>
                <w:noProof/>
                <w:color w:val="000000"/>
                <w:sz w:val="18"/>
              </w:rPr>
              <w:t xml:space="preserve"> w łań</w:t>
            </w:r>
            <w:r w:rsidRPr="00A33B9F">
              <w:rPr>
                <w:rFonts w:ascii="Times New Roman" w:hAnsi="Times New Roman"/>
                <w:noProof/>
                <w:color w:val="000000"/>
                <w:sz w:val="18"/>
              </w:rPr>
              <w:t>cuchu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7BC1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1FA45" w14:textId="060493F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MŚP</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rolno-spożywczym, które ukończyły projekty ukierunkowane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58656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40446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113584"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7D30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400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F82A2F"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C646BA"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C22F2D" w14:textId="2465AE33" w:rsidR="00BE1B25" w:rsidRPr="00A33B9F" w:rsidRDefault="45877E8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400 MŚP</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rolno-spożywczym</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gospodarki rybnej ukończyło projekty ukierunkowane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 Inwestycje obejmują następujący rodzaj działań:</w:t>
            </w:r>
            <w:r w:rsidRPr="00A33B9F">
              <w:rPr>
                <w:noProof/>
              </w:rPr>
              <w:t xml:space="preserve"> </w:t>
            </w:r>
            <w:r w:rsidRPr="00A33B9F">
              <w:rPr>
                <w:noProof/>
              </w:rPr>
              <w:br/>
            </w:r>
            <w:r w:rsidRPr="00A33B9F">
              <w:rPr>
                <w:rFonts w:ascii="Times New Roman" w:hAnsi="Times New Roman"/>
                <w:noProof/>
                <w:color w:val="000000" w:themeColor="text1"/>
                <w:sz w:val="18"/>
              </w:rPr>
              <w:t>1) budowę lub modernizację budynków</w:t>
            </w:r>
            <w:r w:rsidR="00A33B9F" w:rsidRPr="00A33B9F">
              <w:rPr>
                <w:rFonts w:ascii="Times New Roman" w:hAnsi="Times New Roman"/>
                <w:noProof/>
                <w:color w:val="000000" w:themeColor="text1"/>
                <w:sz w:val="18"/>
              </w:rPr>
              <w:t xml:space="preserve"> i odp</w:t>
            </w:r>
            <w:r w:rsidRPr="00A33B9F">
              <w:rPr>
                <w:rFonts w:ascii="Times New Roman" w:hAnsi="Times New Roman"/>
                <w:noProof/>
                <w:color w:val="000000" w:themeColor="text1"/>
                <w:sz w:val="18"/>
              </w:rPr>
              <w:t>owiedniej infrastruktury, takiej jak zakłady produkcyjne</w:t>
            </w:r>
            <w:r w:rsidR="00A33B9F" w:rsidRPr="00A33B9F">
              <w:rPr>
                <w:rFonts w:ascii="Times New Roman" w:hAnsi="Times New Roman"/>
                <w:noProof/>
                <w:color w:val="000000" w:themeColor="text1"/>
                <w:sz w:val="18"/>
              </w:rPr>
              <w:t xml:space="preserve"> i ins</w:t>
            </w:r>
            <w:r w:rsidRPr="00A33B9F">
              <w:rPr>
                <w:rFonts w:ascii="Times New Roman" w:hAnsi="Times New Roman"/>
                <w:noProof/>
                <w:color w:val="000000" w:themeColor="text1"/>
                <w:sz w:val="18"/>
              </w:rPr>
              <w:t>talacje magazynowe oraz laboratoria. Zakres wsparcia obejmuje również zielone inwestycje, takie jak budowa zakładów magazynowania odpadów</w:t>
            </w:r>
            <w:r w:rsidR="00A33B9F" w:rsidRPr="00A33B9F">
              <w:rPr>
                <w:rFonts w:ascii="Times New Roman" w:hAnsi="Times New Roman"/>
                <w:noProof/>
                <w:color w:val="000000" w:themeColor="text1"/>
                <w:sz w:val="18"/>
              </w:rPr>
              <w:t xml:space="preserve"> i gos</w:t>
            </w:r>
            <w:r w:rsidRPr="00A33B9F">
              <w:rPr>
                <w:rFonts w:ascii="Times New Roman" w:hAnsi="Times New Roman"/>
                <w:noProof/>
                <w:color w:val="000000" w:themeColor="text1"/>
                <w:sz w:val="18"/>
              </w:rPr>
              <w:t>podarowania odpadami, oczyszczalni ścieków</w:t>
            </w:r>
            <w:r w:rsidR="00A33B9F" w:rsidRPr="00A33B9F">
              <w:rPr>
                <w:rFonts w:ascii="Times New Roman" w:hAnsi="Times New Roman"/>
                <w:noProof/>
                <w:color w:val="000000" w:themeColor="text1"/>
                <w:sz w:val="18"/>
              </w:rPr>
              <w:t xml:space="preserve"> i wyt</w:t>
            </w:r>
            <w:r w:rsidRPr="00A33B9F">
              <w:rPr>
                <w:rFonts w:ascii="Times New Roman" w:hAnsi="Times New Roman"/>
                <w:noProof/>
                <w:color w:val="000000" w:themeColor="text1"/>
                <w:sz w:val="18"/>
              </w:rPr>
              <w:t>wórni biogazu. Ponadto inwestycje będą obejmować zakup paneli fotowoltaicznych oraz budowę instalacji do odzyskiwania ciepła, pieców na biomasę oraz chłodziarek</w:t>
            </w:r>
            <w:r w:rsidR="00A33B9F" w:rsidRPr="00A33B9F">
              <w:rPr>
                <w:rFonts w:ascii="Times New Roman" w:hAnsi="Times New Roman"/>
                <w:noProof/>
                <w:color w:val="000000" w:themeColor="text1"/>
                <w:sz w:val="18"/>
              </w:rPr>
              <w:t xml:space="preserve"> o ogr</w:t>
            </w:r>
            <w:r w:rsidRPr="00A33B9F">
              <w:rPr>
                <w:rFonts w:ascii="Times New Roman" w:hAnsi="Times New Roman"/>
                <w:noProof/>
                <w:color w:val="000000" w:themeColor="text1"/>
                <w:sz w:val="18"/>
              </w:rPr>
              <w:t>aniczonym lub neutralnym wpływie na środowisko;</w:t>
            </w:r>
            <w:r w:rsidRPr="00A33B9F">
              <w:rPr>
                <w:noProof/>
              </w:rPr>
              <w:t xml:space="preserve"> </w:t>
            </w:r>
            <w:r w:rsidRPr="00A33B9F">
              <w:rPr>
                <w:noProof/>
              </w:rPr>
              <w:br/>
            </w:r>
            <w:r w:rsidRPr="00A33B9F">
              <w:rPr>
                <w:rFonts w:ascii="Times New Roman" w:hAnsi="Times New Roman"/>
                <w:noProof/>
                <w:color w:val="000000" w:themeColor="text1"/>
                <w:sz w:val="18"/>
              </w:rPr>
              <w:t>2)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maszyn</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ądzeń do przechowywania, przetwarzania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produktów rolno-spożywczych oraz produktów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w:t>
            </w:r>
            <w:r w:rsidRPr="00A33B9F">
              <w:rPr>
                <w:noProof/>
              </w:rPr>
              <w:t xml:space="preserve"> </w:t>
            </w:r>
            <w:r w:rsidRPr="00A33B9F">
              <w:rPr>
                <w:noProof/>
              </w:rPr>
              <w:br/>
            </w:r>
            <w:r w:rsidRPr="00A33B9F">
              <w:rPr>
                <w:rFonts w:ascii="Times New Roman" w:hAnsi="Times New Roman"/>
                <w:noProof/>
                <w:color w:val="000000" w:themeColor="text1"/>
                <w:sz w:val="18"/>
              </w:rPr>
              <w:t>3)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systemów informatycznych do obsługi procesów produkcji, przechowywania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zarządzania</w:t>
            </w:r>
            <w:r w:rsidR="00A33B9F" w:rsidRPr="00A33B9F">
              <w:rPr>
                <w:rFonts w:ascii="Times New Roman" w:hAnsi="Times New Roman"/>
                <w:noProof/>
                <w:color w:val="000000" w:themeColor="text1"/>
                <w:sz w:val="18"/>
              </w:rPr>
              <w:t xml:space="preserve"> i ksi</w:t>
            </w:r>
            <w:r w:rsidRPr="00A33B9F">
              <w:rPr>
                <w:rFonts w:ascii="Times New Roman" w:hAnsi="Times New Roman"/>
                <w:noProof/>
                <w:color w:val="000000" w:themeColor="text1"/>
                <w:sz w:val="18"/>
              </w:rPr>
              <w:t>ęgowości;</w:t>
            </w:r>
            <w:r w:rsidRPr="00A33B9F">
              <w:rPr>
                <w:noProof/>
              </w:rPr>
              <w:t xml:space="preserve"> </w:t>
            </w:r>
            <w:r w:rsidRPr="00A33B9F">
              <w:rPr>
                <w:noProof/>
              </w:rPr>
              <w:br/>
            </w:r>
            <w:r w:rsidRPr="00A33B9F">
              <w:rPr>
                <w:rFonts w:ascii="Times New Roman" w:hAnsi="Times New Roman"/>
                <w:noProof/>
                <w:color w:val="000000" w:themeColor="text1"/>
                <w:sz w:val="18"/>
              </w:rPr>
              <w:t>4) zakup nowych zeroemisyjnych lub niskoemisyjnych specjalistycznych środków transportu do celów gospodarki magazynowej (takich jak wózki widłowe) oraz do transportu produktów rolno-spożywczych</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duktów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 (takich jak cysterny, silosy, chłodnie</w:t>
            </w:r>
            <w:r w:rsidR="00A33B9F" w:rsidRPr="00A33B9F">
              <w:rPr>
                <w:rFonts w:ascii="Times New Roman" w:hAnsi="Times New Roman"/>
                <w:noProof/>
                <w:color w:val="000000" w:themeColor="text1"/>
                <w:sz w:val="18"/>
              </w:rPr>
              <w:t xml:space="preserve"> i izo</w:t>
            </w:r>
            <w:r w:rsidRPr="00A33B9F">
              <w:rPr>
                <w:rFonts w:ascii="Times New Roman" w:hAnsi="Times New Roman"/>
                <w:noProof/>
                <w:color w:val="000000" w:themeColor="text1"/>
                <w:sz w:val="18"/>
              </w:rPr>
              <w:t>termy).</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5) inwestycje związane</w:t>
            </w:r>
            <w:r w:rsidR="00A33B9F" w:rsidRPr="00A33B9F">
              <w:rPr>
                <w:rFonts w:ascii="Times New Roman" w:hAnsi="Times New Roman"/>
                <w:noProof/>
                <w:color w:val="000000" w:themeColor="text1"/>
                <w:sz w:val="18"/>
              </w:rPr>
              <w:t xml:space="preserve"> z zap</w:t>
            </w:r>
            <w:r w:rsidRPr="00A33B9F">
              <w:rPr>
                <w:rFonts w:ascii="Times New Roman" w:hAnsi="Times New Roman"/>
                <w:noProof/>
                <w:color w:val="000000" w:themeColor="text1"/>
                <w:sz w:val="18"/>
              </w:rPr>
              <w:t>ewnieniem zgodności</w:t>
            </w:r>
            <w:r w:rsidR="00A33B9F" w:rsidRPr="00A33B9F">
              <w:rPr>
                <w:rFonts w:ascii="Times New Roman" w:hAnsi="Times New Roman"/>
                <w:noProof/>
                <w:color w:val="000000" w:themeColor="text1"/>
                <w:sz w:val="18"/>
              </w:rPr>
              <w:t xml:space="preserve"> z cer</w:t>
            </w:r>
            <w:r w:rsidRPr="00A33B9F">
              <w:rPr>
                <w:rFonts w:ascii="Times New Roman" w:hAnsi="Times New Roman"/>
                <w:noProof/>
                <w:color w:val="000000" w:themeColor="text1"/>
                <w:sz w:val="18"/>
              </w:rPr>
              <w:t>tyfikowanymi systemami zarządzania jakością;</w:t>
            </w:r>
            <w:r w:rsidRPr="00A33B9F">
              <w:rPr>
                <w:noProof/>
              </w:rPr>
              <w:t xml:space="preserve"> </w:t>
            </w:r>
            <w:r w:rsidRPr="00A33B9F">
              <w:rPr>
                <w:noProof/>
              </w:rPr>
              <w:br/>
            </w:r>
            <w:r w:rsidRPr="00A33B9F">
              <w:rPr>
                <w:rFonts w:ascii="Times New Roman" w:hAnsi="Times New Roman"/>
                <w:noProof/>
                <w:color w:val="000000" w:themeColor="text1"/>
                <w:sz w:val="18"/>
              </w:rPr>
              <w:t>6) pobierane</w:t>
            </w:r>
            <w:r w:rsidR="00A33B9F" w:rsidRPr="00A33B9F">
              <w:rPr>
                <w:rFonts w:ascii="Times New Roman" w:hAnsi="Times New Roman"/>
                <w:noProof/>
                <w:color w:val="000000" w:themeColor="text1"/>
                <w:sz w:val="18"/>
              </w:rPr>
              <w:t xml:space="preserve"> z gór</w:t>
            </w:r>
            <w:r w:rsidRPr="00A33B9F">
              <w:rPr>
                <w:rFonts w:ascii="Times New Roman" w:hAnsi="Times New Roman"/>
                <w:noProof/>
                <w:color w:val="000000" w:themeColor="text1"/>
                <w:sz w:val="18"/>
              </w:rPr>
              <w:t>y opłaty za patenty</w:t>
            </w:r>
            <w:r w:rsidR="00A33B9F" w:rsidRPr="00A33B9F">
              <w:rPr>
                <w:rFonts w:ascii="Times New Roman" w:hAnsi="Times New Roman"/>
                <w:noProof/>
                <w:color w:val="000000" w:themeColor="text1"/>
                <w:sz w:val="18"/>
              </w:rPr>
              <w:t xml:space="preserve"> i lic</w:t>
            </w:r>
            <w:r w:rsidRPr="00A33B9F">
              <w:rPr>
                <w:rFonts w:ascii="Times New Roman" w:hAnsi="Times New Roman"/>
                <w:noProof/>
                <w:color w:val="000000" w:themeColor="text1"/>
                <w:sz w:val="18"/>
              </w:rPr>
              <w:t>encje.</w:t>
            </w:r>
          </w:p>
          <w:p w14:paraId="17AD93B2" w14:textId="17941C6B"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p>
          <w:p w14:paraId="583AE7BC" w14:textId="294321BD"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r w:rsidR="00C3621A" w:rsidRPr="00A33B9F">
              <w:rPr>
                <w:rFonts w:ascii="Times New Roman" w:hAnsi="Times New Roman"/>
                <w:noProof/>
                <w:color w:val="000000" w:themeColor="text1"/>
                <w:sz w:val="18"/>
              </w:rPr>
              <w:t xml:space="preserve"> </w:t>
            </w:r>
          </w:p>
          <w:p w14:paraId="66204FF1" w14:textId="54C3AEC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energii odnawialnej, gospodarki odpadami</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dków transportu.</w:t>
            </w:r>
          </w:p>
        </w:tc>
      </w:tr>
      <w:tr w:rsidR="00A06FB8" w:rsidRPr="00A33B9F" w14:paraId="5727B446"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C26413" w14:textId="6B3525C6"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A23G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51598" w14:textId="47C17B5F"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A1.4.1 Inwestycje na rzecz dywersyfikacji</w:t>
            </w:r>
            <w:r w:rsidR="00A33B9F" w:rsidRPr="00A33B9F">
              <w:rPr>
                <w:rFonts w:ascii="Times New Roman" w:hAnsi="Times New Roman"/>
                <w:noProof/>
                <w:color w:val="000000"/>
                <w:sz w:val="18"/>
              </w:rPr>
              <w:t xml:space="preserve"> i skr</w:t>
            </w:r>
            <w:r w:rsidRPr="00A33B9F">
              <w:rPr>
                <w:rFonts w:ascii="Times New Roman" w:hAnsi="Times New Roman"/>
                <w:noProof/>
                <w:color w:val="000000"/>
                <w:sz w:val="18"/>
              </w:rPr>
              <w:t>acania łańcucha dostaw produktów rolnych</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żywczych oraz budowy odporności podmiotów uczestniczących</w:t>
            </w:r>
            <w:r w:rsidR="00A33B9F" w:rsidRPr="00A33B9F">
              <w:rPr>
                <w:rFonts w:ascii="Times New Roman" w:hAnsi="Times New Roman"/>
                <w:noProof/>
                <w:color w:val="000000"/>
                <w:sz w:val="18"/>
              </w:rPr>
              <w:t xml:space="preserve"> w łań</w:t>
            </w:r>
            <w:r w:rsidRPr="00A33B9F">
              <w:rPr>
                <w:rFonts w:ascii="Times New Roman" w:hAnsi="Times New Roman"/>
                <w:noProof/>
                <w:color w:val="000000"/>
                <w:sz w:val="18"/>
              </w:rPr>
              <w:t>cuchu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C70DA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07FDB0" w14:textId="2C1B474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MŚP</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rolno-spożywczym, które ukończyły projekty ukierunkowane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1E545"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788F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8B2917"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400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FFCB7C"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800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C7126"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172651"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D3C5F3" w14:textId="69F4BDD0"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800 MŚP</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rolno-spożywczym</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gospodarki rybnej ukończyło projekty ukierunkowane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 xml:space="preserve">osażenia. </w:t>
            </w:r>
          </w:p>
          <w:p w14:paraId="4679F5FA" w14:textId="287EA4A3" w:rsidR="00BE1B25" w:rsidRPr="00A33B9F" w:rsidRDefault="45877E8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obejmuje następujące rodzaje projektów:</w:t>
            </w:r>
            <w:r w:rsidRPr="00A33B9F">
              <w:rPr>
                <w:noProof/>
              </w:rPr>
              <w:t xml:space="preserve"> </w:t>
            </w:r>
            <w:r w:rsidRPr="00A33B9F">
              <w:rPr>
                <w:noProof/>
              </w:rPr>
              <w:br/>
            </w:r>
            <w:r w:rsidRPr="00A33B9F">
              <w:rPr>
                <w:rFonts w:ascii="Times New Roman" w:hAnsi="Times New Roman"/>
                <w:noProof/>
                <w:color w:val="000000" w:themeColor="text1"/>
                <w:sz w:val="18"/>
              </w:rPr>
              <w:t>1) budowę lub modernizację budynków</w:t>
            </w:r>
            <w:r w:rsidR="00A33B9F" w:rsidRPr="00A33B9F">
              <w:rPr>
                <w:rFonts w:ascii="Times New Roman" w:hAnsi="Times New Roman"/>
                <w:noProof/>
                <w:color w:val="000000" w:themeColor="text1"/>
                <w:sz w:val="18"/>
              </w:rPr>
              <w:t xml:space="preserve"> i odp</w:t>
            </w:r>
            <w:r w:rsidRPr="00A33B9F">
              <w:rPr>
                <w:rFonts w:ascii="Times New Roman" w:hAnsi="Times New Roman"/>
                <w:noProof/>
                <w:color w:val="000000" w:themeColor="text1"/>
                <w:sz w:val="18"/>
              </w:rPr>
              <w:t>owiedniej infrastruktury, takiej jak zakłady produkcyjne</w:t>
            </w:r>
            <w:r w:rsidR="00A33B9F" w:rsidRPr="00A33B9F">
              <w:rPr>
                <w:rFonts w:ascii="Times New Roman" w:hAnsi="Times New Roman"/>
                <w:noProof/>
                <w:color w:val="000000" w:themeColor="text1"/>
                <w:sz w:val="18"/>
              </w:rPr>
              <w:t xml:space="preserve"> i ins</w:t>
            </w:r>
            <w:r w:rsidRPr="00A33B9F">
              <w:rPr>
                <w:rFonts w:ascii="Times New Roman" w:hAnsi="Times New Roman"/>
                <w:noProof/>
                <w:color w:val="000000" w:themeColor="text1"/>
                <w:sz w:val="18"/>
              </w:rPr>
              <w:t>talacje magazynowe oraz laboratoria. Zakres wsparcia obejmuje również zielone inwestycje, takie jak budowa zakładów magazynowania odpadów</w:t>
            </w:r>
            <w:r w:rsidR="00A33B9F" w:rsidRPr="00A33B9F">
              <w:rPr>
                <w:rFonts w:ascii="Times New Roman" w:hAnsi="Times New Roman"/>
                <w:noProof/>
                <w:color w:val="000000" w:themeColor="text1"/>
                <w:sz w:val="18"/>
              </w:rPr>
              <w:t xml:space="preserve"> i gos</w:t>
            </w:r>
            <w:r w:rsidRPr="00A33B9F">
              <w:rPr>
                <w:rFonts w:ascii="Times New Roman" w:hAnsi="Times New Roman"/>
                <w:noProof/>
                <w:color w:val="000000" w:themeColor="text1"/>
                <w:sz w:val="18"/>
              </w:rPr>
              <w:t>podarowania odpadami, oczyszczalni ścieków</w:t>
            </w:r>
            <w:r w:rsidR="00A33B9F" w:rsidRPr="00A33B9F">
              <w:rPr>
                <w:rFonts w:ascii="Times New Roman" w:hAnsi="Times New Roman"/>
                <w:noProof/>
                <w:color w:val="000000" w:themeColor="text1"/>
                <w:sz w:val="18"/>
              </w:rPr>
              <w:t xml:space="preserve"> i wyt</w:t>
            </w:r>
            <w:r w:rsidRPr="00A33B9F">
              <w:rPr>
                <w:rFonts w:ascii="Times New Roman" w:hAnsi="Times New Roman"/>
                <w:noProof/>
                <w:color w:val="000000" w:themeColor="text1"/>
                <w:sz w:val="18"/>
              </w:rPr>
              <w:t>wórni biogazu. Ponadto inwestycje będą obejmować zakup paneli fotowoltaicznych oraz budowę instalacji do odzyskiwania ciepła, pieców na biomasę oraz chłodziarek</w:t>
            </w:r>
            <w:r w:rsidR="00A33B9F" w:rsidRPr="00A33B9F">
              <w:rPr>
                <w:rFonts w:ascii="Times New Roman" w:hAnsi="Times New Roman"/>
                <w:noProof/>
                <w:color w:val="000000" w:themeColor="text1"/>
                <w:sz w:val="18"/>
              </w:rPr>
              <w:t xml:space="preserve"> o ogr</w:t>
            </w:r>
            <w:r w:rsidRPr="00A33B9F">
              <w:rPr>
                <w:rFonts w:ascii="Times New Roman" w:hAnsi="Times New Roman"/>
                <w:noProof/>
                <w:color w:val="000000" w:themeColor="text1"/>
                <w:sz w:val="18"/>
              </w:rPr>
              <w:t>aniczonym lub neutralnym wpływie na środowisko;</w:t>
            </w:r>
            <w:r w:rsidRPr="00A33B9F">
              <w:rPr>
                <w:noProof/>
              </w:rPr>
              <w:t xml:space="preserve"> </w:t>
            </w:r>
            <w:r w:rsidRPr="00A33B9F">
              <w:rPr>
                <w:noProof/>
              </w:rPr>
              <w:br/>
            </w:r>
            <w:r w:rsidRPr="00A33B9F">
              <w:rPr>
                <w:rFonts w:ascii="Times New Roman" w:hAnsi="Times New Roman"/>
                <w:noProof/>
                <w:color w:val="000000" w:themeColor="text1"/>
                <w:sz w:val="18"/>
              </w:rPr>
              <w:t>2)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maszyn</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ądzeń do przechowywania, przetwarzania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produktów rolno-spożywczych oraz produktów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w:t>
            </w:r>
            <w:r w:rsidRPr="00A33B9F">
              <w:rPr>
                <w:noProof/>
              </w:rPr>
              <w:t xml:space="preserve"> </w:t>
            </w:r>
            <w:r w:rsidRPr="00A33B9F">
              <w:rPr>
                <w:noProof/>
              </w:rPr>
              <w:br/>
            </w:r>
            <w:r w:rsidRPr="00A33B9F">
              <w:rPr>
                <w:rFonts w:ascii="Times New Roman" w:hAnsi="Times New Roman"/>
                <w:noProof/>
                <w:color w:val="000000" w:themeColor="text1"/>
                <w:sz w:val="18"/>
              </w:rPr>
              <w:t>3)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systemów informatycznych do obsługi procesów produkcji, przechowywania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zarządzania</w:t>
            </w:r>
            <w:r w:rsidR="00A33B9F" w:rsidRPr="00A33B9F">
              <w:rPr>
                <w:rFonts w:ascii="Times New Roman" w:hAnsi="Times New Roman"/>
                <w:noProof/>
                <w:color w:val="000000" w:themeColor="text1"/>
                <w:sz w:val="18"/>
              </w:rPr>
              <w:t xml:space="preserve"> i ksi</w:t>
            </w:r>
            <w:r w:rsidRPr="00A33B9F">
              <w:rPr>
                <w:rFonts w:ascii="Times New Roman" w:hAnsi="Times New Roman"/>
                <w:noProof/>
                <w:color w:val="000000" w:themeColor="text1"/>
                <w:sz w:val="18"/>
              </w:rPr>
              <w:t>ęgowości;</w:t>
            </w:r>
            <w:r w:rsidRPr="00A33B9F">
              <w:rPr>
                <w:noProof/>
              </w:rPr>
              <w:t xml:space="preserve"> </w:t>
            </w:r>
            <w:r w:rsidRPr="00A33B9F">
              <w:rPr>
                <w:noProof/>
              </w:rPr>
              <w:br/>
            </w:r>
            <w:r w:rsidRPr="00A33B9F">
              <w:rPr>
                <w:rFonts w:ascii="Times New Roman" w:hAnsi="Times New Roman"/>
                <w:noProof/>
                <w:color w:val="000000" w:themeColor="text1"/>
                <w:sz w:val="18"/>
              </w:rPr>
              <w:t>4) zakup nowych zeroemisyjnych lub niskoemisyjnych specjalistycznych środków transportu do celów gospodarki magazynowej (takich jak wózki widłowe) oraz do transportu produktów rolno-spożywczych</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duktów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 (takich jak cysterny, silosy, chłodnie</w:t>
            </w:r>
            <w:r w:rsidR="00A33B9F" w:rsidRPr="00A33B9F">
              <w:rPr>
                <w:rFonts w:ascii="Times New Roman" w:hAnsi="Times New Roman"/>
                <w:noProof/>
                <w:color w:val="000000" w:themeColor="text1"/>
                <w:sz w:val="18"/>
              </w:rPr>
              <w:t xml:space="preserve"> i izo</w:t>
            </w:r>
            <w:r w:rsidRPr="00A33B9F">
              <w:rPr>
                <w:rFonts w:ascii="Times New Roman" w:hAnsi="Times New Roman"/>
                <w:noProof/>
                <w:color w:val="000000" w:themeColor="text1"/>
                <w:sz w:val="18"/>
              </w:rPr>
              <w:t>termy).</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5) inwestycje związane</w:t>
            </w:r>
            <w:r w:rsidR="00A33B9F" w:rsidRPr="00A33B9F">
              <w:rPr>
                <w:rFonts w:ascii="Times New Roman" w:hAnsi="Times New Roman"/>
                <w:noProof/>
                <w:color w:val="000000" w:themeColor="text1"/>
                <w:sz w:val="18"/>
              </w:rPr>
              <w:t xml:space="preserve"> z zap</w:t>
            </w:r>
            <w:r w:rsidRPr="00A33B9F">
              <w:rPr>
                <w:rFonts w:ascii="Times New Roman" w:hAnsi="Times New Roman"/>
                <w:noProof/>
                <w:color w:val="000000" w:themeColor="text1"/>
                <w:sz w:val="18"/>
              </w:rPr>
              <w:t>ewnieniem zgodności</w:t>
            </w:r>
            <w:r w:rsidR="00A33B9F" w:rsidRPr="00A33B9F">
              <w:rPr>
                <w:rFonts w:ascii="Times New Roman" w:hAnsi="Times New Roman"/>
                <w:noProof/>
                <w:color w:val="000000" w:themeColor="text1"/>
                <w:sz w:val="18"/>
              </w:rPr>
              <w:t xml:space="preserve"> z cer</w:t>
            </w:r>
            <w:r w:rsidRPr="00A33B9F">
              <w:rPr>
                <w:rFonts w:ascii="Times New Roman" w:hAnsi="Times New Roman"/>
                <w:noProof/>
                <w:color w:val="000000" w:themeColor="text1"/>
                <w:sz w:val="18"/>
              </w:rPr>
              <w:t>tyfikowanymi systemami zarządzania jakością;</w:t>
            </w:r>
            <w:r w:rsidRPr="00A33B9F">
              <w:rPr>
                <w:noProof/>
              </w:rPr>
              <w:t xml:space="preserve"> </w:t>
            </w:r>
            <w:r w:rsidRPr="00A33B9F">
              <w:rPr>
                <w:noProof/>
              </w:rPr>
              <w:br/>
            </w:r>
            <w:r w:rsidRPr="00A33B9F">
              <w:rPr>
                <w:rFonts w:ascii="Times New Roman" w:hAnsi="Times New Roman"/>
                <w:noProof/>
                <w:color w:val="000000" w:themeColor="text1"/>
                <w:sz w:val="18"/>
              </w:rPr>
              <w:t>6) pobierane</w:t>
            </w:r>
            <w:r w:rsidR="00A33B9F" w:rsidRPr="00A33B9F">
              <w:rPr>
                <w:rFonts w:ascii="Times New Roman" w:hAnsi="Times New Roman"/>
                <w:noProof/>
                <w:color w:val="000000" w:themeColor="text1"/>
                <w:sz w:val="18"/>
              </w:rPr>
              <w:t xml:space="preserve"> z gór</w:t>
            </w:r>
            <w:r w:rsidRPr="00A33B9F">
              <w:rPr>
                <w:rFonts w:ascii="Times New Roman" w:hAnsi="Times New Roman"/>
                <w:noProof/>
                <w:color w:val="000000" w:themeColor="text1"/>
                <w:sz w:val="18"/>
              </w:rPr>
              <w:t>y opłaty za patenty</w:t>
            </w:r>
            <w:r w:rsidR="00A33B9F" w:rsidRPr="00A33B9F">
              <w:rPr>
                <w:rFonts w:ascii="Times New Roman" w:hAnsi="Times New Roman"/>
                <w:noProof/>
                <w:color w:val="000000" w:themeColor="text1"/>
                <w:sz w:val="18"/>
              </w:rPr>
              <w:t xml:space="preserve"> i lic</w:t>
            </w:r>
            <w:r w:rsidRPr="00A33B9F">
              <w:rPr>
                <w:rFonts w:ascii="Times New Roman" w:hAnsi="Times New Roman"/>
                <w:noProof/>
                <w:color w:val="000000" w:themeColor="text1"/>
                <w:sz w:val="18"/>
              </w:rPr>
              <w:t>encje.</w:t>
            </w:r>
          </w:p>
          <w:p w14:paraId="4A786E69" w14:textId="17941C6B" w:rsidR="6E7F559E" w:rsidRPr="00A33B9F" w:rsidRDefault="6E7F559E" w:rsidP="6E7F559E">
            <w:pPr>
              <w:pStyle w:val="Normal0"/>
              <w:spacing w:after="0" w:line="240" w:lineRule="auto"/>
              <w:rPr>
                <w:rFonts w:ascii="Times New Roman" w:eastAsia="Times New Roman" w:hAnsi="Times New Roman" w:cs="Times New Roman"/>
                <w:noProof/>
                <w:color w:val="000000" w:themeColor="text1"/>
                <w:sz w:val="18"/>
                <w:szCs w:val="18"/>
              </w:rPr>
            </w:pPr>
          </w:p>
          <w:p w14:paraId="06BBB925" w14:textId="40C46459"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r w:rsidR="00C3621A" w:rsidRPr="00A33B9F">
              <w:rPr>
                <w:rFonts w:ascii="Times New Roman" w:hAnsi="Times New Roman"/>
                <w:noProof/>
                <w:color w:val="000000" w:themeColor="text1"/>
                <w:sz w:val="18"/>
              </w:rPr>
              <w:t xml:space="preserve"> </w:t>
            </w:r>
          </w:p>
          <w:p w14:paraId="3289AB0C" w14:textId="77777777"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p>
          <w:p w14:paraId="02F2C34E" w14:textId="79D9CD4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energii odnawialnej, gospodarki odpadami</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dków transportu.</w:t>
            </w:r>
          </w:p>
        </w:tc>
      </w:tr>
      <w:tr w:rsidR="00A06FB8" w:rsidRPr="00A33B9F" w14:paraId="756BD8A7"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4F76D" w14:textId="70F6FC03"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A24G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968D4A" w14:textId="1EFB9A8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A1.4.1 Inwestycje na rzecz dywersyfikacji</w:t>
            </w:r>
            <w:r w:rsidR="00A33B9F" w:rsidRPr="00A33B9F">
              <w:rPr>
                <w:rFonts w:ascii="Times New Roman" w:hAnsi="Times New Roman"/>
                <w:noProof/>
                <w:color w:val="000000"/>
                <w:sz w:val="18"/>
              </w:rPr>
              <w:t xml:space="preserve"> i skr</w:t>
            </w:r>
            <w:r w:rsidRPr="00A33B9F">
              <w:rPr>
                <w:rFonts w:ascii="Times New Roman" w:hAnsi="Times New Roman"/>
                <w:noProof/>
                <w:color w:val="000000"/>
                <w:sz w:val="18"/>
              </w:rPr>
              <w:t>acania łańcucha dostaw produktów rolnych</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żywczych oraz budowy odporności podmiotów uczestniczących</w:t>
            </w:r>
            <w:r w:rsidR="00A33B9F" w:rsidRPr="00A33B9F">
              <w:rPr>
                <w:rFonts w:ascii="Times New Roman" w:hAnsi="Times New Roman"/>
                <w:noProof/>
                <w:color w:val="000000"/>
                <w:sz w:val="18"/>
              </w:rPr>
              <w:t xml:space="preserve"> w łań</w:t>
            </w:r>
            <w:r w:rsidRPr="00A33B9F">
              <w:rPr>
                <w:rFonts w:ascii="Times New Roman" w:hAnsi="Times New Roman"/>
                <w:noProof/>
                <w:color w:val="000000"/>
                <w:sz w:val="18"/>
              </w:rPr>
              <w:t>cuchu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9BCD0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EA28BC" w14:textId="238EBB0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Organizacje charytatywne sektora spożywczego, które ukończyły projekty ukierunkowane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D1135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375F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31F93F"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86189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50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CBD161"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3799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BBD52" w14:textId="5D961A4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50 organizacji charytatywnych sektora spożywczego zakończyło realizację projektów ukierunkowanych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promowania wzorców bardziej zrównoważonego spożycia żywności,</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poprzez zapobieganie marnotrawieniu żywności. Inwestycje wspierają modernizację infrastruktury</w:t>
            </w:r>
            <w:r w:rsidR="00A33B9F" w:rsidRPr="00A33B9F">
              <w:rPr>
                <w:rFonts w:ascii="Times New Roman" w:hAnsi="Times New Roman"/>
                <w:noProof/>
                <w:color w:val="000000" w:themeColor="text1"/>
                <w:sz w:val="18"/>
              </w:rPr>
              <w:t xml:space="preserve"> w org</w:t>
            </w:r>
            <w:r w:rsidRPr="00A33B9F">
              <w:rPr>
                <w:rFonts w:ascii="Times New Roman" w:hAnsi="Times New Roman"/>
                <w:noProof/>
                <w:color w:val="000000" w:themeColor="text1"/>
                <w:sz w:val="18"/>
              </w:rPr>
              <w:t>anizacjach charytatywnych,</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w:t>
            </w:r>
            <w:r w:rsidRPr="00A33B9F">
              <w:rPr>
                <w:noProof/>
              </w:rPr>
              <w:t xml:space="preserve"> </w:t>
            </w:r>
            <w:r w:rsidRPr="00A33B9F">
              <w:rPr>
                <w:noProof/>
              </w:rPr>
              <w:br/>
            </w:r>
            <w:r w:rsidRPr="00A33B9F">
              <w:rPr>
                <w:rFonts w:ascii="Times New Roman" w:hAnsi="Times New Roman"/>
                <w:noProof/>
                <w:color w:val="000000" w:themeColor="text1"/>
                <w:sz w:val="18"/>
              </w:rPr>
              <w:t>1) budowę</w:t>
            </w:r>
            <w:r w:rsidR="00A33B9F" w:rsidRPr="00A33B9F">
              <w:rPr>
                <w:rFonts w:ascii="Times New Roman" w:hAnsi="Times New Roman"/>
                <w:noProof/>
                <w:color w:val="000000" w:themeColor="text1"/>
                <w:sz w:val="18"/>
              </w:rPr>
              <w:t xml:space="preserve"> i ada</w:t>
            </w:r>
            <w:r w:rsidRPr="00A33B9F">
              <w:rPr>
                <w:rFonts w:ascii="Times New Roman" w:hAnsi="Times New Roman"/>
                <w:noProof/>
                <w:color w:val="000000" w:themeColor="text1"/>
                <w:sz w:val="18"/>
              </w:rPr>
              <w:t>ptację istniejących budynków przeznaczonych do przechowywania, przygotowywania</w:t>
            </w:r>
            <w:r w:rsidR="00A33B9F" w:rsidRPr="00A33B9F">
              <w:rPr>
                <w:rFonts w:ascii="Times New Roman" w:hAnsi="Times New Roman"/>
                <w:noProof/>
                <w:color w:val="000000" w:themeColor="text1"/>
                <w:sz w:val="18"/>
              </w:rPr>
              <w:t xml:space="preserve"> i dys</w:t>
            </w:r>
            <w:r w:rsidRPr="00A33B9F">
              <w:rPr>
                <w:rFonts w:ascii="Times New Roman" w:hAnsi="Times New Roman"/>
                <w:noProof/>
                <w:color w:val="000000" w:themeColor="text1"/>
                <w:sz w:val="18"/>
              </w:rPr>
              <w:t>trybucji żywności;</w:t>
            </w:r>
            <w:r w:rsidRPr="00A33B9F">
              <w:rPr>
                <w:noProof/>
              </w:rPr>
              <w:t xml:space="preserve"> </w:t>
            </w:r>
            <w:r w:rsidRPr="00A33B9F">
              <w:rPr>
                <w:noProof/>
              </w:rPr>
              <w:br/>
            </w:r>
            <w:r w:rsidRPr="00A33B9F">
              <w:rPr>
                <w:rFonts w:ascii="Times New Roman" w:hAnsi="Times New Roman"/>
                <w:noProof/>
                <w:color w:val="000000" w:themeColor="text1"/>
                <w:sz w:val="18"/>
              </w:rPr>
              <w:t>2) zakup zbiorników chłodniczych, lodówek, zamrażarek</w:t>
            </w:r>
            <w:r w:rsidR="00A33B9F" w:rsidRPr="00A33B9F">
              <w:rPr>
                <w:rFonts w:ascii="Times New Roman" w:hAnsi="Times New Roman"/>
                <w:noProof/>
                <w:color w:val="000000" w:themeColor="text1"/>
                <w:sz w:val="18"/>
              </w:rPr>
              <w:t xml:space="preserve"> i agr</w:t>
            </w:r>
            <w:r w:rsidRPr="00A33B9F">
              <w:rPr>
                <w:rFonts w:ascii="Times New Roman" w:hAnsi="Times New Roman"/>
                <w:noProof/>
                <w:color w:val="000000" w:themeColor="text1"/>
                <w:sz w:val="18"/>
              </w:rPr>
              <w:t>egatów prądotwórczych;</w:t>
            </w:r>
            <w:r w:rsidRPr="00A33B9F">
              <w:rPr>
                <w:noProof/>
              </w:rPr>
              <w:t xml:space="preserve"> </w:t>
            </w:r>
            <w:r w:rsidRPr="00A33B9F">
              <w:rPr>
                <w:noProof/>
              </w:rPr>
              <w:br/>
            </w:r>
            <w:r w:rsidRPr="00A33B9F">
              <w:rPr>
                <w:rFonts w:ascii="Times New Roman" w:hAnsi="Times New Roman"/>
                <w:noProof/>
                <w:color w:val="000000" w:themeColor="text1"/>
                <w:sz w:val="18"/>
              </w:rPr>
              <w:t>3) zakup maszyn, urządzeń</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 do przetwarzania, przechowywania, pakowania</w:t>
            </w:r>
            <w:r w:rsidR="00A33B9F" w:rsidRPr="00A33B9F">
              <w:rPr>
                <w:rFonts w:ascii="Times New Roman" w:hAnsi="Times New Roman"/>
                <w:noProof/>
                <w:color w:val="000000" w:themeColor="text1"/>
                <w:sz w:val="18"/>
              </w:rPr>
              <w:t xml:space="preserve"> i dys</w:t>
            </w:r>
            <w:r w:rsidRPr="00A33B9F">
              <w:rPr>
                <w:rFonts w:ascii="Times New Roman" w:hAnsi="Times New Roman"/>
                <w:noProof/>
                <w:color w:val="000000" w:themeColor="text1"/>
                <w:sz w:val="18"/>
              </w:rPr>
              <w:t>trybucji produktów spożywczych</w:t>
            </w:r>
            <w:r w:rsidR="00A33B9F" w:rsidRPr="00A33B9F">
              <w:rPr>
                <w:rFonts w:ascii="Times New Roman" w:hAnsi="Times New Roman"/>
                <w:noProof/>
                <w:color w:val="000000" w:themeColor="text1"/>
                <w:sz w:val="18"/>
              </w:rPr>
              <w:t xml:space="preserve"> i pos</w:t>
            </w:r>
            <w:r w:rsidRPr="00A33B9F">
              <w:rPr>
                <w:rFonts w:ascii="Times New Roman" w:hAnsi="Times New Roman"/>
                <w:noProof/>
                <w:color w:val="000000" w:themeColor="text1"/>
                <w:sz w:val="18"/>
              </w:rPr>
              <w:t>iłków;</w:t>
            </w:r>
            <w:r w:rsidRPr="00A33B9F">
              <w:rPr>
                <w:noProof/>
              </w:rPr>
              <w:t xml:space="preserve"> </w:t>
            </w:r>
            <w:r w:rsidRPr="00A33B9F">
              <w:rPr>
                <w:noProof/>
              </w:rPr>
              <w:br/>
            </w:r>
            <w:r w:rsidRPr="00A33B9F">
              <w:rPr>
                <w:rFonts w:ascii="Times New Roman" w:hAnsi="Times New Roman"/>
                <w:noProof/>
                <w:color w:val="000000" w:themeColor="text1"/>
                <w:sz w:val="18"/>
              </w:rPr>
              <w:t>5) zakup urządzeń</w:t>
            </w:r>
            <w:r w:rsidR="00A33B9F" w:rsidRPr="00A33B9F">
              <w:rPr>
                <w:rFonts w:ascii="Times New Roman" w:hAnsi="Times New Roman"/>
                <w:noProof/>
                <w:color w:val="000000" w:themeColor="text1"/>
                <w:sz w:val="18"/>
              </w:rPr>
              <w:t xml:space="preserve"> i apl</w:t>
            </w:r>
            <w:r w:rsidRPr="00A33B9F">
              <w:rPr>
                <w:rFonts w:ascii="Times New Roman" w:hAnsi="Times New Roman"/>
                <w:noProof/>
                <w:color w:val="000000" w:themeColor="text1"/>
                <w:sz w:val="18"/>
              </w:rPr>
              <w:t>ikacji informatycznych do zarządzania procesami logistycznymi związanymi</w:t>
            </w:r>
            <w:r w:rsidR="00A33B9F" w:rsidRPr="00A33B9F">
              <w:rPr>
                <w:rFonts w:ascii="Times New Roman" w:hAnsi="Times New Roman"/>
                <w:noProof/>
                <w:color w:val="000000" w:themeColor="text1"/>
                <w:sz w:val="18"/>
              </w:rPr>
              <w:t xml:space="preserve"> z dys</w:t>
            </w:r>
            <w:r w:rsidRPr="00A33B9F">
              <w:rPr>
                <w:rFonts w:ascii="Times New Roman" w:hAnsi="Times New Roman"/>
                <w:noProof/>
                <w:color w:val="000000" w:themeColor="text1"/>
                <w:sz w:val="18"/>
              </w:rPr>
              <w:t>trybucją żywności;</w:t>
            </w:r>
            <w:r w:rsidRPr="00A33B9F">
              <w:rPr>
                <w:noProof/>
              </w:rPr>
              <w:t xml:space="preserve"> </w:t>
            </w:r>
            <w:r w:rsidRPr="00A33B9F">
              <w:rPr>
                <w:noProof/>
              </w:rPr>
              <w:br/>
            </w:r>
            <w:r w:rsidRPr="00A33B9F">
              <w:rPr>
                <w:rFonts w:ascii="Times New Roman" w:hAnsi="Times New Roman"/>
                <w:noProof/>
                <w:color w:val="000000" w:themeColor="text1"/>
                <w:sz w:val="18"/>
              </w:rPr>
              <w:t>6) zakup specjalistycznych środków transportu niezbędnych do odbioru</w:t>
            </w:r>
            <w:r w:rsidR="00A33B9F" w:rsidRPr="00A33B9F">
              <w:rPr>
                <w:rFonts w:ascii="Times New Roman" w:hAnsi="Times New Roman"/>
                <w:noProof/>
                <w:color w:val="000000" w:themeColor="text1"/>
                <w:sz w:val="18"/>
              </w:rPr>
              <w:t xml:space="preserve"> i tra</w:t>
            </w:r>
            <w:r w:rsidRPr="00A33B9F">
              <w:rPr>
                <w:rFonts w:ascii="Times New Roman" w:hAnsi="Times New Roman"/>
                <w:noProof/>
                <w:color w:val="000000" w:themeColor="text1"/>
                <w:sz w:val="18"/>
              </w:rPr>
              <w:t>nsportu żywności oraz do celów gospodarki magazynowej (takich jak furgonetka-bufet, izoterma, wózki widłowe</w:t>
            </w:r>
            <w:r w:rsidR="00A33B9F" w:rsidRPr="00A33B9F">
              <w:rPr>
                <w:rFonts w:ascii="Times New Roman" w:hAnsi="Times New Roman"/>
                <w:noProof/>
                <w:color w:val="000000" w:themeColor="text1"/>
                <w:sz w:val="18"/>
              </w:rPr>
              <w:t xml:space="preserve"> i dźw</w:t>
            </w:r>
            <w:r w:rsidRPr="00A33B9F">
              <w:rPr>
                <w:rFonts w:ascii="Times New Roman" w:hAnsi="Times New Roman"/>
                <w:noProof/>
                <w:color w:val="000000" w:themeColor="text1"/>
                <w:sz w:val="18"/>
              </w:rPr>
              <w:t>igi).</w:t>
            </w:r>
          </w:p>
          <w:p w14:paraId="35AB6B9B" w14:textId="77777777"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p>
          <w:p w14:paraId="417E8788" w14:textId="35B55DEF" w:rsidR="00BE1B25" w:rsidRPr="00A33B9F" w:rsidRDefault="00BE1B25" w:rsidP="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p>
          <w:p w14:paraId="70D64551" w14:textId="54A7CC9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energii odnawialnej, gospodarki odpadami</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dków transportu.</w:t>
            </w:r>
          </w:p>
        </w:tc>
      </w:tr>
      <w:tr w:rsidR="00A06FB8" w:rsidRPr="00A33B9F" w14:paraId="13080C89"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8EB8EE" w14:textId="4E2EEC43"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A25G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8C7D5" w14:textId="5AD0725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A1.4.1 Inwestycje na rzecz dywersyfikacji</w:t>
            </w:r>
            <w:r w:rsidR="00A33B9F" w:rsidRPr="00A33B9F">
              <w:rPr>
                <w:rFonts w:ascii="Times New Roman" w:hAnsi="Times New Roman"/>
                <w:noProof/>
                <w:color w:val="000000"/>
                <w:sz w:val="18"/>
              </w:rPr>
              <w:t xml:space="preserve"> i skr</w:t>
            </w:r>
            <w:r w:rsidRPr="00A33B9F">
              <w:rPr>
                <w:rFonts w:ascii="Times New Roman" w:hAnsi="Times New Roman"/>
                <w:noProof/>
                <w:color w:val="000000"/>
                <w:sz w:val="18"/>
              </w:rPr>
              <w:t>acania łańcucha dostaw produktów rolnych</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żywczych oraz budowy odporności podmiotów uczestniczących</w:t>
            </w:r>
            <w:r w:rsidR="00A33B9F" w:rsidRPr="00A33B9F">
              <w:rPr>
                <w:rFonts w:ascii="Times New Roman" w:hAnsi="Times New Roman"/>
                <w:noProof/>
                <w:color w:val="000000"/>
                <w:sz w:val="18"/>
              </w:rPr>
              <w:t xml:space="preserve"> w łań</w:t>
            </w:r>
            <w:r w:rsidRPr="00A33B9F">
              <w:rPr>
                <w:rFonts w:ascii="Times New Roman" w:hAnsi="Times New Roman"/>
                <w:noProof/>
                <w:color w:val="000000"/>
                <w:sz w:val="18"/>
              </w:rPr>
              <w:t>cuchu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43153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78EC08" w14:textId="552FE4B0" w:rsidR="00BE1B25" w:rsidRPr="00A33B9F" w:rsidRDefault="6614B9F2" w:rsidP="00BE1B25">
            <w:pPr>
              <w:pStyle w:val="Normal0"/>
              <w:pBdr>
                <w:top w:val="nil"/>
                <w:left w:val="nil"/>
                <w:bottom w:val="nil"/>
                <w:right w:val="nil"/>
                <w:between w:val="nil"/>
              </w:pBdr>
              <w:spacing w:after="0" w:line="240" w:lineRule="auto"/>
              <w:rPr>
                <w:rFonts w:ascii="Times New Roman" w:hAnsi="Times New Roman" w:cs="Times New Roman"/>
                <w:noProof/>
                <w:sz w:val="18"/>
                <w:szCs w:val="18"/>
              </w:rPr>
            </w:pPr>
            <w:r w:rsidRPr="00A33B9F">
              <w:rPr>
                <w:rFonts w:ascii="Times New Roman" w:hAnsi="Times New Roman"/>
                <w:noProof/>
                <w:sz w:val="18"/>
              </w:rPr>
              <w:t>Rolnicy</w:t>
            </w:r>
            <w:r w:rsidR="00A33B9F" w:rsidRPr="00A33B9F">
              <w:rPr>
                <w:rFonts w:ascii="Times New Roman" w:hAnsi="Times New Roman"/>
                <w:noProof/>
                <w:sz w:val="18"/>
              </w:rPr>
              <w:t xml:space="preserve"> i ryb</w:t>
            </w:r>
            <w:r w:rsidRPr="00A33B9F">
              <w:rPr>
                <w:rFonts w:ascii="Times New Roman" w:hAnsi="Times New Roman"/>
                <w:noProof/>
                <w:sz w:val="18"/>
              </w:rPr>
              <w:t>acy, którzy zakończyli realizację projektów ukierunkowanych na modernizację infrastruktury</w:t>
            </w:r>
            <w:r w:rsidR="00A33B9F" w:rsidRPr="00A33B9F">
              <w:rPr>
                <w:rFonts w:ascii="Times New Roman" w:hAnsi="Times New Roman"/>
                <w:noProof/>
                <w:sz w:val="18"/>
              </w:rPr>
              <w:t xml:space="preserve"> i wyp</w:t>
            </w:r>
            <w:r w:rsidRPr="00A33B9F">
              <w:rPr>
                <w:rFonts w:ascii="Times New Roman" w:hAnsi="Times New Roman"/>
                <w:noProof/>
                <w:sz w:val="18"/>
              </w:rPr>
              <w:t>osażenia, skracają łańcuchy zaopatrzenia</w:t>
            </w:r>
            <w:r w:rsidR="00A33B9F" w:rsidRPr="00A33B9F">
              <w:rPr>
                <w:rFonts w:ascii="Times New Roman" w:hAnsi="Times New Roman"/>
                <w:noProof/>
                <w:sz w:val="18"/>
              </w:rPr>
              <w:t xml:space="preserve"> w żyw</w:t>
            </w:r>
            <w:r w:rsidRPr="00A33B9F">
              <w:rPr>
                <w:rFonts w:ascii="Times New Roman" w:hAnsi="Times New Roman"/>
                <w:noProof/>
                <w:sz w:val="18"/>
              </w:rPr>
              <w:t>ność</w:t>
            </w:r>
            <w:r w:rsidR="00A33B9F" w:rsidRPr="00A33B9F">
              <w:rPr>
                <w:rFonts w:ascii="Times New Roman" w:hAnsi="Times New Roman"/>
                <w:noProof/>
                <w:sz w:val="18"/>
              </w:rPr>
              <w:t xml:space="preserve"> i wdr</w:t>
            </w:r>
            <w:r w:rsidRPr="00A33B9F">
              <w:rPr>
                <w:rFonts w:ascii="Times New Roman" w:hAnsi="Times New Roman"/>
                <w:noProof/>
                <w:sz w:val="18"/>
              </w:rPr>
              <w:t>ażają rozwiązania</w:t>
            </w:r>
            <w:r w:rsidR="00A33B9F" w:rsidRPr="00A33B9F">
              <w:rPr>
                <w:rFonts w:ascii="Times New Roman" w:hAnsi="Times New Roman"/>
                <w:noProof/>
                <w:sz w:val="18"/>
              </w:rPr>
              <w:t xml:space="preserve"> w zak</w:t>
            </w:r>
            <w:r w:rsidRPr="00A33B9F">
              <w:rPr>
                <w:rFonts w:ascii="Times New Roman" w:hAnsi="Times New Roman"/>
                <w:noProof/>
                <w:sz w:val="18"/>
              </w:rPr>
              <w:t>resie rolnictwa 4.0</w:t>
            </w:r>
            <w:r w:rsidR="00A33B9F" w:rsidRPr="00A33B9F">
              <w:rPr>
                <w:rFonts w:ascii="Times New Roman" w:hAnsi="Times New Roman"/>
                <w:noProof/>
                <w:sz w:val="18"/>
              </w:rPr>
              <w:t xml:space="preserve"> w ram</w:t>
            </w:r>
            <w:r w:rsidRPr="00A33B9F">
              <w:rPr>
                <w:rFonts w:ascii="Times New Roman" w:hAnsi="Times New Roman"/>
                <w:noProof/>
                <w:sz w:val="18"/>
              </w:rPr>
              <w:t>ach procesów produkcji.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6E82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FB925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13FF8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71A78E" w14:textId="3F4B43A6"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5 764</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F537B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C50701"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78959" w14:textId="44925C2A" w:rsidR="00360ACF" w:rsidRPr="00A33B9F" w:rsidRDefault="1FCA9C2F" w:rsidP="003D599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5 764 rolników</w:t>
            </w:r>
            <w:r w:rsidR="00A33B9F" w:rsidRPr="00A33B9F">
              <w:rPr>
                <w:rFonts w:ascii="Times New Roman" w:hAnsi="Times New Roman"/>
                <w:noProof/>
                <w:color w:val="000000" w:themeColor="text1"/>
                <w:sz w:val="18"/>
              </w:rPr>
              <w:t xml:space="preserve"> i ryb</w:t>
            </w:r>
            <w:r w:rsidRPr="00A33B9F">
              <w:rPr>
                <w:rFonts w:ascii="Times New Roman" w:hAnsi="Times New Roman"/>
                <w:noProof/>
                <w:color w:val="000000" w:themeColor="text1"/>
                <w:sz w:val="18"/>
              </w:rPr>
              <w:t>aków zakończyło realizację projektów ukierunkowanych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zwiększenia ich odporności na przyszłe kryzysy</w:t>
            </w:r>
            <w:r w:rsidR="00A33B9F" w:rsidRPr="00A33B9F">
              <w:rPr>
                <w:rFonts w:ascii="Times New Roman" w:hAnsi="Times New Roman"/>
                <w:noProof/>
                <w:color w:val="000000" w:themeColor="text1"/>
                <w:sz w:val="18"/>
              </w:rPr>
              <w:t xml:space="preserve"> i wzm</w:t>
            </w:r>
            <w:r w:rsidRPr="00A33B9F">
              <w:rPr>
                <w:rFonts w:ascii="Times New Roman" w:hAnsi="Times New Roman"/>
                <w:noProof/>
                <w:color w:val="000000" w:themeColor="text1"/>
                <w:sz w:val="18"/>
              </w:rPr>
              <w:t>ocnienia wzorców zrównoważonej produkcji, skrócenia łańcuchów dostaw</w:t>
            </w:r>
            <w:r w:rsidR="00A33B9F" w:rsidRPr="00A33B9F">
              <w:rPr>
                <w:rFonts w:ascii="Times New Roman" w:hAnsi="Times New Roman"/>
                <w:noProof/>
                <w:color w:val="000000" w:themeColor="text1"/>
                <w:sz w:val="18"/>
              </w:rPr>
              <w:t xml:space="preserve"> i wsp</w:t>
            </w:r>
            <w:r w:rsidRPr="00A33B9F">
              <w:rPr>
                <w:rFonts w:ascii="Times New Roman" w:hAnsi="Times New Roman"/>
                <w:noProof/>
                <w:color w:val="000000" w:themeColor="text1"/>
                <w:sz w:val="18"/>
              </w:rPr>
              <w:t>ierania technologii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 xml:space="preserve">resie rolnictwa 4.0. </w:t>
            </w:r>
          </w:p>
          <w:p w14:paraId="3C466FBF" w14:textId="53884EE5" w:rsidR="00BE1B25" w:rsidRPr="00A33B9F" w:rsidRDefault="5F68B168" w:rsidP="00C2097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Inwestycje obejmują:</w:t>
            </w:r>
          </w:p>
          <w:p w14:paraId="46736703" w14:textId="212FAC39" w:rsidR="00BE1B25" w:rsidRPr="00A33B9F" w:rsidRDefault="1E6A7B96" w:rsidP="00C2097E">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 budowę</w:t>
            </w:r>
            <w:r w:rsidR="00A33B9F" w:rsidRPr="00A33B9F">
              <w:rPr>
                <w:rFonts w:ascii="Times New Roman" w:hAnsi="Times New Roman"/>
                <w:noProof/>
                <w:color w:val="000000" w:themeColor="text1"/>
                <w:sz w:val="18"/>
              </w:rPr>
              <w:t xml:space="preserve"> i mod</w:t>
            </w:r>
            <w:r w:rsidRPr="00A33B9F">
              <w:rPr>
                <w:rFonts w:ascii="Times New Roman" w:hAnsi="Times New Roman"/>
                <w:noProof/>
                <w:color w:val="000000" w:themeColor="text1"/>
                <w:sz w:val="18"/>
              </w:rPr>
              <w:t>ernizację budynków</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rastruktury na potrzeby przetwarzania</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echowywania produktów rolnych,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 oraz produktów spożywczych przez rolników. Zakres wsparcia obejmuje również wymianę materiałów szkodliwych dla środowiska</w:t>
            </w:r>
            <w:r w:rsidR="00A33B9F" w:rsidRPr="00A33B9F">
              <w:rPr>
                <w:rFonts w:ascii="Times New Roman" w:hAnsi="Times New Roman"/>
                <w:noProof/>
                <w:color w:val="000000" w:themeColor="text1"/>
                <w:sz w:val="18"/>
              </w:rPr>
              <w:t xml:space="preserve"> i zdr</w:t>
            </w:r>
            <w:r w:rsidRPr="00A33B9F">
              <w:rPr>
                <w:rFonts w:ascii="Times New Roman" w:hAnsi="Times New Roman"/>
                <w:noProof/>
                <w:color w:val="000000" w:themeColor="text1"/>
                <w:sz w:val="18"/>
              </w:rPr>
              <w:t>owia</w:t>
            </w:r>
            <w:r w:rsidR="00A33B9F" w:rsidRPr="00A33B9F">
              <w:rPr>
                <w:rFonts w:ascii="Times New Roman" w:hAnsi="Times New Roman"/>
                <w:noProof/>
                <w:color w:val="000000" w:themeColor="text1"/>
                <w:sz w:val="18"/>
              </w:rPr>
              <w:t xml:space="preserve"> w bud</w:t>
            </w:r>
            <w:r w:rsidRPr="00A33B9F">
              <w:rPr>
                <w:rFonts w:ascii="Times New Roman" w:hAnsi="Times New Roman"/>
                <w:noProof/>
                <w:color w:val="000000" w:themeColor="text1"/>
                <w:sz w:val="18"/>
              </w:rPr>
              <w:t>ynkach wykorzystywanych do produkcji rolnej lub na gruntach wykorzystywanych do produkcji rolnej;</w:t>
            </w:r>
          </w:p>
          <w:p w14:paraId="0E8CC00B" w14:textId="3C884E6D" w:rsidR="00BE1B25" w:rsidRPr="00A33B9F"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 budowę instalacji do odzyskiwania ciepła, pieców na biomasę oraz chłodziarek</w:t>
            </w:r>
            <w:r w:rsidR="00A33B9F" w:rsidRPr="00A33B9F">
              <w:rPr>
                <w:rFonts w:ascii="Times New Roman" w:hAnsi="Times New Roman"/>
                <w:noProof/>
                <w:color w:val="000000" w:themeColor="text1"/>
                <w:sz w:val="18"/>
              </w:rPr>
              <w:t xml:space="preserve"> o ogr</w:t>
            </w:r>
            <w:r w:rsidRPr="00A33B9F">
              <w:rPr>
                <w:rFonts w:ascii="Times New Roman" w:hAnsi="Times New Roman"/>
                <w:noProof/>
                <w:color w:val="000000" w:themeColor="text1"/>
                <w:sz w:val="18"/>
              </w:rPr>
              <w:t>aniczonym lub neutralnym wpływie na środowisko. Zakres wsparcia obejmuje również termomodernizację budynków, budowę zakładów magazynowania odpadów</w:t>
            </w:r>
            <w:r w:rsidR="00A33B9F" w:rsidRPr="00A33B9F">
              <w:rPr>
                <w:rFonts w:ascii="Times New Roman" w:hAnsi="Times New Roman"/>
                <w:noProof/>
                <w:color w:val="000000" w:themeColor="text1"/>
                <w:sz w:val="18"/>
              </w:rPr>
              <w:t xml:space="preserve"> i gos</w:t>
            </w:r>
            <w:r w:rsidRPr="00A33B9F">
              <w:rPr>
                <w:rFonts w:ascii="Times New Roman" w:hAnsi="Times New Roman"/>
                <w:noProof/>
                <w:color w:val="000000" w:themeColor="text1"/>
                <w:sz w:val="18"/>
              </w:rPr>
              <w:t>podarowania odpadami, oczyszczalni ścieków</w:t>
            </w:r>
            <w:r w:rsidR="00A33B9F" w:rsidRPr="00A33B9F">
              <w:rPr>
                <w:rFonts w:ascii="Times New Roman" w:hAnsi="Times New Roman"/>
                <w:noProof/>
                <w:color w:val="000000" w:themeColor="text1"/>
                <w:sz w:val="18"/>
              </w:rPr>
              <w:t xml:space="preserve"> i wyt</w:t>
            </w:r>
            <w:r w:rsidRPr="00A33B9F">
              <w:rPr>
                <w:rFonts w:ascii="Times New Roman" w:hAnsi="Times New Roman"/>
                <w:noProof/>
                <w:color w:val="000000" w:themeColor="text1"/>
                <w:sz w:val="18"/>
              </w:rPr>
              <w:t>wórni biogazu,</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zakup paneli fotowoltaicznych</w:t>
            </w:r>
            <w:r w:rsidR="00A33B9F" w:rsidRPr="00A33B9F">
              <w:rPr>
                <w:rFonts w:ascii="Times New Roman" w:hAnsi="Times New Roman"/>
                <w:noProof/>
                <w:color w:val="000000" w:themeColor="text1"/>
                <w:sz w:val="18"/>
              </w:rPr>
              <w:t xml:space="preserve"> i sło</w:t>
            </w:r>
            <w:r w:rsidRPr="00A33B9F">
              <w:rPr>
                <w:rFonts w:ascii="Times New Roman" w:hAnsi="Times New Roman"/>
                <w:noProof/>
                <w:color w:val="000000" w:themeColor="text1"/>
                <w:sz w:val="18"/>
              </w:rPr>
              <w:t>necznych;</w:t>
            </w:r>
          </w:p>
          <w:p w14:paraId="13257AEE" w14:textId="1929ECD9" w:rsidR="00BE1B25" w:rsidRPr="00A33B9F"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3)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maszyn</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ądzeń do produkcji, przetwarzania</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echowywania produktów rolnych oraz produktów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 przez rolników;</w:t>
            </w:r>
          </w:p>
          <w:p w14:paraId="3738661D" w14:textId="3C1FCAC0" w:rsidR="00BE1B25" w:rsidRPr="00A33B9F" w:rsidRDefault="626469EA"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4) budowa lub modernizacja miejsc bezpośredniej sprzedaży lokalnych produktów spożywczych. Powinno objąć to rozbudowę, adaptację</w:t>
            </w:r>
            <w:r w:rsidR="00A33B9F" w:rsidRPr="00A33B9F">
              <w:rPr>
                <w:rFonts w:ascii="Times New Roman" w:hAnsi="Times New Roman"/>
                <w:noProof/>
                <w:color w:val="000000" w:themeColor="text1"/>
                <w:sz w:val="18"/>
              </w:rPr>
              <w:t xml:space="preserve"> i bud</w:t>
            </w:r>
            <w:r w:rsidRPr="00A33B9F">
              <w:rPr>
                <w:rFonts w:ascii="Times New Roman" w:hAnsi="Times New Roman"/>
                <w:noProof/>
                <w:color w:val="000000" w:themeColor="text1"/>
                <w:sz w:val="18"/>
              </w:rPr>
              <w:t>owę pomieszczeń bezpośredniej sprzedaży,</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zakup odpowiedniego wyposażenia, takiego jak lodówki, zamrażarki oraz maszyny</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ądzenia służące do przetwarzania;</w:t>
            </w:r>
            <w:r w:rsidR="00C3621A" w:rsidRPr="00A33B9F">
              <w:rPr>
                <w:rFonts w:ascii="Times New Roman" w:hAnsi="Times New Roman"/>
                <w:noProof/>
                <w:color w:val="000000" w:themeColor="text1"/>
                <w:sz w:val="18"/>
              </w:rPr>
              <w:t xml:space="preserve"> </w:t>
            </w:r>
          </w:p>
          <w:p w14:paraId="1B02CF25" w14:textId="02DD04B1" w:rsidR="00BE1B25" w:rsidRPr="00A33B9F"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5)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systemów informatycznych</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wiązań cyfrowych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rolnictwa 4.0 do obsługi procesów produkcji</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produktów rolno-spożywczych. Obejmuje to zakup maszyn, sprzętu</w:t>
            </w:r>
            <w:r w:rsidR="00A33B9F" w:rsidRPr="00A33B9F">
              <w:rPr>
                <w:rFonts w:ascii="Times New Roman" w:hAnsi="Times New Roman"/>
                <w:noProof/>
                <w:color w:val="000000" w:themeColor="text1"/>
                <w:sz w:val="18"/>
              </w:rPr>
              <w:t xml:space="preserve"> i opr</w:t>
            </w:r>
            <w:r w:rsidRPr="00A33B9F">
              <w:rPr>
                <w:rFonts w:ascii="Times New Roman" w:hAnsi="Times New Roman"/>
                <w:noProof/>
                <w:color w:val="000000" w:themeColor="text1"/>
                <w:sz w:val="18"/>
              </w:rPr>
              <w:t>ogramowania do tych celów,</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czujników, sprzętu informatycznego</w:t>
            </w:r>
            <w:r w:rsidR="00A33B9F" w:rsidRPr="00A33B9F">
              <w:rPr>
                <w:rFonts w:ascii="Times New Roman" w:hAnsi="Times New Roman"/>
                <w:noProof/>
                <w:color w:val="000000" w:themeColor="text1"/>
                <w:sz w:val="18"/>
              </w:rPr>
              <w:t xml:space="preserve"> i apl</w:t>
            </w:r>
            <w:r w:rsidRPr="00A33B9F">
              <w:rPr>
                <w:rFonts w:ascii="Times New Roman" w:hAnsi="Times New Roman"/>
                <w:noProof/>
                <w:color w:val="000000" w:themeColor="text1"/>
                <w:sz w:val="18"/>
              </w:rPr>
              <w:t>ikacji oprogramowania komputerowego;</w:t>
            </w:r>
            <w:r w:rsidR="00C3621A" w:rsidRPr="00A33B9F">
              <w:rPr>
                <w:rFonts w:ascii="Times New Roman" w:hAnsi="Times New Roman"/>
                <w:noProof/>
                <w:color w:val="000000" w:themeColor="text1"/>
                <w:sz w:val="18"/>
              </w:rPr>
              <w:t xml:space="preserve"> </w:t>
            </w:r>
          </w:p>
          <w:p w14:paraId="65590E18" w14:textId="3FA9F8AE" w:rsidR="00BE1B25" w:rsidRPr="00A33B9F" w:rsidRDefault="33034DA5"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6) zakup zeroemisyjnych/niskoemisyjnych specjalistycznych pojazdów transportowych, takich jak samochody ciężarowe chłodnie, pojazdy-cysterny oraz izotermy,</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wspierania sprzedaży obwoźnej produktów rolno-spożywczych lub ich transportu „od drzwi do drzwi”;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7) stworzenie narzędzi internetowych do sprzedaży produktów rolnych, rybołówstwa, akwakultury oraz produktów spożywczych,</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wsparcie</w:t>
            </w:r>
            <w:r w:rsidR="00A33B9F" w:rsidRPr="00A33B9F">
              <w:rPr>
                <w:rFonts w:ascii="Times New Roman" w:hAnsi="Times New Roman"/>
                <w:noProof/>
                <w:color w:val="000000" w:themeColor="text1"/>
                <w:sz w:val="18"/>
              </w:rPr>
              <w:t xml:space="preserve"> w org</w:t>
            </w:r>
            <w:r w:rsidRPr="00A33B9F">
              <w:rPr>
                <w:rFonts w:ascii="Times New Roman" w:hAnsi="Times New Roman"/>
                <w:noProof/>
                <w:color w:val="000000" w:themeColor="text1"/>
                <w:sz w:val="18"/>
              </w:rPr>
              <w:t>anizowaniu dostaw;</w:t>
            </w:r>
          </w:p>
          <w:p w14:paraId="342264CD" w14:textId="257D49CB" w:rsidR="00BE1B25" w:rsidRPr="00A33B9F" w:rsidRDefault="4A43F2CF" w:rsidP="00730F7D">
            <w:pPr>
              <w:pBdr>
                <w:top w:val="nil"/>
                <w:left w:val="nil"/>
                <w:bottom w:val="nil"/>
                <w:right w:val="nil"/>
                <w:between w:val="nil"/>
              </w:pBdr>
              <w:spacing w:after="16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8) płatne</w:t>
            </w:r>
            <w:r w:rsidR="00A33B9F" w:rsidRPr="00A33B9F">
              <w:rPr>
                <w:rFonts w:ascii="Times New Roman" w:hAnsi="Times New Roman"/>
                <w:noProof/>
                <w:color w:val="000000" w:themeColor="text1"/>
                <w:sz w:val="18"/>
              </w:rPr>
              <w:t xml:space="preserve"> z gór</w:t>
            </w:r>
            <w:r w:rsidRPr="00A33B9F">
              <w:rPr>
                <w:rFonts w:ascii="Times New Roman" w:hAnsi="Times New Roman"/>
                <w:noProof/>
                <w:color w:val="000000" w:themeColor="text1"/>
                <w:sz w:val="18"/>
              </w:rPr>
              <w:t>y opłaty za patenty</w:t>
            </w:r>
            <w:r w:rsidR="00A33B9F" w:rsidRPr="00A33B9F">
              <w:rPr>
                <w:rFonts w:ascii="Times New Roman" w:hAnsi="Times New Roman"/>
                <w:noProof/>
                <w:color w:val="000000" w:themeColor="text1"/>
                <w:sz w:val="18"/>
              </w:rPr>
              <w:t xml:space="preserve"> i lic</w:t>
            </w:r>
            <w:r w:rsidRPr="00A33B9F">
              <w:rPr>
                <w:rFonts w:ascii="Times New Roman" w:hAnsi="Times New Roman"/>
                <w:noProof/>
                <w:color w:val="000000" w:themeColor="text1"/>
                <w:sz w:val="18"/>
              </w:rPr>
              <w:t>encje.</w:t>
            </w:r>
          </w:p>
          <w:p w14:paraId="3744D6B9" w14:textId="14E57EAB" w:rsidR="00BE1B25" w:rsidRPr="00A33B9F" w:rsidRDefault="00BE1B25" w:rsidP="00C2097E">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r w:rsidR="00C3621A" w:rsidRPr="00A33B9F">
              <w:rPr>
                <w:rFonts w:ascii="Times New Roman" w:hAnsi="Times New Roman"/>
                <w:noProof/>
                <w:color w:val="000000" w:themeColor="text1"/>
                <w:sz w:val="18"/>
              </w:rPr>
              <w:t xml:space="preserve"> </w:t>
            </w:r>
          </w:p>
          <w:p w14:paraId="640850CC" w14:textId="0581B74A" w:rsidR="00BE1B25" w:rsidRPr="00A33B9F" w:rsidRDefault="00BE1B25" w:rsidP="00C2097E">
            <w:pPr>
              <w:pStyle w:val="Normal0"/>
              <w:spacing w:after="0" w:line="240" w:lineRule="auto"/>
              <w:rPr>
                <w:rFonts w:ascii="Times New Roman" w:eastAsia="Times New Roman" w:hAnsi="Times New Roman" w:cs="Times New Roman"/>
                <w:noProof/>
                <w:color w:val="000000" w:themeColor="text1"/>
                <w:sz w:val="18"/>
                <w:szCs w:val="18"/>
              </w:rPr>
            </w:pPr>
          </w:p>
          <w:p w14:paraId="16D6A936" w14:textId="445CDE27" w:rsidR="00BE1B25" w:rsidRPr="00A33B9F" w:rsidRDefault="00BE1B25" w:rsidP="00C2097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energii odnawialnej, gospodarki odpadami, bioróżnorodności</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dków transportu.</w:t>
            </w:r>
          </w:p>
        </w:tc>
      </w:tr>
      <w:tr w:rsidR="00A06FB8" w:rsidRPr="00A33B9F" w14:paraId="15A82A32" w14:textId="77777777" w:rsidTr="3FFE86F7">
        <w:trPr>
          <w:trHeight w:val="313"/>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DD700" w14:textId="792A92D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A26G</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4BEAA" w14:textId="7E9C69B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A1.4.1 Inwestycje na rzecz dywersyfikacji</w:t>
            </w:r>
            <w:r w:rsidR="00A33B9F" w:rsidRPr="00A33B9F">
              <w:rPr>
                <w:rFonts w:ascii="Times New Roman" w:hAnsi="Times New Roman"/>
                <w:noProof/>
                <w:color w:val="000000"/>
                <w:sz w:val="18"/>
              </w:rPr>
              <w:t xml:space="preserve"> i skr</w:t>
            </w:r>
            <w:r w:rsidRPr="00A33B9F">
              <w:rPr>
                <w:rFonts w:ascii="Times New Roman" w:hAnsi="Times New Roman"/>
                <w:noProof/>
                <w:color w:val="000000"/>
                <w:sz w:val="18"/>
              </w:rPr>
              <w:t>acania łańcucha dostaw produktów rolnych</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żywczych oraz budowy odporności podmiotów uczestniczących</w:t>
            </w:r>
            <w:r w:rsidR="00A33B9F" w:rsidRPr="00A33B9F">
              <w:rPr>
                <w:rFonts w:ascii="Times New Roman" w:hAnsi="Times New Roman"/>
                <w:noProof/>
                <w:color w:val="000000"/>
                <w:sz w:val="18"/>
              </w:rPr>
              <w:t xml:space="preserve"> w łań</w:t>
            </w:r>
            <w:r w:rsidRPr="00A33B9F">
              <w:rPr>
                <w:rFonts w:ascii="Times New Roman" w:hAnsi="Times New Roman"/>
                <w:noProof/>
                <w:color w:val="000000"/>
                <w:sz w:val="18"/>
              </w:rPr>
              <w:t>cuchu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27E4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312A2" w14:textId="01A24B68" w:rsidR="00BE1B25" w:rsidRPr="00A33B9F" w:rsidRDefault="386966FB" w:rsidP="00BE1B25">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Rolnicy</w:t>
            </w:r>
            <w:r w:rsidR="00A33B9F" w:rsidRPr="00A33B9F">
              <w:rPr>
                <w:rFonts w:ascii="Times New Roman" w:hAnsi="Times New Roman"/>
                <w:noProof/>
                <w:sz w:val="18"/>
              </w:rPr>
              <w:t xml:space="preserve"> i ryb</w:t>
            </w:r>
            <w:r w:rsidRPr="00A33B9F">
              <w:rPr>
                <w:rFonts w:ascii="Times New Roman" w:hAnsi="Times New Roman"/>
                <w:noProof/>
                <w:sz w:val="18"/>
              </w:rPr>
              <w:t>acy, którzy zakończyli realizację projektów ukierunkowanych na modernizację infrastruktury</w:t>
            </w:r>
            <w:r w:rsidR="00A33B9F" w:rsidRPr="00A33B9F">
              <w:rPr>
                <w:rFonts w:ascii="Times New Roman" w:hAnsi="Times New Roman"/>
                <w:noProof/>
                <w:sz w:val="18"/>
              </w:rPr>
              <w:t xml:space="preserve"> i wyp</w:t>
            </w:r>
            <w:r w:rsidRPr="00A33B9F">
              <w:rPr>
                <w:rFonts w:ascii="Times New Roman" w:hAnsi="Times New Roman"/>
                <w:noProof/>
                <w:sz w:val="18"/>
              </w:rPr>
              <w:t>osażenia, skracają łańcuchy zaopatrzenia</w:t>
            </w:r>
            <w:r w:rsidR="00A33B9F" w:rsidRPr="00A33B9F">
              <w:rPr>
                <w:rFonts w:ascii="Times New Roman" w:hAnsi="Times New Roman"/>
                <w:noProof/>
                <w:sz w:val="18"/>
              </w:rPr>
              <w:t xml:space="preserve"> w żyw</w:t>
            </w:r>
            <w:r w:rsidRPr="00A33B9F">
              <w:rPr>
                <w:rFonts w:ascii="Times New Roman" w:hAnsi="Times New Roman"/>
                <w:noProof/>
                <w:sz w:val="18"/>
              </w:rPr>
              <w:t>ność</w:t>
            </w:r>
            <w:r w:rsidR="00A33B9F" w:rsidRPr="00A33B9F">
              <w:rPr>
                <w:rFonts w:ascii="Times New Roman" w:hAnsi="Times New Roman"/>
                <w:noProof/>
                <w:sz w:val="18"/>
              </w:rPr>
              <w:t xml:space="preserve"> i wdr</w:t>
            </w:r>
            <w:r w:rsidRPr="00A33B9F">
              <w:rPr>
                <w:rFonts w:ascii="Times New Roman" w:hAnsi="Times New Roman"/>
                <w:noProof/>
                <w:sz w:val="18"/>
              </w:rPr>
              <w:t>ażają rozwiązania</w:t>
            </w:r>
            <w:r w:rsidR="00A33B9F" w:rsidRPr="00A33B9F">
              <w:rPr>
                <w:rFonts w:ascii="Times New Roman" w:hAnsi="Times New Roman"/>
                <w:noProof/>
                <w:sz w:val="18"/>
              </w:rPr>
              <w:t xml:space="preserve"> w zak</w:t>
            </w:r>
            <w:r w:rsidRPr="00A33B9F">
              <w:rPr>
                <w:rFonts w:ascii="Times New Roman" w:hAnsi="Times New Roman"/>
                <w:noProof/>
                <w:sz w:val="18"/>
              </w:rPr>
              <w:t>resie rolnictwa 4.0</w:t>
            </w:r>
            <w:r w:rsidR="00A33B9F" w:rsidRPr="00A33B9F">
              <w:rPr>
                <w:rFonts w:ascii="Times New Roman" w:hAnsi="Times New Roman"/>
                <w:noProof/>
                <w:sz w:val="18"/>
              </w:rPr>
              <w:t xml:space="preserve"> w ram</w:t>
            </w:r>
            <w:r w:rsidRPr="00A33B9F">
              <w:rPr>
                <w:rFonts w:ascii="Times New Roman" w:hAnsi="Times New Roman"/>
                <w:noProof/>
                <w:sz w:val="18"/>
              </w:rPr>
              <w:t>ach procesów produkcji.</w:t>
            </w:r>
          </w:p>
          <w:p w14:paraId="30593F10" w14:textId="749B302F"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DA28F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5BCDC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96B3F4" w14:textId="0EFD8A3C"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5 764</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5CE305" w14:textId="7BB6C2C6"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11 527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5802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3912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7F6468" w14:textId="26187E33" w:rsidR="6B50B275" w:rsidRPr="00A33B9F" w:rsidRDefault="1FCA9C2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11 527 rolników</w:t>
            </w:r>
            <w:r w:rsidR="00A33B9F" w:rsidRPr="00A33B9F">
              <w:rPr>
                <w:rFonts w:ascii="Times New Roman" w:hAnsi="Times New Roman"/>
                <w:noProof/>
                <w:color w:val="000000" w:themeColor="text1"/>
                <w:sz w:val="18"/>
              </w:rPr>
              <w:t xml:space="preserve"> i ryb</w:t>
            </w:r>
            <w:r w:rsidRPr="00A33B9F">
              <w:rPr>
                <w:rFonts w:ascii="Times New Roman" w:hAnsi="Times New Roman"/>
                <w:noProof/>
                <w:color w:val="000000" w:themeColor="text1"/>
                <w:sz w:val="18"/>
              </w:rPr>
              <w:t>aków zakończyło realizację projektów ukierunkowanych na modernizację infrastruktury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osażenia</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zwiększenia ich odporności na przyszłe kryzysy</w:t>
            </w:r>
            <w:r w:rsidR="00A33B9F" w:rsidRPr="00A33B9F">
              <w:rPr>
                <w:rFonts w:ascii="Times New Roman" w:hAnsi="Times New Roman"/>
                <w:noProof/>
                <w:color w:val="000000" w:themeColor="text1"/>
                <w:sz w:val="18"/>
              </w:rPr>
              <w:t xml:space="preserve"> i wzm</w:t>
            </w:r>
            <w:r w:rsidRPr="00A33B9F">
              <w:rPr>
                <w:rFonts w:ascii="Times New Roman" w:hAnsi="Times New Roman"/>
                <w:noProof/>
                <w:color w:val="000000" w:themeColor="text1"/>
                <w:sz w:val="18"/>
              </w:rPr>
              <w:t>ocnienia wzorców zrównoważonej produkcji, skrócenia łańcuchów dostaw</w:t>
            </w:r>
            <w:r w:rsidR="00A33B9F" w:rsidRPr="00A33B9F">
              <w:rPr>
                <w:rFonts w:ascii="Times New Roman" w:hAnsi="Times New Roman"/>
                <w:noProof/>
                <w:color w:val="000000" w:themeColor="text1"/>
                <w:sz w:val="18"/>
              </w:rPr>
              <w:t xml:space="preserve"> i wsp</w:t>
            </w:r>
            <w:r w:rsidRPr="00A33B9F">
              <w:rPr>
                <w:rFonts w:ascii="Times New Roman" w:hAnsi="Times New Roman"/>
                <w:noProof/>
                <w:color w:val="000000" w:themeColor="text1"/>
                <w:sz w:val="18"/>
              </w:rPr>
              <w:t>ierania technologii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rolnictwa 4.0.</w:t>
            </w:r>
          </w:p>
          <w:p w14:paraId="529A3AA6" w14:textId="77777777" w:rsidR="008D1A95" w:rsidRPr="00A33B9F" w:rsidRDefault="008D1A95" w:rsidP="00107DFB">
            <w:pPr>
              <w:pStyle w:val="Normal0"/>
              <w:spacing w:after="0" w:line="240" w:lineRule="auto"/>
              <w:rPr>
                <w:rFonts w:ascii="Times New Roman" w:eastAsia="Times New Roman" w:hAnsi="Times New Roman" w:cs="Times New Roman"/>
                <w:noProof/>
                <w:color w:val="000000" w:themeColor="text1"/>
                <w:sz w:val="18"/>
                <w:szCs w:val="18"/>
              </w:rPr>
            </w:pPr>
          </w:p>
          <w:p w14:paraId="477EE044" w14:textId="042D747A" w:rsidR="33034DA5" w:rsidRPr="00A33B9F" w:rsidRDefault="33034DA5" w:rsidP="00107DFB">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Inwestycje obejmują:</w:t>
            </w:r>
          </w:p>
          <w:p w14:paraId="14F81351" w14:textId="7E50BE79" w:rsidR="33034DA5" w:rsidRPr="00A33B9F" w:rsidRDefault="53A73D14">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 budowę</w:t>
            </w:r>
            <w:r w:rsidR="00A33B9F" w:rsidRPr="00A33B9F">
              <w:rPr>
                <w:rFonts w:ascii="Times New Roman" w:hAnsi="Times New Roman"/>
                <w:noProof/>
                <w:color w:val="000000" w:themeColor="text1"/>
                <w:sz w:val="18"/>
              </w:rPr>
              <w:t xml:space="preserve"> i mod</w:t>
            </w:r>
            <w:r w:rsidRPr="00A33B9F">
              <w:rPr>
                <w:rFonts w:ascii="Times New Roman" w:hAnsi="Times New Roman"/>
                <w:noProof/>
                <w:color w:val="000000" w:themeColor="text1"/>
                <w:sz w:val="18"/>
              </w:rPr>
              <w:t>ernizację budynków</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rastruktury na potrzeby przetwarzania</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echowywania produktów rolnych,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 oraz produktów spożywczych przez rolników. Zakres wsparcia obejmuje również wymianę materiałów szkodliwych dla środowiska</w:t>
            </w:r>
            <w:r w:rsidR="00A33B9F" w:rsidRPr="00A33B9F">
              <w:rPr>
                <w:rFonts w:ascii="Times New Roman" w:hAnsi="Times New Roman"/>
                <w:noProof/>
                <w:color w:val="000000" w:themeColor="text1"/>
                <w:sz w:val="18"/>
              </w:rPr>
              <w:t xml:space="preserve"> i zdr</w:t>
            </w:r>
            <w:r w:rsidRPr="00A33B9F">
              <w:rPr>
                <w:rFonts w:ascii="Times New Roman" w:hAnsi="Times New Roman"/>
                <w:noProof/>
                <w:color w:val="000000" w:themeColor="text1"/>
                <w:sz w:val="18"/>
              </w:rPr>
              <w:t>owia</w:t>
            </w:r>
            <w:r w:rsidR="00A33B9F" w:rsidRPr="00A33B9F">
              <w:rPr>
                <w:rFonts w:ascii="Times New Roman" w:hAnsi="Times New Roman"/>
                <w:noProof/>
                <w:color w:val="000000" w:themeColor="text1"/>
                <w:sz w:val="18"/>
              </w:rPr>
              <w:t xml:space="preserve"> w bud</w:t>
            </w:r>
            <w:r w:rsidRPr="00A33B9F">
              <w:rPr>
                <w:rFonts w:ascii="Times New Roman" w:hAnsi="Times New Roman"/>
                <w:noProof/>
                <w:color w:val="000000" w:themeColor="text1"/>
                <w:sz w:val="18"/>
              </w:rPr>
              <w:t>ynkach wykorzystywanych do produkcji rolnej lub na gruntach wykorzystywanych do produkcji rolnej;</w:t>
            </w:r>
          </w:p>
          <w:p w14:paraId="1EB9AF64" w14:textId="540C74FF" w:rsidR="33034DA5" w:rsidRPr="00A33B9F" w:rsidRDefault="33034DA5" w:rsidP="00107DFB">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 budowę instalacji do odzyskiwania ciepła, pieców na biomasę oraz chłodziarek</w:t>
            </w:r>
            <w:r w:rsidR="00A33B9F" w:rsidRPr="00A33B9F">
              <w:rPr>
                <w:rFonts w:ascii="Times New Roman" w:hAnsi="Times New Roman"/>
                <w:noProof/>
                <w:color w:val="000000" w:themeColor="text1"/>
                <w:sz w:val="18"/>
              </w:rPr>
              <w:t xml:space="preserve"> o ogr</w:t>
            </w:r>
            <w:r w:rsidRPr="00A33B9F">
              <w:rPr>
                <w:rFonts w:ascii="Times New Roman" w:hAnsi="Times New Roman"/>
                <w:noProof/>
                <w:color w:val="000000" w:themeColor="text1"/>
                <w:sz w:val="18"/>
              </w:rPr>
              <w:t>aniczonym lub neutralnym wpływie na środowisko. Zakres wsparcia obejmuje również termomodernizację budynków, budowę zakładów magazynowania odpadów</w:t>
            </w:r>
            <w:r w:rsidR="00A33B9F" w:rsidRPr="00A33B9F">
              <w:rPr>
                <w:rFonts w:ascii="Times New Roman" w:hAnsi="Times New Roman"/>
                <w:noProof/>
                <w:color w:val="000000" w:themeColor="text1"/>
                <w:sz w:val="18"/>
              </w:rPr>
              <w:t xml:space="preserve"> i gos</w:t>
            </w:r>
            <w:r w:rsidRPr="00A33B9F">
              <w:rPr>
                <w:rFonts w:ascii="Times New Roman" w:hAnsi="Times New Roman"/>
                <w:noProof/>
                <w:color w:val="000000" w:themeColor="text1"/>
                <w:sz w:val="18"/>
              </w:rPr>
              <w:t>podarowania odpadami, oczyszczalni ścieków</w:t>
            </w:r>
            <w:r w:rsidR="00A33B9F" w:rsidRPr="00A33B9F">
              <w:rPr>
                <w:rFonts w:ascii="Times New Roman" w:hAnsi="Times New Roman"/>
                <w:noProof/>
                <w:color w:val="000000" w:themeColor="text1"/>
                <w:sz w:val="18"/>
              </w:rPr>
              <w:t xml:space="preserve"> i wyt</w:t>
            </w:r>
            <w:r w:rsidRPr="00A33B9F">
              <w:rPr>
                <w:rFonts w:ascii="Times New Roman" w:hAnsi="Times New Roman"/>
                <w:noProof/>
                <w:color w:val="000000" w:themeColor="text1"/>
                <w:sz w:val="18"/>
              </w:rPr>
              <w:t>wórni biogazu,</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zakup paneli fotowoltaicznych</w:t>
            </w:r>
            <w:r w:rsidR="00A33B9F" w:rsidRPr="00A33B9F">
              <w:rPr>
                <w:rFonts w:ascii="Times New Roman" w:hAnsi="Times New Roman"/>
                <w:noProof/>
                <w:color w:val="000000" w:themeColor="text1"/>
                <w:sz w:val="18"/>
              </w:rPr>
              <w:t xml:space="preserve"> i sło</w:t>
            </w:r>
            <w:r w:rsidRPr="00A33B9F">
              <w:rPr>
                <w:rFonts w:ascii="Times New Roman" w:hAnsi="Times New Roman"/>
                <w:noProof/>
                <w:color w:val="000000" w:themeColor="text1"/>
                <w:sz w:val="18"/>
              </w:rPr>
              <w:t>necznych;</w:t>
            </w:r>
          </w:p>
          <w:p w14:paraId="18C012CF" w14:textId="025D5148" w:rsidR="33034DA5" w:rsidRPr="00A33B9F" w:rsidRDefault="33034DA5" w:rsidP="00107DFB">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3)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maszyn</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ądzeń do produkcji, przetwarzania</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echowywania produktów rolnych oraz produktów rybołówstwa</w:t>
            </w:r>
            <w:r w:rsidR="00A33B9F" w:rsidRPr="00A33B9F">
              <w:rPr>
                <w:rFonts w:ascii="Times New Roman" w:hAnsi="Times New Roman"/>
                <w:noProof/>
                <w:color w:val="000000" w:themeColor="text1"/>
                <w:sz w:val="18"/>
              </w:rPr>
              <w:t xml:space="preserve"> i akw</w:t>
            </w:r>
            <w:r w:rsidRPr="00A33B9F">
              <w:rPr>
                <w:rFonts w:ascii="Times New Roman" w:hAnsi="Times New Roman"/>
                <w:noProof/>
                <w:color w:val="000000" w:themeColor="text1"/>
                <w:sz w:val="18"/>
              </w:rPr>
              <w:t>akultury przez rolników;</w:t>
            </w:r>
          </w:p>
          <w:p w14:paraId="0C6DC652" w14:textId="1D4FB4BD" w:rsidR="33034DA5" w:rsidRPr="00A33B9F" w:rsidRDefault="626469EA" w:rsidP="00107DFB">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4) budowa lub modernizacja miejsc bezpośredniej sprzedaży lokalnych produktów spożywczych. Powinno objąć to rozbudowę, adaptację</w:t>
            </w:r>
            <w:r w:rsidR="00A33B9F" w:rsidRPr="00A33B9F">
              <w:rPr>
                <w:rFonts w:ascii="Times New Roman" w:hAnsi="Times New Roman"/>
                <w:noProof/>
                <w:color w:val="000000" w:themeColor="text1"/>
                <w:sz w:val="18"/>
              </w:rPr>
              <w:t xml:space="preserve"> i bud</w:t>
            </w:r>
            <w:r w:rsidRPr="00A33B9F">
              <w:rPr>
                <w:rFonts w:ascii="Times New Roman" w:hAnsi="Times New Roman"/>
                <w:noProof/>
                <w:color w:val="000000" w:themeColor="text1"/>
                <w:sz w:val="18"/>
              </w:rPr>
              <w:t>owę pomieszczeń bezpośredniej sprzedaży,</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zakup odpowiedniego wyposażenia, takiego jak lodówki, zamrażarki oraz maszyny</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ądzenia służące do przetwarzania;</w:t>
            </w:r>
            <w:r w:rsidR="00C3621A" w:rsidRPr="00A33B9F">
              <w:rPr>
                <w:rFonts w:ascii="Times New Roman" w:hAnsi="Times New Roman"/>
                <w:noProof/>
                <w:color w:val="000000" w:themeColor="text1"/>
                <w:sz w:val="18"/>
              </w:rPr>
              <w:t xml:space="preserve"> </w:t>
            </w:r>
          </w:p>
          <w:p w14:paraId="0A8F7556" w14:textId="14DBD082" w:rsidR="33034DA5" w:rsidRPr="00A33B9F" w:rsidRDefault="33034DA5" w:rsidP="00107DFB">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5) zakup</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taż systemów informatycznych</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wiązań cyfrowych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rolnictwa 4.0 do obsługi procesów produkcji</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produktów rolno-spożywczych. Obejmuje to zakup maszyn, sprzętu</w:t>
            </w:r>
            <w:r w:rsidR="00A33B9F" w:rsidRPr="00A33B9F">
              <w:rPr>
                <w:rFonts w:ascii="Times New Roman" w:hAnsi="Times New Roman"/>
                <w:noProof/>
                <w:color w:val="000000" w:themeColor="text1"/>
                <w:sz w:val="18"/>
              </w:rPr>
              <w:t xml:space="preserve"> i opr</w:t>
            </w:r>
            <w:r w:rsidRPr="00A33B9F">
              <w:rPr>
                <w:rFonts w:ascii="Times New Roman" w:hAnsi="Times New Roman"/>
                <w:noProof/>
                <w:color w:val="000000" w:themeColor="text1"/>
                <w:sz w:val="18"/>
              </w:rPr>
              <w:t>ogramowania do tych celów,</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czujników, sprzętu informatycznego</w:t>
            </w:r>
            <w:r w:rsidR="00A33B9F" w:rsidRPr="00A33B9F">
              <w:rPr>
                <w:rFonts w:ascii="Times New Roman" w:hAnsi="Times New Roman"/>
                <w:noProof/>
                <w:color w:val="000000" w:themeColor="text1"/>
                <w:sz w:val="18"/>
              </w:rPr>
              <w:t xml:space="preserve"> i apl</w:t>
            </w:r>
            <w:r w:rsidRPr="00A33B9F">
              <w:rPr>
                <w:rFonts w:ascii="Times New Roman" w:hAnsi="Times New Roman"/>
                <w:noProof/>
                <w:color w:val="000000" w:themeColor="text1"/>
                <w:sz w:val="18"/>
              </w:rPr>
              <w:t>ikacji oprogramowania komputerowego;</w:t>
            </w:r>
            <w:r w:rsidR="00C3621A" w:rsidRPr="00A33B9F">
              <w:rPr>
                <w:rFonts w:ascii="Times New Roman" w:hAnsi="Times New Roman"/>
                <w:noProof/>
                <w:color w:val="000000" w:themeColor="text1"/>
                <w:sz w:val="18"/>
              </w:rPr>
              <w:t xml:space="preserve"> </w:t>
            </w:r>
          </w:p>
          <w:p w14:paraId="4E0BA348" w14:textId="42E6D4D5" w:rsidR="00F24DAB" w:rsidRPr="00A33B9F" w:rsidRDefault="33034DA5" w:rsidP="00107DFB">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6) zakup zeroemisyjnych/niskoemisyjnych specjalistycznych pojazdów transportowych, takich jak samochody ciężarowe chłodnie, pojazdy-cysterny oraz izotermy,</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 xml:space="preserve">u wspierania sprzedaży obwoźnej produktów rolno-spożywczych lub ich transportu „od drzwi do drzwi”; </w:t>
            </w:r>
          </w:p>
          <w:p w14:paraId="390C0E99" w14:textId="4DEAA89B" w:rsidR="33034DA5" w:rsidRPr="00A33B9F" w:rsidRDefault="33034DA5" w:rsidP="00107DFB">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7) stworzenie narzędzi internetowych do sprzedaży produktów rolnych, rybołówstwa, akwakultury oraz produktów spożywczych,</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wsparcie</w:t>
            </w:r>
            <w:r w:rsidR="00A33B9F" w:rsidRPr="00A33B9F">
              <w:rPr>
                <w:rFonts w:ascii="Times New Roman" w:hAnsi="Times New Roman"/>
                <w:noProof/>
                <w:color w:val="000000" w:themeColor="text1"/>
                <w:sz w:val="18"/>
              </w:rPr>
              <w:t xml:space="preserve"> w org</w:t>
            </w:r>
            <w:r w:rsidRPr="00A33B9F">
              <w:rPr>
                <w:rFonts w:ascii="Times New Roman" w:hAnsi="Times New Roman"/>
                <w:noProof/>
                <w:color w:val="000000" w:themeColor="text1"/>
                <w:sz w:val="18"/>
              </w:rPr>
              <w:t>anizowaniu dostaw;</w:t>
            </w:r>
          </w:p>
          <w:p w14:paraId="0DB5B6C9" w14:textId="6ECDD532" w:rsidR="33034DA5" w:rsidRPr="00A33B9F" w:rsidRDefault="46AD6F85" w:rsidP="00107DFB">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8) płatne</w:t>
            </w:r>
            <w:r w:rsidR="00A33B9F" w:rsidRPr="00A33B9F">
              <w:rPr>
                <w:rFonts w:ascii="Times New Roman" w:hAnsi="Times New Roman"/>
                <w:noProof/>
                <w:color w:val="000000" w:themeColor="text1"/>
                <w:sz w:val="18"/>
              </w:rPr>
              <w:t xml:space="preserve"> z gór</w:t>
            </w:r>
            <w:r w:rsidRPr="00A33B9F">
              <w:rPr>
                <w:rFonts w:ascii="Times New Roman" w:hAnsi="Times New Roman"/>
                <w:noProof/>
                <w:color w:val="000000" w:themeColor="text1"/>
                <w:sz w:val="18"/>
              </w:rPr>
              <w:t>y opłaty za patenty</w:t>
            </w:r>
            <w:r w:rsidR="00A33B9F" w:rsidRPr="00A33B9F">
              <w:rPr>
                <w:rFonts w:ascii="Times New Roman" w:hAnsi="Times New Roman"/>
                <w:noProof/>
                <w:color w:val="000000" w:themeColor="text1"/>
                <w:sz w:val="18"/>
              </w:rPr>
              <w:t xml:space="preserve"> i lic</w:t>
            </w:r>
            <w:r w:rsidRPr="00A33B9F">
              <w:rPr>
                <w:rFonts w:ascii="Times New Roman" w:hAnsi="Times New Roman"/>
                <w:noProof/>
                <w:color w:val="000000" w:themeColor="text1"/>
                <w:sz w:val="18"/>
              </w:rPr>
              <w:t>encje.</w:t>
            </w:r>
          </w:p>
          <w:p w14:paraId="6F4B2E79" w14:textId="09352C6F" w:rsidR="00BE1B25" w:rsidRPr="00A33B9F" w:rsidRDefault="00BE1B25">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ta zapewni zrównoważoną realizację wszystkich rodzajów projektów opisanych</w:t>
            </w:r>
            <w:r w:rsidR="00A33B9F" w:rsidRPr="00A33B9F">
              <w:rPr>
                <w:rFonts w:ascii="Times New Roman" w:hAnsi="Times New Roman"/>
                <w:noProof/>
                <w:color w:val="000000" w:themeColor="text1"/>
                <w:sz w:val="18"/>
              </w:rPr>
              <w:t xml:space="preserve"> w war</w:t>
            </w:r>
            <w:r w:rsidRPr="00A33B9F">
              <w:rPr>
                <w:rFonts w:ascii="Times New Roman" w:hAnsi="Times New Roman"/>
                <w:noProof/>
                <w:color w:val="000000" w:themeColor="text1"/>
                <w:sz w:val="18"/>
              </w:rPr>
              <w:t>tości docelowej,</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zarówno szczególnych potrzeb beneficjentów, jak</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ów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RRF.</w:t>
            </w:r>
            <w:r w:rsidR="00C3621A" w:rsidRPr="00A33B9F">
              <w:rPr>
                <w:rFonts w:ascii="Times New Roman" w:hAnsi="Times New Roman"/>
                <w:noProof/>
                <w:color w:val="000000" w:themeColor="text1"/>
                <w:sz w:val="18"/>
              </w:rPr>
              <w:t xml:space="preserve"> </w:t>
            </w:r>
          </w:p>
          <w:p w14:paraId="60045654" w14:textId="312B0C84" w:rsidR="00BE1B25" w:rsidRPr="00A33B9F" w:rsidRDefault="00BE1B25">
            <w:pPr>
              <w:pStyle w:val="Normal0"/>
              <w:spacing w:after="0" w:line="240" w:lineRule="auto"/>
              <w:rPr>
                <w:rFonts w:ascii="Times New Roman" w:eastAsia="Times New Roman" w:hAnsi="Times New Roman" w:cs="Times New Roman"/>
                <w:noProof/>
                <w:color w:val="000000" w:themeColor="text1"/>
                <w:sz w:val="18"/>
                <w:szCs w:val="18"/>
              </w:rPr>
            </w:pPr>
          </w:p>
          <w:p w14:paraId="1FAE0A6A" w14:textId="767F9DE8" w:rsidR="00BE1B25" w:rsidRPr="00A33B9F"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energii odnawialnej, gospodarki odpadami, bioróżnorodności</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dków transportu.</w:t>
            </w:r>
          </w:p>
        </w:tc>
      </w:tr>
    </w:tbl>
    <w:p w14:paraId="78BA2B7F" w14:textId="27866489" w:rsidR="005C52F9" w:rsidRPr="00A33B9F" w:rsidRDefault="005C52F9">
      <w:pPr>
        <w:rPr>
          <w:rFonts w:ascii="Times New Roman" w:eastAsia="Times New Roman" w:hAnsi="Times New Roman" w:cs="Times New Roman"/>
          <w:b/>
          <w:noProof/>
          <w:color w:val="000000"/>
          <w:sz w:val="24"/>
          <w:szCs w:val="24"/>
          <w:u w:val="single"/>
        </w:rPr>
      </w:pPr>
      <w:r w:rsidRPr="00A33B9F">
        <w:rPr>
          <w:noProof/>
        </w:rPr>
        <w:br w:type="page"/>
      </w:r>
      <w:r w:rsidRPr="00A33B9F">
        <w:rPr>
          <w:rFonts w:ascii="Times New Roman" w:hAnsi="Times New Roman"/>
          <w:b/>
          <w:noProof/>
          <w:color w:val="000000"/>
          <w:sz w:val="24"/>
          <w:u w:val="single"/>
        </w:rPr>
        <w:t>A2 – INNOWACJE</w:t>
      </w: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75"/>
        <w:gridCol w:w="1984"/>
        <w:gridCol w:w="1276"/>
        <w:gridCol w:w="2126"/>
        <w:gridCol w:w="1536"/>
        <w:gridCol w:w="992"/>
        <w:gridCol w:w="960"/>
        <w:gridCol w:w="605"/>
        <w:gridCol w:w="986"/>
        <w:gridCol w:w="709"/>
        <w:gridCol w:w="3260"/>
      </w:tblGrid>
      <w:tr w:rsidR="008C116B" w:rsidRPr="00A33B9F" w14:paraId="2D5D2D84" w14:textId="77777777" w:rsidTr="1CE0CE0C">
        <w:trPr>
          <w:trHeight w:val="939"/>
          <w:tblHeader/>
        </w:trPr>
        <w:tc>
          <w:tcPr>
            <w:tcW w:w="875" w:type="dxa"/>
            <w:vMerge w:val="restart"/>
            <w:tcBorders>
              <w:top w:val="single" w:sz="4" w:space="0" w:color="000000" w:themeColor="text1"/>
            </w:tcBorders>
            <w:shd w:val="clear" w:color="auto" w:fill="BDD7EE"/>
            <w:vAlign w:val="center"/>
          </w:tcPr>
          <w:p w14:paraId="70CABCB9" w14:textId="71B5F736" w:rsidR="00FF7DD3" w:rsidRPr="00A33B9F" w:rsidRDefault="00EE39EA"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984" w:type="dxa"/>
            <w:vMerge w:val="restart"/>
            <w:tcBorders>
              <w:top w:val="single" w:sz="4" w:space="0" w:color="000000" w:themeColor="text1"/>
            </w:tcBorders>
            <w:shd w:val="clear" w:color="auto" w:fill="BDD7EE"/>
            <w:vAlign w:val="center"/>
          </w:tcPr>
          <w:p w14:paraId="24263789"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276" w:type="dxa"/>
            <w:vMerge w:val="restart"/>
            <w:tcBorders>
              <w:top w:val="single" w:sz="4" w:space="0" w:color="000000" w:themeColor="text1"/>
            </w:tcBorders>
            <w:shd w:val="clear" w:color="auto" w:fill="BDD7EE"/>
            <w:vAlign w:val="center"/>
          </w:tcPr>
          <w:p w14:paraId="39827929"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2126" w:type="dxa"/>
            <w:vMerge w:val="restart"/>
            <w:tcBorders>
              <w:top w:val="single" w:sz="4" w:space="0" w:color="000000" w:themeColor="text1"/>
            </w:tcBorders>
            <w:shd w:val="clear" w:color="auto" w:fill="BDD7EE"/>
            <w:vAlign w:val="center"/>
          </w:tcPr>
          <w:p w14:paraId="76CAFD79"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536" w:type="dxa"/>
            <w:vMerge w:val="restart"/>
            <w:tcBorders>
              <w:top w:val="single" w:sz="4" w:space="0" w:color="000000" w:themeColor="text1"/>
            </w:tcBorders>
            <w:shd w:val="clear" w:color="auto" w:fill="BDD7EE"/>
            <w:vAlign w:val="center"/>
          </w:tcPr>
          <w:p w14:paraId="036B8B9C"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557" w:type="dxa"/>
            <w:gridSpan w:val="3"/>
            <w:tcBorders>
              <w:top w:val="single" w:sz="4" w:space="0" w:color="000000" w:themeColor="text1"/>
            </w:tcBorders>
            <w:shd w:val="clear" w:color="auto" w:fill="BDD7EE"/>
            <w:vAlign w:val="center"/>
          </w:tcPr>
          <w:p w14:paraId="02DBBA83"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695" w:type="dxa"/>
            <w:gridSpan w:val="2"/>
            <w:tcBorders>
              <w:top w:val="single" w:sz="4" w:space="0" w:color="000000" w:themeColor="text1"/>
            </w:tcBorders>
            <w:shd w:val="clear" w:color="auto" w:fill="BDD7EE"/>
            <w:vAlign w:val="center"/>
          </w:tcPr>
          <w:p w14:paraId="2DA45C49"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260" w:type="dxa"/>
            <w:vMerge w:val="restart"/>
            <w:tcBorders>
              <w:top w:val="single" w:sz="4" w:space="0" w:color="000000" w:themeColor="text1"/>
            </w:tcBorders>
            <w:shd w:val="clear" w:color="auto" w:fill="BDD7EE"/>
            <w:vAlign w:val="center"/>
          </w:tcPr>
          <w:p w14:paraId="038D6592" w14:textId="2B82BE4D"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CA5542" w:rsidRPr="00A33B9F" w14:paraId="4BF4EC33" w14:textId="77777777" w:rsidTr="1CE0CE0C">
        <w:trPr>
          <w:trHeight w:val="405"/>
        </w:trPr>
        <w:tc>
          <w:tcPr>
            <w:tcW w:w="875" w:type="dxa"/>
            <w:vMerge/>
            <w:vAlign w:val="center"/>
          </w:tcPr>
          <w:p w14:paraId="36FEB5B0"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4" w:type="dxa"/>
            <w:vMerge/>
            <w:vAlign w:val="center"/>
          </w:tcPr>
          <w:p w14:paraId="30D7AA69"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76" w:type="dxa"/>
            <w:vMerge/>
            <w:vAlign w:val="center"/>
          </w:tcPr>
          <w:p w14:paraId="7196D064"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34FF1C98"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36" w:type="dxa"/>
            <w:vMerge/>
            <w:vAlign w:val="center"/>
          </w:tcPr>
          <w:p w14:paraId="6D072C0D"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shd w:val="clear" w:color="auto" w:fill="BDD7EE"/>
            <w:vAlign w:val="center"/>
          </w:tcPr>
          <w:p w14:paraId="1FBADBD8"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60" w:type="dxa"/>
            <w:shd w:val="clear" w:color="auto" w:fill="BDD7EE"/>
            <w:vAlign w:val="center"/>
          </w:tcPr>
          <w:p w14:paraId="1CA9A361"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605" w:type="dxa"/>
            <w:shd w:val="clear" w:color="auto" w:fill="BDD7EE"/>
            <w:vAlign w:val="center"/>
          </w:tcPr>
          <w:p w14:paraId="09320768"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86" w:type="dxa"/>
            <w:shd w:val="clear" w:color="auto" w:fill="BDD7EE"/>
            <w:vAlign w:val="center"/>
          </w:tcPr>
          <w:p w14:paraId="717741CA"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709" w:type="dxa"/>
            <w:shd w:val="clear" w:color="auto" w:fill="BDD7EE"/>
            <w:vAlign w:val="center"/>
          </w:tcPr>
          <w:p w14:paraId="1D6DE76D"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260" w:type="dxa"/>
            <w:vMerge/>
            <w:vAlign w:val="center"/>
          </w:tcPr>
          <w:p w14:paraId="48A21919"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1E3B2FF4" w14:textId="77777777" w:rsidTr="1CE0CE0C">
        <w:trPr>
          <w:trHeight w:val="313"/>
        </w:trPr>
        <w:tc>
          <w:tcPr>
            <w:tcW w:w="875" w:type="dxa"/>
            <w:shd w:val="clear" w:color="auto" w:fill="C6EFCE"/>
          </w:tcPr>
          <w:p w14:paraId="2C8B330C" w14:textId="7BE3EC22"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A27G</w:t>
            </w:r>
          </w:p>
        </w:tc>
        <w:tc>
          <w:tcPr>
            <w:tcW w:w="1984" w:type="dxa"/>
            <w:shd w:val="clear" w:color="auto" w:fill="C6EFCE"/>
          </w:tcPr>
          <w:p w14:paraId="519BAFE4" w14:textId="514B1D3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A2.1 Przyśpieszenie procesów robotyzacji</w:t>
            </w:r>
            <w:r w:rsidR="00A33B9F" w:rsidRPr="00A33B9F">
              <w:rPr>
                <w:rFonts w:ascii="Times New Roman" w:hAnsi="Times New Roman"/>
                <w:noProof/>
                <w:color w:val="000000"/>
                <w:sz w:val="18"/>
              </w:rPr>
              <w:t xml:space="preserve"> i cyf</w:t>
            </w:r>
            <w:r w:rsidRPr="00A33B9F">
              <w:rPr>
                <w:rFonts w:ascii="Times New Roman" w:hAnsi="Times New Roman"/>
                <w:noProof/>
                <w:color w:val="000000"/>
                <w:sz w:val="18"/>
              </w:rPr>
              <w:t>ryzacji</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 xml:space="preserve">owacji </w:t>
            </w:r>
          </w:p>
        </w:tc>
        <w:tc>
          <w:tcPr>
            <w:tcW w:w="1276" w:type="dxa"/>
            <w:shd w:val="clear" w:color="auto" w:fill="C6EFCE"/>
          </w:tcPr>
          <w:p w14:paraId="3142688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126" w:type="dxa"/>
            <w:shd w:val="clear" w:color="auto" w:fill="C6EFCE"/>
          </w:tcPr>
          <w:p w14:paraId="7D721564" w14:textId="4CAD355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nowej ustawy</w:t>
            </w:r>
            <w:r w:rsidR="00A33B9F" w:rsidRPr="00A33B9F">
              <w:rPr>
                <w:rFonts w:ascii="Times New Roman" w:hAnsi="Times New Roman"/>
                <w:noProof/>
                <w:color w:val="000000"/>
                <w:sz w:val="18"/>
              </w:rPr>
              <w:t xml:space="preserve"> o wsp</w:t>
            </w:r>
            <w:r w:rsidRPr="00A33B9F">
              <w:rPr>
                <w:rFonts w:ascii="Times New Roman" w:hAnsi="Times New Roman"/>
                <w:noProof/>
                <w:color w:val="000000"/>
                <w:sz w:val="18"/>
              </w:rPr>
              <w:t>ieraniu automatyzacji</w:t>
            </w:r>
            <w:r w:rsidR="00A33B9F" w:rsidRPr="00A33B9F">
              <w:rPr>
                <w:rFonts w:ascii="Times New Roman" w:hAnsi="Times New Roman"/>
                <w:noProof/>
                <w:color w:val="000000"/>
                <w:sz w:val="18"/>
              </w:rPr>
              <w:t xml:space="preserve"> i cyf</w:t>
            </w:r>
            <w:r w:rsidRPr="00A33B9F">
              <w:rPr>
                <w:rFonts w:ascii="Times New Roman" w:hAnsi="Times New Roman"/>
                <w:noProof/>
                <w:color w:val="000000"/>
                <w:sz w:val="18"/>
              </w:rPr>
              <w:t>ryzacji oraz innowacyjności przedsiębiorstw poprzez wprowadzenie ulgi podatkowej</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 xml:space="preserve">resie robotyzacji </w:t>
            </w:r>
          </w:p>
        </w:tc>
        <w:tc>
          <w:tcPr>
            <w:tcW w:w="1536" w:type="dxa"/>
            <w:shd w:val="clear" w:color="auto" w:fill="C6EFCE"/>
          </w:tcPr>
          <w:p w14:paraId="4466E308" w14:textId="55093846"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now</w:t>
            </w:r>
            <w:r w:rsidRPr="00A33B9F">
              <w:rPr>
                <w:rFonts w:ascii="Times New Roman" w:hAnsi="Times New Roman"/>
                <w:noProof/>
                <w:color w:val="000000" w:themeColor="text1"/>
                <w:sz w:val="18"/>
              </w:rPr>
              <w:t>ej ustawie</w:t>
            </w:r>
            <w:r w:rsidR="00A33B9F" w:rsidRPr="00A33B9F">
              <w:rPr>
                <w:rFonts w:ascii="Times New Roman" w:hAnsi="Times New Roman"/>
                <w:noProof/>
                <w:color w:val="000000" w:themeColor="text1"/>
                <w:sz w:val="18"/>
              </w:rPr>
              <w:t xml:space="preserve"> o wsp</w:t>
            </w:r>
            <w:r w:rsidRPr="00A33B9F">
              <w:rPr>
                <w:rFonts w:ascii="Times New Roman" w:hAnsi="Times New Roman"/>
                <w:noProof/>
                <w:color w:val="000000" w:themeColor="text1"/>
                <w:sz w:val="18"/>
              </w:rPr>
              <w:t>ieraniu automatyzacji</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ryzacji oraz innowacyjności przedsiębiorstw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r w:rsidR="00C3621A" w:rsidRPr="00A33B9F">
              <w:rPr>
                <w:rFonts w:ascii="Times New Roman" w:hAnsi="Times New Roman"/>
                <w:noProof/>
                <w:color w:val="000000" w:themeColor="text1"/>
                <w:sz w:val="18"/>
              </w:rPr>
              <w:t xml:space="preserve"> </w:t>
            </w:r>
          </w:p>
        </w:tc>
        <w:tc>
          <w:tcPr>
            <w:tcW w:w="992" w:type="dxa"/>
            <w:shd w:val="clear" w:color="auto" w:fill="C6EFCE"/>
          </w:tcPr>
          <w:p w14:paraId="12673AC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60" w:type="dxa"/>
            <w:shd w:val="clear" w:color="auto" w:fill="C6EFCE"/>
          </w:tcPr>
          <w:p w14:paraId="2C6BD880"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605" w:type="dxa"/>
            <w:shd w:val="clear" w:color="auto" w:fill="C6EFCE"/>
          </w:tcPr>
          <w:p w14:paraId="5561E1D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86" w:type="dxa"/>
            <w:shd w:val="clear" w:color="auto" w:fill="C6EFCE"/>
          </w:tcPr>
          <w:p w14:paraId="3A4E1A0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9" w:type="dxa"/>
            <w:shd w:val="clear" w:color="auto" w:fill="C6EFCE"/>
          </w:tcPr>
          <w:p w14:paraId="053A94A5"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260" w:type="dxa"/>
            <w:shd w:val="clear" w:color="auto" w:fill="C6EFCE"/>
          </w:tcPr>
          <w:p w14:paraId="106CAFB4" w14:textId="0ED094A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Na mocy nowej ustawy wprowadza się ulgę podatkową, dzięki której przedsiębiorca jest uprawniony do dodatkowego odpisu części kosztów robotyzacji od podstawy opodatkowania na zakończenie roku podatkowego. Ulga podatkowa jest dostępna dla wszystkich przedsiębiorców bez względu na ich wielkość</w:t>
            </w:r>
            <w:r w:rsidR="00A33B9F" w:rsidRPr="00A33B9F">
              <w:rPr>
                <w:rFonts w:ascii="Times New Roman" w:hAnsi="Times New Roman"/>
                <w:noProof/>
                <w:color w:val="000000"/>
                <w:sz w:val="18"/>
              </w:rPr>
              <w:t xml:space="preserve"> i mie</w:t>
            </w:r>
            <w:r w:rsidRPr="00A33B9F">
              <w:rPr>
                <w:rFonts w:ascii="Times New Roman" w:hAnsi="Times New Roman"/>
                <w:noProof/>
                <w:color w:val="000000"/>
                <w:sz w:val="18"/>
              </w:rPr>
              <w:t xml:space="preserve">jsce prowadzenia działalności. Za koszty kwalifikowalne uznaje się następujące koszty: </w:t>
            </w:r>
          </w:p>
          <w:p w14:paraId="099AA2E1" w14:textId="51FD8D4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 xml:space="preserve">• koszty zakupu nowych robotów </w:t>
            </w:r>
          </w:p>
          <w:p w14:paraId="2762F2EF" w14:textId="03574A2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 maszyn</w:t>
            </w:r>
            <w:r w:rsidR="00A33B9F" w:rsidRPr="00A33B9F">
              <w:rPr>
                <w:rFonts w:ascii="Times New Roman" w:hAnsi="Times New Roman"/>
                <w:noProof/>
                <w:color w:val="000000"/>
                <w:sz w:val="18"/>
              </w:rPr>
              <w:t xml:space="preserve"> i urz</w:t>
            </w:r>
            <w:r w:rsidRPr="00A33B9F">
              <w:rPr>
                <w:rFonts w:ascii="Times New Roman" w:hAnsi="Times New Roman"/>
                <w:noProof/>
                <w:color w:val="000000"/>
                <w:sz w:val="18"/>
              </w:rPr>
              <w:t>ądzeń peryferyjnych do robotów funkcjonalnie</w:t>
            </w:r>
            <w:r w:rsidR="00A33B9F" w:rsidRPr="00A33B9F">
              <w:rPr>
                <w:rFonts w:ascii="Times New Roman" w:hAnsi="Times New Roman"/>
                <w:noProof/>
                <w:color w:val="000000"/>
                <w:sz w:val="18"/>
              </w:rPr>
              <w:t xml:space="preserve"> z nim</w:t>
            </w:r>
            <w:r w:rsidRPr="00A33B9F">
              <w:rPr>
                <w:rFonts w:ascii="Times New Roman" w:hAnsi="Times New Roman"/>
                <w:noProof/>
                <w:color w:val="000000"/>
                <w:sz w:val="18"/>
              </w:rPr>
              <w:t xml:space="preserve">i powiązanych </w:t>
            </w:r>
          </w:p>
          <w:p w14:paraId="61D3EE31" w14:textId="0DC8CB42"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maszyn, urządzeń</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ych rzeczy funkcjonalnie powiązanych</w:t>
            </w:r>
            <w:r w:rsidR="00A33B9F" w:rsidRPr="00A33B9F">
              <w:rPr>
                <w:rFonts w:ascii="Times New Roman" w:hAnsi="Times New Roman"/>
                <w:noProof/>
                <w:color w:val="000000" w:themeColor="text1"/>
                <w:sz w:val="18"/>
              </w:rPr>
              <w:t xml:space="preserve"> z rob</w:t>
            </w:r>
            <w:r w:rsidRPr="00A33B9F">
              <w:rPr>
                <w:rFonts w:ascii="Times New Roman" w:hAnsi="Times New Roman"/>
                <w:noProof/>
                <w:color w:val="000000" w:themeColor="text1"/>
                <w:sz w:val="18"/>
              </w:rPr>
              <w:t>otami, wykorzystywanych do zapewnienia ergonomii</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pieczeństwa</w:t>
            </w:r>
            <w:r w:rsidR="00A33B9F" w:rsidRPr="00A33B9F">
              <w:rPr>
                <w:rFonts w:ascii="Times New Roman" w:hAnsi="Times New Roman"/>
                <w:noProof/>
                <w:color w:val="000000" w:themeColor="text1"/>
                <w:sz w:val="18"/>
              </w:rPr>
              <w:t xml:space="preserve"> w mie</w:t>
            </w:r>
            <w:r w:rsidRPr="00A33B9F">
              <w:rPr>
                <w:rFonts w:ascii="Times New Roman" w:hAnsi="Times New Roman"/>
                <w:noProof/>
                <w:color w:val="000000" w:themeColor="text1"/>
                <w:sz w:val="18"/>
              </w:rPr>
              <w:t xml:space="preserve">jscu pracy </w:t>
            </w:r>
          </w:p>
          <w:p w14:paraId="6F57302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maszyn, urządzeń lub systemów służących do zdalnego zarządzania, diagnozowania, monitorowania lub obsługi robotów </w:t>
            </w:r>
          </w:p>
          <w:p w14:paraId="61BD9646" w14:textId="4266702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urządzeń do interakcji człowiek–maszyna dla robotów współpracujących lub robotów</w:t>
            </w:r>
            <w:r w:rsidR="00A33B9F" w:rsidRPr="00A33B9F">
              <w:rPr>
                <w:rFonts w:ascii="Times New Roman" w:hAnsi="Times New Roman"/>
                <w:noProof/>
                <w:color w:val="000000" w:themeColor="text1"/>
                <w:sz w:val="18"/>
              </w:rPr>
              <w:t xml:space="preserve"> o wys</w:t>
            </w:r>
            <w:r w:rsidRPr="00A33B9F">
              <w:rPr>
                <w:rFonts w:ascii="Times New Roman" w:hAnsi="Times New Roman"/>
                <w:noProof/>
                <w:color w:val="000000" w:themeColor="text1"/>
                <w:sz w:val="18"/>
              </w:rPr>
              <w:t xml:space="preserve">okiej wrażliwości </w:t>
            </w:r>
          </w:p>
          <w:p w14:paraId="3B6A9597" w14:textId="1331499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 xml:space="preserve">• koszty wartości niematerialnych dotyczących środków trwałych wymienionych powyżej </w:t>
            </w:r>
          </w:p>
          <w:p w14:paraId="0FC00A06" w14:textId="64DFD3C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 xml:space="preserve">• koszty usług szkoleniowych dotyczących robotów </w:t>
            </w:r>
          </w:p>
          <w:p w14:paraId="34F9BF86" w14:textId="2F5AC76F"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opłaty związane</w:t>
            </w:r>
            <w:r w:rsidR="00A33B9F" w:rsidRPr="00A33B9F">
              <w:rPr>
                <w:rFonts w:ascii="Times New Roman" w:hAnsi="Times New Roman"/>
                <w:noProof/>
                <w:color w:val="000000" w:themeColor="text1"/>
                <w:sz w:val="18"/>
              </w:rPr>
              <w:t xml:space="preserve"> z umo</w:t>
            </w:r>
            <w:r w:rsidRPr="00A33B9F">
              <w:rPr>
                <w:rFonts w:ascii="Times New Roman" w:hAnsi="Times New Roman"/>
                <w:noProof/>
                <w:color w:val="000000" w:themeColor="text1"/>
                <w:sz w:val="18"/>
              </w:rPr>
              <w:t xml:space="preserve">wą leasingu dotyczącą środków trwałych wymienionych powyżej, jeżeli po zakończeniu podstawowego okresu obowiązywania umowy leasingu własność środków trwałych zostanie przeniesiona na podatnika. </w:t>
            </w:r>
          </w:p>
          <w:p w14:paraId="6BD18F9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238601FE" w14:textId="2D1DC98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Oczekuje się, że środek ten nie spowoduje poważnych szkód dla celów środowiskowych</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umieniu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17 rozporządzenia Parlamentu Europejskiego</w:t>
            </w:r>
            <w:r w:rsidR="00A33B9F" w:rsidRPr="00A33B9F">
              <w:rPr>
                <w:rFonts w:ascii="Times New Roman" w:hAnsi="Times New Roman"/>
                <w:noProof/>
                <w:color w:val="000000" w:themeColor="text1"/>
                <w:sz w:val="18"/>
              </w:rPr>
              <w:t xml:space="preserve"> i Rad</w:t>
            </w:r>
            <w:r w:rsidRPr="00A33B9F">
              <w:rPr>
                <w:rFonts w:ascii="Times New Roman" w:hAnsi="Times New Roman"/>
                <w:noProof/>
                <w:color w:val="000000" w:themeColor="text1"/>
                <w:sz w:val="18"/>
              </w:rPr>
              <w:t>y (UE) 2020/852, biorąc pod uwagę opis środka</w:t>
            </w:r>
            <w:r w:rsidR="00A33B9F" w:rsidRPr="00A33B9F">
              <w:rPr>
                <w:rFonts w:ascii="Times New Roman" w:hAnsi="Times New Roman"/>
                <w:noProof/>
                <w:color w:val="000000" w:themeColor="text1"/>
                <w:sz w:val="18"/>
              </w:rPr>
              <w:t xml:space="preserve"> i dzi</w:t>
            </w:r>
            <w:r w:rsidRPr="00A33B9F">
              <w:rPr>
                <w:rFonts w:ascii="Times New Roman" w:hAnsi="Times New Roman"/>
                <w:noProof/>
                <w:color w:val="000000" w:themeColor="text1"/>
                <w:sz w:val="18"/>
              </w:rPr>
              <w:t>ałań ograniczających ryzyko</w:t>
            </w:r>
            <w:r w:rsidR="00A33B9F" w:rsidRPr="00A33B9F">
              <w:rPr>
                <w:rFonts w:ascii="Times New Roman" w:hAnsi="Times New Roman"/>
                <w:noProof/>
                <w:color w:val="000000" w:themeColor="text1"/>
                <w:sz w:val="18"/>
              </w:rPr>
              <w:t xml:space="preserve"> w pla</w:t>
            </w:r>
            <w:r w:rsidRPr="00A33B9F">
              <w:rPr>
                <w:rFonts w:ascii="Times New Roman" w:hAnsi="Times New Roman"/>
                <w:noProof/>
                <w:color w:val="000000" w:themeColor="text1"/>
                <w:sz w:val="18"/>
              </w:rPr>
              <w:t>nie odbudowy</w:t>
            </w:r>
            <w:r w:rsidR="00A33B9F" w:rsidRPr="00A33B9F">
              <w:rPr>
                <w:rFonts w:ascii="Times New Roman" w:hAnsi="Times New Roman"/>
                <w:noProof/>
                <w:color w:val="000000" w:themeColor="text1"/>
                <w:sz w:val="18"/>
              </w:rPr>
              <w:t xml:space="preserve"> i zwi</w:t>
            </w:r>
            <w:r w:rsidRPr="00A33B9F">
              <w:rPr>
                <w:rFonts w:ascii="Times New Roman" w:hAnsi="Times New Roman"/>
                <w:noProof/>
                <w:color w:val="000000" w:themeColor="text1"/>
                <w:sz w:val="18"/>
              </w:rPr>
              <w:t>ększania odporności zgodnie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reforma będzie wspierać inwestycje</w:t>
            </w:r>
            <w:r w:rsidR="00A33B9F" w:rsidRPr="00A33B9F">
              <w:rPr>
                <w:rFonts w:ascii="Times New Roman" w:hAnsi="Times New Roman"/>
                <w:noProof/>
                <w:color w:val="000000" w:themeColor="text1"/>
                <w:sz w:val="18"/>
              </w:rPr>
              <w:t xml:space="preserve"> o nie</w:t>
            </w:r>
            <w:r w:rsidRPr="00A33B9F">
              <w:rPr>
                <w:rFonts w:ascii="Times New Roman" w:hAnsi="Times New Roman"/>
                <w:noProof/>
                <w:color w:val="000000" w:themeColor="text1"/>
                <w:sz w:val="18"/>
              </w:rPr>
              <w:t>wielkim wpływie na środowisko, które są neutralne technologicznie na poziomie ich zastosowania.</w:t>
            </w:r>
            <w:r w:rsidR="00C3621A" w:rsidRPr="00A33B9F">
              <w:rPr>
                <w:rFonts w:ascii="Times New Roman" w:hAnsi="Times New Roman"/>
                <w:noProof/>
                <w:color w:val="000000" w:themeColor="text1"/>
                <w:sz w:val="18"/>
              </w:rPr>
              <w:t xml:space="preserve"> </w:t>
            </w:r>
          </w:p>
        </w:tc>
      </w:tr>
      <w:tr w:rsidR="008C116B" w:rsidRPr="00A33B9F" w14:paraId="08D1385E" w14:textId="77777777" w:rsidTr="1CE0CE0C">
        <w:trPr>
          <w:trHeight w:val="313"/>
        </w:trPr>
        <w:tc>
          <w:tcPr>
            <w:tcW w:w="875" w:type="dxa"/>
            <w:shd w:val="clear" w:color="auto" w:fill="C6EFCE"/>
          </w:tcPr>
          <w:p w14:paraId="434292C4" w14:textId="71E6C172"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A28G</w:t>
            </w:r>
          </w:p>
        </w:tc>
        <w:tc>
          <w:tcPr>
            <w:tcW w:w="1984" w:type="dxa"/>
            <w:shd w:val="clear" w:color="auto" w:fill="C6EFCE"/>
          </w:tcPr>
          <w:p w14:paraId="73A3BEB9" w14:textId="35171F7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A2.1.1 Inwestycje wspierające robotyzację</w:t>
            </w:r>
            <w:r w:rsidR="00A33B9F" w:rsidRPr="00A33B9F">
              <w:rPr>
                <w:rFonts w:ascii="Times New Roman" w:hAnsi="Times New Roman"/>
                <w:noProof/>
                <w:color w:val="000000"/>
                <w:sz w:val="18"/>
              </w:rPr>
              <w:t xml:space="preserve"> i cyf</w:t>
            </w:r>
            <w:r w:rsidRPr="00A33B9F">
              <w:rPr>
                <w:rFonts w:ascii="Times New Roman" w:hAnsi="Times New Roman"/>
                <w:noProof/>
                <w:color w:val="000000"/>
                <w:sz w:val="18"/>
              </w:rPr>
              <w:t>ryzację</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edsiębiorstwach</w:t>
            </w:r>
            <w:r w:rsidR="00C3621A" w:rsidRPr="00A33B9F">
              <w:rPr>
                <w:rFonts w:ascii="Times New Roman" w:hAnsi="Times New Roman"/>
                <w:noProof/>
                <w:color w:val="000000"/>
                <w:sz w:val="18"/>
              </w:rPr>
              <w:t xml:space="preserve"> </w:t>
            </w:r>
          </w:p>
        </w:tc>
        <w:tc>
          <w:tcPr>
            <w:tcW w:w="1276" w:type="dxa"/>
            <w:shd w:val="clear" w:color="auto" w:fill="C6EFCE"/>
          </w:tcPr>
          <w:p w14:paraId="4E99B13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48CB533D" w14:textId="20690B7E"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T1 – Realizacja projektów związanych</w:t>
            </w:r>
            <w:r w:rsidR="00A33B9F" w:rsidRPr="00A33B9F">
              <w:rPr>
                <w:rFonts w:ascii="Times New Roman" w:hAnsi="Times New Roman"/>
                <w:noProof/>
                <w:color w:val="000000"/>
                <w:sz w:val="18"/>
              </w:rPr>
              <w:t xml:space="preserve"> z rob</w:t>
            </w:r>
            <w:r w:rsidRPr="00A33B9F">
              <w:rPr>
                <w:rFonts w:ascii="Times New Roman" w:hAnsi="Times New Roman"/>
                <w:noProof/>
                <w:color w:val="000000"/>
                <w:sz w:val="18"/>
              </w:rPr>
              <w:t>otyzacją, sztuczną inteligencją lub transformacją cyfrową procesów, technologii, produktów lub usług</w:t>
            </w:r>
          </w:p>
        </w:tc>
        <w:tc>
          <w:tcPr>
            <w:tcW w:w="1536" w:type="dxa"/>
            <w:shd w:val="clear" w:color="auto" w:fill="C6EFCE"/>
          </w:tcPr>
          <w:p w14:paraId="48D3F40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099A72F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shd w:val="clear" w:color="auto" w:fill="C6EFCE"/>
          </w:tcPr>
          <w:p w14:paraId="370D6AA5"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605" w:type="dxa"/>
            <w:shd w:val="clear" w:color="auto" w:fill="C6EFCE"/>
          </w:tcPr>
          <w:p w14:paraId="1B87E3D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6</w:t>
            </w:r>
          </w:p>
        </w:tc>
        <w:tc>
          <w:tcPr>
            <w:tcW w:w="986" w:type="dxa"/>
            <w:shd w:val="clear" w:color="auto" w:fill="C6EFCE"/>
          </w:tcPr>
          <w:p w14:paraId="601530B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9" w:type="dxa"/>
            <w:shd w:val="clear" w:color="auto" w:fill="C6EFCE"/>
          </w:tcPr>
          <w:p w14:paraId="560B5D26"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260" w:type="dxa"/>
            <w:shd w:val="clear" w:color="auto" w:fill="C6EFCE"/>
          </w:tcPr>
          <w:p w14:paraId="6530D050" w14:textId="6350853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ni zrealizowanych projektów związanych</w:t>
            </w:r>
            <w:r w:rsidR="00A33B9F" w:rsidRPr="00A33B9F">
              <w:rPr>
                <w:rFonts w:ascii="Times New Roman" w:hAnsi="Times New Roman"/>
                <w:noProof/>
                <w:color w:val="000000" w:themeColor="text1"/>
                <w:sz w:val="18"/>
              </w:rPr>
              <w:t xml:space="preserve"> z rob</w:t>
            </w:r>
            <w:r w:rsidRPr="00A33B9F">
              <w:rPr>
                <w:rFonts w:ascii="Times New Roman" w:hAnsi="Times New Roman"/>
                <w:noProof/>
                <w:color w:val="000000" w:themeColor="text1"/>
                <w:sz w:val="18"/>
              </w:rPr>
              <w:t>otyzacją, sztuczną inteligencją lub transformacją cyfrową procesów, technologii, produktów lub usług</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projekty obejmują co najmniej jedno</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ienionych zagadnień:</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pełne wdrożenie innowacyjnych rozwiązań cyfrowych,</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cyfryzacji procesów biznesowych</w:t>
            </w:r>
            <w:r w:rsidRPr="00A33B9F">
              <w:rPr>
                <w:rFonts w:ascii="Times New Roman" w:hAnsi="Times New Roman"/>
                <w:noProof/>
                <w:color w:val="000000" w:themeColor="text1"/>
                <w:sz w:val="18"/>
              </w:rPr>
              <w:br/>
              <w:t>– wspieranie transformacji</w:t>
            </w:r>
            <w:r w:rsidR="00A33B9F" w:rsidRPr="00A33B9F">
              <w:rPr>
                <w:rFonts w:ascii="Times New Roman" w:hAnsi="Times New Roman"/>
                <w:noProof/>
                <w:color w:val="000000" w:themeColor="text1"/>
                <w:sz w:val="18"/>
              </w:rPr>
              <w:t xml:space="preserve"> w kie</w:t>
            </w:r>
            <w:r w:rsidRPr="00A33B9F">
              <w:rPr>
                <w:rFonts w:ascii="Times New Roman" w:hAnsi="Times New Roman"/>
                <w:noProof/>
                <w:color w:val="000000" w:themeColor="text1"/>
                <w:sz w:val="18"/>
              </w:rPr>
              <w:t>runku przemysłu 4.0 ze szczególnym uwzględnieniem robotyzacji</w:t>
            </w:r>
            <w:r w:rsidR="00A33B9F" w:rsidRPr="00A33B9F">
              <w:rPr>
                <w:rFonts w:ascii="Times New Roman" w:hAnsi="Times New Roman"/>
                <w:noProof/>
                <w:color w:val="000000" w:themeColor="text1"/>
                <w:sz w:val="18"/>
              </w:rPr>
              <w:t xml:space="preserve"> i tec</w:t>
            </w:r>
            <w:r w:rsidRPr="00A33B9F">
              <w:rPr>
                <w:rFonts w:ascii="Times New Roman" w:hAnsi="Times New Roman"/>
                <w:noProof/>
                <w:color w:val="000000" w:themeColor="text1"/>
                <w:sz w:val="18"/>
              </w:rPr>
              <w:t>hnologii operacyjnych</w:t>
            </w:r>
            <w:r w:rsidRPr="00A33B9F">
              <w:rPr>
                <w:rFonts w:ascii="Times New Roman" w:hAnsi="Times New Roman"/>
                <w:noProof/>
                <w:color w:val="000000" w:themeColor="text1"/>
                <w:sz w:val="18"/>
              </w:rPr>
              <w:br/>
              <w:t>– wykorzystanie technologii chmury oraz sztucznej inteligencji</w:t>
            </w:r>
            <w:r w:rsidR="00A33B9F" w:rsidRPr="00A33B9F">
              <w:rPr>
                <w:rFonts w:ascii="Times New Roman" w:hAnsi="Times New Roman"/>
                <w:noProof/>
                <w:color w:val="000000" w:themeColor="text1"/>
                <w:sz w:val="18"/>
              </w:rPr>
              <w:t xml:space="preserve"> w int</w:t>
            </w:r>
            <w:r w:rsidRPr="00A33B9F">
              <w:rPr>
                <w:rFonts w:ascii="Times New Roman" w:hAnsi="Times New Roman"/>
                <w:noProof/>
                <w:color w:val="000000" w:themeColor="text1"/>
                <w:sz w:val="18"/>
              </w:rPr>
              <w:t>egracji procesów produkcyjnych</w:t>
            </w:r>
            <w:r w:rsidR="00A33B9F" w:rsidRPr="00A33B9F">
              <w:rPr>
                <w:rFonts w:ascii="Times New Roman" w:hAnsi="Times New Roman"/>
                <w:noProof/>
                <w:color w:val="000000" w:themeColor="text1"/>
                <w:sz w:val="18"/>
              </w:rPr>
              <w:t xml:space="preserve"> i biz</w:t>
            </w:r>
            <w:r w:rsidRPr="00A33B9F">
              <w:rPr>
                <w:rFonts w:ascii="Times New Roman" w:hAnsi="Times New Roman"/>
                <w:noProof/>
                <w:color w:val="000000" w:themeColor="text1"/>
                <w:sz w:val="18"/>
              </w:rPr>
              <w:t>nesowych</w:t>
            </w:r>
            <w:r w:rsidR="00A33B9F" w:rsidRPr="00A33B9F">
              <w:rPr>
                <w:rFonts w:ascii="Times New Roman" w:hAnsi="Times New Roman"/>
                <w:noProof/>
                <w:color w:val="000000" w:themeColor="text1"/>
                <w:sz w:val="18"/>
              </w:rPr>
              <w:t xml:space="preserve"> i zar</w:t>
            </w:r>
            <w:r w:rsidRPr="00A33B9F">
              <w:rPr>
                <w:rFonts w:ascii="Times New Roman" w:hAnsi="Times New Roman"/>
                <w:noProof/>
                <w:color w:val="000000" w:themeColor="text1"/>
                <w:sz w:val="18"/>
              </w:rPr>
              <w:t>ządzaniu nimi</w:t>
            </w:r>
            <w:r w:rsidRPr="00A33B9F">
              <w:rPr>
                <w:rFonts w:ascii="Times New Roman" w:hAnsi="Times New Roman"/>
                <w:noProof/>
                <w:color w:val="000000" w:themeColor="text1"/>
                <w:sz w:val="18"/>
              </w:rPr>
              <w:br/>
              <w:t>– integrację poszczególnych elementów procesów biznesowych</w:t>
            </w:r>
            <w:r w:rsidRPr="00A33B9F">
              <w:rPr>
                <w:rFonts w:ascii="Times New Roman" w:hAnsi="Times New Roman"/>
                <w:noProof/>
                <w:color w:val="000000" w:themeColor="text1"/>
                <w:sz w:val="18"/>
              </w:rPr>
              <w:br/>
              <w:t>– pełne wdrożenie technologii komunikacji Machine to Machine (M2M), wykorzystanie przemysłowego internetu rzeczy (IoT)</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tosowaniem zaawansowanych metod przetwarzania informacji</w:t>
            </w:r>
            <w:r w:rsidRPr="00A33B9F">
              <w:rPr>
                <w:rFonts w:ascii="Times New Roman" w:hAnsi="Times New Roman"/>
                <w:noProof/>
                <w:color w:val="000000" w:themeColor="text1"/>
                <w:sz w:val="18"/>
              </w:rPr>
              <w:br/>
              <w:t>– wdrażanie inteligentnych linii produkcyjnych, budowę inteligentnych fabryk (Smart factory)</w:t>
            </w:r>
            <w:r w:rsidRPr="00A33B9F">
              <w:rPr>
                <w:rFonts w:ascii="Times New Roman" w:hAnsi="Times New Roman"/>
                <w:noProof/>
                <w:color w:val="000000" w:themeColor="text1"/>
                <w:sz w:val="18"/>
              </w:rPr>
              <w:br/>
              <w:t>– tworzenie dziedzinowych platform cyfrowych oraz integrację istniejących systemów dziedzinowych</w:t>
            </w:r>
            <w:r w:rsidRPr="00A33B9F">
              <w:rPr>
                <w:rFonts w:ascii="Times New Roman" w:hAnsi="Times New Roman"/>
                <w:noProof/>
                <w:color w:val="000000" w:themeColor="text1"/>
                <w:sz w:val="18"/>
              </w:rPr>
              <w:br/>
              <w:t>– pełne wdrożenie dedykowanych systemów automatyzujących procesy</w:t>
            </w:r>
            <w:r w:rsidR="00A33B9F" w:rsidRPr="00A33B9F">
              <w:rPr>
                <w:rFonts w:ascii="Times New Roman" w:hAnsi="Times New Roman"/>
                <w:noProof/>
                <w:color w:val="000000" w:themeColor="text1"/>
                <w:sz w:val="18"/>
              </w:rPr>
              <w:t xml:space="preserve"> w obs</w:t>
            </w:r>
            <w:r w:rsidRPr="00A33B9F">
              <w:rPr>
                <w:rFonts w:ascii="Times New Roman" w:hAnsi="Times New Roman"/>
                <w:noProof/>
                <w:color w:val="000000" w:themeColor="text1"/>
                <w:sz w:val="18"/>
              </w:rPr>
              <w:t>zarze bezpieczeństwa cyfrowego</w:t>
            </w:r>
            <w:r w:rsidR="00A33B9F" w:rsidRPr="00A33B9F">
              <w:rPr>
                <w:rFonts w:ascii="Times New Roman" w:hAnsi="Times New Roman"/>
                <w:noProof/>
                <w:color w:val="000000" w:themeColor="text1"/>
                <w:sz w:val="18"/>
              </w:rPr>
              <w:t xml:space="preserve"> z wyk</w:t>
            </w:r>
            <w:r w:rsidRPr="00A33B9F">
              <w:rPr>
                <w:rFonts w:ascii="Times New Roman" w:hAnsi="Times New Roman"/>
                <w:noProof/>
                <w:color w:val="000000" w:themeColor="text1"/>
                <w:sz w:val="18"/>
              </w:rPr>
              <w:t>orzystaniem technologii chmury oraz sztucznej inteligencji</w:t>
            </w:r>
            <w:r w:rsidRPr="00A33B9F">
              <w:rPr>
                <w:rFonts w:ascii="Times New Roman" w:hAnsi="Times New Roman"/>
                <w:noProof/>
                <w:color w:val="000000" w:themeColor="text1"/>
                <w:sz w:val="18"/>
              </w:rPr>
              <w:br/>
              <w:t>– pełne wdrożenie nowoczesnych cyfrowych miejsc pracy.</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Oczekuje się, że projekt będzie skierowany głównie do dużych przedsiębiorstw</w:t>
            </w:r>
            <w:r w:rsidR="00A33B9F" w:rsidRPr="00A33B9F">
              <w:rPr>
                <w:rFonts w:ascii="Times New Roman" w:hAnsi="Times New Roman"/>
                <w:noProof/>
                <w:color w:val="000000" w:themeColor="text1"/>
                <w:sz w:val="18"/>
              </w:rPr>
              <w:t xml:space="preserve"> i ich</w:t>
            </w:r>
            <w:r w:rsidRPr="00A33B9F">
              <w:rPr>
                <w:rFonts w:ascii="Times New Roman" w:hAnsi="Times New Roman"/>
                <w:noProof/>
                <w:color w:val="000000" w:themeColor="text1"/>
                <w:sz w:val="18"/>
              </w:rPr>
              <w:t xml:space="preserve"> pracowników. </w:t>
            </w:r>
          </w:p>
        </w:tc>
      </w:tr>
      <w:tr w:rsidR="008C116B" w:rsidRPr="00A33B9F" w14:paraId="7D5B7E28" w14:textId="77777777" w:rsidTr="1CE0CE0C">
        <w:trPr>
          <w:trHeight w:val="313"/>
        </w:trPr>
        <w:tc>
          <w:tcPr>
            <w:tcW w:w="875" w:type="dxa"/>
            <w:shd w:val="clear" w:color="auto" w:fill="C6EFCE"/>
          </w:tcPr>
          <w:p w14:paraId="7CE58F48" w14:textId="3C981E3D"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A29G</w:t>
            </w:r>
          </w:p>
        </w:tc>
        <w:tc>
          <w:tcPr>
            <w:tcW w:w="1984" w:type="dxa"/>
            <w:shd w:val="clear" w:color="auto" w:fill="C6EFCE"/>
          </w:tcPr>
          <w:p w14:paraId="2FFBCB9C" w14:textId="1C132D12"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A2.1.1 Inwestycje wspierające robotyzację</w:t>
            </w:r>
            <w:r w:rsidR="00A33B9F" w:rsidRPr="00A33B9F">
              <w:rPr>
                <w:rFonts w:ascii="Times New Roman" w:hAnsi="Times New Roman"/>
                <w:noProof/>
                <w:color w:val="000000"/>
                <w:sz w:val="18"/>
              </w:rPr>
              <w:t xml:space="preserve"> i cyf</w:t>
            </w:r>
            <w:r w:rsidRPr="00A33B9F">
              <w:rPr>
                <w:rFonts w:ascii="Times New Roman" w:hAnsi="Times New Roman"/>
                <w:noProof/>
                <w:color w:val="000000"/>
                <w:sz w:val="18"/>
              </w:rPr>
              <w:t>ryzację</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edsiębiorstwach</w:t>
            </w:r>
            <w:r w:rsidR="00C3621A" w:rsidRPr="00A33B9F">
              <w:rPr>
                <w:rFonts w:ascii="Times New Roman" w:hAnsi="Times New Roman"/>
                <w:noProof/>
                <w:color w:val="000000"/>
                <w:sz w:val="18"/>
              </w:rPr>
              <w:t xml:space="preserve"> </w:t>
            </w:r>
          </w:p>
        </w:tc>
        <w:tc>
          <w:tcPr>
            <w:tcW w:w="1276" w:type="dxa"/>
            <w:shd w:val="clear" w:color="auto" w:fill="C6EFCE"/>
          </w:tcPr>
          <w:p w14:paraId="274B3D9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319D24A6" w14:textId="7C88FBF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T2 – Realizacja projektów związanych</w:t>
            </w:r>
            <w:r w:rsidR="00A33B9F" w:rsidRPr="00A33B9F">
              <w:rPr>
                <w:rFonts w:ascii="Times New Roman" w:hAnsi="Times New Roman"/>
                <w:noProof/>
                <w:color w:val="000000"/>
                <w:sz w:val="18"/>
              </w:rPr>
              <w:t xml:space="preserve"> z rob</w:t>
            </w:r>
            <w:r w:rsidRPr="00A33B9F">
              <w:rPr>
                <w:rFonts w:ascii="Times New Roman" w:hAnsi="Times New Roman"/>
                <w:noProof/>
                <w:color w:val="000000"/>
                <w:sz w:val="18"/>
              </w:rPr>
              <w:t>otyzacją, sztuczną inteligencją lub transformacją cyfrową procesów, technologii, produktów lub usług</w:t>
            </w:r>
          </w:p>
        </w:tc>
        <w:tc>
          <w:tcPr>
            <w:tcW w:w="1536" w:type="dxa"/>
            <w:shd w:val="clear" w:color="auto" w:fill="C6EFCE"/>
          </w:tcPr>
          <w:p w14:paraId="222CCC4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460C58E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shd w:val="clear" w:color="auto" w:fill="C6EFCE"/>
          </w:tcPr>
          <w:p w14:paraId="1946A7A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6</w:t>
            </w:r>
          </w:p>
        </w:tc>
        <w:tc>
          <w:tcPr>
            <w:tcW w:w="605" w:type="dxa"/>
            <w:shd w:val="clear" w:color="auto" w:fill="C6EFCE"/>
          </w:tcPr>
          <w:p w14:paraId="704A35C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40</w:t>
            </w:r>
          </w:p>
        </w:tc>
        <w:tc>
          <w:tcPr>
            <w:tcW w:w="986" w:type="dxa"/>
            <w:shd w:val="clear" w:color="auto" w:fill="C6EFCE"/>
          </w:tcPr>
          <w:p w14:paraId="7694BBC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9" w:type="dxa"/>
            <w:shd w:val="clear" w:color="auto" w:fill="C6EFCE"/>
          </w:tcPr>
          <w:p w14:paraId="627BB9B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0" w:type="dxa"/>
            <w:shd w:val="clear" w:color="auto" w:fill="C6EFCE"/>
          </w:tcPr>
          <w:p w14:paraId="39B7FA5F" w14:textId="36B1FA6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Dodatkowe co najmniej 34</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ni zrealizowane projekty związane</w:t>
            </w:r>
            <w:r w:rsidR="00A33B9F" w:rsidRPr="00A33B9F">
              <w:rPr>
                <w:rFonts w:ascii="Times New Roman" w:hAnsi="Times New Roman"/>
                <w:noProof/>
                <w:color w:val="000000" w:themeColor="text1"/>
                <w:sz w:val="18"/>
              </w:rPr>
              <w:t xml:space="preserve"> z rob</w:t>
            </w:r>
            <w:r w:rsidRPr="00A33B9F">
              <w:rPr>
                <w:rFonts w:ascii="Times New Roman" w:hAnsi="Times New Roman"/>
                <w:noProof/>
                <w:color w:val="000000" w:themeColor="text1"/>
                <w:sz w:val="18"/>
              </w:rPr>
              <w:t xml:space="preserve">otyzacją, sztuczną inteligencją lub transformacją cyfrową procesów, technologii, produktów lub usług, spełniające wymogi określone dla działania A28G. </w:t>
            </w:r>
          </w:p>
        </w:tc>
      </w:tr>
      <w:tr w:rsidR="008C116B" w:rsidRPr="00A33B9F" w14:paraId="3A660D93" w14:textId="77777777" w:rsidTr="1CE0CE0C">
        <w:trPr>
          <w:trHeight w:val="1644"/>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48D7E0" w14:textId="75C74E89"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A30G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EBB280" w14:textId="3A35ED76"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A2.2 Stworzenie warunków do przejścia na model gospodarki</w:t>
            </w:r>
            <w:r w:rsidR="00A33B9F" w:rsidRPr="00A33B9F">
              <w:rPr>
                <w:rFonts w:ascii="Times New Roman" w:hAnsi="Times New Roman"/>
                <w:noProof/>
                <w:color w:val="000000"/>
                <w:sz w:val="18"/>
              </w:rPr>
              <w:t xml:space="preserve"> o obi</w:t>
            </w:r>
            <w:r w:rsidRPr="00A33B9F">
              <w:rPr>
                <w:rFonts w:ascii="Times New Roman" w:hAnsi="Times New Roman"/>
                <w:noProof/>
                <w:color w:val="000000"/>
                <w:sz w:val="18"/>
              </w:rPr>
              <w:t>egu zamkniętym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8BBE1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B1E4DC" w14:textId="52EC35B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nowych przepisów,</w:t>
            </w:r>
            <w:r w:rsidR="00A33B9F" w:rsidRPr="00A33B9F">
              <w:rPr>
                <w:rFonts w:ascii="Times New Roman" w:hAnsi="Times New Roman"/>
                <w:noProof/>
                <w:color w:val="000000"/>
                <w:sz w:val="18"/>
              </w:rPr>
              <w:t xml:space="preserve"> z pom</w:t>
            </w:r>
            <w:r w:rsidRPr="00A33B9F">
              <w:rPr>
                <w:rFonts w:ascii="Times New Roman" w:hAnsi="Times New Roman"/>
                <w:noProof/>
                <w:color w:val="000000"/>
                <w:sz w:val="18"/>
              </w:rPr>
              <w:t>ocą których wprowadza się zmiany do ram legislacyjnych</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 xml:space="preserve">u umożliwienia obrotu surowcami wtórnymi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289DA6" w14:textId="3A4EA00B" w:rsidR="00BE1B25" w:rsidRPr="00A33B9F"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now</w:t>
            </w:r>
            <w:r w:rsidRPr="00A33B9F">
              <w:rPr>
                <w:rFonts w:ascii="Times New Roman" w:hAnsi="Times New Roman"/>
                <w:noProof/>
                <w:color w:val="000000" w:themeColor="text1"/>
                <w:sz w:val="18"/>
              </w:rPr>
              <w:t>ej ustawie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FC34A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4ECA7"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7D6B25"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320D90"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EB8710"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13FFFB" w14:textId="1058717A" w:rsidR="00BE1B25" w:rsidRPr="00A33B9F"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Nowa ustawa umożliwi obrót wybranymi surowcami wtórnymi. Ustawa zapewni możliwość ułatwionego gospodarowania tymi surowcami, czego skutkiem będzie ograniczenie eksploatacji złóż surowców naturalnych, dzięki zastąpieniu naturalnych surowców</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 xml:space="preserve">duktów, oraz ograniczy magazynowanie odpadów na hałdach. </w:t>
            </w:r>
          </w:p>
        </w:tc>
      </w:tr>
      <w:tr w:rsidR="008C116B" w:rsidRPr="00A33B9F" w14:paraId="4DFF9C52" w14:textId="77777777" w:rsidTr="1CE0CE0C">
        <w:trPr>
          <w:trHeight w:val="313"/>
        </w:trPr>
        <w:tc>
          <w:tcPr>
            <w:tcW w:w="875" w:type="dxa"/>
            <w:shd w:val="clear" w:color="auto" w:fill="C6EFCE"/>
          </w:tcPr>
          <w:p w14:paraId="3D5C510C" w14:textId="7A1CDB6C"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A31G</w:t>
            </w:r>
          </w:p>
        </w:tc>
        <w:tc>
          <w:tcPr>
            <w:tcW w:w="1984" w:type="dxa"/>
            <w:shd w:val="clear" w:color="auto" w:fill="C6EFCE"/>
          </w:tcPr>
          <w:p w14:paraId="36EAF719" w14:textId="631ABA4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A2.2.1 Inwestycje we wdrażanie technologii</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owacji środowiskowych,</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związanych</w:t>
            </w:r>
            <w:r w:rsidR="00A33B9F" w:rsidRPr="00A33B9F">
              <w:rPr>
                <w:rFonts w:ascii="Times New Roman" w:hAnsi="Times New Roman"/>
                <w:noProof/>
                <w:color w:val="000000"/>
                <w:sz w:val="18"/>
              </w:rPr>
              <w:t xml:space="preserve"> z gos</w:t>
            </w:r>
            <w:r w:rsidRPr="00A33B9F">
              <w:rPr>
                <w:rFonts w:ascii="Times New Roman" w:hAnsi="Times New Roman"/>
                <w:noProof/>
                <w:color w:val="000000"/>
                <w:sz w:val="18"/>
              </w:rPr>
              <w:t>podarką</w:t>
            </w:r>
            <w:r w:rsidR="00A33B9F" w:rsidRPr="00A33B9F">
              <w:rPr>
                <w:rFonts w:ascii="Times New Roman" w:hAnsi="Times New Roman"/>
                <w:noProof/>
                <w:color w:val="000000"/>
                <w:sz w:val="18"/>
              </w:rPr>
              <w:t xml:space="preserve"> o obi</w:t>
            </w:r>
            <w:r w:rsidRPr="00A33B9F">
              <w:rPr>
                <w:rFonts w:ascii="Times New Roman" w:hAnsi="Times New Roman"/>
                <w:noProof/>
                <w:color w:val="000000"/>
                <w:sz w:val="18"/>
              </w:rPr>
              <w:t>egu zamkniętym</w:t>
            </w:r>
          </w:p>
        </w:tc>
        <w:tc>
          <w:tcPr>
            <w:tcW w:w="1276" w:type="dxa"/>
            <w:shd w:val="clear" w:color="auto" w:fill="C6EFCE"/>
          </w:tcPr>
          <w:p w14:paraId="043B317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7E8839C5" w14:textId="6CEB69DE"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Podpisane umowy</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ielenie dotacji na projekty przyznane MŚP posiadającym rozwiązania</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rozwoju</w:t>
            </w:r>
            <w:r w:rsidR="00A33B9F" w:rsidRPr="00A33B9F">
              <w:rPr>
                <w:rFonts w:ascii="Times New Roman" w:hAnsi="Times New Roman"/>
                <w:noProof/>
                <w:color w:val="000000" w:themeColor="text1"/>
                <w:sz w:val="18"/>
              </w:rPr>
              <w:t xml:space="preserve"> i sty</w:t>
            </w:r>
            <w:r w:rsidRPr="00A33B9F">
              <w:rPr>
                <w:rFonts w:ascii="Times New Roman" w:hAnsi="Times New Roman"/>
                <w:noProof/>
                <w:color w:val="000000" w:themeColor="text1"/>
                <w:sz w:val="18"/>
              </w:rPr>
              <w:t>mulowania lub stosowania zielonych technologii (związanych</w:t>
            </w:r>
            <w:r w:rsidR="00A33B9F" w:rsidRPr="00A33B9F">
              <w:rPr>
                <w:rFonts w:ascii="Times New Roman" w:hAnsi="Times New Roman"/>
                <w:noProof/>
                <w:color w:val="000000" w:themeColor="text1"/>
                <w:sz w:val="18"/>
              </w:rPr>
              <w:t xml:space="preserve"> z gos</w:t>
            </w:r>
            <w:r w:rsidRPr="00A33B9F">
              <w:rPr>
                <w:rFonts w:ascii="Times New Roman" w:hAnsi="Times New Roman"/>
                <w:noProof/>
                <w:color w:val="000000" w:themeColor="text1"/>
                <w:sz w:val="18"/>
              </w:rPr>
              <w:t>podarką</w:t>
            </w:r>
            <w:r w:rsidR="00A33B9F" w:rsidRPr="00A33B9F">
              <w:rPr>
                <w:rFonts w:ascii="Times New Roman" w:hAnsi="Times New Roman"/>
                <w:noProof/>
                <w:color w:val="000000" w:themeColor="text1"/>
                <w:sz w:val="18"/>
              </w:rPr>
              <w:t xml:space="preserve"> o obi</w:t>
            </w:r>
            <w:r w:rsidRPr="00A33B9F">
              <w:rPr>
                <w:rFonts w:ascii="Times New Roman" w:hAnsi="Times New Roman"/>
                <w:noProof/>
                <w:color w:val="000000" w:themeColor="text1"/>
                <w:sz w:val="18"/>
              </w:rPr>
              <w:t xml:space="preserve">egu zamkniętym) </w:t>
            </w:r>
          </w:p>
        </w:tc>
        <w:tc>
          <w:tcPr>
            <w:tcW w:w="1536" w:type="dxa"/>
            <w:shd w:val="clear" w:color="auto" w:fill="C6EFCE"/>
          </w:tcPr>
          <w:p w14:paraId="79E427E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42087AF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shd w:val="clear" w:color="auto" w:fill="C6EFCE"/>
          </w:tcPr>
          <w:p w14:paraId="05F7728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605" w:type="dxa"/>
            <w:shd w:val="clear" w:color="auto" w:fill="C6EFCE"/>
          </w:tcPr>
          <w:p w14:paraId="0CCF700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100</w:t>
            </w:r>
          </w:p>
        </w:tc>
        <w:tc>
          <w:tcPr>
            <w:tcW w:w="986" w:type="dxa"/>
            <w:shd w:val="clear" w:color="auto" w:fill="C6EFCE"/>
          </w:tcPr>
          <w:p w14:paraId="65DAC869" w14:textId="777F3A69"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709" w:type="dxa"/>
            <w:shd w:val="clear" w:color="auto" w:fill="C6EFCE"/>
          </w:tcPr>
          <w:p w14:paraId="04715A28" w14:textId="66F0BBFD"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260" w:type="dxa"/>
            <w:shd w:val="clear" w:color="auto" w:fill="C6EFCE"/>
          </w:tcPr>
          <w:p w14:paraId="216080AB" w14:textId="5EE18346" w:rsidR="00BE1B25" w:rsidRPr="00A33B9F"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podpisanych umów</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ielenie dotacji. Wybór będzie dokonywany na podstawie określonych kryteriów kwalifikacji, zgodnie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niedyskryminacji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ejrzystości</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funduszu finansowane są projekty MŚP zgodne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poprzez zastosowanie wykazu wyłączeń</w:t>
            </w:r>
            <w:r w:rsidR="00A33B9F" w:rsidRPr="00A33B9F">
              <w:rPr>
                <w:rFonts w:ascii="Times New Roman" w:hAnsi="Times New Roman"/>
                <w:noProof/>
                <w:color w:val="000000" w:themeColor="text1"/>
                <w:sz w:val="18"/>
              </w:rPr>
              <w:t xml:space="preserve"> i zwi</w:t>
            </w:r>
            <w:r w:rsidRPr="00A33B9F">
              <w:rPr>
                <w:rFonts w:ascii="Times New Roman" w:hAnsi="Times New Roman"/>
                <w:noProof/>
                <w:color w:val="000000" w:themeColor="text1"/>
                <w:sz w:val="18"/>
              </w:rPr>
              <w:t>ązane</w:t>
            </w:r>
            <w:r w:rsidR="00A33B9F" w:rsidRPr="00A33B9F">
              <w:rPr>
                <w:rFonts w:ascii="Times New Roman" w:hAnsi="Times New Roman"/>
                <w:noProof/>
                <w:color w:val="000000" w:themeColor="text1"/>
                <w:sz w:val="18"/>
              </w:rPr>
              <w:t xml:space="preserve"> z opr</w:t>
            </w:r>
            <w:r w:rsidRPr="00A33B9F">
              <w:rPr>
                <w:rFonts w:ascii="Times New Roman" w:hAnsi="Times New Roman"/>
                <w:noProof/>
                <w:color w:val="000000" w:themeColor="text1"/>
                <w:sz w:val="18"/>
              </w:rPr>
              <w:t>acowaniem</w:t>
            </w:r>
            <w:r w:rsidR="00A33B9F" w:rsidRPr="00A33B9F">
              <w:rPr>
                <w:rFonts w:ascii="Times New Roman" w:hAnsi="Times New Roman"/>
                <w:noProof/>
                <w:color w:val="000000" w:themeColor="text1"/>
                <w:sz w:val="18"/>
              </w:rPr>
              <w:t xml:space="preserve"> i wdr</w:t>
            </w:r>
            <w:r w:rsidRPr="00A33B9F">
              <w:rPr>
                <w:rFonts w:ascii="Times New Roman" w:hAnsi="Times New Roman"/>
                <w:noProof/>
                <w:color w:val="000000" w:themeColor="text1"/>
                <w:sz w:val="18"/>
              </w:rPr>
              <w:t>ożeniem lub stosowaniem rozwiązań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zielonego sektora, które zostaną wybrane na podstawie największego wkładu</w:t>
            </w:r>
            <w:r w:rsidR="00A33B9F" w:rsidRPr="00A33B9F">
              <w:rPr>
                <w:rFonts w:ascii="Times New Roman" w:hAnsi="Times New Roman"/>
                <w:noProof/>
                <w:color w:val="000000" w:themeColor="text1"/>
                <w:sz w:val="18"/>
              </w:rPr>
              <w:t xml:space="preserve"> w rea</w:t>
            </w:r>
            <w:r w:rsidRPr="00A33B9F">
              <w:rPr>
                <w:rFonts w:ascii="Times New Roman" w:hAnsi="Times New Roman"/>
                <w:noProof/>
                <w:color w:val="000000" w:themeColor="text1"/>
                <w:sz w:val="18"/>
              </w:rPr>
              <w:t>lizację celów (poprzez wymierne</w:t>
            </w:r>
            <w:r w:rsidR="00A33B9F" w:rsidRPr="00A33B9F">
              <w:rPr>
                <w:rFonts w:ascii="Times New Roman" w:hAnsi="Times New Roman"/>
                <w:noProof/>
                <w:color w:val="000000" w:themeColor="text1"/>
                <w:sz w:val="18"/>
              </w:rPr>
              <w:t xml:space="preserve"> i wia</w:t>
            </w:r>
            <w:r w:rsidRPr="00A33B9F">
              <w:rPr>
                <w:rFonts w:ascii="Times New Roman" w:hAnsi="Times New Roman"/>
                <w:noProof/>
                <w:color w:val="000000" w:themeColor="text1"/>
                <w:sz w:val="18"/>
              </w:rPr>
              <w:t>rygodne wskaźniki)</w:t>
            </w:r>
            <w:r w:rsidR="00A33B9F" w:rsidRPr="00A33B9F">
              <w:rPr>
                <w:rFonts w:ascii="Times New Roman" w:hAnsi="Times New Roman"/>
                <w:noProof/>
                <w:color w:val="000000" w:themeColor="text1"/>
                <w:sz w:val="18"/>
              </w:rPr>
              <w:t xml:space="preserve"> w jed</w:t>
            </w:r>
            <w:r w:rsidRPr="00A33B9F">
              <w:rPr>
                <w:rFonts w:ascii="Times New Roman" w:hAnsi="Times New Roman"/>
                <w:noProof/>
                <w:color w:val="000000" w:themeColor="text1"/>
                <w:sz w:val="18"/>
              </w:rPr>
              <w:t>nej</w:t>
            </w:r>
            <w:r w:rsidR="00A33B9F" w:rsidRPr="00A33B9F">
              <w:rPr>
                <w:rFonts w:ascii="Times New Roman" w:hAnsi="Times New Roman"/>
                <w:noProof/>
                <w:color w:val="000000" w:themeColor="text1"/>
                <w:sz w:val="18"/>
              </w:rPr>
              <w:t xml:space="preserve"> z nas</w:t>
            </w:r>
            <w:r w:rsidRPr="00A33B9F">
              <w:rPr>
                <w:rFonts w:ascii="Times New Roman" w:hAnsi="Times New Roman"/>
                <w:noProof/>
                <w:color w:val="000000" w:themeColor="text1"/>
                <w:sz w:val="18"/>
              </w:rPr>
              <w:t>tępujących kategorii: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sprawniejsza gospodarka materiałowa</w:t>
            </w:r>
            <w:r w:rsidRPr="00A33B9F">
              <w:rPr>
                <w:rFonts w:ascii="Times New Roman" w:hAnsi="Times New Roman"/>
                <w:noProof/>
                <w:color w:val="000000" w:themeColor="text1"/>
                <w:sz w:val="18"/>
              </w:rPr>
              <w:br/>
              <w:t>– wzrost efektywności energetycznej</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cesach produkcyjnych</w:t>
            </w:r>
            <w:r w:rsidR="00A33B9F" w:rsidRPr="00A33B9F">
              <w:rPr>
                <w:rFonts w:ascii="Times New Roman" w:hAnsi="Times New Roman"/>
                <w:noProof/>
                <w:color w:val="000000" w:themeColor="text1"/>
                <w:sz w:val="18"/>
              </w:rPr>
              <w:t xml:space="preserve"> i ope</w:t>
            </w:r>
            <w:r w:rsidRPr="00A33B9F">
              <w:rPr>
                <w:rFonts w:ascii="Times New Roman" w:hAnsi="Times New Roman"/>
                <w:noProof/>
                <w:color w:val="000000" w:themeColor="text1"/>
                <w:sz w:val="18"/>
              </w:rPr>
              <w:t>racyjnych</w:t>
            </w:r>
            <w:r w:rsidRPr="00A33B9F">
              <w:rPr>
                <w:rFonts w:ascii="Times New Roman" w:hAnsi="Times New Roman"/>
                <w:noProof/>
                <w:color w:val="000000" w:themeColor="text1"/>
                <w:sz w:val="18"/>
              </w:rPr>
              <w:br/>
              <w:t>– redukcja odpadów</w:t>
            </w:r>
            <w:r w:rsidR="00A33B9F" w:rsidRPr="00A33B9F">
              <w:rPr>
                <w:rFonts w:ascii="Times New Roman" w:hAnsi="Times New Roman"/>
                <w:noProof/>
                <w:color w:val="000000" w:themeColor="text1"/>
                <w:sz w:val="18"/>
              </w:rPr>
              <w:t xml:space="preserve"> z pro</w:t>
            </w:r>
            <w:r w:rsidRPr="00A33B9F">
              <w:rPr>
                <w:rFonts w:ascii="Times New Roman" w:hAnsi="Times New Roman"/>
                <w:noProof/>
                <w:color w:val="000000" w:themeColor="text1"/>
                <w:sz w:val="18"/>
              </w:rPr>
              <w:t>cesów produkcyjnych</w:t>
            </w:r>
            <w:r w:rsidR="00A33B9F" w:rsidRPr="00A33B9F">
              <w:rPr>
                <w:rFonts w:ascii="Times New Roman" w:hAnsi="Times New Roman"/>
                <w:noProof/>
                <w:color w:val="000000" w:themeColor="text1"/>
                <w:sz w:val="18"/>
              </w:rPr>
              <w:t xml:space="preserve"> i ope</w:t>
            </w:r>
            <w:r w:rsidRPr="00A33B9F">
              <w:rPr>
                <w:rFonts w:ascii="Times New Roman" w:hAnsi="Times New Roman"/>
                <w:noProof/>
                <w:color w:val="000000" w:themeColor="text1"/>
                <w:sz w:val="18"/>
              </w:rPr>
              <w:t>racyjnych</w:t>
            </w:r>
            <w:r w:rsidRPr="00A33B9F">
              <w:rPr>
                <w:rFonts w:ascii="Times New Roman" w:hAnsi="Times New Roman"/>
                <w:noProof/>
                <w:color w:val="000000" w:themeColor="text1"/>
                <w:sz w:val="18"/>
              </w:rPr>
              <w:br/>
              <w:t>– ponowne wykorzystanie lub recykling odpadów</w:t>
            </w:r>
            <w:r w:rsidRPr="00A33B9F">
              <w:rPr>
                <w:rFonts w:ascii="Times New Roman" w:hAnsi="Times New Roman"/>
                <w:noProof/>
                <w:color w:val="000000" w:themeColor="text1"/>
                <w:sz w:val="18"/>
              </w:rPr>
              <w:br/>
              <w:t>– redukcja emisji gazów cieplarnianych</w:t>
            </w:r>
            <w:r w:rsidR="00A33B9F" w:rsidRPr="00A33B9F">
              <w:rPr>
                <w:rFonts w:ascii="Times New Roman" w:hAnsi="Times New Roman"/>
                <w:noProof/>
                <w:color w:val="000000" w:themeColor="text1"/>
                <w:sz w:val="18"/>
              </w:rPr>
              <w:t xml:space="preserve"> z pro</w:t>
            </w:r>
            <w:r w:rsidRPr="00A33B9F">
              <w:rPr>
                <w:rFonts w:ascii="Times New Roman" w:hAnsi="Times New Roman"/>
                <w:noProof/>
                <w:color w:val="000000" w:themeColor="text1"/>
                <w:sz w:val="18"/>
              </w:rPr>
              <w:t>cesów produkcyjnych</w:t>
            </w:r>
            <w:r w:rsidR="00A33B9F" w:rsidRPr="00A33B9F">
              <w:rPr>
                <w:rFonts w:ascii="Times New Roman" w:hAnsi="Times New Roman"/>
                <w:noProof/>
                <w:color w:val="000000" w:themeColor="text1"/>
                <w:sz w:val="18"/>
              </w:rPr>
              <w:t xml:space="preserve"> i ope</w:t>
            </w:r>
            <w:r w:rsidRPr="00A33B9F">
              <w:rPr>
                <w:rFonts w:ascii="Times New Roman" w:hAnsi="Times New Roman"/>
                <w:noProof/>
                <w:color w:val="000000" w:themeColor="text1"/>
                <w:sz w:val="18"/>
              </w:rPr>
              <w:t xml:space="preserve">racyjnych. </w:t>
            </w:r>
          </w:p>
        </w:tc>
      </w:tr>
      <w:tr w:rsidR="008C116B" w:rsidRPr="00A33B9F" w14:paraId="35963116" w14:textId="77777777" w:rsidTr="1CE0CE0C">
        <w:trPr>
          <w:trHeight w:val="313"/>
        </w:trPr>
        <w:tc>
          <w:tcPr>
            <w:tcW w:w="875" w:type="dxa"/>
            <w:shd w:val="clear" w:color="auto" w:fill="C6EFCE"/>
          </w:tcPr>
          <w:p w14:paraId="5AFB958C" w14:textId="401AAF9A"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A32G</w:t>
            </w:r>
          </w:p>
        </w:tc>
        <w:tc>
          <w:tcPr>
            <w:tcW w:w="1984" w:type="dxa"/>
            <w:shd w:val="clear" w:color="auto" w:fill="C6EFCE"/>
          </w:tcPr>
          <w:p w14:paraId="002B5FA3" w14:textId="24A22506"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A2.2.1 Inwestycje we wdrażanie technologii</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owacji środowiskowych,</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związanych</w:t>
            </w:r>
            <w:r w:rsidR="00A33B9F" w:rsidRPr="00A33B9F">
              <w:rPr>
                <w:rFonts w:ascii="Times New Roman" w:hAnsi="Times New Roman"/>
                <w:noProof/>
                <w:color w:val="000000"/>
                <w:sz w:val="18"/>
              </w:rPr>
              <w:t xml:space="preserve"> z gos</w:t>
            </w:r>
            <w:r w:rsidRPr="00A33B9F">
              <w:rPr>
                <w:rFonts w:ascii="Times New Roman" w:hAnsi="Times New Roman"/>
                <w:noProof/>
                <w:color w:val="000000"/>
                <w:sz w:val="18"/>
              </w:rPr>
              <w:t>podarką</w:t>
            </w:r>
            <w:r w:rsidR="00A33B9F" w:rsidRPr="00A33B9F">
              <w:rPr>
                <w:rFonts w:ascii="Times New Roman" w:hAnsi="Times New Roman"/>
                <w:noProof/>
                <w:color w:val="000000"/>
                <w:sz w:val="18"/>
              </w:rPr>
              <w:t xml:space="preserve"> o obi</w:t>
            </w:r>
            <w:r w:rsidRPr="00A33B9F">
              <w:rPr>
                <w:rFonts w:ascii="Times New Roman" w:hAnsi="Times New Roman"/>
                <w:noProof/>
                <w:color w:val="000000"/>
                <w:sz w:val="18"/>
              </w:rPr>
              <w:t>egu zamkniętym</w:t>
            </w:r>
          </w:p>
        </w:tc>
        <w:tc>
          <w:tcPr>
            <w:tcW w:w="1276" w:type="dxa"/>
            <w:shd w:val="clear" w:color="auto" w:fill="C6EFCE"/>
          </w:tcPr>
          <w:p w14:paraId="03BE400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3D923C19" w14:textId="674F3ADF"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Podpisane umowy</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ielenie dotacji na projekty wspierające rozwój technologii przyczyniających się do tworzenia rynku surowców wtórnych</w:t>
            </w:r>
          </w:p>
        </w:tc>
        <w:tc>
          <w:tcPr>
            <w:tcW w:w="1536" w:type="dxa"/>
            <w:shd w:val="clear" w:color="auto" w:fill="C6EFCE"/>
          </w:tcPr>
          <w:p w14:paraId="566C1BC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62583AF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shd w:val="clear" w:color="auto" w:fill="C6EFCE"/>
          </w:tcPr>
          <w:p w14:paraId="3D22F59A"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605" w:type="dxa"/>
            <w:shd w:val="clear" w:color="auto" w:fill="C6EFCE"/>
          </w:tcPr>
          <w:p w14:paraId="44240AA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5</w:t>
            </w:r>
          </w:p>
        </w:tc>
        <w:tc>
          <w:tcPr>
            <w:tcW w:w="986" w:type="dxa"/>
            <w:shd w:val="clear" w:color="auto" w:fill="C6EFCE"/>
          </w:tcPr>
          <w:p w14:paraId="02862E1E" w14:textId="1947AE49"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III kw.</w:t>
            </w:r>
          </w:p>
        </w:tc>
        <w:tc>
          <w:tcPr>
            <w:tcW w:w="709" w:type="dxa"/>
            <w:shd w:val="clear" w:color="auto" w:fill="C6EFCE"/>
          </w:tcPr>
          <w:p w14:paraId="5A7F8D70" w14:textId="6DF5DD71"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260" w:type="dxa"/>
            <w:shd w:val="clear" w:color="auto" w:fill="C6EFCE"/>
          </w:tcPr>
          <w:p w14:paraId="3114CBA2" w14:textId="20C6F2F7"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podpisanych umów</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ielenie dotacji. Wybór będzie dokonywany na podstawie określonych kryteriów kwalifikacji, zgodnie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niedyskryminacji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ejrzystości</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funduszu finansowane są projekty zgodne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poprzez zastosowanie wykazu wyłączeń</w:t>
            </w:r>
            <w:r w:rsidR="00A33B9F" w:rsidRPr="00A33B9F">
              <w:rPr>
                <w:rFonts w:ascii="Times New Roman" w:hAnsi="Times New Roman"/>
                <w:noProof/>
                <w:color w:val="000000" w:themeColor="text1"/>
                <w:sz w:val="18"/>
              </w:rPr>
              <w:t xml:space="preserve"> i zwi</w:t>
            </w:r>
            <w:r w:rsidRPr="00A33B9F">
              <w:rPr>
                <w:rFonts w:ascii="Times New Roman" w:hAnsi="Times New Roman"/>
                <w:noProof/>
                <w:color w:val="000000" w:themeColor="text1"/>
                <w:sz w:val="18"/>
              </w:rPr>
              <w:t>ązane</w:t>
            </w:r>
            <w:r w:rsidR="00A33B9F" w:rsidRPr="00A33B9F">
              <w:rPr>
                <w:rFonts w:ascii="Times New Roman" w:hAnsi="Times New Roman"/>
                <w:noProof/>
                <w:color w:val="000000" w:themeColor="text1"/>
                <w:sz w:val="18"/>
              </w:rPr>
              <w:t xml:space="preserve"> z wyk</w:t>
            </w:r>
            <w:r w:rsidRPr="00A33B9F">
              <w:rPr>
                <w:rFonts w:ascii="Times New Roman" w:hAnsi="Times New Roman"/>
                <w:noProof/>
                <w:color w:val="000000" w:themeColor="text1"/>
                <w:sz w:val="18"/>
              </w:rPr>
              <w:t>orzystywaniem surowców wtórnych, które to projekty zostaną wybrane na podstawie największego wkładu</w:t>
            </w:r>
            <w:r w:rsidR="00A33B9F" w:rsidRPr="00A33B9F">
              <w:rPr>
                <w:rFonts w:ascii="Times New Roman" w:hAnsi="Times New Roman"/>
                <w:noProof/>
                <w:color w:val="000000" w:themeColor="text1"/>
                <w:sz w:val="18"/>
              </w:rPr>
              <w:t xml:space="preserve"> w rea</w:t>
            </w:r>
            <w:r w:rsidRPr="00A33B9F">
              <w:rPr>
                <w:rFonts w:ascii="Times New Roman" w:hAnsi="Times New Roman"/>
                <w:noProof/>
                <w:color w:val="000000" w:themeColor="text1"/>
                <w:sz w:val="18"/>
              </w:rPr>
              <w:t>lizację celów (poprzez wymierne</w:t>
            </w:r>
            <w:r w:rsidR="00A33B9F" w:rsidRPr="00A33B9F">
              <w:rPr>
                <w:rFonts w:ascii="Times New Roman" w:hAnsi="Times New Roman"/>
                <w:noProof/>
                <w:color w:val="000000" w:themeColor="text1"/>
                <w:sz w:val="18"/>
              </w:rPr>
              <w:t xml:space="preserve"> i wia</w:t>
            </w:r>
            <w:r w:rsidRPr="00A33B9F">
              <w:rPr>
                <w:rFonts w:ascii="Times New Roman" w:hAnsi="Times New Roman"/>
                <w:noProof/>
                <w:color w:val="000000" w:themeColor="text1"/>
                <w:sz w:val="18"/>
              </w:rPr>
              <w:t>rygodne wskaźniki): a) opracowywanie technologii przekształcania odpadów; b) opracowywanie</w:t>
            </w:r>
            <w:r w:rsidR="00A33B9F" w:rsidRPr="00A33B9F">
              <w:rPr>
                <w:rFonts w:ascii="Times New Roman" w:hAnsi="Times New Roman"/>
                <w:noProof/>
                <w:color w:val="000000" w:themeColor="text1"/>
                <w:sz w:val="18"/>
              </w:rPr>
              <w:t xml:space="preserve"> i wdr</w:t>
            </w:r>
            <w:r w:rsidRPr="00A33B9F">
              <w:rPr>
                <w:rFonts w:ascii="Times New Roman" w:hAnsi="Times New Roman"/>
                <w:noProof/>
                <w:color w:val="000000" w:themeColor="text1"/>
                <w:sz w:val="18"/>
              </w:rPr>
              <w:t>ażanie innowacyjnych technologii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wykorzystania odpadów jako surowców wtórnych, c) zwiększenie ilości surowców nadających się do recyklingu</w:t>
            </w:r>
            <w:r w:rsidR="00A33B9F" w:rsidRPr="00A33B9F">
              <w:rPr>
                <w:rFonts w:ascii="Times New Roman" w:hAnsi="Times New Roman"/>
                <w:noProof/>
                <w:color w:val="000000" w:themeColor="text1"/>
                <w:sz w:val="18"/>
              </w:rPr>
              <w:t xml:space="preserve"> i zmn</w:t>
            </w:r>
            <w:r w:rsidRPr="00A33B9F">
              <w:rPr>
                <w:rFonts w:ascii="Times New Roman" w:hAnsi="Times New Roman"/>
                <w:noProof/>
                <w:color w:val="000000" w:themeColor="text1"/>
                <w:sz w:val="18"/>
              </w:rPr>
              <w:t>iejszenie ilości surowców pierwotnych wykorzystywanych</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cesach produkcji, d) wspieranie kluczowych procesów projektowania</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recyklingu, e) wydłużenie cyklu życia produktu, f) zmniejszenie ilości odpadów kierowanych na składowiska.</w:t>
            </w:r>
          </w:p>
        </w:tc>
      </w:tr>
      <w:tr w:rsidR="008C116B" w:rsidRPr="00A33B9F" w14:paraId="5D21A457" w14:textId="77777777" w:rsidTr="1CE0CE0C">
        <w:trPr>
          <w:trHeight w:val="148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D124DB" w14:textId="5ACF7A0A"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A33G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8F59CC" w14:textId="13E2E81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A2.3 Zapewnienie instytucjonalnych</w:t>
            </w:r>
            <w:r w:rsidR="00A33B9F" w:rsidRPr="00A33B9F">
              <w:rPr>
                <w:rFonts w:ascii="Times New Roman" w:hAnsi="Times New Roman"/>
                <w:noProof/>
                <w:color w:val="000000"/>
                <w:sz w:val="18"/>
              </w:rPr>
              <w:t xml:space="preserve"> i pra</w:t>
            </w:r>
            <w:r w:rsidRPr="00A33B9F">
              <w:rPr>
                <w:rFonts w:ascii="Times New Roman" w:hAnsi="Times New Roman"/>
                <w:noProof/>
                <w:color w:val="000000"/>
                <w:sz w:val="18"/>
              </w:rPr>
              <w:t>wnych podstaw rozwoju bezzałogowych statków powietrznych</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CE1D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1217E4" w14:textId="40EB1D53" w:rsidR="00BE1B25" w:rsidRPr="00A33B9F"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Pol</w:t>
            </w:r>
            <w:r w:rsidRPr="00A33B9F">
              <w:rPr>
                <w:rFonts w:ascii="Times New Roman" w:hAnsi="Times New Roman"/>
                <w:noProof/>
                <w:color w:val="000000" w:themeColor="text1"/>
                <w:sz w:val="18"/>
              </w:rPr>
              <w:t>skiej Agencji Żeglugi Powietrznej</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660B89" w14:textId="4379FDCF"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Pol</w:t>
            </w:r>
            <w:r w:rsidRPr="00A33B9F">
              <w:rPr>
                <w:rFonts w:ascii="Times New Roman" w:hAnsi="Times New Roman"/>
                <w:noProof/>
                <w:color w:val="000000" w:themeColor="text1"/>
                <w:sz w:val="18"/>
              </w:rPr>
              <w:t>skiej Agencji Żeglugi Powietrznej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36F4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D17827"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86C630"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1CE8F1"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701714"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E59059" w14:textId="33583849" w:rsidR="00BE1B25" w:rsidRPr="00A33B9F" w:rsidRDefault="0B26E14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 ustawie zmieniającej Polskiej Agencji Żeglugi Powietrznej (PAŻP) zostanie przyznane prawo do posiadania kapitału własnego</w:t>
            </w:r>
            <w:r w:rsidR="00A33B9F" w:rsidRPr="00A33B9F">
              <w:rPr>
                <w:rFonts w:ascii="Times New Roman" w:hAnsi="Times New Roman"/>
                <w:noProof/>
                <w:color w:val="000000" w:themeColor="text1"/>
                <w:sz w:val="18"/>
              </w:rPr>
              <w:t xml:space="preserve"> w spó</w:t>
            </w:r>
            <w:r w:rsidRPr="00A33B9F">
              <w:rPr>
                <w:rFonts w:ascii="Times New Roman" w:hAnsi="Times New Roman"/>
                <w:noProof/>
                <w:color w:val="000000" w:themeColor="text1"/>
                <w:sz w:val="18"/>
              </w:rPr>
              <w:t>łkach handlowych oraz upoważnia się PAŻP lub jej spółki zależne do prowadzenia projektów pilotażowych wspierających wdrażanie modeli biznesowych</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 xml:space="preserve">resie bezzałogowych statków powietrznych. </w:t>
            </w:r>
          </w:p>
        </w:tc>
      </w:tr>
      <w:tr w:rsidR="008C116B" w:rsidRPr="00A33B9F" w14:paraId="20047938" w14:textId="77777777" w:rsidTr="1CE0CE0C">
        <w:trPr>
          <w:trHeight w:val="313"/>
        </w:trPr>
        <w:tc>
          <w:tcPr>
            <w:tcW w:w="875" w:type="dxa"/>
            <w:shd w:val="clear" w:color="auto" w:fill="C6EFCE"/>
          </w:tcPr>
          <w:p w14:paraId="61A51A77" w14:textId="6489BC54"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A34G</w:t>
            </w:r>
          </w:p>
        </w:tc>
        <w:tc>
          <w:tcPr>
            <w:tcW w:w="1984" w:type="dxa"/>
            <w:shd w:val="clear" w:color="auto" w:fill="C6EFCE"/>
          </w:tcPr>
          <w:p w14:paraId="6CAE96BB" w14:textId="3A507A5E" w:rsidR="00BE1B25" w:rsidRPr="00A33B9F" w:rsidRDefault="3CCCA0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A2.3.1 Rozbudowa</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osażenie centrów kompetencji (specjalistyczne ośrodki szkoleniowe, wsparcie wdrożeń, centra monitorowania) oraz infrastruktura do zarządzania ruchem pojazdów bezzałogowych, jako Ekosystem Innowacji</w:t>
            </w:r>
          </w:p>
        </w:tc>
        <w:tc>
          <w:tcPr>
            <w:tcW w:w="1276" w:type="dxa"/>
            <w:shd w:val="clear" w:color="auto" w:fill="C6EFCE"/>
          </w:tcPr>
          <w:p w14:paraId="4C75A79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2CFEEA71" w14:textId="549CB4C8" w:rsidR="00BE1B25" w:rsidRPr="00A33B9F" w:rsidRDefault="28FDDEC2" w:rsidP="428000F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T2 – Lokalne centra</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 xml:space="preserve">rastruktura lokalna dla bezzałogowych statków powietrznych stworzone przez władze lokalne lub podmioty wyznaczone do obsługi na poziomie lokalnym </w:t>
            </w:r>
          </w:p>
        </w:tc>
        <w:tc>
          <w:tcPr>
            <w:tcW w:w="1536" w:type="dxa"/>
            <w:shd w:val="clear" w:color="auto" w:fill="C6EFCE"/>
          </w:tcPr>
          <w:p w14:paraId="5380F020"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5D78A28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shd w:val="clear" w:color="auto" w:fill="C6EFCE"/>
          </w:tcPr>
          <w:p w14:paraId="56C62623" w14:textId="5F7979F4" w:rsidR="00BE1B25" w:rsidRPr="00A33B9F" w:rsidRDefault="25F06058"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w:t>
            </w:r>
          </w:p>
        </w:tc>
        <w:tc>
          <w:tcPr>
            <w:tcW w:w="605" w:type="dxa"/>
            <w:shd w:val="clear" w:color="auto" w:fill="C6EFCE"/>
          </w:tcPr>
          <w:p w14:paraId="0B77815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3</w:t>
            </w:r>
          </w:p>
        </w:tc>
        <w:tc>
          <w:tcPr>
            <w:tcW w:w="986" w:type="dxa"/>
            <w:shd w:val="clear" w:color="auto" w:fill="C6EFCE"/>
          </w:tcPr>
          <w:p w14:paraId="57866098" w14:textId="6639EE2B" w:rsidR="00BE1B25" w:rsidRPr="00A33B9F" w:rsidRDefault="4C2C792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III kw.</w:t>
            </w:r>
          </w:p>
        </w:tc>
        <w:tc>
          <w:tcPr>
            <w:tcW w:w="709" w:type="dxa"/>
            <w:shd w:val="clear" w:color="auto" w:fill="C6EFCE"/>
          </w:tcPr>
          <w:p w14:paraId="7DBE2DD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0" w:type="dxa"/>
            <w:shd w:val="clear" w:color="auto" w:fill="C6EFCE"/>
          </w:tcPr>
          <w:p w14:paraId="7795C8F3" w14:textId="51BCFFD9" w:rsidR="00BE1B25" w:rsidRPr="00A33B9F" w:rsidRDefault="5EAAA5C1" w:rsidP="51A3EFD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Lokalne centra lub infrastruktura lokalna powstaną</w:t>
            </w:r>
            <w:r w:rsidR="00A33B9F" w:rsidRPr="00A33B9F">
              <w:rPr>
                <w:rFonts w:ascii="Times New Roman" w:hAnsi="Times New Roman"/>
                <w:noProof/>
                <w:color w:val="000000" w:themeColor="text1"/>
                <w:sz w:val="18"/>
              </w:rPr>
              <w:t xml:space="preserve"> w dwó</w:t>
            </w:r>
            <w:r w:rsidRPr="00A33B9F">
              <w:rPr>
                <w:rFonts w:ascii="Times New Roman" w:hAnsi="Times New Roman"/>
                <w:noProof/>
                <w:color w:val="000000" w:themeColor="text1"/>
                <w:sz w:val="18"/>
              </w:rPr>
              <w:t xml:space="preserve">ch dodatkowych lokalizacjach (wdrożenie). </w:t>
            </w:r>
            <w:r w:rsidRPr="00A33B9F">
              <w:rPr>
                <w:noProof/>
              </w:rPr>
              <w:br/>
            </w:r>
            <w:r w:rsidRPr="00A33B9F">
              <w:rPr>
                <w:rFonts w:ascii="Times New Roman" w:hAnsi="Times New Roman"/>
                <w:noProof/>
                <w:color w:val="000000" w:themeColor="text1"/>
                <w:sz w:val="18"/>
              </w:rPr>
              <w:t>Wdrażanie infrastruktury cyfrowej dla bezzałogowych statków powietrznych na terytorium całego państwa umożliwi stabilny, zrównoważony</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pieczny rozwój zastosowań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bezzałogowych statków powietrznych</w:t>
            </w:r>
            <w:r w:rsidR="00A33B9F" w:rsidRPr="00A33B9F">
              <w:rPr>
                <w:rFonts w:ascii="Times New Roman" w:hAnsi="Times New Roman"/>
                <w:noProof/>
                <w:color w:val="000000" w:themeColor="text1"/>
                <w:sz w:val="18"/>
              </w:rPr>
              <w:t xml:space="preserve"> w róż</w:t>
            </w:r>
            <w:r w:rsidRPr="00A33B9F">
              <w:rPr>
                <w:rFonts w:ascii="Times New Roman" w:hAnsi="Times New Roman"/>
                <w:noProof/>
                <w:color w:val="000000" w:themeColor="text1"/>
                <w:sz w:val="18"/>
              </w:rPr>
              <w:t>nych częściach państwa, przyczyniając się do zapewnienia spójności terytorialnej</w:t>
            </w:r>
            <w:r w:rsidR="00A33B9F" w:rsidRPr="00A33B9F">
              <w:rPr>
                <w:rFonts w:ascii="Times New Roman" w:hAnsi="Times New Roman"/>
                <w:noProof/>
                <w:color w:val="000000" w:themeColor="text1"/>
                <w:sz w:val="18"/>
              </w:rPr>
              <w:t xml:space="preserve"> i zró</w:t>
            </w:r>
            <w:r w:rsidRPr="00A33B9F">
              <w:rPr>
                <w:rFonts w:ascii="Times New Roman" w:hAnsi="Times New Roman"/>
                <w:noProof/>
                <w:color w:val="000000" w:themeColor="text1"/>
                <w:sz w:val="18"/>
              </w:rPr>
              <w:t>wnoważonego rozwoju państwa. Kluczowymi elementami infrastruktury będą: infrastruktura naziemna, lokalne centra zarządzania danymi</w:t>
            </w:r>
            <w:r w:rsidR="00A33B9F" w:rsidRPr="00A33B9F">
              <w:rPr>
                <w:rFonts w:ascii="Times New Roman" w:hAnsi="Times New Roman"/>
                <w:noProof/>
                <w:color w:val="000000" w:themeColor="text1"/>
                <w:sz w:val="18"/>
              </w:rPr>
              <w:t xml:space="preserve"> i ruc</w:t>
            </w:r>
            <w:r w:rsidRPr="00A33B9F">
              <w:rPr>
                <w:rFonts w:ascii="Times New Roman" w:hAnsi="Times New Roman"/>
                <w:noProof/>
                <w:color w:val="000000" w:themeColor="text1"/>
                <w:sz w:val="18"/>
              </w:rPr>
              <w:t>hem wraz</w:t>
            </w:r>
            <w:r w:rsidR="00A33B9F" w:rsidRPr="00A33B9F">
              <w:rPr>
                <w:rFonts w:ascii="Times New Roman" w:hAnsi="Times New Roman"/>
                <w:noProof/>
                <w:color w:val="000000" w:themeColor="text1"/>
                <w:sz w:val="18"/>
              </w:rPr>
              <w:t xml:space="preserve"> z wdr</w:t>
            </w:r>
            <w:r w:rsidRPr="00A33B9F">
              <w:rPr>
                <w:rFonts w:ascii="Times New Roman" w:hAnsi="Times New Roman"/>
                <w:noProof/>
                <w:color w:val="000000" w:themeColor="text1"/>
                <w:sz w:val="18"/>
              </w:rPr>
              <w:t>ożonymi usługami cyfrowymi</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cedurami.</w:t>
            </w:r>
          </w:p>
        </w:tc>
      </w:tr>
      <w:tr w:rsidR="008C116B" w:rsidRPr="00A33B9F" w14:paraId="404BF790" w14:textId="77777777" w:rsidTr="1CE0CE0C">
        <w:trPr>
          <w:trHeight w:val="645"/>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96C845" w14:textId="130AD589"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A35G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DE1B8D" w14:textId="437E8DC8" w:rsidR="00BE1B25" w:rsidRPr="00A33B9F" w:rsidRDefault="3CCCA0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A2.3.1 Rozbudowa</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osażenie centrów kompetencji (specjalistyczne ośrodki szkoleniowe, wsparcie wdrożeń, centra monitorowania) oraz infrastruktura do zarządzania ruchem pojazdów bezzałogowych, jako Ekosystem Innowacji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E0706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6538D8" w14:textId="70FE8CC1" w:rsidR="00BE1B25" w:rsidRPr="00A33B9F" w:rsidRDefault="2AF27376" w:rsidP="428000F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T3 – Lokalne centra</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 xml:space="preserve">rastruktura lokalna dla bezzałogowych statków powietrznych stworzone przez władze lokalne lub podmioty wyznaczone do obsługi na poziomie lokalnym </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8C8A50"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8A672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36E3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3</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DE71A"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F36DD5"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5B6C8C"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03D06D" w14:textId="7550D16F" w:rsidR="00BE1B25" w:rsidRPr="00A33B9F" w:rsidRDefault="3A0CE22D" w:rsidP="51A3EFD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Lokalne centra lub infrastruktura lokalna powstaną</w:t>
            </w:r>
            <w:r w:rsidR="00A33B9F" w:rsidRPr="00A33B9F">
              <w:rPr>
                <w:rFonts w:ascii="Times New Roman" w:hAnsi="Times New Roman"/>
                <w:noProof/>
                <w:color w:val="000000" w:themeColor="text1"/>
                <w:sz w:val="18"/>
              </w:rPr>
              <w:t xml:space="preserve"> w sie</w:t>
            </w:r>
            <w:r w:rsidRPr="00A33B9F">
              <w:rPr>
                <w:rFonts w:ascii="Times New Roman" w:hAnsi="Times New Roman"/>
                <w:noProof/>
                <w:color w:val="000000" w:themeColor="text1"/>
                <w:sz w:val="18"/>
              </w:rPr>
              <w:t xml:space="preserve">dmiu dodatkowych lokalizacjach (wdrożenie). </w:t>
            </w:r>
          </w:p>
          <w:p w14:paraId="39105912" w14:textId="78DCF188" w:rsidR="00BE1B25" w:rsidRPr="00A33B9F" w:rsidRDefault="3A0CE22D" w:rsidP="51A3EFD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Wdrażanie infrastruktury cyfrowej dla bezzałogowych statków powietrznych na terytorium całego państwa umożliwi stabilny, zrównoważony</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pieczny rozwój zastosowań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bezzałogowych statków powietrznych</w:t>
            </w:r>
            <w:r w:rsidR="00A33B9F" w:rsidRPr="00A33B9F">
              <w:rPr>
                <w:rFonts w:ascii="Times New Roman" w:hAnsi="Times New Roman"/>
                <w:noProof/>
                <w:color w:val="000000" w:themeColor="text1"/>
                <w:sz w:val="18"/>
              </w:rPr>
              <w:t xml:space="preserve"> w róż</w:t>
            </w:r>
            <w:r w:rsidRPr="00A33B9F">
              <w:rPr>
                <w:rFonts w:ascii="Times New Roman" w:hAnsi="Times New Roman"/>
                <w:noProof/>
                <w:color w:val="000000" w:themeColor="text1"/>
                <w:sz w:val="18"/>
              </w:rPr>
              <w:t>nych częściach państwa, przyczyniając się do zapewnienia spójności terytorialnej</w:t>
            </w:r>
            <w:r w:rsidR="00A33B9F" w:rsidRPr="00A33B9F">
              <w:rPr>
                <w:rFonts w:ascii="Times New Roman" w:hAnsi="Times New Roman"/>
                <w:noProof/>
                <w:color w:val="000000" w:themeColor="text1"/>
                <w:sz w:val="18"/>
              </w:rPr>
              <w:t xml:space="preserve"> i zró</w:t>
            </w:r>
            <w:r w:rsidRPr="00A33B9F">
              <w:rPr>
                <w:rFonts w:ascii="Times New Roman" w:hAnsi="Times New Roman"/>
                <w:noProof/>
                <w:color w:val="000000" w:themeColor="text1"/>
                <w:sz w:val="18"/>
              </w:rPr>
              <w:t>wnoważonego rozwoju państwa. Kluczowymi elementami infrastruktury będą: infrastruktura naziemna, lokalne centra zarządzania danymi</w:t>
            </w:r>
            <w:r w:rsidR="00A33B9F" w:rsidRPr="00A33B9F">
              <w:rPr>
                <w:rFonts w:ascii="Times New Roman" w:hAnsi="Times New Roman"/>
                <w:noProof/>
                <w:color w:val="000000" w:themeColor="text1"/>
                <w:sz w:val="18"/>
              </w:rPr>
              <w:t xml:space="preserve"> i ruc</w:t>
            </w:r>
            <w:r w:rsidRPr="00A33B9F">
              <w:rPr>
                <w:rFonts w:ascii="Times New Roman" w:hAnsi="Times New Roman"/>
                <w:noProof/>
                <w:color w:val="000000" w:themeColor="text1"/>
                <w:sz w:val="18"/>
              </w:rPr>
              <w:t>hem wraz</w:t>
            </w:r>
            <w:r w:rsidR="00A33B9F" w:rsidRPr="00A33B9F">
              <w:rPr>
                <w:rFonts w:ascii="Times New Roman" w:hAnsi="Times New Roman"/>
                <w:noProof/>
                <w:color w:val="000000" w:themeColor="text1"/>
                <w:sz w:val="18"/>
              </w:rPr>
              <w:t xml:space="preserve"> z wdr</w:t>
            </w:r>
            <w:r w:rsidRPr="00A33B9F">
              <w:rPr>
                <w:rFonts w:ascii="Times New Roman" w:hAnsi="Times New Roman"/>
                <w:noProof/>
                <w:color w:val="000000" w:themeColor="text1"/>
                <w:sz w:val="18"/>
              </w:rPr>
              <w:t>ożonymi usługami cyfrowymi</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cedurami.</w:t>
            </w:r>
          </w:p>
        </w:tc>
      </w:tr>
      <w:tr w:rsidR="008C116B" w:rsidRPr="00A33B9F" w14:paraId="085CDD8D" w14:textId="77777777" w:rsidTr="1CE0CE0C">
        <w:trPr>
          <w:trHeight w:val="313"/>
        </w:trPr>
        <w:tc>
          <w:tcPr>
            <w:tcW w:w="875" w:type="dxa"/>
            <w:shd w:val="clear" w:color="auto" w:fill="C6EFCE"/>
          </w:tcPr>
          <w:p w14:paraId="245D991A" w14:textId="21AE954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A36G</w:t>
            </w:r>
          </w:p>
        </w:tc>
        <w:tc>
          <w:tcPr>
            <w:tcW w:w="1984" w:type="dxa"/>
            <w:shd w:val="clear" w:color="auto" w:fill="C6EFCE"/>
          </w:tcPr>
          <w:p w14:paraId="37D4477A" w14:textId="483B86EE" w:rsidR="00BE1B25" w:rsidRPr="00A33B9F" w:rsidRDefault="3CCCA05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A2.3.1 Rozbudowa</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osażenie centrów kompetencji (specjalistyczne ośrodki szkoleniowe, wsparcie wdrożeń, centra monitorowania) oraz infrastruktura do zarządzania ruchem pojazdów bezzałogowych, jako Ekosystem Innowacji</w:t>
            </w:r>
          </w:p>
        </w:tc>
        <w:tc>
          <w:tcPr>
            <w:tcW w:w="1276" w:type="dxa"/>
            <w:shd w:val="clear" w:color="auto" w:fill="C6EFCE"/>
          </w:tcPr>
          <w:p w14:paraId="259186C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6F0CEF5D" w14:textId="43053213" w:rsidR="00BE1B25" w:rsidRPr="00A33B9F" w:rsidRDefault="00BE1B25" w:rsidP="428000F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4119A258" w14:textId="0F544FBD" w:rsidR="00BE1B25" w:rsidRPr="00A33B9F" w:rsidRDefault="6AC4E662" w:rsidP="428000F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T1 – Lokalne centra</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rastruktura lokalna dla bezzałogowych statków powietrznych stworzone przez władze lokalne lub podmioty wyznaczone do obsługi na poziomie lokalnym</w:t>
            </w:r>
          </w:p>
        </w:tc>
        <w:tc>
          <w:tcPr>
            <w:tcW w:w="1536" w:type="dxa"/>
            <w:shd w:val="clear" w:color="auto" w:fill="C6EFCE"/>
          </w:tcPr>
          <w:p w14:paraId="3CEEED3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4EE654F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shd w:val="clear" w:color="auto" w:fill="C6EFCE"/>
          </w:tcPr>
          <w:p w14:paraId="7A06C686"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605" w:type="dxa"/>
            <w:shd w:val="clear" w:color="auto" w:fill="C6EFCE"/>
          </w:tcPr>
          <w:p w14:paraId="7144751B" w14:textId="6196B684" w:rsidR="00BE1B25" w:rsidRPr="00A33B9F" w:rsidRDefault="50E7E6AC"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w:t>
            </w:r>
          </w:p>
        </w:tc>
        <w:tc>
          <w:tcPr>
            <w:tcW w:w="986" w:type="dxa"/>
            <w:shd w:val="clear" w:color="auto" w:fill="C6EFCE"/>
          </w:tcPr>
          <w:p w14:paraId="0B0E13F4" w14:textId="2BB15311" w:rsidR="00BE1B25" w:rsidRPr="00A33B9F" w:rsidRDefault="4C2C792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709" w:type="dxa"/>
            <w:shd w:val="clear" w:color="auto" w:fill="C6EFCE"/>
          </w:tcPr>
          <w:p w14:paraId="665BC6A2" w14:textId="162A6E18" w:rsidR="00BE1B25" w:rsidRPr="00A33B9F" w:rsidRDefault="4C2C792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260" w:type="dxa"/>
            <w:shd w:val="clear" w:color="auto" w:fill="C6EFCE"/>
          </w:tcPr>
          <w:p w14:paraId="2219E0A3" w14:textId="0CF682EF" w:rsidR="2B719CCA" w:rsidRPr="00A33B9F" w:rsidRDefault="3C2FA7EA" w:rsidP="1CE0CE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Lokalne centra lub infrastruktura lokalna powstaną</w:t>
            </w:r>
            <w:r w:rsidR="00A33B9F" w:rsidRPr="00A33B9F">
              <w:rPr>
                <w:rFonts w:ascii="Times New Roman" w:hAnsi="Times New Roman"/>
                <w:noProof/>
                <w:color w:val="000000" w:themeColor="text1"/>
                <w:sz w:val="18"/>
              </w:rPr>
              <w:t xml:space="preserve"> w pie</w:t>
            </w:r>
            <w:r w:rsidRPr="00A33B9F">
              <w:rPr>
                <w:rFonts w:ascii="Times New Roman" w:hAnsi="Times New Roman"/>
                <w:noProof/>
                <w:color w:val="000000" w:themeColor="text1"/>
                <w:sz w:val="18"/>
              </w:rPr>
              <w:t>rwszej lokalizacji (wdrożenie).</w:t>
            </w:r>
          </w:p>
          <w:p w14:paraId="6EB555D6" w14:textId="772A6BA9" w:rsidR="2B719CCA" w:rsidRPr="00A33B9F" w:rsidRDefault="2B719CCA" w:rsidP="661DC3E4">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Wdrażanie infrastruktury cyfrowej dla bezzałogowych statków powietrznych na terytorium całego państwa umożliwi stabilny, zrównoważony</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pieczny rozwój zastosowań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bezzałogowych statków powietrznych</w:t>
            </w:r>
            <w:r w:rsidR="00A33B9F" w:rsidRPr="00A33B9F">
              <w:rPr>
                <w:rFonts w:ascii="Times New Roman" w:hAnsi="Times New Roman"/>
                <w:noProof/>
                <w:color w:val="000000" w:themeColor="text1"/>
                <w:sz w:val="18"/>
              </w:rPr>
              <w:t xml:space="preserve"> w róż</w:t>
            </w:r>
            <w:r w:rsidRPr="00A33B9F">
              <w:rPr>
                <w:rFonts w:ascii="Times New Roman" w:hAnsi="Times New Roman"/>
                <w:noProof/>
                <w:color w:val="000000" w:themeColor="text1"/>
                <w:sz w:val="18"/>
              </w:rPr>
              <w:t>nych częściach państwa, przyczyniając się do zapewnienia spójności terytorialnej</w:t>
            </w:r>
            <w:r w:rsidR="00A33B9F" w:rsidRPr="00A33B9F">
              <w:rPr>
                <w:rFonts w:ascii="Times New Roman" w:hAnsi="Times New Roman"/>
                <w:noProof/>
                <w:color w:val="000000" w:themeColor="text1"/>
                <w:sz w:val="18"/>
              </w:rPr>
              <w:t xml:space="preserve"> i zró</w:t>
            </w:r>
            <w:r w:rsidRPr="00A33B9F">
              <w:rPr>
                <w:rFonts w:ascii="Times New Roman" w:hAnsi="Times New Roman"/>
                <w:noProof/>
                <w:color w:val="000000" w:themeColor="text1"/>
                <w:sz w:val="18"/>
              </w:rPr>
              <w:t>wnoważonego rozwoju państwa. Kluczowymi elementami infrastruktury będą: infrastruktura naziemna, lokalne centra zarządzania danymi</w:t>
            </w:r>
            <w:r w:rsidR="00A33B9F" w:rsidRPr="00A33B9F">
              <w:rPr>
                <w:rFonts w:ascii="Times New Roman" w:hAnsi="Times New Roman"/>
                <w:noProof/>
                <w:color w:val="000000" w:themeColor="text1"/>
                <w:sz w:val="18"/>
              </w:rPr>
              <w:t xml:space="preserve"> i ruc</w:t>
            </w:r>
            <w:r w:rsidRPr="00A33B9F">
              <w:rPr>
                <w:rFonts w:ascii="Times New Roman" w:hAnsi="Times New Roman"/>
                <w:noProof/>
                <w:color w:val="000000" w:themeColor="text1"/>
                <w:sz w:val="18"/>
              </w:rPr>
              <w:t>hem wraz</w:t>
            </w:r>
            <w:r w:rsidR="00A33B9F" w:rsidRPr="00A33B9F">
              <w:rPr>
                <w:rFonts w:ascii="Times New Roman" w:hAnsi="Times New Roman"/>
                <w:noProof/>
                <w:color w:val="000000" w:themeColor="text1"/>
                <w:sz w:val="18"/>
              </w:rPr>
              <w:t xml:space="preserve"> z wdr</w:t>
            </w:r>
            <w:r w:rsidRPr="00A33B9F">
              <w:rPr>
                <w:rFonts w:ascii="Times New Roman" w:hAnsi="Times New Roman"/>
                <w:noProof/>
                <w:color w:val="000000" w:themeColor="text1"/>
                <w:sz w:val="18"/>
              </w:rPr>
              <w:t>ożonymi usługami cyfrowymi</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cedurami.</w:t>
            </w:r>
          </w:p>
          <w:p w14:paraId="0FAA8801" w14:textId="069F4B59" w:rsidR="00BE1B25" w:rsidRPr="00A33B9F" w:rsidRDefault="715A36CB" w:rsidP="661DC3E4">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ramach wspomnianej usługi zapewnione zostaną:</w:t>
            </w:r>
            <w:r w:rsidRPr="00A33B9F">
              <w:rPr>
                <w:noProof/>
              </w:rPr>
              <w:t xml:space="preserve"> </w:t>
            </w:r>
            <w:r w:rsidRPr="00A33B9F">
              <w:rPr>
                <w:noProof/>
              </w:rPr>
              <w:br/>
            </w:r>
            <w:r w:rsidRPr="00A33B9F">
              <w:rPr>
                <w:rFonts w:ascii="Times New Roman" w:hAnsi="Times New Roman"/>
                <w:noProof/>
                <w:color w:val="000000" w:themeColor="text1"/>
                <w:sz w:val="18"/>
              </w:rPr>
              <w:t>– autonomiczna koordynacja ruchu (ze szczególnym uwzględnieniem portów</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rastruktury energetycznej)</w:t>
            </w:r>
            <w:r w:rsidRPr="00A33B9F">
              <w:rPr>
                <w:noProof/>
              </w:rPr>
              <w:t xml:space="preserve"> </w:t>
            </w:r>
            <w:r w:rsidRPr="00A33B9F">
              <w:rPr>
                <w:noProof/>
              </w:rPr>
              <w:br/>
            </w:r>
            <w:r w:rsidRPr="00A33B9F">
              <w:rPr>
                <w:rFonts w:ascii="Times New Roman" w:hAnsi="Times New Roman"/>
                <w:noProof/>
                <w:color w:val="000000" w:themeColor="text1"/>
                <w:sz w:val="18"/>
              </w:rPr>
              <w:t>– usługi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porządku publicznego (bezpieczeństwo</w:t>
            </w:r>
            <w:r w:rsidR="00A33B9F" w:rsidRPr="00A33B9F">
              <w:rPr>
                <w:rFonts w:ascii="Times New Roman" w:hAnsi="Times New Roman"/>
                <w:noProof/>
                <w:color w:val="000000" w:themeColor="text1"/>
                <w:sz w:val="18"/>
              </w:rPr>
              <w:t xml:space="preserve"> i och</w:t>
            </w:r>
            <w:r w:rsidRPr="00A33B9F">
              <w:rPr>
                <w:rFonts w:ascii="Times New Roman" w:hAnsi="Times New Roman"/>
                <w:noProof/>
                <w:color w:val="000000" w:themeColor="text1"/>
                <w:sz w:val="18"/>
              </w:rPr>
              <w:t>rona ludności)</w:t>
            </w:r>
          </w:p>
          <w:p w14:paraId="42072274" w14:textId="217FBD6B" w:rsidR="00BE1B25" w:rsidRPr="00A33B9F" w:rsidRDefault="00BE1B25" w:rsidP="428000F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6A59A9EC" w14:textId="62E7DB0F" w:rsidR="00BE1B25" w:rsidRPr="00A33B9F" w:rsidRDefault="53708667" w:rsidP="428000F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Wybór obszarów wyznaczonych na potrzeby świadczenia usługi we wszystkich centrach kompetencji jest uzależniony od lokalizacji</w:t>
            </w:r>
            <w:r w:rsidR="00A33B9F" w:rsidRPr="00A33B9F">
              <w:rPr>
                <w:rFonts w:ascii="Times New Roman" w:hAnsi="Times New Roman"/>
                <w:noProof/>
                <w:color w:val="000000" w:themeColor="text1"/>
                <w:sz w:val="18"/>
              </w:rPr>
              <w:t xml:space="preserve"> i spe</w:t>
            </w:r>
            <w:r w:rsidRPr="00A33B9F">
              <w:rPr>
                <w:rFonts w:ascii="Times New Roman" w:hAnsi="Times New Roman"/>
                <w:noProof/>
                <w:color w:val="000000" w:themeColor="text1"/>
                <w:sz w:val="18"/>
              </w:rPr>
              <w:t>cyfiki poszczególnych centrów kompetencji.</w:t>
            </w:r>
          </w:p>
          <w:p w14:paraId="149F41FF" w14:textId="4FB24636" w:rsidR="00BE1B25" w:rsidRPr="00A33B9F" w:rsidRDefault="00BE1B25"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05A08066" w14:textId="79B29F50" w:rsidR="00BE1B25" w:rsidRPr="00A33B9F" w:rsidRDefault="3844D6FC"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Realizowana usługa umożliwi normalizację technologii</w:t>
            </w:r>
            <w:r w:rsidR="00A33B9F" w:rsidRPr="00A33B9F">
              <w:rPr>
                <w:rFonts w:ascii="Times New Roman" w:hAnsi="Times New Roman"/>
                <w:noProof/>
                <w:color w:val="000000" w:themeColor="text1"/>
                <w:sz w:val="18"/>
              </w:rPr>
              <w:t xml:space="preserve"> i uzy</w:t>
            </w:r>
            <w:r w:rsidRPr="00A33B9F">
              <w:rPr>
                <w:rFonts w:ascii="Times New Roman" w:hAnsi="Times New Roman"/>
                <w:noProof/>
                <w:color w:val="000000" w:themeColor="text1"/>
                <w:sz w:val="18"/>
              </w:rPr>
              <w:t>skanie społecznej akceptacji dla wykorzystania bezzałogowych statków powietrznych. Przetestowane</w:t>
            </w:r>
            <w:r w:rsidR="00A33B9F" w:rsidRPr="00A33B9F">
              <w:rPr>
                <w:rFonts w:ascii="Times New Roman" w:hAnsi="Times New Roman"/>
                <w:noProof/>
                <w:color w:val="000000" w:themeColor="text1"/>
                <w:sz w:val="18"/>
              </w:rPr>
              <w:t xml:space="preserve"> i zre</w:t>
            </w:r>
            <w:r w:rsidRPr="00A33B9F">
              <w:rPr>
                <w:rFonts w:ascii="Times New Roman" w:hAnsi="Times New Roman"/>
                <w:noProof/>
                <w:color w:val="000000" w:themeColor="text1"/>
                <w:sz w:val="18"/>
              </w:rPr>
              <w:t>alizowane usługi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bezzałogowych statków powietrznych oznaczać będą</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ni operacyjne usługi oparte na sprzęcie</w:t>
            </w:r>
            <w:r w:rsidR="00A33B9F" w:rsidRPr="00A33B9F">
              <w:rPr>
                <w:rFonts w:ascii="Times New Roman" w:hAnsi="Times New Roman"/>
                <w:noProof/>
                <w:color w:val="000000" w:themeColor="text1"/>
                <w:sz w:val="18"/>
              </w:rPr>
              <w:t xml:space="preserve"> i opr</w:t>
            </w:r>
            <w:r w:rsidRPr="00A33B9F">
              <w:rPr>
                <w:rFonts w:ascii="Times New Roman" w:hAnsi="Times New Roman"/>
                <w:noProof/>
                <w:color w:val="000000" w:themeColor="text1"/>
                <w:sz w:val="18"/>
              </w:rPr>
              <w:t>ogramowaniu</w:t>
            </w:r>
            <w:r w:rsidR="00A33B9F" w:rsidRPr="00A33B9F">
              <w:rPr>
                <w:rFonts w:ascii="Times New Roman" w:hAnsi="Times New Roman"/>
                <w:noProof/>
                <w:color w:val="000000" w:themeColor="text1"/>
                <w:sz w:val="18"/>
              </w:rPr>
              <w:t xml:space="preserve"> i zas</w:t>
            </w:r>
            <w:r w:rsidRPr="00A33B9F">
              <w:rPr>
                <w:rFonts w:ascii="Times New Roman" w:hAnsi="Times New Roman"/>
                <w:noProof/>
                <w:color w:val="000000" w:themeColor="text1"/>
                <w:sz w:val="18"/>
              </w:rPr>
              <w:t xml:space="preserve">pokajające potrzeby biznesowe odbiorcy (użytkownika). </w:t>
            </w:r>
          </w:p>
        </w:tc>
      </w:tr>
      <w:tr w:rsidR="008C116B" w:rsidRPr="00A33B9F" w14:paraId="2C49DE4B" w14:textId="77777777" w:rsidTr="1CE0CE0C">
        <w:trPr>
          <w:trHeight w:val="313"/>
        </w:trPr>
        <w:tc>
          <w:tcPr>
            <w:tcW w:w="875" w:type="dxa"/>
            <w:shd w:val="clear" w:color="auto" w:fill="C6EFCE"/>
          </w:tcPr>
          <w:p w14:paraId="55739EF0" w14:textId="71DB5DF8"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A38G</w:t>
            </w:r>
          </w:p>
        </w:tc>
        <w:tc>
          <w:tcPr>
            <w:tcW w:w="1984" w:type="dxa"/>
            <w:shd w:val="clear" w:color="auto" w:fill="C6EFCE"/>
          </w:tcPr>
          <w:p w14:paraId="4C3A5E4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A2.4 Wzmocnienie mechanizmów współpracy pomiędzy sektorem nauki oraz przemysłem </w:t>
            </w:r>
          </w:p>
        </w:tc>
        <w:tc>
          <w:tcPr>
            <w:tcW w:w="1276" w:type="dxa"/>
            <w:shd w:val="clear" w:color="auto" w:fill="C6EFCE"/>
          </w:tcPr>
          <w:p w14:paraId="361A6EA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126" w:type="dxa"/>
            <w:shd w:val="clear" w:color="auto" w:fill="C6EFCE"/>
          </w:tcPr>
          <w:p w14:paraId="6F9144B5" w14:textId="0DE6DDE2"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 Prawo</w:t>
            </w:r>
            <w:r w:rsidR="00A33B9F" w:rsidRPr="00A33B9F">
              <w:rPr>
                <w:rFonts w:ascii="Times New Roman" w:hAnsi="Times New Roman"/>
                <w:noProof/>
                <w:color w:val="000000" w:themeColor="text1"/>
                <w:sz w:val="18"/>
              </w:rPr>
              <w:t xml:space="preserve"> o szk</w:t>
            </w:r>
            <w:r w:rsidRPr="00A33B9F">
              <w:rPr>
                <w:rFonts w:ascii="Times New Roman" w:hAnsi="Times New Roman"/>
                <w:noProof/>
                <w:color w:val="000000" w:themeColor="text1"/>
                <w:sz w:val="18"/>
              </w:rPr>
              <w:t>olnictwie wyższym</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ce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katalogu podmiotów, które mogą tworzyć spółki celowe wraz ze szkołami wyższymi</w:t>
            </w:r>
          </w:p>
        </w:tc>
        <w:tc>
          <w:tcPr>
            <w:tcW w:w="1536" w:type="dxa"/>
            <w:shd w:val="clear" w:color="auto" w:fill="C6EFCE"/>
          </w:tcPr>
          <w:p w14:paraId="73D6AC87" w14:textId="646DC6BE" w:rsidR="00BE1B25" w:rsidRPr="00A33B9F"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 Prawo</w:t>
            </w:r>
            <w:r w:rsidR="00A33B9F" w:rsidRPr="00A33B9F">
              <w:rPr>
                <w:rFonts w:ascii="Times New Roman" w:hAnsi="Times New Roman"/>
                <w:noProof/>
                <w:color w:val="000000" w:themeColor="text1"/>
                <w:sz w:val="18"/>
              </w:rPr>
              <w:t xml:space="preserve"> o szk</w:t>
            </w:r>
            <w:r w:rsidRPr="00A33B9F">
              <w:rPr>
                <w:rFonts w:ascii="Times New Roman" w:hAnsi="Times New Roman"/>
                <w:noProof/>
                <w:color w:val="000000" w:themeColor="text1"/>
                <w:sz w:val="18"/>
              </w:rPr>
              <w:t>olnictwie wyższym</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ce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shd w:val="clear" w:color="auto" w:fill="C6EFCE"/>
          </w:tcPr>
          <w:p w14:paraId="4D85598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60" w:type="dxa"/>
            <w:shd w:val="clear" w:color="auto" w:fill="C6EFCE"/>
          </w:tcPr>
          <w:p w14:paraId="6CE2FCB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605" w:type="dxa"/>
            <w:shd w:val="clear" w:color="auto" w:fill="C6EFCE"/>
          </w:tcPr>
          <w:p w14:paraId="6A84B78A"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86" w:type="dxa"/>
            <w:shd w:val="clear" w:color="auto" w:fill="C6EFCE"/>
          </w:tcPr>
          <w:p w14:paraId="67A71BBA" w14:textId="77777777"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709" w:type="dxa"/>
            <w:shd w:val="clear" w:color="auto" w:fill="C6EFCE"/>
          </w:tcPr>
          <w:p w14:paraId="66B410D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260" w:type="dxa"/>
            <w:shd w:val="clear" w:color="auto" w:fill="C6EFCE"/>
          </w:tcPr>
          <w:p w14:paraId="3261A8EE" w14:textId="5C85EBC0" w:rsidR="00BE1B25" w:rsidRPr="00A33B9F" w:rsidRDefault="5A904AF2" w:rsidP="5F1C942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Ustawa zmieniająca umożliwi tworzenie spółek celowych ukierunkowanych specjalnie na komercjalizację wyników działań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badań</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woju. Oczekuje się, że pozwoli to na większą interdyscyplinarność</w:t>
            </w:r>
            <w:r w:rsidR="00A33B9F" w:rsidRPr="00A33B9F">
              <w:rPr>
                <w:rFonts w:ascii="Times New Roman" w:hAnsi="Times New Roman"/>
                <w:noProof/>
                <w:color w:val="000000" w:themeColor="text1"/>
                <w:sz w:val="18"/>
              </w:rPr>
              <w:t xml:space="preserve"> i ela</w:t>
            </w:r>
            <w:r w:rsidRPr="00A33B9F">
              <w:rPr>
                <w:rFonts w:ascii="Times New Roman" w:hAnsi="Times New Roman"/>
                <w:noProof/>
                <w:color w:val="000000" w:themeColor="text1"/>
                <w:sz w:val="18"/>
              </w:rPr>
              <w:t xml:space="preserve">styczność transferu technologii. </w:t>
            </w:r>
          </w:p>
        </w:tc>
      </w:tr>
      <w:tr w:rsidR="008C116B" w:rsidRPr="00A33B9F" w14:paraId="511DE5DE" w14:textId="77777777" w:rsidTr="1CE0CE0C">
        <w:trPr>
          <w:trHeight w:val="20"/>
        </w:trPr>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397A95" w14:textId="07B0F9E5"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A39G</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57080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A2.4 Wzmocnienie mechanizmów współpracy pomiędzy sektorem nauki oraz przemysłem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0A170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04E290" w14:textId="1CB232B7" w:rsidR="00BE1B25" w:rsidRPr="00A33B9F" w:rsidRDefault="20374064" w:rsidP="00CE5AD7">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Ustanowienie zasad korzystania</w:t>
            </w:r>
            <w:r w:rsidR="00A33B9F" w:rsidRPr="00A33B9F">
              <w:rPr>
                <w:rFonts w:ascii="Times New Roman" w:hAnsi="Times New Roman"/>
                <w:noProof/>
                <w:color w:val="000000" w:themeColor="text1"/>
                <w:sz w:val="18"/>
              </w:rPr>
              <w:t xml:space="preserve"> z lab</w:t>
            </w:r>
            <w:r w:rsidRPr="00A33B9F">
              <w:rPr>
                <w:rFonts w:ascii="Times New Roman" w:hAnsi="Times New Roman"/>
                <w:noProof/>
                <w:color w:val="000000" w:themeColor="text1"/>
                <w:sz w:val="18"/>
              </w:rPr>
              <w:t>oratoriów</w:t>
            </w:r>
            <w:r w:rsidR="00A33B9F" w:rsidRPr="00A33B9F">
              <w:rPr>
                <w:rFonts w:ascii="Times New Roman" w:hAnsi="Times New Roman"/>
                <w:noProof/>
                <w:color w:val="000000" w:themeColor="text1"/>
                <w:sz w:val="18"/>
              </w:rPr>
              <w:t xml:space="preserve"> i tra</w:t>
            </w:r>
            <w:r w:rsidRPr="00A33B9F">
              <w:rPr>
                <w:rFonts w:ascii="Times New Roman" w:hAnsi="Times New Roman"/>
                <w:noProof/>
                <w:color w:val="000000" w:themeColor="text1"/>
                <w:sz w:val="18"/>
              </w:rPr>
              <w:t>nsferu wiedzy instytutów pod nadzorem Ministra Rolnictwa</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woju Wsi</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F72D2F" w14:textId="1CCC4215" w:rsidR="00BE1B25" w:rsidRPr="00A33B9F" w:rsidRDefault="00CE5AD7" w:rsidP="00322E6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Dokument zawierający ustanowione zasady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0803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DD6AF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AC30D4"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33E754" w14:textId="53E37FCD"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366D60" w14:textId="59AAC844"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10693A" w14:textId="7519DB67" w:rsidR="00BE1B25" w:rsidRPr="00A33B9F" w:rsidRDefault="3D7DD859" w:rsidP="00DA60C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Zasady korzystania</w:t>
            </w:r>
            <w:r w:rsidR="00A33B9F" w:rsidRPr="00A33B9F">
              <w:rPr>
                <w:rFonts w:ascii="Times New Roman" w:hAnsi="Times New Roman"/>
                <w:noProof/>
                <w:color w:val="000000" w:themeColor="text1"/>
                <w:sz w:val="18"/>
              </w:rPr>
              <w:t xml:space="preserve"> z lab</w:t>
            </w:r>
            <w:r w:rsidRPr="00A33B9F">
              <w:rPr>
                <w:rFonts w:ascii="Times New Roman" w:hAnsi="Times New Roman"/>
                <w:noProof/>
                <w:color w:val="000000" w:themeColor="text1"/>
                <w:sz w:val="18"/>
              </w:rPr>
              <w:t>oratoriów</w:t>
            </w:r>
            <w:r w:rsidR="00A33B9F" w:rsidRPr="00A33B9F">
              <w:rPr>
                <w:rFonts w:ascii="Times New Roman" w:hAnsi="Times New Roman"/>
                <w:noProof/>
                <w:color w:val="000000" w:themeColor="text1"/>
                <w:sz w:val="18"/>
              </w:rPr>
              <w:t xml:space="preserve"> i tra</w:t>
            </w:r>
            <w:r w:rsidRPr="00A33B9F">
              <w:rPr>
                <w:rFonts w:ascii="Times New Roman" w:hAnsi="Times New Roman"/>
                <w:noProof/>
                <w:color w:val="000000" w:themeColor="text1"/>
                <w:sz w:val="18"/>
              </w:rPr>
              <w:t>nsferu wiedzy określać będą procedury dotyczące korzystania</w:t>
            </w:r>
            <w:r w:rsidR="00A33B9F" w:rsidRPr="00A33B9F">
              <w:rPr>
                <w:rFonts w:ascii="Times New Roman" w:hAnsi="Times New Roman"/>
                <w:noProof/>
                <w:color w:val="000000" w:themeColor="text1"/>
                <w:sz w:val="18"/>
              </w:rPr>
              <w:t xml:space="preserve"> z inf</w:t>
            </w:r>
            <w:r w:rsidRPr="00A33B9F">
              <w:rPr>
                <w:rFonts w:ascii="Times New Roman" w:hAnsi="Times New Roman"/>
                <w:noProof/>
                <w:color w:val="000000" w:themeColor="text1"/>
                <w:sz w:val="18"/>
              </w:rPr>
              <w:t>rastruktury badawczej</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współpracy nauka–nauka</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ka–biznes. Przepisy są zgodne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niedyskryminacji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 xml:space="preserve">ejrzystości. </w:t>
            </w:r>
          </w:p>
          <w:p w14:paraId="233E0C49" w14:textId="23CB372C" w:rsidR="006F2DC8" w:rsidRPr="00A33B9F" w:rsidRDefault="006F2DC8" w:rsidP="00DA60C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r>
      <w:tr w:rsidR="008C116B" w:rsidRPr="00A33B9F" w14:paraId="14CEA888" w14:textId="77777777" w:rsidTr="1CE0CE0C">
        <w:trPr>
          <w:trHeight w:val="313"/>
        </w:trPr>
        <w:tc>
          <w:tcPr>
            <w:tcW w:w="875" w:type="dxa"/>
            <w:shd w:val="clear" w:color="auto" w:fill="C6EFCE"/>
          </w:tcPr>
          <w:p w14:paraId="28E52AA1" w14:textId="2B6F70FA" w:rsidR="00BE1B25" w:rsidRPr="00A33B9F" w:rsidRDefault="661BA97C" w:rsidP="00A40E2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A40G</w:t>
            </w:r>
          </w:p>
        </w:tc>
        <w:tc>
          <w:tcPr>
            <w:tcW w:w="1984" w:type="dxa"/>
            <w:shd w:val="clear" w:color="auto" w:fill="C6EFCE"/>
          </w:tcPr>
          <w:p w14:paraId="0BF6A7B2" w14:textId="4B23853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A2.4.1 Inwestycje</w:t>
            </w:r>
            <w:r w:rsidR="00A33B9F" w:rsidRPr="00A33B9F">
              <w:rPr>
                <w:rFonts w:ascii="Times New Roman" w:hAnsi="Times New Roman"/>
                <w:noProof/>
                <w:color w:val="000000"/>
                <w:sz w:val="18"/>
              </w:rPr>
              <w:t xml:space="preserve"> w roz</w:t>
            </w:r>
            <w:r w:rsidRPr="00A33B9F">
              <w:rPr>
                <w:rFonts w:ascii="Times New Roman" w:hAnsi="Times New Roman"/>
                <w:noProof/>
                <w:color w:val="000000"/>
                <w:sz w:val="18"/>
              </w:rPr>
              <w:t xml:space="preserve">budowę potencjału badawczego </w:t>
            </w:r>
          </w:p>
        </w:tc>
        <w:tc>
          <w:tcPr>
            <w:tcW w:w="1276" w:type="dxa"/>
            <w:shd w:val="clear" w:color="auto" w:fill="C6EFCE"/>
          </w:tcPr>
          <w:p w14:paraId="23EA09A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7B922D2C" w14:textId="51977744" w:rsidR="00BE1B25" w:rsidRPr="00A33B9F"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Laboratoria</w:t>
            </w:r>
            <w:r w:rsidR="00A33B9F" w:rsidRPr="00A33B9F">
              <w:rPr>
                <w:rFonts w:ascii="Times New Roman" w:hAnsi="Times New Roman"/>
                <w:noProof/>
                <w:color w:val="000000" w:themeColor="text1"/>
                <w:sz w:val="18"/>
              </w:rPr>
              <w:t xml:space="preserve"> z now</w:t>
            </w:r>
            <w:r w:rsidRPr="00A33B9F">
              <w:rPr>
                <w:rFonts w:ascii="Times New Roman" w:hAnsi="Times New Roman"/>
                <w:noProof/>
                <w:color w:val="000000" w:themeColor="text1"/>
                <w:sz w:val="18"/>
              </w:rPr>
              <w:t>oczesną infrastrukturą badawczą</w:t>
            </w:r>
            <w:r w:rsidR="00A33B9F" w:rsidRPr="00A33B9F">
              <w:rPr>
                <w:rFonts w:ascii="Times New Roman" w:hAnsi="Times New Roman"/>
                <w:noProof/>
                <w:color w:val="000000" w:themeColor="text1"/>
                <w:sz w:val="18"/>
              </w:rPr>
              <w:t xml:space="preserve"> w ins</w:t>
            </w:r>
            <w:r w:rsidRPr="00A33B9F">
              <w:rPr>
                <w:rFonts w:ascii="Times New Roman" w:hAnsi="Times New Roman"/>
                <w:noProof/>
                <w:color w:val="000000" w:themeColor="text1"/>
                <w:sz w:val="18"/>
              </w:rPr>
              <w:t>tytutach nadzorowanych przez Ministerstwo Edukacji</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ki oraz Ministerstwo Rolnictwa</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 xml:space="preserve">woju Wsi lub im podlegających </w:t>
            </w:r>
          </w:p>
        </w:tc>
        <w:tc>
          <w:tcPr>
            <w:tcW w:w="1536" w:type="dxa"/>
            <w:shd w:val="clear" w:color="auto" w:fill="C6EFCE"/>
          </w:tcPr>
          <w:p w14:paraId="15B3EB6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4EEC6AC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60" w:type="dxa"/>
            <w:shd w:val="clear" w:color="auto" w:fill="C6EFCE"/>
          </w:tcPr>
          <w:p w14:paraId="0CF44D54"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605" w:type="dxa"/>
            <w:shd w:val="clear" w:color="auto" w:fill="C6EFCE"/>
          </w:tcPr>
          <w:p w14:paraId="6DDB914C" w14:textId="1964D37A" w:rsidR="00BE1B25" w:rsidRPr="00A33B9F" w:rsidRDefault="3D7DD859"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18</w:t>
            </w:r>
          </w:p>
        </w:tc>
        <w:tc>
          <w:tcPr>
            <w:tcW w:w="986" w:type="dxa"/>
            <w:shd w:val="clear" w:color="auto" w:fill="C6EFCE"/>
          </w:tcPr>
          <w:p w14:paraId="6896774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9" w:type="dxa"/>
            <w:shd w:val="clear" w:color="auto" w:fill="C6EFCE"/>
          </w:tcPr>
          <w:p w14:paraId="6D5FC6E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260" w:type="dxa"/>
            <w:shd w:val="clear" w:color="auto" w:fill="C6EFCE"/>
          </w:tcPr>
          <w:p w14:paraId="6C5CA147" w14:textId="538B3BEC" w:rsidR="00BE1B25" w:rsidRPr="00A33B9F" w:rsidRDefault="3A9F8471"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Budowa</w:t>
            </w:r>
            <w:r w:rsidR="00A33B9F" w:rsidRPr="00A33B9F">
              <w:rPr>
                <w:rFonts w:ascii="Times New Roman" w:hAnsi="Times New Roman"/>
                <w:noProof/>
                <w:color w:val="000000" w:themeColor="text1"/>
                <w:sz w:val="18"/>
              </w:rPr>
              <w:t xml:space="preserve"> i mod</w:t>
            </w:r>
            <w:r w:rsidRPr="00A33B9F">
              <w:rPr>
                <w:rFonts w:ascii="Times New Roman" w:hAnsi="Times New Roman"/>
                <w:noProof/>
                <w:color w:val="000000" w:themeColor="text1"/>
                <w:sz w:val="18"/>
              </w:rPr>
              <w:t>ernizacja laboratoriów instytutów nadzorowanych przez Ministerstwo Edukacji</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ki oraz Ministerstwo Rolnictwa</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woju Wsi</w:t>
            </w:r>
            <w:r w:rsidR="00A33B9F" w:rsidRPr="00A33B9F">
              <w:rPr>
                <w:rFonts w:ascii="Times New Roman" w:hAnsi="Times New Roman"/>
                <w:noProof/>
                <w:color w:val="000000" w:themeColor="text1"/>
                <w:sz w:val="18"/>
              </w:rPr>
              <w:t xml:space="preserve"> i Głó</w:t>
            </w:r>
            <w:r w:rsidRPr="00A33B9F">
              <w:rPr>
                <w:rFonts w:ascii="Times New Roman" w:hAnsi="Times New Roman"/>
                <w:noProof/>
                <w:color w:val="000000" w:themeColor="text1"/>
                <w:sz w:val="18"/>
              </w:rPr>
              <w:t>wny Inspektorat Jakości Handlowej Artykułów Rolno-Spożywczych lub im podlegających związana</w:t>
            </w:r>
            <w:r w:rsidR="00A33B9F" w:rsidRPr="00A33B9F">
              <w:rPr>
                <w:rFonts w:ascii="Times New Roman" w:hAnsi="Times New Roman"/>
                <w:noProof/>
                <w:color w:val="000000" w:themeColor="text1"/>
                <w:sz w:val="18"/>
              </w:rPr>
              <w:t xml:space="preserve"> z rea</w:t>
            </w:r>
            <w:r w:rsidRPr="00A33B9F">
              <w:rPr>
                <w:rFonts w:ascii="Times New Roman" w:hAnsi="Times New Roman"/>
                <w:noProof/>
                <w:color w:val="000000" w:themeColor="text1"/>
                <w:sz w:val="18"/>
              </w:rPr>
              <w:t xml:space="preserve">lizacją celów. </w:t>
            </w:r>
          </w:p>
        </w:tc>
      </w:tr>
    </w:tbl>
    <w:p w14:paraId="2B269B4E" w14:textId="77777777" w:rsidR="00B54E14" w:rsidRPr="00A33B9F" w:rsidRDefault="002D7602">
      <w:pPr>
        <w:rPr>
          <w:rFonts w:ascii="Times New Roman" w:eastAsia="Times New Roman" w:hAnsi="Times New Roman" w:cs="Times New Roman"/>
          <w:noProof/>
          <w:color w:val="000000"/>
          <w:sz w:val="24"/>
          <w:szCs w:val="24"/>
        </w:rPr>
        <w:sectPr w:rsidR="00B54E14" w:rsidRPr="00A33B9F" w:rsidSect="005A529A">
          <w:headerReference w:type="even" r:id="rId25"/>
          <w:headerReference w:type="default" r:id="rId26"/>
          <w:footerReference w:type="even" r:id="rId27"/>
          <w:footerReference w:type="default" r:id="rId28"/>
          <w:headerReference w:type="first" r:id="rId29"/>
          <w:footerReference w:type="first" r:id="rId30"/>
          <w:pgSz w:w="16839" w:h="11907" w:orient="landscape"/>
          <w:pgMar w:top="720" w:right="680" w:bottom="720" w:left="709" w:header="709" w:footer="0" w:gutter="0"/>
          <w:cols w:space="720"/>
        </w:sectPr>
      </w:pPr>
      <w:r w:rsidRPr="00A33B9F">
        <w:rPr>
          <w:noProof/>
        </w:rPr>
        <w:br w:type="page"/>
      </w:r>
    </w:p>
    <w:p w14:paraId="0F3CABC7" w14:textId="07118664" w:rsidR="002D7602" w:rsidRPr="00A33B9F" w:rsidRDefault="00B54E14">
      <w:pPr>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A3 – EDUKACJA</w:t>
      </w:r>
    </w:p>
    <w:tbl>
      <w:tblPr>
        <w:tblW w:w="16019" w:type="dxa"/>
        <w:tblInd w:w="-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78"/>
        <w:gridCol w:w="1830"/>
        <w:gridCol w:w="986"/>
        <w:gridCol w:w="2111"/>
        <w:gridCol w:w="1689"/>
        <w:gridCol w:w="986"/>
        <w:gridCol w:w="987"/>
        <w:gridCol w:w="845"/>
        <w:gridCol w:w="986"/>
        <w:gridCol w:w="705"/>
        <w:gridCol w:w="4216"/>
      </w:tblGrid>
      <w:tr w:rsidR="008C116B" w:rsidRPr="00A33B9F" w14:paraId="5DB7E30A" w14:textId="77777777" w:rsidTr="038FC096">
        <w:trPr>
          <w:trHeight w:val="939"/>
          <w:tblHeader/>
        </w:trPr>
        <w:tc>
          <w:tcPr>
            <w:tcW w:w="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D95B83F" w14:textId="541FC578" w:rsidR="00FF7DD3" w:rsidRPr="00A33B9F" w:rsidRDefault="00EE39EA"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1CBA817"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99D9751"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D4478A0"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D250AFF" w14:textId="77777777" w:rsidR="00FF7DD3" w:rsidRPr="00A33B9F"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 xml:space="preserve">Wskaźniki jakościowe </w:t>
            </w:r>
            <w:r w:rsidRPr="00A33B9F">
              <w:rPr>
                <w:rFonts w:ascii="Times New Roman" w:hAnsi="Times New Roman"/>
                <w:b/>
                <w:noProof/>
                <w:color w:val="000000" w:themeColor="text1"/>
                <w:sz w:val="18"/>
              </w:rPr>
              <w:br/>
              <w:t>(dla kamieni milowych)</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DABBEB4" w14:textId="77777777" w:rsidR="00FF7DD3" w:rsidRPr="00A33B9F"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Wskaźniki ilościowe</w:t>
            </w:r>
            <w:r w:rsidRPr="00A33B9F">
              <w:rPr>
                <w:noProof/>
              </w:rPr>
              <w:t xml:space="preserve"> </w:t>
            </w:r>
            <w:r w:rsidRPr="00A33B9F">
              <w:rPr>
                <w:noProof/>
              </w:rPr>
              <w:br/>
            </w:r>
            <w:r w:rsidRPr="00A33B9F">
              <w:rPr>
                <w:rFonts w:ascii="Times New Roman" w:hAnsi="Times New Roman"/>
                <w:b/>
                <w:noProof/>
                <w:color w:val="000000" w:themeColor="text1"/>
                <w:sz w:val="18"/>
              </w:rPr>
              <w:t>(dla wartości docelowych)</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8F741BE"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42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DF1CA4F" w14:textId="7E69F5EA"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8C116B" w:rsidRPr="00A33B9F" w14:paraId="518D90CE" w14:textId="77777777" w:rsidTr="0091451A">
        <w:trPr>
          <w:trHeight w:val="1027"/>
        </w:trPr>
        <w:tc>
          <w:tcPr>
            <w:tcW w:w="680" w:type="dxa"/>
            <w:vMerge/>
            <w:tcBorders>
              <w:bottom w:val="single" w:sz="4" w:space="0" w:color="auto"/>
            </w:tcBorders>
            <w:vAlign w:val="center"/>
          </w:tcPr>
          <w:p w14:paraId="5B08B5D1"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43" w:type="dxa"/>
            <w:vMerge/>
            <w:tcBorders>
              <w:bottom w:val="single" w:sz="4" w:space="0" w:color="auto"/>
            </w:tcBorders>
            <w:vAlign w:val="center"/>
          </w:tcPr>
          <w:p w14:paraId="16DEB4AB"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vMerge/>
            <w:tcBorders>
              <w:bottom w:val="single" w:sz="4" w:space="0" w:color="auto"/>
            </w:tcBorders>
            <w:vAlign w:val="center"/>
          </w:tcPr>
          <w:p w14:paraId="0AD9C6F4"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tcBorders>
              <w:bottom w:val="single" w:sz="4" w:space="0" w:color="auto"/>
            </w:tcBorders>
            <w:vAlign w:val="center"/>
          </w:tcPr>
          <w:p w14:paraId="4B1F511A"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01" w:type="dxa"/>
            <w:vMerge/>
            <w:tcBorders>
              <w:bottom w:val="single" w:sz="4" w:space="0" w:color="auto"/>
            </w:tcBorders>
            <w:vAlign w:val="center"/>
          </w:tcPr>
          <w:p w14:paraId="65F9C3DC"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bottom w:val="single" w:sz="4" w:space="0" w:color="auto"/>
            </w:tcBorders>
            <w:shd w:val="clear" w:color="auto" w:fill="BDD7EE"/>
            <w:vAlign w:val="center"/>
          </w:tcPr>
          <w:p w14:paraId="09FB281A"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93" w:type="dxa"/>
            <w:tcBorders>
              <w:bottom w:val="single" w:sz="4" w:space="0" w:color="auto"/>
            </w:tcBorders>
            <w:shd w:val="clear" w:color="auto" w:fill="BDD7EE"/>
            <w:vAlign w:val="center"/>
          </w:tcPr>
          <w:p w14:paraId="2D96705B"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850" w:type="dxa"/>
            <w:tcBorders>
              <w:bottom w:val="single" w:sz="4" w:space="0" w:color="auto"/>
            </w:tcBorders>
            <w:shd w:val="clear" w:color="auto" w:fill="BDD7EE"/>
            <w:vAlign w:val="center"/>
          </w:tcPr>
          <w:p w14:paraId="642BD0C5"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92" w:type="dxa"/>
            <w:tcBorders>
              <w:bottom w:val="single" w:sz="4" w:space="0" w:color="auto"/>
            </w:tcBorders>
            <w:shd w:val="clear" w:color="auto" w:fill="BDD7EE"/>
            <w:vAlign w:val="center"/>
          </w:tcPr>
          <w:p w14:paraId="4B1A6FAE"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709" w:type="dxa"/>
            <w:tcBorders>
              <w:bottom w:val="single" w:sz="4" w:space="0" w:color="auto"/>
            </w:tcBorders>
            <w:shd w:val="clear" w:color="auto" w:fill="BDD7EE"/>
            <w:vAlign w:val="center"/>
          </w:tcPr>
          <w:p w14:paraId="3C34323D"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4248" w:type="dxa"/>
            <w:vMerge/>
            <w:tcBorders>
              <w:bottom w:val="single" w:sz="4" w:space="0" w:color="auto"/>
            </w:tcBorders>
            <w:vAlign w:val="center"/>
          </w:tcPr>
          <w:p w14:paraId="5023141B"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44378DEC" w14:textId="77777777" w:rsidTr="0091451A">
        <w:trPr>
          <w:trHeight w:val="313"/>
        </w:trPr>
        <w:tc>
          <w:tcPr>
            <w:tcW w:w="680" w:type="dxa"/>
            <w:tcBorders>
              <w:top w:val="single" w:sz="4" w:space="0" w:color="auto"/>
              <w:left w:val="single" w:sz="4" w:space="0" w:color="auto"/>
              <w:bottom w:val="single" w:sz="4" w:space="0" w:color="auto"/>
              <w:right w:val="single" w:sz="4" w:space="0" w:color="auto"/>
            </w:tcBorders>
            <w:shd w:val="clear" w:color="auto" w:fill="C6EFCE"/>
          </w:tcPr>
          <w:p w14:paraId="6089FD39" w14:textId="2E13450F"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A41G</w:t>
            </w:r>
          </w:p>
        </w:tc>
        <w:tc>
          <w:tcPr>
            <w:tcW w:w="1843" w:type="dxa"/>
            <w:tcBorders>
              <w:top w:val="single" w:sz="4" w:space="0" w:color="auto"/>
              <w:left w:val="single" w:sz="4" w:space="0" w:color="auto"/>
              <w:bottom w:val="single" w:sz="4" w:space="0" w:color="auto"/>
              <w:right w:val="single" w:sz="4" w:space="0" w:color="auto"/>
            </w:tcBorders>
            <w:shd w:val="clear" w:color="auto" w:fill="C6EFCE"/>
          </w:tcPr>
          <w:p w14:paraId="327635E3" w14:textId="3E03AE5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 Siła robocza dla nowoczesnej gospodarki: poprawa dopasowania umiejętności</w:t>
            </w:r>
            <w:r w:rsidR="00A33B9F" w:rsidRPr="00A33B9F">
              <w:rPr>
                <w:rFonts w:ascii="Times New Roman" w:hAnsi="Times New Roman"/>
                <w:noProof/>
                <w:color w:val="000000" w:themeColor="text1"/>
                <w:sz w:val="18"/>
              </w:rPr>
              <w:t xml:space="preserve"> i kwa</w:t>
            </w:r>
            <w:r w:rsidRPr="00A33B9F">
              <w:rPr>
                <w:rFonts w:ascii="Times New Roman" w:hAnsi="Times New Roman"/>
                <w:noProof/>
                <w:color w:val="000000" w:themeColor="text1"/>
                <w:sz w:val="18"/>
              </w:rPr>
              <w:t>lifikacji do wymogów rynku pracy</w:t>
            </w:r>
            <w:r w:rsidR="00A33B9F" w:rsidRPr="00A33B9F">
              <w:rPr>
                <w:rFonts w:ascii="Times New Roman" w:hAnsi="Times New Roman"/>
                <w:noProof/>
                <w:color w:val="000000" w:themeColor="text1"/>
                <w:sz w:val="18"/>
              </w:rPr>
              <w:t xml:space="preserve"> w zwi</w:t>
            </w:r>
            <w:r w:rsidRPr="00A33B9F">
              <w:rPr>
                <w:rFonts w:ascii="Times New Roman" w:hAnsi="Times New Roman"/>
                <w:noProof/>
                <w:color w:val="000000" w:themeColor="text1"/>
                <w:sz w:val="18"/>
              </w:rPr>
              <w:t>ązku</w:t>
            </w:r>
            <w:r w:rsidR="00A33B9F" w:rsidRPr="00A33B9F">
              <w:rPr>
                <w:rFonts w:ascii="Times New Roman" w:hAnsi="Times New Roman"/>
                <w:noProof/>
                <w:color w:val="000000" w:themeColor="text1"/>
                <w:sz w:val="18"/>
              </w:rPr>
              <w:t xml:space="preserve"> z wdr</w:t>
            </w:r>
            <w:r w:rsidRPr="00A33B9F">
              <w:rPr>
                <w:rFonts w:ascii="Times New Roman" w:hAnsi="Times New Roman"/>
                <w:noProof/>
                <w:color w:val="000000" w:themeColor="text1"/>
                <w:sz w:val="18"/>
              </w:rPr>
              <w:t>ażaniem nowych technologii</w:t>
            </w:r>
            <w:r w:rsidR="00A33B9F" w:rsidRPr="00A33B9F">
              <w:rPr>
                <w:rFonts w:ascii="Times New Roman" w:hAnsi="Times New Roman"/>
                <w:noProof/>
                <w:color w:val="000000" w:themeColor="text1"/>
                <w:sz w:val="18"/>
              </w:rPr>
              <w:t xml:space="preserve"> w gos</w:t>
            </w:r>
            <w:r w:rsidRPr="00A33B9F">
              <w:rPr>
                <w:rFonts w:ascii="Times New Roman" w:hAnsi="Times New Roman"/>
                <w:noProof/>
                <w:color w:val="000000" w:themeColor="text1"/>
                <w:sz w:val="18"/>
              </w:rPr>
              <w:t>podarce oraz transformacją zieloną</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rową</w:t>
            </w:r>
          </w:p>
        </w:tc>
        <w:tc>
          <w:tcPr>
            <w:tcW w:w="992" w:type="dxa"/>
            <w:tcBorders>
              <w:top w:val="single" w:sz="4" w:space="0" w:color="auto"/>
              <w:left w:val="single" w:sz="4" w:space="0" w:color="auto"/>
              <w:bottom w:val="single" w:sz="4" w:space="0" w:color="auto"/>
              <w:right w:val="single" w:sz="4" w:space="0" w:color="auto"/>
            </w:tcBorders>
            <w:shd w:val="clear" w:color="auto" w:fill="C6EFCE"/>
          </w:tcPr>
          <w:p w14:paraId="6A2DFA3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126" w:type="dxa"/>
            <w:tcBorders>
              <w:top w:val="single" w:sz="4" w:space="0" w:color="auto"/>
              <w:left w:val="single" w:sz="4" w:space="0" w:color="auto"/>
              <w:bottom w:val="single" w:sz="4" w:space="0" w:color="auto"/>
              <w:right w:val="single" w:sz="4" w:space="0" w:color="auto"/>
            </w:tcBorders>
            <w:shd w:val="clear" w:color="auto" w:fill="C6EFCE"/>
          </w:tcPr>
          <w:p w14:paraId="6D46D02A" w14:textId="20A4765A" w:rsidR="00BE1B25" w:rsidRPr="00A33B9F" w:rsidRDefault="08092B4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 – Prawo oświatowe,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której ustanowiono ramy prawne dotyczące sieci branżowych centrów umiejętności zapewniających ukierunkowane podnoszenie</w:t>
            </w:r>
            <w:r w:rsidR="00A33B9F" w:rsidRPr="00A33B9F">
              <w:rPr>
                <w:rFonts w:ascii="Times New Roman" w:hAnsi="Times New Roman"/>
                <w:noProof/>
                <w:color w:val="000000" w:themeColor="text1"/>
                <w:sz w:val="18"/>
              </w:rPr>
              <w:t xml:space="preserve"> i zmi</w:t>
            </w:r>
            <w:r w:rsidRPr="00A33B9F">
              <w:rPr>
                <w:rFonts w:ascii="Times New Roman" w:hAnsi="Times New Roman"/>
                <w:noProof/>
                <w:color w:val="000000" w:themeColor="text1"/>
                <w:sz w:val="18"/>
              </w:rPr>
              <w:t>anę kwalifikacji</w:t>
            </w:r>
            <w:r w:rsidR="00A33B9F" w:rsidRPr="00A33B9F">
              <w:rPr>
                <w:rFonts w:ascii="Times New Roman" w:hAnsi="Times New Roman"/>
                <w:noProof/>
                <w:color w:val="000000" w:themeColor="text1"/>
                <w:sz w:val="18"/>
              </w:rPr>
              <w:t xml:space="preserve"> w wys</w:t>
            </w:r>
            <w:r w:rsidRPr="00A33B9F">
              <w:rPr>
                <w:rFonts w:ascii="Times New Roman" w:hAnsi="Times New Roman"/>
                <w:noProof/>
                <w:color w:val="000000" w:themeColor="text1"/>
                <w:sz w:val="18"/>
              </w:rPr>
              <w:t>okim stopniu odpowiadające potrzebom rynku pracy.</w:t>
            </w:r>
          </w:p>
        </w:tc>
        <w:tc>
          <w:tcPr>
            <w:tcW w:w="1701" w:type="dxa"/>
            <w:tcBorders>
              <w:top w:val="single" w:sz="4" w:space="0" w:color="auto"/>
              <w:left w:val="single" w:sz="4" w:space="0" w:color="auto"/>
              <w:bottom w:val="single" w:sz="4" w:space="0" w:color="auto"/>
              <w:right w:val="single" w:sz="4" w:space="0" w:color="auto"/>
            </w:tcBorders>
            <w:shd w:val="clear" w:color="auto" w:fill="C6EFCE"/>
          </w:tcPr>
          <w:p w14:paraId="1EF1FA09" w14:textId="1F68A25D" w:rsidR="00BE1B25" w:rsidRPr="00A33B9F"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ust</w:t>
            </w:r>
            <w:r w:rsidRPr="00A33B9F">
              <w:rPr>
                <w:rFonts w:ascii="Times New Roman" w:hAnsi="Times New Roman"/>
                <w:noProof/>
                <w:color w:val="000000"/>
                <w:sz w:val="18"/>
              </w:rPr>
              <w:t>awie</w:t>
            </w:r>
            <w:r w:rsidR="00A33B9F" w:rsidRPr="00A33B9F">
              <w:rPr>
                <w:rFonts w:ascii="Times New Roman" w:hAnsi="Times New Roman"/>
                <w:noProof/>
                <w:color w:val="000000"/>
                <w:sz w:val="18"/>
              </w:rPr>
              <w:t xml:space="preserve"> o zmi</w:t>
            </w:r>
            <w:r w:rsidRPr="00A33B9F">
              <w:rPr>
                <w:rFonts w:ascii="Times New Roman" w:hAnsi="Times New Roman"/>
                <w:noProof/>
                <w:color w:val="000000"/>
                <w:sz w:val="18"/>
              </w:rPr>
              <w:t>anie ustawy – Prawo oświatowe wskazujący na jej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 xml:space="preserve">ie </w:t>
            </w:r>
          </w:p>
        </w:tc>
        <w:tc>
          <w:tcPr>
            <w:tcW w:w="992" w:type="dxa"/>
            <w:tcBorders>
              <w:top w:val="single" w:sz="4" w:space="0" w:color="auto"/>
              <w:left w:val="single" w:sz="4" w:space="0" w:color="auto"/>
              <w:bottom w:val="single" w:sz="4" w:space="0" w:color="auto"/>
              <w:right w:val="single" w:sz="4" w:space="0" w:color="auto"/>
            </w:tcBorders>
            <w:shd w:val="clear" w:color="auto" w:fill="C6EFCE"/>
          </w:tcPr>
          <w:p w14:paraId="42CAE14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C6EFCE"/>
          </w:tcPr>
          <w:p w14:paraId="1AF05E09"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C6EFCE"/>
          </w:tcPr>
          <w:p w14:paraId="6BF368CB"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C6EFCE"/>
          </w:tcPr>
          <w:p w14:paraId="7A8F9DAC"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9" w:type="dxa"/>
            <w:tcBorders>
              <w:top w:val="single" w:sz="4" w:space="0" w:color="auto"/>
              <w:left w:val="single" w:sz="4" w:space="0" w:color="auto"/>
              <w:bottom w:val="single" w:sz="4" w:space="0" w:color="auto"/>
              <w:right w:val="single" w:sz="4" w:space="0" w:color="auto"/>
            </w:tcBorders>
            <w:shd w:val="clear" w:color="auto" w:fill="C6EFCE"/>
          </w:tcPr>
          <w:p w14:paraId="229ACA2A"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4248" w:type="dxa"/>
            <w:tcBorders>
              <w:top w:val="single" w:sz="4" w:space="0" w:color="auto"/>
              <w:left w:val="single" w:sz="4" w:space="0" w:color="auto"/>
              <w:bottom w:val="single" w:sz="4" w:space="0" w:color="auto"/>
              <w:right w:val="single" w:sz="4" w:space="0" w:color="auto"/>
            </w:tcBorders>
            <w:shd w:val="clear" w:color="auto" w:fill="C6EFCE"/>
          </w:tcPr>
          <w:p w14:paraId="08824C8E" w14:textId="081C710A" w:rsidR="00F24DAB" w:rsidRPr="00A33B9F" w:rsidRDefault="0BD9B4A6" w:rsidP="00014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ramach reformy ustawy – Prawo oświatowe, po opracowaniu studiów wykonalności</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cesie przeglądu</w:t>
            </w:r>
            <w:r w:rsidR="00A33B9F" w:rsidRPr="00A33B9F">
              <w:rPr>
                <w:rFonts w:ascii="Times New Roman" w:hAnsi="Times New Roman"/>
                <w:noProof/>
                <w:color w:val="000000" w:themeColor="text1"/>
                <w:sz w:val="18"/>
              </w:rPr>
              <w:t xml:space="preserve"> w ści</w:t>
            </w:r>
            <w:r w:rsidRPr="00A33B9F">
              <w:rPr>
                <w:rFonts w:ascii="Times New Roman" w:hAnsi="Times New Roman"/>
                <w:noProof/>
                <w:color w:val="000000" w:themeColor="text1"/>
                <w:sz w:val="18"/>
              </w:rPr>
              <w:t>słej współpracy</w:t>
            </w:r>
            <w:r w:rsidR="00A33B9F" w:rsidRPr="00A33B9F">
              <w:rPr>
                <w:rFonts w:ascii="Times New Roman" w:hAnsi="Times New Roman"/>
                <w:noProof/>
                <w:color w:val="000000" w:themeColor="text1"/>
                <w:sz w:val="18"/>
              </w:rPr>
              <w:t xml:space="preserve"> z par</w:t>
            </w:r>
            <w:r w:rsidRPr="00A33B9F">
              <w:rPr>
                <w:rFonts w:ascii="Times New Roman" w:hAnsi="Times New Roman"/>
                <w:noProof/>
                <w:color w:val="000000" w:themeColor="text1"/>
                <w:sz w:val="18"/>
              </w:rPr>
              <w:t>tnerami społecznymi, władzami regionalnymi, sektorami</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ymi zainteresowanymi stronami, ustanowione zostaną ramy prawne dotyczące sieci branżowych centrów umiejętności zapewniających ukierunkowane podnoszenie</w:t>
            </w:r>
            <w:r w:rsidR="00A33B9F" w:rsidRPr="00A33B9F">
              <w:rPr>
                <w:rFonts w:ascii="Times New Roman" w:hAnsi="Times New Roman"/>
                <w:noProof/>
                <w:color w:val="000000" w:themeColor="text1"/>
                <w:sz w:val="18"/>
              </w:rPr>
              <w:t xml:space="preserve"> i zmi</w:t>
            </w:r>
            <w:r w:rsidRPr="00A33B9F">
              <w:rPr>
                <w:rFonts w:ascii="Times New Roman" w:hAnsi="Times New Roman"/>
                <w:noProof/>
                <w:color w:val="000000" w:themeColor="text1"/>
                <w:sz w:val="18"/>
              </w:rPr>
              <w:t>anę kwalifikacji</w:t>
            </w:r>
            <w:r w:rsidR="00A33B9F" w:rsidRPr="00A33B9F">
              <w:rPr>
                <w:rFonts w:ascii="Times New Roman" w:hAnsi="Times New Roman"/>
                <w:noProof/>
                <w:color w:val="000000" w:themeColor="text1"/>
                <w:sz w:val="18"/>
              </w:rPr>
              <w:t xml:space="preserve"> w wys</w:t>
            </w:r>
            <w:r w:rsidRPr="00A33B9F">
              <w:rPr>
                <w:rFonts w:ascii="Times New Roman" w:hAnsi="Times New Roman"/>
                <w:noProof/>
                <w:color w:val="000000" w:themeColor="text1"/>
                <w:sz w:val="18"/>
              </w:rPr>
              <w:t>okim stopniu odpowiadające potrzebom rynku pracy</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usprawnienia systemu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 zawodowego dzięki lepiej ukierunkowanym branżowym centrom kształcenia</w:t>
            </w:r>
            <w:r w:rsidR="00A33B9F" w:rsidRPr="00A33B9F">
              <w:rPr>
                <w:rFonts w:ascii="Times New Roman" w:hAnsi="Times New Roman"/>
                <w:noProof/>
                <w:color w:val="000000" w:themeColor="text1"/>
                <w:sz w:val="18"/>
              </w:rPr>
              <w:t xml:space="preserve"> i lep</w:t>
            </w:r>
            <w:r w:rsidRPr="00A33B9F">
              <w:rPr>
                <w:rFonts w:ascii="Times New Roman" w:hAnsi="Times New Roman"/>
                <w:noProof/>
                <w:color w:val="000000" w:themeColor="text1"/>
                <w:sz w:val="18"/>
              </w:rPr>
              <w:t>szemu powiązaniu kształcenia</w:t>
            </w:r>
            <w:r w:rsidR="00A33B9F" w:rsidRPr="00A33B9F">
              <w:rPr>
                <w:rFonts w:ascii="Times New Roman" w:hAnsi="Times New Roman"/>
                <w:noProof/>
                <w:color w:val="000000" w:themeColor="text1"/>
                <w:sz w:val="18"/>
              </w:rPr>
              <w:t xml:space="preserve"> z pot</w:t>
            </w:r>
            <w:r w:rsidRPr="00A33B9F">
              <w:rPr>
                <w:rFonts w:ascii="Times New Roman" w:hAnsi="Times New Roman"/>
                <w:noProof/>
                <w:color w:val="000000" w:themeColor="text1"/>
                <w:sz w:val="18"/>
              </w:rPr>
              <w:t xml:space="preserve">rzebami rynku pracy. </w:t>
            </w:r>
          </w:p>
          <w:p w14:paraId="5341CC27" w14:textId="77777777" w:rsidR="00F24DAB" w:rsidRPr="00A33B9F" w:rsidRDefault="00F24DAB" w:rsidP="000143E9">
            <w:pPr>
              <w:pStyle w:val="Normal0"/>
              <w:pBdr>
                <w:top w:val="nil"/>
                <w:left w:val="nil"/>
                <w:bottom w:val="nil"/>
                <w:right w:val="nil"/>
                <w:between w:val="nil"/>
              </w:pBdr>
              <w:spacing w:after="0" w:line="240" w:lineRule="auto"/>
              <w:rPr>
                <w:noProof/>
              </w:rPr>
            </w:pPr>
          </w:p>
          <w:p w14:paraId="3B588C88" w14:textId="21939416" w:rsidR="005D1AA0" w:rsidRPr="00A33B9F" w:rsidRDefault="4E569026" w:rsidP="00014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sz w:val="18"/>
              </w:rPr>
              <w:t>W ustawie – Prawo oświatowe zmienionej ustawą zmieniającą</w:t>
            </w:r>
            <w:r w:rsidRPr="00A33B9F">
              <w:rPr>
                <w:rFonts w:ascii="Times New Roman" w:hAnsi="Times New Roman"/>
                <w:noProof/>
                <w:color w:val="000000" w:themeColor="text1"/>
                <w:sz w:val="18"/>
              </w:rPr>
              <w:t>:</w:t>
            </w:r>
            <w:r w:rsidRPr="00A33B9F">
              <w:rPr>
                <w:noProof/>
              </w:rPr>
              <w:t xml:space="preserve"> </w:t>
            </w:r>
            <w:r w:rsidRPr="00A33B9F">
              <w:rPr>
                <w:noProof/>
              </w:rPr>
              <w:br/>
            </w:r>
            <w:r w:rsidRPr="00A33B9F">
              <w:rPr>
                <w:rFonts w:ascii="Times New Roman" w:hAnsi="Times New Roman"/>
                <w:noProof/>
                <w:color w:val="000000" w:themeColor="text1"/>
                <w:sz w:val="18"/>
              </w:rPr>
              <w:t>– uwzględnia się plan rozwoju centrów umiejętności;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określa się miejsce</w:t>
            </w:r>
            <w:r w:rsidR="00A33B9F" w:rsidRPr="00A33B9F">
              <w:rPr>
                <w:rFonts w:ascii="Times New Roman" w:hAnsi="Times New Roman"/>
                <w:noProof/>
                <w:color w:val="000000" w:themeColor="text1"/>
                <w:sz w:val="18"/>
              </w:rPr>
              <w:t xml:space="preserve"> i rol</w:t>
            </w:r>
            <w:r w:rsidRPr="00A33B9F">
              <w:rPr>
                <w:rFonts w:ascii="Times New Roman" w:hAnsi="Times New Roman"/>
                <w:noProof/>
                <w:color w:val="000000" w:themeColor="text1"/>
                <w:sz w:val="18"/>
              </w:rPr>
              <w:t>ę centrów umiejętności</w:t>
            </w:r>
            <w:r w:rsidR="00A33B9F" w:rsidRPr="00A33B9F">
              <w:rPr>
                <w:rFonts w:ascii="Times New Roman" w:hAnsi="Times New Roman"/>
                <w:noProof/>
                <w:color w:val="000000" w:themeColor="text1"/>
                <w:sz w:val="18"/>
              </w:rPr>
              <w:t xml:space="preserve"> w sys</w:t>
            </w:r>
            <w:r w:rsidRPr="00A33B9F">
              <w:rPr>
                <w:rFonts w:ascii="Times New Roman" w:hAnsi="Times New Roman"/>
                <w:noProof/>
                <w:color w:val="000000" w:themeColor="text1"/>
                <w:sz w:val="18"/>
              </w:rPr>
              <w:t>temie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określa się warunki pracy personelu</w:t>
            </w:r>
            <w:r w:rsidR="00A33B9F" w:rsidRPr="00A33B9F">
              <w:rPr>
                <w:rFonts w:ascii="Times New Roman" w:hAnsi="Times New Roman"/>
                <w:noProof/>
                <w:color w:val="000000" w:themeColor="text1"/>
                <w:sz w:val="18"/>
              </w:rPr>
              <w:t xml:space="preserve"> w cen</w:t>
            </w:r>
            <w:r w:rsidRPr="00A33B9F">
              <w:rPr>
                <w:rFonts w:ascii="Times New Roman" w:hAnsi="Times New Roman"/>
                <w:noProof/>
                <w:color w:val="000000" w:themeColor="text1"/>
                <w:sz w:val="18"/>
              </w:rPr>
              <w:t>trach umiejętności;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ustanawia się przepisy dotyczące przeglądów cyklicznych</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nadzoru nad zarządzaniem tymi centrami</w:t>
            </w:r>
            <w:r w:rsidR="00A33B9F" w:rsidRPr="00A33B9F">
              <w:rPr>
                <w:rFonts w:ascii="Times New Roman" w:hAnsi="Times New Roman"/>
                <w:noProof/>
                <w:color w:val="000000" w:themeColor="text1"/>
                <w:sz w:val="18"/>
              </w:rPr>
              <w:t xml:space="preserve"> i nad</w:t>
            </w:r>
            <w:r w:rsidRPr="00A33B9F">
              <w:rPr>
                <w:rFonts w:ascii="Times New Roman" w:hAnsi="Times New Roman"/>
                <w:noProof/>
                <w:color w:val="000000" w:themeColor="text1"/>
                <w:sz w:val="18"/>
              </w:rPr>
              <w:t xml:space="preserve"> ich trwałością po</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2026</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dzięki dostosowanym do potrzeb przepisom dotyczącym zarządzania centrami umiejętności dostosowuje się istniejący system zarządzania, obejmujący pracodawców (w tym przedstawicieli MŚP), partnerów społecznych</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e odpowiednie zainteresowane strony,</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samorządy terytorialne</w:t>
            </w:r>
            <w:r w:rsidR="00A33B9F" w:rsidRPr="00A33B9F">
              <w:rPr>
                <w:rFonts w:ascii="Times New Roman" w:hAnsi="Times New Roman"/>
                <w:noProof/>
                <w:color w:val="000000" w:themeColor="text1"/>
                <w:sz w:val="18"/>
              </w:rPr>
              <w:t xml:space="preserve"> i lok</w:t>
            </w:r>
            <w:r w:rsidRPr="00A33B9F">
              <w:rPr>
                <w:rFonts w:ascii="Times New Roman" w:hAnsi="Times New Roman"/>
                <w:noProof/>
                <w:color w:val="000000" w:themeColor="text1"/>
                <w:sz w:val="18"/>
              </w:rPr>
              <w:t xml:space="preserve">alne; </w:t>
            </w:r>
          </w:p>
          <w:p w14:paraId="25F174E5" w14:textId="067DE295" w:rsidR="00BE1B25" w:rsidRPr="00A33B9F" w:rsidRDefault="005D1AA0" w:rsidP="005D1AA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dokonuje się ustaleń dotyczących finansowania (w tym po ustaniu wsparcia ze strony UE), ustalenia warunków szkoleń, ustanowienia przepisów dotyczących poradnictwa zawodowego</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gramów nauczania oraz</w:t>
            </w:r>
            <w:r w:rsidRPr="00A33B9F">
              <w:rPr>
                <w:rFonts w:ascii="Times New Roman" w:hAnsi="Times New Roman"/>
                <w:noProof/>
                <w:color w:val="000000" w:themeColor="text1"/>
                <w:sz w:val="18"/>
              </w:rPr>
              <w:br/>
              <w:t>– określa się rodzaje oferowanych szkoleń, grupy docelowe, rodzaje kwalifikacji</w:t>
            </w:r>
            <w:r w:rsidR="00A33B9F" w:rsidRPr="00A33B9F">
              <w:rPr>
                <w:rFonts w:ascii="Times New Roman" w:hAnsi="Times New Roman"/>
                <w:noProof/>
                <w:color w:val="000000" w:themeColor="text1"/>
                <w:sz w:val="18"/>
              </w:rPr>
              <w:t xml:space="preserve"> i nor</w:t>
            </w:r>
            <w:r w:rsidRPr="00A33B9F">
              <w:rPr>
                <w:rFonts w:ascii="Times New Roman" w:hAnsi="Times New Roman"/>
                <w:noProof/>
                <w:color w:val="000000" w:themeColor="text1"/>
                <w:sz w:val="18"/>
              </w:rPr>
              <w:t>m, mechanizmy zapewniania</w:t>
            </w:r>
            <w:r w:rsidR="00A33B9F" w:rsidRPr="00A33B9F">
              <w:rPr>
                <w:rFonts w:ascii="Times New Roman" w:hAnsi="Times New Roman"/>
                <w:noProof/>
                <w:color w:val="000000" w:themeColor="text1"/>
                <w:sz w:val="18"/>
              </w:rPr>
              <w:t xml:space="preserve"> i wer</w:t>
            </w:r>
            <w:r w:rsidRPr="00A33B9F">
              <w:rPr>
                <w:rFonts w:ascii="Times New Roman" w:hAnsi="Times New Roman"/>
                <w:noProof/>
                <w:color w:val="000000" w:themeColor="text1"/>
                <w:sz w:val="18"/>
              </w:rPr>
              <w:t>yfikacji jakości oraz sposób powiązania sektorów</w:t>
            </w:r>
            <w:r w:rsidR="00A33B9F" w:rsidRPr="00A33B9F">
              <w:rPr>
                <w:rFonts w:ascii="Times New Roman" w:hAnsi="Times New Roman"/>
                <w:noProof/>
                <w:color w:val="000000" w:themeColor="text1"/>
                <w:sz w:val="18"/>
              </w:rPr>
              <w:t xml:space="preserve"> z cen</w:t>
            </w:r>
            <w:r w:rsidRPr="00A33B9F">
              <w:rPr>
                <w:rFonts w:ascii="Times New Roman" w:hAnsi="Times New Roman"/>
                <w:noProof/>
                <w:color w:val="000000" w:themeColor="text1"/>
                <w:sz w:val="18"/>
              </w:rPr>
              <w:t>trami umiejętności.</w:t>
            </w:r>
          </w:p>
        </w:tc>
      </w:tr>
      <w:tr w:rsidR="008C116B" w:rsidRPr="00A33B9F" w14:paraId="55A46812" w14:textId="77777777" w:rsidTr="0091451A">
        <w:trPr>
          <w:trHeight w:val="313"/>
        </w:trPr>
        <w:tc>
          <w:tcPr>
            <w:tcW w:w="680" w:type="dxa"/>
            <w:tcBorders>
              <w:top w:val="single" w:sz="4" w:space="0" w:color="auto"/>
            </w:tcBorders>
            <w:shd w:val="clear" w:color="auto" w:fill="C6EFCE"/>
          </w:tcPr>
          <w:p w14:paraId="54368C02" w14:textId="344D183C"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A42G</w:t>
            </w:r>
          </w:p>
        </w:tc>
        <w:tc>
          <w:tcPr>
            <w:tcW w:w="1843" w:type="dxa"/>
            <w:tcBorders>
              <w:top w:val="single" w:sz="4" w:space="0" w:color="auto"/>
            </w:tcBorders>
            <w:shd w:val="clear" w:color="auto" w:fill="C6EFCE"/>
          </w:tcPr>
          <w:p w14:paraId="127A4402" w14:textId="6678913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 Siła robocza dla nowoczesnej gospodarki: poprawa dopasowania umiejętności</w:t>
            </w:r>
            <w:r w:rsidR="00A33B9F" w:rsidRPr="00A33B9F">
              <w:rPr>
                <w:rFonts w:ascii="Times New Roman" w:hAnsi="Times New Roman"/>
                <w:noProof/>
                <w:color w:val="000000" w:themeColor="text1"/>
                <w:sz w:val="18"/>
              </w:rPr>
              <w:t xml:space="preserve"> i kwa</w:t>
            </w:r>
            <w:r w:rsidRPr="00A33B9F">
              <w:rPr>
                <w:rFonts w:ascii="Times New Roman" w:hAnsi="Times New Roman"/>
                <w:noProof/>
                <w:color w:val="000000" w:themeColor="text1"/>
                <w:sz w:val="18"/>
              </w:rPr>
              <w:t>lifikacji do wymogów rynku pracy</w:t>
            </w:r>
            <w:r w:rsidR="00A33B9F" w:rsidRPr="00A33B9F">
              <w:rPr>
                <w:rFonts w:ascii="Times New Roman" w:hAnsi="Times New Roman"/>
                <w:noProof/>
                <w:color w:val="000000" w:themeColor="text1"/>
                <w:sz w:val="18"/>
              </w:rPr>
              <w:t xml:space="preserve"> w zwi</w:t>
            </w:r>
            <w:r w:rsidRPr="00A33B9F">
              <w:rPr>
                <w:rFonts w:ascii="Times New Roman" w:hAnsi="Times New Roman"/>
                <w:noProof/>
                <w:color w:val="000000" w:themeColor="text1"/>
                <w:sz w:val="18"/>
              </w:rPr>
              <w:t>ązku</w:t>
            </w:r>
            <w:r w:rsidR="00A33B9F" w:rsidRPr="00A33B9F">
              <w:rPr>
                <w:rFonts w:ascii="Times New Roman" w:hAnsi="Times New Roman"/>
                <w:noProof/>
                <w:color w:val="000000" w:themeColor="text1"/>
                <w:sz w:val="18"/>
              </w:rPr>
              <w:t xml:space="preserve"> z wdr</w:t>
            </w:r>
            <w:r w:rsidRPr="00A33B9F">
              <w:rPr>
                <w:rFonts w:ascii="Times New Roman" w:hAnsi="Times New Roman"/>
                <w:noProof/>
                <w:color w:val="000000" w:themeColor="text1"/>
                <w:sz w:val="18"/>
              </w:rPr>
              <w:t>ażaniem nowych technologii</w:t>
            </w:r>
            <w:r w:rsidR="00A33B9F" w:rsidRPr="00A33B9F">
              <w:rPr>
                <w:rFonts w:ascii="Times New Roman" w:hAnsi="Times New Roman"/>
                <w:noProof/>
                <w:color w:val="000000" w:themeColor="text1"/>
                <w:sz w:val="18"/>
              </w:rPr>
              <w:t xml:space="preserve"> w gos</w:t>
            </w:r>
            <w:r w:rsidRPr="00A33B9F">
              <w:rPr>
                <w:rFonts w:ascii="Times New Roman" w:hAnsi="Times New Roman"/>
                <w:noProof/>
                <w:color w:val="000000" w:themeColor="text1"/>
                <w:sz w:val="18"/>
              </w:rPr>
              <w:t>podarce oraz transformacją zieloną</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rową</w:t>
            </w:r>
          </w:p>
        </w:tc>
        <w:tc>
          <w:tcPr>
            <w:tcW w:w="992" w:type="dxa"/>
            <w:tcBorders>
              <w:top w:val="single" w:sz="4" w:space="0" w:color="auto"/>
            </w:tcBorders>
            <w:shd w:val="clear" w:color="auto" w:fill="C6EFCE"/>
          </w:tcPr>
          <w:p w14:paraId="21C1FA4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126" w:type="dxa"/>
            <w:tcBorders>
              <w:top w:val="single" w:sz="4" w:space="0" w:color="auto"/>
            </w:tcBorders>
            <w:shd w:val="clear" w:color="auto" w:fill="C6EFCE"/>
          </w:tcPr>
          <w:p w14:paraId="65AFEF6D" w14:textId="23EFF25F" w:rsidR="00BE1B25" w:rsidRPr="00A33B9F" w:rsidRDefault="0BD9B4A6" w:rsidP="00FA728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 – Karta nauczyciela umożliwiającej realizację szkoleń branżowych dla nauczycieli ustawicznego kształcenia zawodowego</w:t>
            </w:r>
            <w:r w:rsidR="00A33B9F" w:rsidRPr="00A33B9F">
              <w:rPr>
                <w:rFonts w:ascii="Times New Roman" w:hAnsi="Times New Roman"/>
                <w:noProof/>
                <w:color w:val="000000" w:themeColor="text1"/>
                <w:sz w:val="18"/>
              </w:rPr>
              <w:t xml:space="preserve"> w bra</w:t>
            </w:r>
            <w:r w:rsidRPr="00A33B9F">
              <w:rPr>
                <w:rFonts w:ascii="Times New Roman" w:hAnsi="Times New Roman"/>
                <w:noProof/>
                <w:color w:val="000000" w:themeColor="text1"/>
                <w:sz w:val="18"/>
              </w:rPr>
              <w:t>nżowych centrach umiejętności</w:t>
            </w:r>
          </w:p>
        </w:tc>
        <w:tc>
          <w:tcPr>
            <w:tcW w:w="1701" w:type="dxa"/>
            <w:tcBorders>
              <w:top w:val="single" w:sz="4" w:space="0" w:color="auto"/>
            </w:tcBorders>
            <w:shd w:val="clear" w:color="auto" w:fill="C6EFCE"/>
          </w:tcPr>
          <w:p w14:paraId="7732FBFA" w14:textId="5ACD892F" w:rsidR="00BE1B25" w:rsidRPr="00A33B9F"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ust</w:t>
            </w:r>
            <w:r w:rsidRPr="00A33B9F">
              <w:rPr>
                <w:rFonts w:ascii="Times New Roman" w:hAnsi="Times New Roman"/>
                <w:noProof/>
                <w:color w:val="000000"/>
                <w:sz w:val="18"/>
              </w:rPr>
              <w:t>awie</w:t>
            </w:r>
            <w:r w:rsidR="00A33B9F" w:rsidRPr="00A33B9F">
              <w:rPr>
                <w:rFonts w:ascii="Times New Roman" w:hAnsi="Times New Roman"/>
                <w:noProof/>
                <w:color w:val="000000"/>
                <w:sz w:val="18"/>
              </w:rPr>
              <w:t xml:space="preserve"> o zmi</w:t>
            </w:r>
            <w:r w:rsidRPr="00A33B9F">
              <w:rPr>
                <w:rFonts w:ascii="Times New Roman" w:hAnsi="Times New Roman"/>
                <w:noProof/>
                <w:color w:val="000000"/>
                <w:sz w:val="18"/>
              </w:rPr>
              <w:t>anie ustawy – Karta nauczyciela wskazujący na jej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 xml:space="preserve">ie </w:t>
            </w:r>
          </w:p>
        </w:tc>
        <w:tc>
          <w:tcPr>
            <w:tcW w:w="992" w:type="dxa"/>
            <w:tcBorders>
              <w:top w:val="single" w:sz="4" w:space="0" w:color="auto"/>
            </w:tcBorders>
            <w:shd w:val="clear" w:color="auto" w:fill="C6EFCE"/>
          </w:tcPr>
          <w:p w14:paraId="7EE978C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3" w:type="dxa"/>
            <w:tcBorders>
              <w:top w:val="single" w:sz="4" w:space="0" w:color="auto"/>
            </w:tcBorders>
            <w:shd w:val="clear" w:color="auto" w:fill="C6EFCE"/>
          </w:tcPr>
          <w:p w14:paraId="4B9B179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50" w:type="dxa"/>
            <w:tcBorders>
              <w:top w:val="single" w:sz="4" w:space="0" w:color="auto"/>
            </w:tcBorders>
            <w:shd w:val="clear" w:color="auto" w:fill="C6EFCE"/>
          </w:tcPr>
          <w:p w14:paraId="38BC71D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auto"/>
            </w:tcBorders>
            <w:shd w:val="clear" w:color="auto" w:fill="C6EFCE"/>
          </w:tcPr>
          <w:p w14:paraId="34E9DC5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9" w:type="dxa"/>
            <w:tcBorders>
              <w:top w:val="single" w:sz="4" w:space="0" w:color="auto"/>
            </w:tcBorders>
            <w:shd w:val="clear" w:color="auto" w:fill="C6EFCE"/>
          </w:tcPr>
          <w:p w14:paraId="21D5FB8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4248" w:type="dxa"/>
            <w:tcBorders>
              <w:top w:val="single" w:sz="4" w:space="0" w:color="auto"/>
            </w:tcBorders>
            <w:shd w:val="clear" w:color="auto" w:fill="C6EFCE"/>
          </w:tcPr>
          <w:p w14:paraId="5BC8F912" w14:textId="51782D44" w:rsidR="00BE1B25" w:rsidRPr="00A33B9F" w:rsidRDefault="08092B41" w:rsidP="000143E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Reforma ustawy – Karta nauczyciela pozwoli branżowym centrom umiejętności na realizację szkoleń dla nauczycieli ustawicznego kształcenia zawodowego.</w:t>
            </w:r>
            <w:r w:rsidRPr="00A33B9F">
              <w:rPr>
                <w:noProof/>
              </w:rPr>
              <w:t xml:space="preserve"> </w:t>
            </w:r>
            <w:r w:rsidRPr="00A33B9F">
              <w:rPr>
                <w:noProof/>
              </w:rPr>
              <w:br/>
              <w:t xml:space="preserve"> </w:t>
            </w:r>
            <w:r w:rsidRPr="00A33B9F">
              <w:rPr>
                <w:noProof/>
              </w:rPr>
              <w:br/>
            </w:r>
            <w:r w:rsidRPr="00A33B9F">
              <w:rPr>
                <w:rFonts w:ascii="Times New Roman" w:hAnsi="Times New Roman"/>
                <w:noProof/>
                <w:sz w:val="18"/>
              </w:rPr>
              <w:t>W ustawie – Karta nauczyciela zmienionej ustawą zmieniającą</w:t>
            </w:r>
            <w:r w:rsidRPr="00A33B9F">
              <w:rPr>
                <w:rFonts w:ascii="Times New Roman" w:hAnsi="Times New Roman"/>
                <w:noProof/>
                <w:color w:val="000000" w:themeColor="text1"/>
                <w:sz w:val="18"/>
              </w:rPr>
              <w:t>:</w:t>
            </w:r>
            <w:r w:rsidR="00C3621A" w:rsidRPr="00A33B9F">
              <w:rPr>
                <w:rFonts w:ascii="Times New Roman" w:hAnsi="Times New Roman"/>
                <w:noProof/>
                <w:color w:val="000000" w:themeColor="text1"/>
                <w:sz w:val="18"/>
              </w:rPr>
              <w:t xml:space="preserve"> </w:t>
            </w:r>
          </w:p>
          <w:p w14:paraId="740A495B" w14:textId="6DB3624E" w:rsidR="002248AA"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zostaną określone ramy szkolenia</w:t>
            </w:r>
            <w:r w:rsidR="00A33B9F" w:rsidRPr="00A33B9F">
              <w:rPr>
                <w:rFonts w:ascii="Times New Roman" w:hAnsi="Times New Roman"/>
                <w:noProof/>
                <w:color w:val="000000" w:themeColor="text1"/>
                <w:sz w:val="18"/>
              </w:rPr>
              <w:t xml:space="preserve"> w cen</w:t>
            </w:r>
            <w:r w:rsidRPr="00A33B9F">
              <w:rPr>
                <w:rFonts w:ascii="Times New Roman" w:hAnsi="Times New Roman"/>
                <w:noProof/>
                <w:color w:val="000000" w:themeColor="text1"/>
                <w:sz w:val="18"/>
              </w:rPr>
              <w:t xml:space="preserve">trach umiejętności; </w:t>
            </w:r>
          </w:p>
          <w:p w14:paraId="148F1373" w14:textId="207E9DC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zostaną uwzględnione przepisy dotyczące przygotowania nauczycieli do korzystania</w:t>
            </w:r>
            <w:r w:rsidR="00A33B9F" w:rsidRPr="00A33B9F">
              <w:rPr>
                <w:rFonts w:ascii="Times New Roman" w:hAnsi="Times New Roman"/>
                <w:noProof/>
                <w:color w:val="000000" w:themeColor="text1"/>
                <w:sz w:val="18"/>
              </w:rPr>
              <w:t xml:space="preserve"> z now</w:t>
            </w:r>
            <w:r w:rsidRPr="00A33B9F">
              <w:rPr>
                <w:rFonts w:ascii="Times New Roman" w:hAnsi="Times New Roman"/>
                <w:noProof/>
                <w:color w:val="000000" w:themeColor="text1"/>
                <w:sz w:val="18"/>
              </w:rPr>
              <w:t xml:space="preserve">ych technologii. </w:t>
            </w:r>
          </w:p>
        </w:tc>
      </w:tr>
      <w:tr w:rsidR="008C116B" w:rsidRPr="00A33B9F" w14:paraId="327304C6" w14:textId="77777777" w:rsidTr="038FC096">
        <w:trPr>
          <w:trHeight w:val="313"/>
        </w:trPr>
        <w:tc>
          <w:tcPr>
            <w:tcW w:w="680" w:type="dxa"/>
            <w:shd w:val="clear" w:color="auto" w:fill="C6EFCE"/>
          </w:tcPr>
          <w:p w14:paraId="42E43797" w14:textId="0CA780BB"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A43G</w:t>
            </w:r>
          </w:p>
        </w:tc>
        <w:tc>
          <w:tcPr>
            <w:tcW w:w="1843" w:type="dxa"/>
            <w:shd w:val="clear" w:color="auto" w:fill="C6EFCE"/>
          </w:tcPr>
          <w:p w14:paraId="4835819C" w14:textId="3377417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A3.1 Siła robocza dla nowoczesnej gospodarki: poprawa dopasowania umiejętności</w:t>
            </w:r>
            <w:r w:rsidR="00A33B9F" w:rsidRPr="00A33B9F">
              <w:rPr>
                <w:rFonts w:ascii="Times New Roman" w:hAnsi="Times New Roman"/>
                <w:noProof/>
                <w:color w:val="000000" w:themeColor="text1"/>
                <w:sz w:val="18"/>
              </w:rPr>
              <w:t xml:space="preserve"> i kwa</w:t>
            </w:r>
            <w:r w:rsidRPr="00A33B9F">
              <w:rPr>
                <w:rFonts w:ascii="Times New Roman" w:hAnsi="Times New Roman"/>
                <w:noProof/>
                <w:color w:val="000000" w:themeColor="text1"/>
                <w:sz w:val="18"/>
              </w:rPr>
              <w:t>lifikacji do wymogów rynku pracy</w:t>
            </w:r>
            <w:r w:rsidR="00A33B9F" w:rsidRPr="00A33B9F">
              <w:rPr>
                <w:rFonts w:ascii="Times New Roman" w:hAnsi="Times New Roman"/>
                <w:noProof/>
                <w:color w:val="000000" w:themeColor="text1"/>
                <w:sz w:val="18"/>
              </w:rPr>
              <w:t xml:space="preserve"> w zwi</w:t>
            </w:r>
            <w:r w:rsidRPr="00A33B9F">
              <w:rPr>
                <w:rFonts w:ascii="Times New Roman" w:hAnsi="Times New Roman"/>
                <w:noProof/>
                <w:color w:val="000000" w:themeColor="text1"/>
                <w:sz w:val="18"/>
              </w:rPr>
              <w:t>ązku</w:t>
            </w:r>
            <w:r w:rsidR="00A33B9F" w:rsidRPr="00A33B9F">
              <w:rPr>
                <w:rFonts w:ascii="Times New Roman" w:hAnsi="Times New Roman"/>
                <w:noProof/>
                <w:color w:val="000000" w:themeColor="text1"/>
                <w:sz w:val="18"/>
              </w:rPr>
              <w:t xml:space="preserve"> z wdr</w:t>
            </w:r>
            <w:r w:rsidRPr="00A33B9F">
              <w:rPr>
                <w:rFonts w:ascii="Times New Roman" w:hAnsi="Times New Roman"/>
                <w:noProof/>
                <w:color w:val="000000" w:themeColor="text1"/>
                <w:sz w:val="18"/>
              </w:rPr>
              <w:t>ażaniem nowych technologii</w:t>
            </w:r>
            <w:r w:rsidR="00A33B9F" w:rsidRPr="00A33B9F">
              <w:rPr>
                <w:rFonts w:ascii="Times New Roman" w:hAnsi="Times New Roman"/>
                <w:noProof/>
                <w:color w:val="000000" w:themeColor="text1"/>
                <w:sz w:val="18"/>
              </w:rPr>
              <w:t xml:space="preserve"> w gos</w:t>
            </w:r>
            <w:r w:rsidRPr="00A33B9F">
              <w:rPr>
                <w:rFonts w:ascii="Times New Roman" w:hAnsi="Times New Roman"/>
                <w:noProof/>
                <w:color w:val="000000" w:themeColor="text1"/>
                <w:sz w:val="18"/>
              </w:rPr>
              <w:t>podarce oraz transformacją zieloną</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rową</w:t>
            </w:r>
          </w:p>
        </w:tc>
        <w:tc>
          <w:tcPr>
            <w:tcW w:w="992" w:type="dxa"/>
            <w:shd w:val="clear" w:color="auto" w:fill="C6EFCE"/>
          </w:tcPr>
          <w:p w14:paraId="47BA21C7" w14:textId="45D36EB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Kamień milowy</w:t>
            </w:r>
          </w:p>
        </w:tc>
        <w:tc>
          <w:tcPr>
            <w:tcW w:w="2126" w:type="dxa"/>
            <w:shd w:val="clear" w:color="auto" w:fill="C6EFCE"/>
          </w:tcPr>
          <w:p w14:paraId="4AAE9C8B" w14:textId="4B7CA01E" w:rsidR="00BE1B25" w:rsidRPr="00A33B9F"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sam</w:t>
            </w:r>
            <w:r w:rsidRPr="00A33B9F">
              <w:rPr>
                <w:rFonts w:ascii="Times New Roman" w:hAnsi="Times New Roman"/>
                <w:noProof/>
                <w:color w:val="000000" w:themeColor="text1"/>
                <w:sz w:val="18"/>
              </w:rPr>
              <w:t>orządzie województwa, ustawy</w:t>
            </w:r>
            <w:r w:rsidR="00A33B9F" w:rsidRPr="00A33B9F">
              <w:rPr>
                <w:rFonts w:ascii="Times New Roman" w:hAnsi="Times New Roman"/>
                <w:noProof/>
                <w:color w:val="000000" w:themeColor="text1"/>
                <w:sz w:val="18"/>
              </w:rPr>
              <w:t xml:space="preserve"> o ins</w:t>
            </w:r>
            <w:r w:rsidRPr="00A33B9F">
              <w:rPr>
                <w:rFonts w:ascii="Times New Roman" w:hAnsi="Times New Roman"/>
                <w:noProof/>
                <w:color w:val="000000" w:themeColor="text1"/>
                <w:sz w:val="18"/>
              </w:rPr>
              <w:t>tytucjach rynku pracy, ustawy</w:t>
            </w:r>
            <w:r w:rsidR="00A33B9F" w:rsidRPr="00A33B9F">
              <w:rPr>
                <w:rFonts w:ascii="Times New Roman" w:hAnsi="Times New Roman"/>
                <w:noProof/>
                <w:color w:val="000000" w:themeColor="text1"/>
                <w:sz w:val="18"/>
              </w:rPr>
              <w:t xml:space="preserve"> o sam</w:t>
            </w:r>
            <w:r w:rsidRPr="00A33B9F">
              <w:rPr>
                <w:rFonts w:ascii="Times New Roman" w:hAnsi="Times New Roman"/>
                <w:noProof/>
                <w:color w:val="000000" w:themeColor="text1"/>
                <w:sz w:val="18"/>
              </w:rPr>
              <w:t>orządzie powiatowym</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ych istotnych ustaw</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koordynacji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 zawodowego oraz uczenia się przez całe życie</w:t>
            </w:r>
            <w:r w:rsidR="00A33B9F" w:rsidRPr="00A33B9F">
              <w:rPr>
                <w:rFonts w:ascii="Times New Roman" w:hAnsi="Times New Roman"/>
                <w:noProof/>
                <w:color w:val="000000" w:themeColor="text1"/>
                <w:sz w:val="18"/>
              </w:rPr>
              <w:t xml:space="preserve"> w reg</w:t>
            </w:r>
            <w:r w:rsidRPr="00A33B9F">
              <w:rPr>
                <w:rFonts w:ascii="Times New Roman" w:hAnsi="Times New Roman"/>
                <w:noProof/>
                <w:color w:val="000000" w:themeColor="text1"/>
                <w:sz w:val="18"/>
              </w:rPr>
              <w:t xml:space="preserve">ionach </w:t>
            </w:r>
          </w:p>
        </w:tc>
        <w:tc>
          <w:tcPr>
            <w:tcW w:w="1701" w:type="dxa"/>
            <w:shd w:val="clear" w:color="auto" w:fill="C6EFCE"/>
          </w:tcPr>
          <w:p w14:paraId="27B864C1" w14:textId="6EE5EC08" w:rsidR="00BE1B25" w:rsidRPr="00A33B9F" w:rsidRDefault="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Przepisy</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awach</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sam</w:t>
            </w:r>
            <w:r w:rsidRPr="00A33B9F">
              <w:rPr>
                <w:rFonts w:ascii="Times New Roman" w:hAnsi="Times New Roman"/>
                <w:noProof/>
                <w:color w:val="000000" w:themeColor="text1"/>
                <w:sz w:val="18"/>
              </w:rPr>
              <w:t>orządzie województwa, ustawy</w:t>
            </w:r>
            <w:r w:rsidR="00A33B9F" w:rsidRPr="00A33B9F">
              <w:rPr>
                <w:rFonts w:ascii="Times New Roman" w:hAnsi="Times New Roman"/>
                <w:noProof/>
                <w:color w:val="000000" w:themeColor="text1"/>
                <w:sz w:val="18"/>
              </w:rPr>
              <w:t xml:space="preserve"> o ins</w:t>
            </w:r>
            <w:r w:rsidRPr="00A33B9F">
              <w:rPr>
                <w:rFonts w:ascii="Times New Roman" w:hAnsi="Times New Roman"/>
                <w:noProof/>
                <w:color w:val="000000" w:themeColor="text1"/>
                <w:sz w:val="18"/>
              </w:rPr>
              <w:t>tytucjach rynku pracy, ustawy</w:t>
            </w:r>
            <w:r w:rsidR="00A33B9F" w:rsidRPr="00A33B9F">
              <w:rPr>
                <w:rFonts w:ascii="Times New Roman" w:hAnsi="Times New Roman"/>
                <w:noProof/>
                <w:color w:val="000000" w:themeColor="text1"/>
                <w:sz w:val="18"/>
              </w:rPr>
              <w:t xml:space="preserve"> o sam</w:t>
            </w:r>
            <w:r w:rsidRPr="00A33B9F">
              <w:rPr>
                <w:rFonts w:ascii="Times New Roman" w:hAnsi="Times New Roman"/>
                <w:noProof/>
                <w:color w:val="000000" w:themeColor="text1"/>
                <w:sz w:val="18"/>
              </w:rPr>
              <w:t>orządzie powiatowym</w:t>
            </w:r>
            <w:r w:rsidR="00A33B9F" w:rsidRPr="00A33B9F">
              <w:rPr>
                <w:rFonts w:ascii="Times New Roman" w:hAnsi="Times New Roman"/>
                <w:noProof/>
                <w:color w:val="000000" w:themeColor="text1"/>
                <w:sz w:val="18"/>
              </w:rPr>
              <w:t xml:space="preserve"> i w inn</w:t>
            </w:r>
            <w:r w:rsidRPr="00A33B9F">
              <w:rPr>
                <w:rFonts w:ascii="Times New Roman" w:hAnsi="Times New Roman"/>
                <w:noProof/>
                <w:color w:val="000000" w:themeColor="text1"/>
                <w:sz w:val="18"/>
              </w:rPr>
              <w:t>ych istotnych ustaw wskazujące na ich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shd w:val="clear" w:color="auto" w:fill="C6EFCE"/>
          </w:tcPr>
          <w:p w14:paraId="67FDF4F0" w14:textId="74304C0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993" w:type="dxa"/>
            <w:shd w:val="clear" w:color="auto" w:fill="C6EFCE"/>
          </w:tcPr>
          <w:p w14:paraId="14AA7734" w14:textId="7BE2366E"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850" w:type="dxa"/>
            <w:shd w:val="clear" w:color="auto" w:fill="C6EFCE"/>
          </w:tcPr>
          <w:p w14:paraId="6AABBB76" w14:textId="304F24A8"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992" w:type="dxa"/>
            <w:shd w:val="clear" w:color="auto" w:fill="C6EFCE"/>
          </w:tcPr>
          <w:p w14:paraId="59439933" w14:textId="673DFCE6"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709" w:type="dxa"/>
            <w:shd w:val="clear" w:color="auto" w:fill="C6EFCE"/>
          </w:tcPr>
          <w:p w14:paraId="1159129F" w14:textId="501BE26A"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4248" w:type="dxa"/>
            <w:shd w:val="clear" w:color="auto" w:fill="C6EFCE"/>
          </w:tcPr>
          <w:p w14:paraId="212C101E" w14:textId="1B31C8BF" w:rsidR="00BE1B25" w:rsidRPr="00A33B9F" w:rsidRDefault="0BD9B4A6" w:rsidP="008515D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zmienionych aktach ustawodawczych (w tym ustawie</w:t>
            </w:r>
            <w:r w:rsidR="00A33B9F" w:rsidRPr="00A33B9F">
              <w:rPr>
                <w:rFonts w:ascii="Times New Roman" w:hAnsi="Times New Roman"/>
                <w:noProof/>
                <w:color w:val="000000" w:themeColor="text1"/>
                <w:sz w:val="18"/>
              </w:rPr>
              <w:t xml:space="preserve"> o sam</w:t>
            </w:r>
            <w:r w:rsidRPr="00A33B9F">
              <w:rPr>
                <w:rFonts w:ascii="Times New Roman" w:hAnsi="Times New Roman"/>
                <w:noProof/>
                <w:color w:val="000000" w:themeColor="text1"/>
                <w:sz w:val="18"/>
              </w:rPr>
              <w:t>orządzie województwa, ustawie</w:t>
            </w:r>
            <w:r w:rsidR="00A33B9F" w:rsidRPr="00A33B9F">
              <w:rPr>
                <w:rFonts w:ascii="Times New Roman" w:hAnsi="Times New Roman"/>
                <w:noProof/>
                <w:color w:val="000000" w:themeColor="text1"/>
                <w:sz w:val="18"/>
              </w:rPr>
              <w:t xml:space="preserve"> o ins</w:t>
            </w:r>
            <w:r w:rsidRPr="00A33B9F">
              <w:rPr>
                <w:rFonts w:ascii="Times New Roman" w:hAnsi="Times New Roman"/>
                <w:noProof/>
                <w:color w:val="000000" w:themeColor="text1"/>
                <w:sz w:val="18"/>
              </w:rPr>
              <w:t>tytucjach rynku pracy, ustawie</w:t>
            </w:r>
            <w:r w:rsidR="00A33B9F" w:rsidRPr="00A33B9F">
              <w:rPr>
                <w:rFonts w:ascii="Times New Roman" w:hAnsi="Times New Roman"/>
                <w:noProof/>
                <w:color w:val="000000" w:themeColor="text1"/>
                <w:sz w:val="18"/>
              </w:rPr>
              <w:t xml:space="preserve"> o sam</w:t>
            </w:r>
            <w:r w:rsidRPr="00A33B9F">
              <w:rPr>
                <w:rFonts w:ascii="Times New Roman" w:hAnsi="Times New Roman"/>
                <w:noProof/>
                <w:color w:val="000000" w:themeColor="text1"/>
                <w:sz w:val="18"/>
              </w:rPr>
              <w:t>orządzie powiatowym</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ych istotnych ustawach), po przeprowadzeniu procesu przeglądu</w:t>
            </w:r>
            <w:r w:rsidR="00A33B9F" w:rsidRPr="00A33B9F">
              <w:rPr>
                <w:rFonts w:ascii="Times New Roman" w:hAnsi="Times New Roman"/>
                <w:noProof/>
                <w:color w:val="000000" w:themeColor="text1"/>
                <w:sz w:val="18"/>
              </w:rPr>
              <w:t xml:space="preserve"> i w ści</w:t>
            </w:r>
            <w:r w:rsidRPr="00A33B9F">
              <w:rPr>
                <w:rFonts w:ascii="Times New Roman" w:hAnsi="Times New Roman"/>
                <w:noProof/>
                <w:color w:val="000000" w:themeColor="text1"/>
                <w:sz w:val="18"/>
              </w:rPr>
              <w:t>słej współpracy</w:t>
            </w:r>
            <w:r w:rsidR="00A33B9F" w:rsidRPr="00A33B9F">
              <w:rPr>
                <w:rFonts w:ascii="Times New Roman" w:hAnsi="Times New Roman"/>
                <w:noProof/>
                <w:color w:val="000000" w:themeColor="text1"/>
                <w:sz w:val="18"/>
              </w:rPr>
              <w:t xml:space="preserve"> z wła</w:t>
            </w:r>
            <w:r w:rsidRPr="00A33B9F">
              <w:rPr>
                <w:rFonts w:ascii="Times New Roman" w:hAnsi="Times New Roman"/>
                <w:noProof/>
                <w:color w:val="000000" w:themeColor="text1"/>
                <w:sz w:val="18"/>
              </w:rPr>
              <w:t>dzami lokalnymi</w:t>
            </w:r>
            <w:r w:rsidR="00A33B9F" w:rsidRPr="00A33B9F">
              <w:rPr>
                <w:rFonts w:ascii="Times New Roman" w:hAnsi="Times New Roman"/>
                <w:noProof/>
                <w:color w:val="000000" w:themeColor="text1"/>
                <w:sz w:val="18"/>
              </w:rPr>
              <w:t xml:space="preserve"> i reg</w:t>
            </w:r>
            <w:r w:rsidRPr="00A33B9F">
              <w:rPr>
                <w:rFonts w:ascii="Times New Roman" w:hAnsi="Times New Roman"/>
                <w:noProof/>
                <w:color w:val="000000" w:themeColor="text1"/>
                <w:sz w:val="18"/>
              </w:rPr>
              <w:t>ionalnymi, zostaną określone prawa</w:t>
            </w:r>
            <w:r w:rsidR="00A33B9F" w:rsidRPr="00A33B9F">
              <w:rPr>
                <w:rFonts w:ascii="Times New Roman" w:hAnsi="Times New Roman"/>
                <w:noProof/>
                <w:color w:val="000000" w:themeColor="text1"/>
                <w:sz w:val="18"/>
              </w:rPr>
              <w:t xml:space="preserve"> i obo</w:t>
            </w:r>
            <w:r w:rsidRPr="00A33B9F">
              <w:rPr>
                <w:rFonts w:ascii="Times New Roman" w:hAnsi="Times New Roman"/>
                <w:noProof/>
                <w:color w:val="000000" w:themeColor="text1"/>
                <w:sz w:val="18"/>
              </w:rPr>
              <w:t>wiązki regionów</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koordynacji polityki umiejętności, co wpłynie na oferty placówek uczenia się przez całe życie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podnoszenia kwalifikacji</w:t>
            </w:r>
            <w:r w:rsidR="00A33B9F" w:rsidRPr="00A33B9F">
              <w:rPr>
                <w:rFonts w:ascii="Times New Roman" w:hAnsi="Times New Roman"/>
                <w:noProof/>
                <w:color w:val="000000" w:themeColor="text1"/>
                <w:sz w:val="18"/>
              </w:rPr>
              <w:t xml:space="preserve"> w opa</w:t>
            </w:r>
            <w:r w:rsidRPr="00A33B9F">
              <w:rPr>
                <w:rFonts w:ascii="Times New Roman" w:hAnsi="Times New Roman"/>
                <w:noProof/>
                <w:color w:val="000000" w:themeColor="text1"/>
                <w:sz w:val="18"/>
              </w:rPr>
              <w:t>rciu</w:t>
            </w:r>
            <w:r w:rsidR="00A33B9F" w:rsidRPr="00A33B9F">
              <w:rPr>
                <w:rFonts w:ascii="Times New Roman" w:hAnsi="Times New Roman"/>
                <w:noProof/>
                <w:color w:val="000000" w:themeColor="text1"/>
                <w:sz w:val="18"/>
              </w:rPr>
              <w:t xml:space="preserve"> o zop</w:t>
            </w:r>
            <w:r w:rsidRPr="00A33B9F">
              <w:rPr>
                <w:rFonts w:ascii="Times New Roman" w:hAnsi="Times New Roman"/>
                <w:noProof/>
                <w:color w:val="000000" w:themeColor="text1"/>
                <w:sz w:val="18"/>
              </w:rPr>
              <w:t>eracjonalizowane programy realizacji polskiej krajowej Zintegrowanej Strategii Umiejętności 2030 na szczeblu regionalnym.</w:t>
            </w:r>
            <w:r w:rsidRPr="00A33B9F">
              <w:rPr>
                <w:noProof/>
              </w:rPr>
              <w:t xml:space="preserve"> </w:t>
            </w:r>
            <w:r w:rsidRPr="00A33B9F">
              <w:rPr>
                <w:noProof/>
              </w:rPr>
              <w:br/>
              <w:t xml:space="preserve"> </w:t>
            </w:r>
            <w:r w:rsidRPr="00A33B9F">
              <w:rPr>
                <w:noProof/>
              </w:rPr>
              <w:br/>
            </w:r>
            <w:r w:rsidRPr="00A33B9F">
              <w:rPr>
                <w:rFonts w:ascii="Times New Roman" w:hAnsi="Times New Roman"/>
                <w:noProof/>
                <w:color w:val="000000" w:themeColor="text1"/>
                <w:sz w:val="18"/>
              </w:rPr>
              <w:t>Zmiany obejmują:</w:t>
            </w:r>
            <w:r w:rsidRPr="00A33B9F">
              <w:rPr>
                <w:noProof/>
              </w:rPr>
              <w:t xml:space="preserve"> </w:t>
            </w:r>
            <w:r w:rsidRPr="00A33B9F">
              <w:rPr>
                <w:noProof/>
              </w:rPr>
              <w:br/>
            </w:r>
            <w:r w:rsidRPr="00A33B9F">
              <w:rPr>
                <w:rFonts w:ascii="Times New Roman" w:hAnsi="Times New Roman"/>
                <w:noProof/>
                <w:color w:val="000000" w:themeColor="text1"/>
                <w:sz w:val="18"/>
              </w:rPr>
              <w:t>a) strukturę prawną</w:t>
            </w:r>
            <w:r w:rsidR="00A33B9F" w:rsidRPr="00A33B9F">
              <w:rPr>
                <w:rFonts w:ascii="Times New Roman" w:hAnsi="Times New Roman"/>
                <w:noProof/>
                <w:color w:val="000000" w:themeColor="text1"/>
                <w:sz w:val="18"/>
              </w:rPr>
              <w:t xml:space="preserve"> i zad</w:t>
            </w:r>
            <w:r w:rsidRPr="00A33B9F">
              <w:rPr>
                <w:rFonts w:ascii="Times New Roman" w:hAnsi="Times New Roman"/>
                <w:noProof/>
                <w:color w:val="000000" w:themeColor="text1"/>
                <w:sz w:val="18"/>
              </w:rPr>
              <w:t>ania Wojewódzkich Zespołów Koordynacji na rzecz zrównoważonego funkcjonowania regionalnej koordynacji polityki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 zawodowego, szkolnictwa wyższego</w:t>
            </w:r>
            <w:r w:rsidR="00A33B9F" w:rsidRPr="00A33B9F">
              <w:rPr>
                <w:rFonts w:ascii="Times New Roman" w:hAnsi="Times New Roman"/>
                <w:noProof/>
                <w:color w:val="000000" w:themeColor="text1"/>
                <w:sz w:val="18"/>
              </w:rPr>
              <w:t xml:space="preserve"> i ucz</w:t>
            </w:r>
            <w:r w:rsidRPr="00A33B9F">
              <w:rPr>
                <w:rFonts w:ascii="Times New Roman" w:hAnsi="Times New Roman"/>
                <w:noProof/>
                <w:color w:val="000000" w:themeColor="text1"/>
                <w:sz w:val="18"/>
              </w:rPr>
              <w:t>enia się przez całe życie;</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b) strukturę zarządzania regionalną polityką umiejętności,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obowiązki regionów</w:t>
            </w:r>
            <w:r w:rsidR="00A33B9F" w:rsidRPr="00A33B9F">
              <w:rPr>
                <w:rFonts w:ascii="Times New Roman" w:hAnsi="Times New Roman"/>
                <w:noProof/>
                <w:color w:val="000000" w:themeColor="text1"/>
                <w:sz w:val="18"/>
              </w:rPr>
              <w:t xml:space="preserve"> i par</w:t>
            </w:r>
            <w:r w:rsidRPr="00A33B9F">
              <w:rPr>
                <w:rFonts w:ascii="Times New Roman" w:hAnsi="Times New Roman"/>
                <w:noProof/>
                <w:color w:val="000000" w:themeColor="text1"/>
                <w:sz w:val="18"/>
              </w:rPr>
              <w:t>tnerów społecznych;</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c) zobowiązanie do przyjęcia zoperacjonalizowanych programów wdrażania krajowej Zintegrowanej Strategii Umiejętności 2030 na szczeblu regionalnym,</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i) obowiązek przyjmowania co pięć lat nowego programu wdrażania oraz ii) obowiązek zapewnienia, aby oferta edukacyjna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 zawodowego oraz innych organizatorów szkoleń była dostosowana do rozpoznanych potrzeb</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umiejętności;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d) przepisy dotyczące funkcjonowania biura koordynacji (zapewniającego usługi na rzecz Wojewódzkiego Zespołu Koordynacji) oraz</w:t>
            </w:r>
            <w:r w:rsidRPr="00A33B9F">
              <w:rPr>
                <w:rFonts w:ascii="Times New Roman" w:hAnsi="Times New Roman"/>
                <w:noProof/>
                <w:color w:val="000000" w:themeColor="text1"/>
                <w:sz w:val="18"/>
              </w:rPr>
              <w:br/>
              <w:t>e) przepisy ustanawiające obowiązek monitorowania</w:t>
            </w:r>
            <w:r w:rsidR="00A33B9F" w:rsidRPr="00A33B9F">
              <w:rPr>
                <w:rFonts w:ascii="Times New Roman" w:hAnsi="Times New Roman"/>
                <w:noProof/>
                <w:color w:val="000000" w:themeColor="text1"/>
                <w:sz w:val="18"/>
              </w:rPr>
              <w:t xml:space="preserve"> i oce</w:t>
            </w:r>
            <w:r w:rsidRPr="00A33B9F">
              <w:rPr>
                <w:rFonts w:ascii="Times New Roman" w:hAnsi="Times New Roman"/>
                <w:noProof/>
                <w:color w:val="000000" w:themeColor="text1"/>
                <w:sz w:val="18"/>
              </w:rPr>
              <w:t>ny.</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Zoperacjonalizowane programy wdrożenia krajowej Zintegrowanej Strategii Umiejętności 2030 na szczeblu regionalnym nie mogą naruszać instytucjonalnej autonomii instytucji szkolnictwa wyższego.</w:t>
            </w:r>
          </w:p>
        </w:tc>
      </w:tr>
      <w:tr w:rsidR="008C116B" w:rsidRPr="00A33B9F" w14:paraId="74BDFAAC" w14:textId="77777777" w:rsidTr="038FC096">
        <w:trPr>
          <w:trHeight w:val="313"/>
        </w:trPr>
        <w:tc>
          <w:tcPr>
            <w:tcW w:w="680" w:type="dxa"/>
            <w:shd w:val="clear" w:color="auto" w:fill="C6EFCE"/>
          </w:tcPr>
          <w:p w14:paraId="00B008B9" w14:textId="11022BA0"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A44G</w:t>
            </w:r>
          </w:p>
        </w:tc>
        <w:tc>
          <w:tcPr>
            <w:tcW w:w="1843" w:type="dxa"/>
            <w:shd w:val="clear" w:color="auto" w:fill="C6EFCE"/>
          </w:tcPr>
          <w:p w14:paraId="714C4D0E" w14:textId="02A0266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A3.1.1 Wsparcie rozwoju nowoczesnego szkolenia zawodowego, szkolnictwa wyższego oraz uczenia się przez całe życie</w:t>
            </w:r>
          </w:p>
        </w:tc>
        <w:tc>
          <w:tcPr>
            <w:tcW w:w="992" w:type="dxa"/>
            <w:shd w:val="clear" w:color="auto" w:fill="C6EFCE"/>
          </w:tcPr>
          <w:p w14:paraId="7371837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1F61D080" w14:textId="10C69B5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T1 – Ustanowienie sieci funkcjonujących branżowych centrów umiejętności zapewniających ukierunkowane podnoszenie</w:t>
            </w:r>
            <w:r w:rsidR="00A33B9F" w:rsidRPr="00A33B9F">
              <w:rPr>
                <w:rFonts w:ascii="Times New Roman" w:hAnsi="Times New Roman"/>
                <w:noProof/>
                <w:color w:val="000000" w:themeColor="text1"/>
                <w:sz w:val="18"/>
              </w:rPr>
              <w:t xml:space="preserve"> i zmi</w:t>
            </w:r>
            <w:r w:rsidRPr="00A33B9F">
              <w:rPr>
                <w:rFonts w:ascii="Times New Roman" w:hAnsi="Times New Roman"/>
                <w:noProof/>
                <w:color w:val="000000" w:themeColor="text1"/>
                <w:sz w:val="18"/>
              </w:rPr>
              <w:t>anę kwalifikacji</w:t>
            </w:r>
            <w:r w:rsidR="00A33B9F" w:rsidRPr="00A33B9F">
              <w:rPr>
                <w:rFonts w:ascii="Times New Roman" w:hAnsi="Times New Roman"/>
                <w:noProof/>
                <w:color w:val="000000" w:themeColor="text1"/>
                <w:sz w:val="18"/>
              </w:rPr>
              <w:t xml:space="preserve"> w wys</w:t>
            </w:r>
            <w:r w:rsidRPr="00A33B9F">
              <w:rPr>
                <w:rFonts w:ascii="Times New Roman" w:hAnsi="Times New Roman"/>
                <w:noProof/>
                <w:color w:val="000000" w:themeColor="text1"/>
                <w:sz w:val="18"/>
              </w:rPr>
              <w:t xml:space="preserve">okim stopniu odpowiadające potrzebom rynku pracy </w:t>
            </w:r>
          </w:p>
        </w:tc>
        <w:tc>
          <w:tcPr>
            <w:tcW w:w="1701" w:type="dxa"/>
            <w:shd w:val="clear" w:color="auto" w:fill="C6EFCE"/>
          </w:tcPr>
          <w:p w14:paraId="4CD2E59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1B2052BD" w14:textId="77777777" w:rsidR="00BE1B25" w:rsidRPr="00A33B9F" w:rsidRDefault="00BE1B25"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993" w:type="dxa"/>
            <w:shd w:val="clear" w:color="auto" w:fill="C6EFCE"/>
          </w:tcPr>
          <w:p w14:paraId="165DCE8A" w14:textId="77777777" w:rsidR="00BE1B25" w:rsidRPr="00A33B9F" w:rsidRDefault="00BE1B25"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tc>
        <w:tc>
          <w:tcPr>
            <w:tcW w:w="850" w:type="dxa"/>
            <w:shd w:val="clear" w:color="auto" w:fill="C6EFCE"/>
          </w:tcPr>
          <w:p w14:paraId="72A4FFC0" w14:textId="1AFC5163" w:rsidR="00BE1B25" w:rsidRPr="00A33B9F" w:rsidRDefault="003E06C0"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10</w:t>
            </w:r>
          </w:p>
        </w:tc>
        <w:tc>
          <w:tcPr>
            <w:tcW w:w="992" w:type="dxa"/>
            <w:shd w:val="clear" w:color="auto" w:fill="C6EFCE"/>
          </w:tcPr>
          <w:p w14:paraId="7ABBDE32" w14:textId="77777777" w:rsidR="00BE1B25" w:rsidRPr="00A33B9F" w:rsidRDefault="00BE1B25"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709" w:type="dxa"/>
            <w:shd w:val="clear" w:color="auto" w:fill="C6EFCE"/>
          </w:tcPr>
          <w:p w14:paraId="3A98CC6F" w14:textId="77777777" w:rsidR="00BE1B25" w:rsidRPr="00A33B9F" w:rsidRDefault="00BE1B25"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2024</w:t>
            </w:r>
          </w:p>
        </w:tc>
        <w:tc>
          <w:tcPr>
            <w:tcW w:w="4248" w:type="dxa"/>
            <w:shd w:val="clear" w:color="auto" w:fill="C6EFCE"/>
          </w:tcPr>
          <w:p w14:paraId="7E66CE4B" w14:textId="33DD2890" w:rsidR="00BE1B25" w:rsidRPr="00A33B9F" w:rsidRDefault="3DD384D2"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Pełne funkcjonowanie 10 branżowych centrów umiejętności oraz zapewnienie kursów</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gramów szkolenia zawodowego,</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dla dorosłych, studentów, osób młodych, nauczycieli zajmujących się kształceniem</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oleniem zawodowym oraz pracowników. Obejmuje to:</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budowę centrów umiejętności;</w:t>
            </w:r>
            <w:r w:rsidRPr="00A33B9F">
              <w:rPr>
                <w:noProof/>
              </w:rPr>
              <w:t xml:space="preserve"> </w:t>
            </w:r>
            <w:r w:rsidRPr="00A33B9F">
              <w:rPr>
                <w:noProof/>
              </w:rPr>
              <w:br/>
            </w:r>
            <w:r w:rsidRPr="00A33B9F">
              <w:rPr>
                <w:rFonts w:ascii="Times New Roman" w:hAnsi="Times New Roman"/>
                <w:noProof/>
                <w:color w:val="000000" w:themeColor="text1"/>
                <w:sz w:val="18"/>
              </w:rPr>
              <w:t>– zakup sprzętu (w odpowiednim zakresie dla funkcjonowania centrów);</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strukturę instytucjonalną centrów,</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zaangażowanie 90 organizacji sektorowych;</w:t>
            </w:r>
          </w:p>
          <w:p w14:paraId="5C37074C" w14:textId="05C31B42" w:rsidR="00BE1B25" w:rsidRPr="00A33B9F" w:rsidRDefault="00BE1B25"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zatrudnianie pracowników oraz</w:t>
            </w:r>
            <w:r w:rsidRPr="00A33B9F">
              <w:rPr>
                <w:noProof/>
              </w:rPr>
              <w:t xml:space="preserve"> </w:t>
            </w:r>
            <w:r w:rsidRPr="00A33B9F">
              <w:rPr>
                <w:noProof/>
              </w:rPr>
              <w:br/>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 xml:space="preserve">ni funkcjonujące centra umiejętności. </w:t>
            </w:r>
          </w:p>
          <w:p w14:paraId="7BB5652A" w14:textId="140EAAC5" w:rsidR="00BE1B25" w:rsidRPr="00A33B9F" w:rsidRDefault="00BE1B25"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p>
          <w:p w14:paraId="40C67536" w14:textId="0A660D42" w:rsidR="00BE1B25" w:rsidRPr="00A33B9F" w:rsidRDefault="00BE1B25" w:rsidP="003E06C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budowa nowych budynków musi być zgodna</w:t>
            </w:r>
            <w:r w:rsidR="00A33B9F" w:rsidRPr="00A33B9F">
              <w:rPr>
                <w:rFonts w:ascii="Times New Roman" w:hAnsi="Times New Roman"/>
                <w:noProof/>
                <w:color w:val="000000" w:themeColor="text1"/>
                <w:sz w:val="18"/>
              </w:rPr>
              <w:t xml:space="preserve"> z nor</w:t>
            </w:r>
            <w:r w:rsidRPr="00A33B9F">
              <w:rPr>
                <w:rFonts w:ascii="Times New Roman" w:hAnsi="Times New Roman"/>
                <w:noProof/>
                <w:color w:val="000000" w:themeColor="text1"/>
                <w:sz w:val="18"/>
              </w:rPr>
              <w:t>mą dotyczącą budynków</w:t>
            </w:r>
            <w:r w:rsidR="00A33B9F" w:rsidRPr="00A33B9F">
              <w:rPr>
                <w:rFonts w:ascii="Times New Roman" w:hAnsi="Times New Roman"/>
                <w:noProof/>
                <w:color w:val="000000" w:themeColor="text1"/>
                <w:sz w:val="18"/>
              </w:rPr>
              <w:t xml:space="preserve"> o nie</w:t>
            </w:r>
            <w:r w:rsidRPr="00A33B9F">
              <w:rPr>
                <w:rFonts w:ascii="Times New Roman" w:hAnsi="Times New Roman"/>
                <w:noProof/>
                <w:color w:val="000000" w:themeColor="text1"/>
                <w:sz w:val="18"/>
              </w:rPr>
              <w:t>mal zerowym zużyciu energii, jak określono</w:t>
            </w:r>
            <w:r w:rsidR="00A33B9F" w:rsidRPr="00A33B9F">
              <w:rPr>
                <w:rFonts w:ascii="Times New Roman" w:hAnsi="Times New Roman"/>
                <w:noProof/>
                <w:color w:val="000000" w:themeColor="text1"/>
                <w:sz w:val="18"/>
              </w:rPr>
              <w:t xml:space="preserve"> w dyr</w:t>
            </w:r>
            <w:r w:rsidRPr="00A33B9F">
              <w:rPr>
                <w:rFonts w:ascii="Times New Roman" w:hAnsi="Times New Roman"/>
                <w:noProof/>
                <w:color w:val="000000" w:themeColor="text1"/>
                <w:sz w:val="18"/>
              </w:rPr>
              <w:t>ektywie</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charakterystyki energetycznej budynków.</w:t>
            </w:r>
          </w:p>
        </w:tc>
      </w:tr>
      <w:tr w:rsidR="008C116B" w:rsidRPr="00A33B9F" w14:paraId="05399862" w14:textId="77777777" w:rsidTr="038FC096">
        <w:trPr>
          <w:trHeight w:val="313"/>
        </w:trPr>
        <w:tc>
          <w:tcPr>
            <w:tcW w:w="680" w:type="dxa"/>
            <w:shd w:val="clear" w:color="auto" w:fill="C6EFCE"/>
          </w:tcPr>
          <w:p w14:paraId="3F6FB1E0" w14:textId="1B505A9D"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A45G</w:t>
            </w:r>
          </w:p>
        </w:tc>
        <w:tc>
          <w:tcPr>
            <w:tcW w:w="1843" w:type="dxa"/>
            <w:shd w:val="clear" w:color="auto" w:fill="C6EFCE"/>
          </w:tcPr>
          <w:p w14:paraId="50FB0DC0" w14:textId="6821853F"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A3.1.1 Wsparcie rozwoju nowoczesnego szkolenia zawodowego, szkolnictwa wyższego oraz uczenia się przez całe życie</w:t>
            </w:r>
          </w:p>
        </w:tc>
        <w:tc>
          <w:tcPr>
            <w:tcW w:w="992" w:type="dxa"/>
            <w:shd w:val="clear" w:color="auto" w:fill="C6EFCE"/>
          </w:tcPr>
          <w:p w14:paraId="6E661BB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799D3E5A" w14:textId="3F6A307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T2 – Ustanowienie sieci funkcjonujących branżowych centrów umiejętności zapewniających ukierunkowane podnoszenie</w:t>
            </w:r>
            <w:r w:rsidR="00A33B9F" w:rsidRPr="00A33B9F">
              <w:rPr>
                <w:rFonts w:ascii="Times New Roman" w:hAnsi="Times New Roman"/>
                <w:noProof/>
                <w:color w:val="000000"/>
                <w:sz w:val="18"/>
              </w:rPr>
              <w:t xml:space="preserve"> i zmi</w:t>
            </w:r>
            <w:r w:rsidRPr="00A33B9F">
              <w:rPr>
                <w:rFonts w:ascii="Times New Roman" w:hAnsi="Times New Roman"/>
                <w:noProof/>
                <w:color w:val="000000"/>
                <w:sz w:val="18"/>
              </w:rPr>
              <w:t>anę kwalifikacji</w:t>
            </w:r>
            <w:r w:rsidR="00A33B9F" w:rsidRPr="00A33B9F">
              <w:rPr>
                <w:rFonts w:ascii="Times New Roman" w:hAnsi="Times New Roman"/>
                <w:noProof/>
                <w:color w:val="000000"/>
                <w:sz w:val="18"/>
              </w:rPr>
              <w:t xml:space="preserve"> w wys</w:t>
            </w:r>
            <w:r w:rsidRPr="00A33B9F">
              <w:rPr>
                <w:rFonts w:ascii="Times New Roman" w:hAnsi="Times New Roman"/>
                <w:noProof/>
                <w:color w:val="000000"/>
                <w:sz w:val="18"/>
              </w:rPr>
              <w:t xml:space="preserve">okim stopniu odpowiadające potrzebom rynku pracy </w:t>
            </w:r>
          </w:p>
        </w:tc>
        <w:tc>
          <w:tcPr>
            <w:tcW w:w="1701" w:type="dxa"/>
            <w:shd w:val="clear" w:color="auto" w:fill="C6EFCE"/>
          </w:tcPr>
          <w:p w14:paraId="5F11E8D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61AB773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shd w:val="clear" w:color="auto" w:fill="C6EFCE"/>
          </w:tcPr>
          <w:p w14:paraId="6A6A9027" w14:textId="3008CBD5" w:rsidR="00BE1B25" w:rsidRPr="00A33B9F" w:rsidRDefault="277737F9" w:rsidP="54953361">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10</w:t>
            </w:r>
          </w:p>
        </w:tc>
        <w:tc>
          <w:tcPr>
            <w:tcW w:w="850" w:type="dxa"/>
            <w:shd w:val="clear" w:color="auto" w:fill="C6EFCE"/>
          </w:tcPr>
          <w:p w14:paraId="6CC8039C"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120</w:t>
            </w:r>
          </w:p>
        </w:tc>
        <w:tc>
          <w:tcPr>
            <w:tcW w:w="992" w:type="dxa"/>
            <w:shd w:val="clear" w:color="auto" w:fill="C6EFCE"/>
          </w:tcPr>
          <w:p w14:paraId="484860D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9" w:type="dxa"/>
            <w:shd w:val="clear" w:color="auto" w:fill="C6EFCE"/>
          </w:tcPr>
          <w:p w14:paraId="31EAD39A"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4248" w:type="dxa"/>
            <w:shd w:val="clear" w:color="auto" w:fill="C6EFCE"/>
          </w:tcPr>
          <w:p w14:paraId="1400CE35" w14:textId="7DC1DCC1" w:rsidR="00BE1B25" w:rsidRPr="00A33B9F" w:rsidRDefault="7567326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Pełne funkcjonowanie 120 branżowych centrów umiejętności oraz zapewnienie kursów</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gramów szkolenia zawodowego,</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dla dorosłych, studentów, osób młodych, nauczycieli zajmujących się kształceniem</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oleniem zawodowym oraz pracowników. Obejmuje to:</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budowę centrów umiejętności;</w:t>
            </w:r>
            <w:r w:rsidRPr="00A33B9F">
              <w:rPr>
                <w:noProof/>
              </w:rPr>
              <w:t xml:space="preserve"> </w:t>
            </w:r>
            <w:r w:rsidRPr="00A33B9F">
              <w:rPr>
                <w:noProof/>
              </w:rPr>
              <w:br/>
            </w:r>
            <w:r w:rsidRPr="00A33B9F">
              <w:rPr>
                <w:rFonts w:ascii="Times New Roman" w:hAnsi="Times New Roman"/>
                <w:noProof/>
                <w:color w:val="000000" w:themeColor="text1"/>
                <w:sz w:val="18"/>
              </w:rPr>
              <w:t>– zakup sprzętu (w odpowiednim zakresie dla funkcjonowania centrów);</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strukturę instytucjonalną 120 centrów,</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zaangażowanie 90 organizacji sektorowych;</w:t>
            </w:r>
          </w:p>
          <w:p w14:paraId="02CC1AFD" w14:textId="3B761F9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zatrudnianie pracowników oraz</w:t>
            </w:r>
            <w:r w:rsidRPr="00A33B9F">
              <w:rPr>
                <w:noProof/>
              </w:rPr>
              <w:t xml:space="preserve"> </w:t>
            </w:r>
            <w:r w:rsidRPr="00A33B9F">
              <w:rPr>
                <w:noProof/>
              </w:rPr>
              <w:br/>
            </w:r>
            <w:r w:rsidRPr="00A33B9F">
              <w:rPr>
                <w:rFonts w:ascii="Times New Roman" w:hAnsi="Times New Roman"/>
                <w:noProof/>
                <w:color w:val="000000" w:themeColor="text1"/>
                <w:sz w:val="18"/>
              </w:rPr>
              <w:t>– 120</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 xml:space="preserve">ni funkcjonujących centrów umiejętności. </w:t>
            </w:r>
          </w:p>
          <w:p w14:paraId="339F7EDA" w14:textId="4783A28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budowa nowych budynków musi być zgodna</w:t>
            </w:r>
            <w:r w:rsidR="00A33B9F" w:rsidRPr="00A33B9F">
              <w:rPr>
                <w:rFonts w:ascii="Times New Roman" w:hAnsi="Times New Roman"/>
                <w:noProof/>
                <w:color w:val="000000" w:themeColor="text1"/>
                <w:sz w:val="18"/>
              </w:rPr>
              <w:t xml:space="preserve"> z nor</w:t>
            </w:r>
            <w:r w:rsidRPr="00A33B9F">
              <w:rPr>
                <w:rFonts w:ascii="Times New Roman" w:hAnsi="Times New Roman"/>
                <w:noProof/>
                <w:color w:val="000000" w:themeColor="text1"/>
                <w:sz w:val="18"/>
              </w:rPr>
              <w:t>mą dotyczącą budynków</w:t>
            </w:r>
            <w:r w:rsidR="00A33B9F" w:rsidRPr="00A33B9F">
              <w:rPr>
                <w:rFonts w:ascii="Times New Roman" w:hAnsi="Times New Roman"/>
                <w:noProof/>
                <w:color w:val="000000" w:themeColor="text1"/>
                <w:sz w:val="18"/>
              </w:rPr>
              <w:t xml:space="preserve"> o nie</w:t>
            </w:r>
            <w:r w:rsidRPr="00A33B9F">
              <w:rPr>
                <w:rFonts w:ascii="Times New Roman" w:hAnsi="Times New Roman"/>
                <w:noProof/>
                <w:color w:val="000000" w:themeColor="text1"/>
                <w:sz w:val="18"/>
              </w:rPr>
              <w:t>mal zerowym zużyciu energii, jak określono</w:t>
            </w:r>
            <w:r w:rsidR="00A33B9F" w:rsidRPr="00A33B9F">
              <w:rPr>
                <w:rFonts w:ascii="Times New Roman" w:hAnsi="Times New Roman"/>
                <w:noProof/>
                <w:color w:val="000000" w:themeColor="text1"/>
                <w:sz w:val="18"/>
              </w:rPr>
              <w:t xml:space="preserve"> w dyr</w:t>
            </w:r>
            <w:r w:rsidRPr="00A33B9F">
              <w:rPr>
                <w:rFonts w:ascii="Times New Roman" w:hAnsi="Times New Roman"/>
                <w:noProof/>
                <w:color w:val="000000" w:themeColor="text1"/>
                <w:sz w:val="18"/>
              </w:rPr>
              <w:t>ektywie</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 xml:space="preserve">awie charakterystyki energetycznej budynków. </w:t>
            </w:r>
          </w:p>
        </w:tc>
      </w:tr>
      <w:tr w:rsidR="008C116B" w:rsidRPr="00A33B9F" w14:paraId="4C240646" w14:textId="77777777" w:rsidTr="038FC096">
        <w:trPr>
          <w:trHeight w:val="313"/>
        </w:trPr>
        <w:tc>
          <w:tcPr>
            <w:tcW w:w="680" w:type="dxa"/>
            <w:shd w:val="clear" w:color="auto" w:fill="C6EFCE"/>
          </w:tcPr>
          <w:p w14:paraId="0868EBB2" w14:textId="74B1096E"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A46G</w:t>
            </w:r>
          </w:p>
        </w:tc>
        <w:tc>
          <w:tcPr>
            <w:tcW w:w="1843" w:type="dxa"/>
            <w:shd w:val="clear" w:color="auto" w:fill="C6EFCE"/>
          </w:tcPr>
          <w:p w14:paraId="114EA541" w14:textId="5711162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A3.1.1 Wsparcie rozwoju nowoczesnego szkolenia zawodowego, szkolnictwa wyższego oraz uczenia się przez całe życie</w:t>
            </w:r>
          </w:p>
        </w:tc>
        <w:tc>
          <w:tcPr>
            <w:tcW w:w="992" w:type="dxa"/>
            <w:shd w:val="clear" w:color="auto" w:fill="C6EFCE"/>
          </w:tcPr>
          <w:p w14:paraId="3494F6A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359E20F7" w14:textId="621CC34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T1 – Zapewnienie umiejętności osobom uczącym się</w:t>
            </w:r>
            <w:r w:rsidR="00A33B9F" w:rsidRPr="00A33B9F">
              <w:rPr>
                <w:rFonts w:ascii="Times New Roman" w:hAnsi="Times New Roman"/>
                <w:noProof/>
                <w:color w:val="000000"/>
                <w:sz w:val="18"/>
              </w:rPr>
              <w:t xml:space="preserve"> w bra</w:t>
            </w:r>
            <w:r w:rsidRPr="00A33B9F">
              <w:rPr>
                <w:rFonts w:ascii="Times New Roman" w:hAnsi="Times New Roman"/>
                <w:noProof/>
                <w:color w:val="000000"/>
                <w:sz w:val="18"/>
              </w:rPr>
              <w:t>nżowych centrach umiejętności,</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poświadczenie efektów uczenia się (umiejętności) wydawane</w:t>
            </w:r>
            <w:r w:rsidR="00A33B9F" w:rsidRPr="00A33B9F">
              <w:rPr>
                <w:rFonts w:ascii="Times New Roman" w:hAnsi="Times New Roman"/>
                <w:noProof/>
                <w:color w:val="000000"/>
                <w:sz w:val="18"/>
              </w:rPr>
              <w:t xml:space="preserve"> i uzn</w:t>
            </w:r>
            <w:r w:rsidRPr="00A33B9F">
              <w:rPr>
                <w:rFonts w:ascii="Times New Roman" w:hAnsi="Times New Roman"/>
                <w:noProof/>
                <w:color w:val="000000"/>
                <w:sz w:val="18"/>
              </w:rPr>
              <w:t>awane przez sektor</w:t>
            </w:r>
          </w:p>
        </w:tc>
        <w:tc>
          <w:tcPr>
            <w:tcW w:w="1701" w:type="dxa"/>
            <w:shd w:val="clear" w:color="auto" w:fill="C6EFCE"/>
          </w:tcPr>
          <w:p w14:paraId="693C477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3E7FF3B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shd w:val="clear" w:color="auto" w:fill="C6EFCE"/>
          </w:tcPr>
          <w:p w14:paraId="7BD0726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50" w:type="dxa"/>
            <w:shd w:val="clear" w:color="auto" w:fill="C6EFCE"/>
          </w:tcPr>
          <w:p w14:paraId="7FA2A991" w14:textId="001848A8"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2 000</w:t>
            </w:r>
          </w:p>
        </w:tc>
        <w:tc>
          <w:tcPr>
            <w:tcW w:w="992" w:type="dxa"/>
            <w:shd w:val="clear" w:color="auto" w:fill="C6EFCE"/>
          </w:tcPr>
          <w:p w14:paraId="02A756F6"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9" w:type="dxa"/>
            <w:shd w:val="clear" w:color="auto" w:fill="C6EFCE"/>
          </w:tcPr>
          <w:p w14:paraId="378F7546"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4248" w:type="dxa"/>
            <w:shd w:val="clear" w:color="auto" w:fill="C6EFCE"/>
          </w:tcPr>
          <w:p w14:paraId="6248ECC4" w14:textId="230AB198" w:rsidR="00BE1B25" w:rsidRPr="00A33B9F" w:rsidRDefault="00BE1B25" w:rsidP="008515D8">
            <w:pPr>
              <w:pStyle w:val="Normal0"/>
              <w:pBdr>
                <w:top w:val="nil"/>
                <w:left w:val="nil"/>
                <w:bottom w:val="nil"/>
                <w:right w:val="nil"/>
                <w:between w:val="nil"/>
              </w:pBdr>
              <w:spacing w:after="0" w:line="240" w:lineRule="auto"/>
              <w:rPr>
                <w:rFonts w:ascii="Times New Roman" w:hAnsi="Times New Roman" w:cs="Times New Roman"/>
                <w:noProof/>
                <w:sz w:val="18"/>
                <w:szCs w:val="18"/>
              </w:rPr>
            </w:pPr>
            <w:r w:rsidRPr="00A33B9F">
              <w:rPr>
                <w:rFonts w:ascii="Times New Roman" w:hAnsi="Times New Roman"/>
                <w:noProof/>
                <w:color w:val="000000" w:themeColor="text1"/>
                <w:sz w:val="18"/>
              </w:rPr>
              <w:t>2 000 osób przejdzie szkolenie</w:t>
            </w:r>
            <w:r w:rsidR="00A33B9F" w:rsidRPr="00A33B9F">
              <w:rPr>
                <w:rFonts w:ascii="Times New Roman" w:hAnsi="Times New Roman"/>
                <w:noProof/>
                <w:color w:val="000000" w:themeColor="text1"/>
                <w:sz w:val="18"/>
              </w:rPr>
              <w:t xml:space="preserve"> w bra</w:t>
            </w:r>
            <w:r w:rsidRPr="00A33B9F">
              <w:rPr>
                <w:rFonts w:ascii="Times New Roman" w:hAnsi="Times New Roman"/>
                <w:noProof/>
                <w:color w:val="000000" w:themeColor="text1"/>
                <w:sz w:val="18"/>
              </w:rPr>
              <w:t>nżowych centrach umiejętności. Każda</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eszkolonych osób uczących się otrzyma potwierdzenie uzyskanych efektów uczenia się (umiejętności</w:t>
            </w:r>
            <w:r w:rsidR="00A33B9F" w:rsidRPr="00A33B9F">
              <w:rPr>
                <w:rFonts w:ascii="Times New Roman" w:hAnsi="Times New Roman"/>
                <w:noProof/>
                <w:color w:val="000000" w:themeColor="text1"/>
                <w:sz w:val="18"/>
              </w:rPr>
              <w:t xml:space="preserve"> i kwa</w:t>
            </w:r>
            <w:r w:rsidRPr="00A33B9F">
              <w:rPr>
                <w:rFonts w:ascii="Times New Roman" w:hAnsi="Times New Roman"/>
                <w:noProof/>
                <w:color w:val="000000" w:themeColor="text1"/>
                <w:sz w:val="18"/>
              </w:rPr>
              <w:t xml:space="preserve">lifikacji) uznane przez sektor, wydane przez organizację sektorową. </w:t>
            </w:r>
          </w:p>
        </w:tc>
      </w:tr>
      <w:tr w:rsidR="008C116B" w:rsidRPr="00A33B9F" w14:paraId="2F9B7CB0" w14:textId="77777777" w:rsidTr="038FC096">
        <w:trPr>
          <w:trHeight w:val="313"/>
        </w:trPr>
        <w:tc>
          <w:tcPr>
            <w:tcW w:w="680" w:type="dxa"/>
            <w:shd w:val="clear" w:color="auto" w:fill="C6EFCE"/>
          </w:tcPr>
          <w:p w14:paraId="5FE3165D" w14:textId="46C3BD58"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A47G</w:t>
            </w:r>
          </w:p>
        </w:tc>
        <w:tc>
          <w:tcPr>
            <w:tcW w:w="1843" w:type="dxa"/>
            <w:shd w:val="clear" w:color="auto" w:fill="C6EFCE"/>
          </w:tcPr>
          <w:p w14:paraId="3EC21356" w14:textId="6BF681C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A3.1.1 Wsparcie rozwoju nowoczesnego szkolenia zawodowego, szkolnictwa wyższego oraz uczenia się przez całe życie</w:t>
            </w:r>
          </w:p>
        </w:tc>
        <w:tc>
          <w:tcPr>
            <w:tcW w:w="992" w:type="dxa"/>
            <w:shd w:val="clear" w:color="auto" w:fill="C6EFCE"/>
          </w:tcPr>
          <w:p w14:paraId="5FD0F17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05754E8A" w14:textId="4CFFB75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T2 – Zapewnienie umiejętności osobom uczącym się</w:t>
            </w:r>
            <w:r w:rsidR="00A33B9F" w:rsidRPr="00A33B9F">
              <w:rPr>
                <w:rFonts w:ascii="Times New Roman" w:hAnsi="Times New Roman"/>
                <w:noProof/>
                <w:color w:val="000000"/>
                <w:sz w:val="18"/>
              </w:rPr>
              <w:t xml:space="preserve"> w bra</w:t>
            </w:r>
            <w:r w:rsidRPr="00A33B9F">
              <w:rPr>
                <w:rFonts w:ascii="Times New Roman" w:hAnsi="Times New Roman"/>
                <w:noProof/>
                <w:color w:val="000000"/>
                <w:sz w:val="18"/>
              </w:rPr>
              <w:t>nżowych centrach umiejętności,</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poświadczenie efektów uczenia się (umiejętności) wydawane</w:t>
            </w:r>
            <w:r w:rsidR="00A33B9F" w:rsidRPr="00A33B9F">
              <w:rPr>
                <w:rFonts w:ascii="Times New Roman" w:hAnsi="Times New Roman"/>
                <w:noProof/>
                <w:color w:val="000000"/>
                <w:sz w:val="18"/>
              </w:rPr>
              <w:t xml:space="preserve"> i uzn</w:t>
            </w:r>
            <w:r w:rsidRPr="00A33B9F">
              <w:rPr>
                <w:rFonts w:ascii="Times New Roman" w:hAnsi="Times New Roman"/>
                <w:noProof/>
                <w:color w:val="000000"/>
                <w:sz w:val="18"/>
              </w:rPr>
              <w:t>awane przez sektor</w:t>
            </w:r>
          </w:p>
        </w:tc>
        <w:tc>
          <w:tcPr>
            <w:tcW w:w="1701" w:type="dxa"/>
            <w:shd w:val="clear" w:color="auto" w:fill="C6EFCE"/>
          </w:tcPr>
          <w:p w14:paraId="2181972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1CB940D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shd w:val="clear" w:color="auto" w:fill="C6EFCE"/>
          </w:tcPr>
          <w:p w14:paraId="4D18D5A1" w14:textId="18C4970C"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2 000</w:t>
            </w:r>
          </w:p>
        </w:tc>
        <w:tc>
          <w:tcPr>
            <w:tcW w:w="850" w:type="dxa"/>
            <w:shd w:val="clear" w:color="auto" w:fill="C6EFCE"/>
          </w:tcPr>
          <w:p w14:paraId="7C31E1EB" w14:textId="3E1DF520"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16 000</w:t>
            </w:r>
          </w:p>
        </w:tc>
        <w:tc>
          <w:tcPr>
            <w:tcW w:w="992" w:type="dxa"/>
            <w:shd w:val="clear" w:color="auto" w:fill="C6EFCE"/>
          </w:tcPr>
          <w:p w14:paraId="35DAEC7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9" w:type="dxa"/>
            <w:shd w:val="clear" w:color="auto" w:fill="C6EFCE"/>
          </w:tcPr>
          <w:p w14:paraId="61E5211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4248" w:type="dxa"/>
            <w:shd w:val="clear" w:color="auto" w:fill="C6EFCE"/>
          </w:tcPr>
          <w:p w14:paraId="5739FEC8" w14:textId="3387B626" w:rsidR="00BE1B25" w:rsidRPr="00A33B9F" w:rsidRDefault="00BE1B25" w:rsidP="008515D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16 000 osób przejdzie szkolenie</w:t>
            </w:r>
            <w:r w:rsidR="00A33B9F" w:rsidRPr="00A33B9F">
              <w:rPr>
                <w:rFonts w:ascii="Times New Roman" w:hAnsi="Times New Roman"/>
                <w:noProof/>
                <w:color w:val="000000" w:themeColor="text1"/>
                <w:sz w:val="18"/>
              </w:rPr>
              <w:t xml:space="preserve"> w bra</w:t>
            </w:r>
            <w:r w:rsidRPr="00A33B9F">
              <w:rPr>
                <w:rFonts w:ascii="Times New Roman" w:hAnsi="Times New Roman"/>
                <w:noProof/>
                <w:color w:val="000000" w:themeColor="text1"/>
                <w:sz w:val="18"/>
              </w:rPr>
              <w:t>nżowych centrach umiejętności. Każda</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eszkolonych osób uczących się otrzyma potwierdzenie uzyskanych efektów uczenia się (umiejętności</w:t>
            </w:r>
            <w:r w:rsidR="00A33B9F" w:rsidRPr="00A33B9F">
              <w:rPr>
                <w:rFonts w:ascii="Times New Roman" w:hAnsi="Times New Roman"/>
                <w:noProof/>
                <w:color w:val="000000" w:themeColor="text1"/>
                <w:sz w:val="18"/>
              </w:rPr>
              <w:t xml:space="preserve"> i kwa</w:t>
            </w:r>
            <w:r w:rsidRPr="00A33B9F">
              <w:rPr>
                <w:rFonts w:ascii="Times New Roman" w:hAnsi="Times New Roman"/>
                <w:noProof/>
                <w:color w:val="000000" w:themeColor="text1"/>
                <w:sz w:val="18"/>
              </w:rPr>
              <w:t>lifikacji) uznane przez sektor, wydane przez organizację sektorową.</w:t>
            </w:r>
          </w:p>
        </w:tc>
      </w:tr>
      <w:tr w:rsidR="008C116B" w:rsidRPr="00A33B9F" w14:paraId="7FCF61A8" w14:textId="77777777" w:rsidTr="038FC096">
        <w:trPr>
          <w:trHeight w:val="313"/>
        </w:trPr>
        <w:tc>
          <w:tcPr>
            <w:tcW w:w="680" w:type="dxa"/>
            <w:shd w:val="clear" w:color="auto" w:fill="C6EFCE"/>
          </w:tcPr>
          <w:p w14:paraId="6F8A58DE" w14:textId="5E43A086"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A48G</w:t>
            </w:r>
          </w:p>
        </w:tc>
        <w:tc>
          <w:tcPr>
            <w:tcW w:w="1843" w:type="dxa"/>
            <w:shd w:val="clear" w:color="auto" w:fill="C6EFCE"/>
          </w:tcPr>
          <w:p w14:paraId="0509A814" w14:textId="4123441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A3.1.1 Wsparcie rozwoju nowoczesnego szkolenia zawodowego, szkolnictwa wyższego oraz uczenia się przez całe życie</w:t>
            </w:r>
          </w:p>
        </w:tc>
        <w:tc>
          <w:tcPr>
            <w:tcW w:w="992" w:type="dxa"/>
            <w:shd w:val="clear" w:color="auto" w:fill="C6EFCE"/>
          </w:tcPr>
          <w:p w14:paraId="35004FA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052ED5D8" w14:textId="70EA211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T3 – Zapewnienie umiejętności osobom uczącym się</w:t>
            </w:r>
            <w:r w:rsidR="00A33B9F" w:rsidRPr="00A33B9F">
              <w:rPr>
                <w:rFonts w:ascii="Times New Roman" w:hAnsi="Times New Roman"/>
                <w:noProof/>
                <w:color w:val="000000"/>
                <w:sz w:val="18"/>
              </w:rPr>
              <w:t xml:space="preserve"> w bra</w:t>
            </w:r>
            <w:r w:rsidRPr="00A33B9F">
              <w:rPr>
                <w:rFonts w:ascii="Times New Roman" w:hAnsi="Times New Roman"/>
                <w:noProof/>
                <w:color w:val="000000"/>
                <w:sz w:val="18"/>
              </w:rPr>
              <w:t>nżowych centrach umiejętności,</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poświadczenie efektów uczenia się (umiejętności) wydawane</w:t>
            </w:r>
            <w:r w:rsidR="00A33B9F" w:rsidRPr="00A33B9F">
              <w:rPr>
                <w:rFonts w:ascii="Times New Roman" w:hAnsi="Times New Roman"/>
                <w:noProof/>
                <w:color w:val="000000"/>
                <w:sz w:val="18"/>
              </w:rPr>
              <w:t xml:space="preserve"> i uzn</w:t>
            </w:r>
            <w:r w:rsidRPr="00A33B9F">
              <w:rPr>
                <w:rFonts w:ascii="Times New Roman" w:hAnsi="Times New Roman"/>
                <w:noProof/>
                <w:color w:val="000000"/>
                <w:sz w:val="18"/>
              </w:rPr>
              <w:t>awane przez sektor</w:t>
            </w:r>
          </w:p>
        </w:tc>
        <w:tc>
          <w:tcPr>
            <w:tcW w:w="1701" w:type="dxa"/>
            <w:shd w:val="clear" w:color="auto" w:fill="C6EFCE"/>
          </w:tcPr>
          <w:p w14:paraId="51756CA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3B29AAD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shd w:val="clear" w:color="auto" w:fill="C6EFCE"/>
          </w:tcPr>
          <w:p w14:paraId="2C2921B4" w14:textId="11D94BCB"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16 000</w:t>
            </w:r>
          </w:p>
        </w:tc>
        <w:tc>
          <w:tcPr>
            <w:tcW w:w="850" w:type="dxa"/>
            <w:shd w:val="clear" w:color="auto" w:fill="C6EFCE"/>
          </w:tcPr>
          <w:p w14:paraId="1CC88494" w14:textId="6E234FC6"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24 000</w:t>
            </w:r>
          </w:p>
        </w:tc>
        <w:tc>
          <w:tcPr>
            <w:tcW w:w="992" w:type="dxa"/>
            <w:shd w:val="clear" w:color="auto" w:fill="C6EFCE"/>
          </w:tcPr>
          <w:p w14:paraId="3F4224B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9" w:type="dxa"/>
            <w:shd w:val="clear" w:color="auto" w:fill="C6EFCE"/>
          </w:tcPr>
          <w:p w14:paraId="75D37C4C"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4248" w:type="dxa"/>
            <w:shd w:val="clear" w:color="auto" w:fill="C6EFCE"/>
          </w:tcPr>
          <w:p w14:paraId="14BDE0AB" w14:textId="358FF2B7" w:rsidR="00BE1B25" w:rsidRPr="00A33B9F" w:rsidRDefault="00BE1B25" w:rsidP="008515D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24 000 osób przejdzie szkolenie</w:t>
            </w:r>
            <w:r w:rsidR="00A33B9F" w:rsidRPr="00A33B9F">
              <w:rPr>
                <w:rFonts w:ascii="Times New Roman" w:hAnsi="Times New Roman"/>
                <w:noProof/>
                <w:color w:val="000000" w:themeColor="text1"/>
                <w:sz w:val="18"/>
              </w:rPr>
              <w:t xml:space="preserve"> w bra</w:t>
            </w:r>
            <w:r w:rsidRPr="00A33B9F">
              <w:rPr>
                <w:rFonts w:ascii="Times New Roman" w:hAnsi="Times New Roman"/>
                <w:noProof/>
                <w:color w:val="000000" w:themeColor="text1"/>
                <w:sz w:val="18"/>
              </w:rPr>
              <w:t>nżowych centrach umiejętności. Każda</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eszkolonych osób uczących się otrzyma potwierdzenie uzyskanych efektów uczenia się (umiejętności</w:t>
            </w:r>
            <w:r w:rsidR="00A33B9F" w:rsidRPr="00A33B9F">
              <w:rPr>
                <w:rFonts w:ascii="Times New Roman" w:hAnsi="Times New Roman"/>
                <w:noProof/>
                <w:color w:val="000000" w:themeColor="text1"/>
                <w:sz w:val="18"/>
              </w:rPr>
              <w:t xml:space="preserve"> i kwa</w:t>
            </w:r>
            <w:r w:rsidRPr="00A33B9F">
              <w:rPr>
                <w:rFonts w:ascii="Times New Roman" w:hAnsi="Times New Roman"/>
                <w:noProof/>
                <w:color w:val="000000" w:themeColor="text1"/>
                <w:sz w:val="18"/>
              </w:rPr>
              <w:t>lifikacji) uznane przez sektor, wydane przez organizację sektorową.</w:t>
            </w:r>
          </w:p>
        </w:tc>
      </w:tr>
      <w:tr w:rsidR="008C116B" w:rsidRPr="00A33B9F" w14:paraId="5A0C4E3B" w14:textId="77777777" w:rsidTr="038FC096">
        <w:trPr>
          <w:trHeight w:val="1871"/>
        </w:trPr>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4B1212" w14:textId="6372206D"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A49G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626F53" w14:textId="7F40344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A3.1.1 Wsparcie rozwoju nowoczesnego szkolenia zawodowego, szkolnictwa wyższego oraz uczenia się przez całe życie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31ED7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134BF3" w14:textId="3C1144A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Powołanie funkcjonujących Wojewódzkich Zespołów Koordynacji koordynujących politykę</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 xml:space="preserve">olenia zawodowego oraz uczenia się przez całe życie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690AF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79806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F30171"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95318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8BA8C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F3685A"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B175E7" w14:textId="5D0E6BD2" w:rsidR="00BE1B25" w:rsidRPr="00A33B9F" w:rsidRDefault="32DC7FE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Ustanowienie co najmniej 14 Wojewódzkich Zespołów Koordynacji</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ogólnego celu, jakim jest powołanie 16 Wojewódzkich Zespołów Koordynacji (po jednym na każde województwo) Wojewódzkie Zespoły Koordynacji,</w:t>
            </w:r>
            <w:r w:rsidR="00A33B9F" w:rsidRPr="00A33B9F">
              <w:rPr>
                <w:rFonts w:ascii="Times New Roman" w:hAnsi="Times New Roman"/>
                <w:noProof/>
                <w:color w:val="000000" w:themeColor="text1"/>
                <w:sz w:val="18"/>
              </w:rPr>
              <w:t xml:space="preserve"> w skł</w:t>
            </w:r>
            <w:r w:rsidRPr="00A33B9F">
              <w:rPr>
                <w:rFonts w:ascii="Times New Roman" w:hAnsi="Times New Roman"/>
                <w:noProof/>
                <w:color w:val="000000" w:themeColor="text1"/>
                <w:sz w:val="18"/>
              </w:rPr>
              <w:t>ad których wchodzą najważniejsze zainteresowane strony, koordynują politykę</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 zawodowego</w:t>
            </w:r>
            <w:r w:rsidR="00A33B9F" w:rsidRPr="00A33B9F">
              <w:rPr>
                <w:rFonts w:ascii="Times New Roman" w:hAnsi="Times New Roman"/>
                <w:noProof/>
                <w:color w:val="000000" w:themeColor="text1"/>
                <w:sz w:val="18"/>
              </w:rPr>
              <w:t xml:space="preserve"> i ucz</w:t>
            </w:r>
            <w:r w:rsidRPr="00A33B9F">
              <w:rPr>
                <w:rFonts w:ascii="Times New Roman" w:hAnsi="Times New Roman"/>
                <w:noProof/>
                <w:color w:val="000000" w:themeColor="text1"/>
                <w:sz w:val="18"/>
              </w:rPr>
              <w:t>enia się przez całe życie,</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współpracują ze szkolnictwem wyższym</w:t>
            </w:r>
            <w:r w:rsidR="00A33B9F" w:rsidRPr="00A33B9F">
              <w:rPr>
                <w:rFonts w:ascii="Times New Roman" w:hAnsi="Times New Roman"/>
                <w:noProof/>
                <w:color w:val="000000" w:themeColor="text1"/>
                <w:sz w:val="18"/>
              </w:rPr>
              <w:t xml:space="preserve"> w raz</w:t>
            </w:r>
            <w:r w:rsidRPr="00A33B9F">
              <w:rPr>
                <w:rFonts w:ascii="Times New Roman" w:hAnsi="Times New Roman"/>
                <w:noProof/>
                <w:color w:val="000000" w:themeColor="text1"/>
                <w:sz w:val="18"/>
              </w:rPr>
              <w:t>ie potrzeby</w:t>
            </w:r>
            <w:r w:rsidR="00A33B9F" w:rsidRPr="00A33B9F">
              <w:rPr>
                <w:rFonts w:ascii="Times New Roman" w:hAnsi="Times New Roman"/>
                <w:noProof/>
                <w:color w:val="000000" w:themeColor="text1"/>
                <w:sz w:val="18"/>
              </w:rPr>
              <w:t xml:space="preserve"> i jeż</w:t>
            </w:r>
            <w:r w:rsidRPr="00A33B9F">
              <w:rPr>
                <w:rFonts w:ascii="Times New Roman" w:hAnsi="Times New Roman"/>
                <w:noProof/>
                <w:color w:val="000000" w:themeColor="text1"/>
                <w:sz w:val="18"/>
              </w:rPr>
              <w:t>eli zostanie to ustalone</w:t>
            </w:r>
            <w:r w:rsidR="00A33B9F" w:rsidRPr="00A33B9F">
              <w:rPr>
                <w:rFonts w:ascii="Times New Roman" w:hAnsi="Times New Roman"/>
                <w:noProof/>
                <w:color w:val="000000" w:themeColor="text1"/>
                <w:sz w:val="18"/>
              </w:rPr>
              <w:t xml:space="preserve"> z zai</w:t>
            </w:r>
            <w:r w:rsidRPr="00A33B9F">
              <w:rPr>
                <w:rFonts w:ascii="Times New Roman" w:hAnsi="Times New Roman"/>
                <w:noProof/>
                <w:color w:val="000000" w:themeColor="text1"/>
                <w:sz w:val="18"/>
              </w:rPr>
              <w:t xml:space="preserve">nteresowanymi instytucjami szkolnictwa wyższego. </w:t>
            </w:r>
          </w:p>
        </w:tc>
      </w:tr>
      <w:tr w:rsidR="008C116B" w:rsidRPr="00A33B9F" w14:paraId="4BF6C21B" w14:textId="77777777" w:rsidTr="038FC096">
        <w:trPr>
          <w:trHeight w:val="313"/>
        </w:trPr>
        <w:tc>
          <w:tcPr>
            <w:tcW w:w="680" w:type="dxa"/>
            <w:shd w:val="clear" w:color="auto" w:fill="C6EFCE"/>
          </w:tcPr>
          <w:p w14:paraId="5A3C3AB2" w14:textId="2C52D715"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A50G</w:t>
            </w:r>
          </w:p>
        </w:tc>
        <w:tc>
          <w:tcPr>
            <w:tcW w:w="1843" w:type="dxa"/>
            <w:shd w:val="clear" w:color="auto" w:fill="C6EFCE"/>
          </w:tcPr>
          <w:p w14:paraId="729A86DD" w14:textId="3D9F507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A3.1.1 Wsparcie rozwoju nowoczesnego szkolenia zawodowego, szkolnictwa wyższego oraz uczenia się przez całe życie</w:t>
            </w:r>
          </w:p>
        </w:tc>
        <w:tc>
          <w:tcPr>
            <w:tcW w:w="992" w:type="dxa"/>
            <w:shd w:val="clear" w:color="auto" w:fill="C6EFCE"/>
          </w:tcPr>
          <w:p w14:paraId="6D1D645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126" w:type="dxa"/>
            <w:shd w:val="clear" w:color="auto" w:fill="C6EFCE"/>
          </w:tcPr>
          <w:p w14:paraId="3D0044C4" w14:textId="708A4E6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Opracowanie zoperacjonalizowanych programów wdrożenia Zintegrowanej Strategii Umiejętności na poziomie regionalnym przez powołane Wojewódzkie Zespoły Koordynacji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 zawodowego oraz uczenia się przez całe życie</w:t>
            </w:r>
          </w:p>
        </w:tc>
        <w:tc>
          <w:tcPr>
            <w:tcW w:w="1701" w:type="dxa"/>
            <w:shd w:val="clear" w:color="auto" w:fill="C6EFCE"/>
          </w:tcPr>
          <w:p w14:paraId="5D2FFEE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1137F6F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shd w:val="clear" w:color="auto" w:fill="C6EFCE"/>
          </w:tcPr>
          <w:p w14:paraId="132FFD6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50" w:type="dxa"/>
            <w:shd w:val="clear" w:color="auto" w:fill="C6EFCE"/>
          </w:tcPr>
          <w:p w14:paraId="052CBC2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14</w:t>
            </w:r>
          </w:p>
        </w:tc>
        <w:tc>
          <w:tcPr>
            <w:tcW w:w="992" w:type="dxa"/>
            <w:shd w:val="clear" w:color="auto" w:fill="C6EFCE"/>
          </w:tcPr>
          <w:p w14:paraId="62FEC38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9" w:type="dxa"/>
            <w:shd w:val="clear" w:color="auto" w:fill="C6EFCE"/>
          </w:tcPr>
          <w:p w14:paraId="4FF3EC85"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4248" w:type="dxa"/>
            <w:shd w:val="clear" w:color="auto" w:fill="C6EFCE"/>
          </w:tcPr>
          <w:p w14:paraId="434C4915" w14:textId="10EAB8C6" w:rsidR="00BE1B25" w:rsidRPr="00A33B9F" w:rsidRDefault="32DC7FE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Sporządzenie co najmniej 14 regionalnych programów wdrożenia</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ogólnego celu, jakim jest opracowanie 16 operacyjnych programów wdrożenia (po jednym dla każdego województwa).</w:t>
            </w:r>
            <w:r w:rsidRPr="00A33B9F">
              <w:rPr>
                <w:noProof/>
              </w:rPr>
              <w:t xml:space="preserve"> </w:t>
            </w:r>
            <w:r w:rsidRPr="00A33B9F">
              <w:rPr>
                <w:noProof/>
              </w:rPr>
              <w:br/>
            </w:r>
            <w:r w:rsidRPr="00A33B9F">
              <w:rPr>
                <w:rFonts w:ascii="Times New Roman" w:hAnsi="Times New Roman"/>
                <w:noProof/>
                <w:color w:val="000000" w:themeColor="text1"/>
                <w:sz w:val="18"/>
              </w:rPr>
              <w:t>Zoperacjonalizowane programy wdrożeniowe krajowej Zintegrowanej Strategii Umiejętności 2030 obejmą wszystkie formy uczenia się,</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koordynację kształcenia</w:t>
            </w:r>
            <w:r w:rsidR="00A33B9F" w:rsidRPr="00A33B9F">
              <w:rPr>
                <w:rFonts w:ascii="Times New Roman" w:hAnsi="Times New Roman"/>
                <w:noProof/>
                <w:color w:val="000000" w:themeColor="text1"/>
                <w:sz w:val="18"/>
              </w:rPr>
              <w:t xml:space="preserve"> i szk</w:t>
            </w:r>
            <w:r w:rsidRPr="00A33B9F">
              <w:rPr>
                <w:rFonts w:ascii="Times New Roman" w:hAnsi="Times New Roman"/>
                <w:noProof/>
                <w:color w:val="000000" w:themeColor="text1"/>
                <w:sz w:val="18"/>
              </w:rPr>
              <w:t>olenia zawodowego oraz uczenia się przez całe życie.</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Obejmą one plany działania</w:t>
            </w:r>
            <w:r w:rsidR="00A33B9F" w:rsidRPr="00A33B9F">
              <w:rPr>
                <w:rFonts w:ascii="Times New Roman" w:hAnsi="Times New Roman"/>
                <w:noProof/>
                <w:color w:val="000000" w:themeColor="text1"/>
                <w:sz w:val="18"/>
              </w:rPr>
              <w:t xml:space="preserve"> w reg</w:t>
            </w:r>
            <w:r w:rsidRPr="00A33B9F">
              <w:rPr>
                <w:rFonts w:ascii="Times New Roman" w:hAnsi="Times New Roman"/>
                <w:noProof/>
                <w:color w:val="000000" w:themeColor="text1"/>
                <w:sz w:val="18"/>
              </w:rPr>
              <w:t>ionach na rzecz rozwoju szkolenia zawodowego, uwzględniając transformację cyfrową</w:t>
            </w:r>
            <w:r w:rsidR="00A33B9F" w:rsidRPr="00A33B9F">
              <w:rPr>
                <w:rFonts w:ascii="Times New Roman" w:hAnsi="Times New Roman"/>
                <w:noProof/>
                <w:color w:val="000000" w:themeColor="text1"/>
                <w:sz w:val="18"/>
              </w:rPr>
              <w:t xml:space="preserve"> i eko</w:t>
            </w:r>
            <w:r w:rsidRPr="00A33B9F">
              <w:rPr>
                <w:rFonts w:ascii="Times New Roman" w:hAnsi="Times New Roman"/>
                <w:noProof/>
                <w:color w:val="000000" w:themeColor="text1"/>
                <w:sz w:val="18"/>
              </w:rPr>
              <w:t>logiczną oraz sprzyjanie innowacjom.</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Obejmą one mechanizmy monitorowania</w:t>
            </w:r>
            <w:r w:rsidR="00A33B9F" w:rsidRPr="00A33B9F">
              <w:rPr>
                <w:rFonts w:ascii="Times New Roman" w:hAnsi="Times New Roman"/>
                <w:noProof/>
                <w:color w:val="000000" w:themeColor="text1"/>
                <w:sz w:val="18"/>
              </w:rPr>
              <w:t xml:space="preserve"> i oce</w:t>
            </w:r>
            <w:r w:rsidRPr="00A33B9F">
              <w:rPr>
                <w:rFonts w:ascii="Times New Roman" w:hAnsi="Times New Roman"/>
                <w:noProof/>
                <w:color w:val="000000" w:themeColor="text1"/>
                <w:sz w:val="18"/>
              </w:rPr>
              <w:t>ny. Zoperacjonalizowane programy wdrożeniowe nie naruszą instytucjonalnej autonomii instytucji szkolnictwa wyższego.</w:t>
            </w:r>
          </w:p>
        </w:tc>
      </w:tr>
    </w:tbl>
    <w:p w14:paraId="1DA5B4A6" w14:textId="77777777" w:rsidR="00B54E14" w:rsidRPr="00A33B9F" w:rsidRDefault="00B54E14">
      <w:pPr>
        <w:rPr>
          <w:noProof/>
        </w:rPr>
        <w:sectPr w:rsidR="00B54E14" w:rsidRPr="00A33B9F" w:rsidSect="005A529A">
          <w:headerReference w:type="even" r:id="rId31"/>
          <w:headerReference w:type="default" r:id="rId32"/>
          <w:footerReference w:type="even" r:id="rId33"/>
          <w:footerReference w:type="default" r:id="rId34"/>
          <w:headerReference w:type="first" r:id="rId35"/>
          <w:footerReference w:type="first" r:id="rId36"/>
          <w:pgSz w:w="16839" w:h="11907" w:orient="landscape"/>
          <w:pgMar w:top="720" w:right="720" w:bottom="720" w:left="720" w:header="709" w:footer="359" w:gutter="0"/>
          <w:cols w:space="720"/>
        </w:sectPr>
      </w:pPr>
    </w:p>
    <w:p w14:paraId="20DD2944" w14:textId="1BE8EB3A" w:rsidR="005C52F9" w:rsidRPr="00A33B9F" w:rsidRDefault="00B54E14">
      <w:pPr>
        <w:rPr>
          <w:noProof/>
        </w:rPr>
      </w:pPr>
      <w:r w:rsidRPr="00A33B9F">
        <w:rPr>
          <w:rFonts w:ascii="Times New Roman" w:hAnsi="Times New Roman"/>
          <w:b/>
          <w:noProof/>
          <w:color w:val="000000"/>
          <w:sz w:val="24"/>
          <w:u w:val="single"/>
        </w:rPr>
        <w:t>A4 – RYNEK PRACY</w:t>
      </w:r>
    </w:p>
    <w:tbl>
      <w:tblPr>
        <w:tblW w:w="15731" w:type="dxa"/>
        <w:tblInd w:w="-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02"/>
        <w:gridCol w:w="1865"/>
        <w:gridCol w:w="1040"/>
        <w:gridCol w:w="1847"/>
        <w:gridCol w:w="1712"/>
        <w:gridCol w:w="1159"/>
        <w:gridCol w:w="932"/>
        <w:gridCol w:w="885"/>
        <w:gridCol w:w="885"/>
        <w:gridCol w:w="944"/>
        <w:gridCol w:w="3660"/>
      </w:tblGrid>
      <w:tr w:rsidR="008C116B" w:rsidRPr="00A33B9F" w14:paraId="78B44944" w14:textId="77777777" w:rsidTr="00681D72">
        <w:trPr>
          <w:trHeight w:val="939"/>
          <w:tblHeader/>
        </w:trPr>
        <w:tc>
          <w:tcPr>
            <w:tcW w:w="8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DD7E592" w14:textId="172A0F8B" w:rsidR="00FF7DD3" w:rsidRPr="00A33B9F" w:rsidRDefault="00FF7DD3" w:rsidP="00EE39E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9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5B18C9"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0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C39CEE4"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9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4BD188F"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7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A5EB72F" w14:textId="77777777" w:rsidR="00FF7DD3" w:rsidRPr="00A33B9F"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 xml:space="preserve">Wskaźniki jakościowe </w:t>
            </w:r>
            <w:r w:rsidRPr="00A33B9F">
              <w:rPr>
                <w:rFonts w:ascii="Times New Roman" w:hAnsi="Times New Roman"/>
                <w:b/>
                <w:noProof/>
                <w:color w:val="000000" w:themeColor="text1"/>
                <w:sz w:val="18"/>
              </w:rPr>
              <w:br/>
              <w:t>(dla kamieni milowych)</w:t>
            </w:r>
          </w:p>
        </w:tc>
        <w:tc>
          <w:tcPr>
            <w:tcW w:w="2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DFE4CE0" w14:textId="77777777" w:rsidR="00FF7DD3" w:rsidRPr="00A33B9F" w:rsidRDefault="004D576E" w:rsidP="16BD65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Wskaźniki ilościowe</w:t>
            </w:r>
            <w:r w:rsidRPr="00A33B9F">
              <w:rPr>
                <w:noProof/>
              </w:rPr>
              <w:t xml:space="preserve"> </w:t>
            </w:r>
            <w:r w:rsidRPr="00A33B9F">
              <w:rPr>
                <w:noProof/>
              </w:rPr>
              <w:br/>
            </w:r>
            <w:r w:rsidRPr="00A33B9F">
              <w:rPr>
                <w:rFonts w:ascii="Times New Roman" w:hAnsi="Times New Roman"/>
                <w:b/>
                <w:noProof/>
                <w:color w:val="000000" w:themeColor="text1"/>
                <w:sz w:val="18"/>
              </w:rPr>
              <w:t>(dla wartości docelowych)</w:t>
            </w:r>
          </w:p>
        </w:tc>
        <w:tc>
          <w:tcPr>
            <w:tcW w:w="18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7C9F690"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7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76C7589" w14:textId="473605DC"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8C116B" w:rsidRPr="00A33B9F" w14:paraId="3D73BA9B" w14:textId="77777777" w:rsidTr="00681D72">
        <w:trPr>
          <w:trHeight w:val="689"/>
        </w:trPr>
        <w:tc>
          <w:tcPr>
            <w:tcW w:w="823" w:type="dxa"/>
            <w:vMerge/>
            <w:vAlign w:val="center"/>
          </w:tcPr>
          <w:p w14:paraId="562C75D1"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22" w:type="dxa"/>
            <w:vMerge/>
            <w:vAlign w:val="center"/>
          </w:tcPr>
          <w:p w14:paraId="664355AD"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068" w:type="dxa"/>
            <w:vMerge/>
            <w:vAlign w:val="center"/>
          </w:tcPr>
          <w:p w14:paraId="1A965116"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03" w:type="dxa"/>
            <w:vMerge/>
            <w:vAlign w:val="center"/>
          </w:tcPr>
          <w:p w14:paraId="7DF4E37C"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64" w:type="dxa"/>
            <w:vMerge/>
            <w:vAlign w:val="center"/>
          </w:tcPr>
          <w:p w14:paraId="44FB30F8"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4D9C059"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D61D3B"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4FCF72C"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B0A478"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7C5301E" w14:textId="77777777" w:rsidR="00FF7DD3" w:rsidRPr="00A33B9F" w:rsidRDefault="00FF7DD3"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780" w:type="dxa"/>
            <w:vMerge/>
            <w:vAlign w:val="center"/>
          </w:tcPr>
          <w:p w14:paraId="1DA6542E" w14:textId="77777777" w:rsidR="00FF7DD3" w:rsidRPr="00A33B9F" w:rsidRDefault="00FF7DD3" w:rsidP="00FF7DD3">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18EE5016"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C1D538" w14:textId="7EF42468"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A51G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E2506"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A4.1 Efektywne instytucje na rzecz rynku pracy</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4669F9"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B0465" w14:textId="110CEF4A" w:rsidR="00BE1B25" w:rsidRPr="00A33B9F"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nowej ustawy</w:t>
            </w:r>
            <w:r w:rsidR="00A33B9F" w:rsidRPr="00A33B9F">
              <w:rPr>
                <w:rFonts w:ascii="Times New Roman" w:hAnsi="Times New Roman"/>
                <w:noProof/>
                <w:color w:val="000000" w:themeColor="text1"/>
                <w:sz w:val="18"/>
              </w:rPr>
              <w:t xml:space="preserve"> o pub</w:t>
            </w:r>
            <w:r w:rsidRPr="00A33B9F">
              <w:rPr>
                <w:rFonts w:ascii="Times New Roman" w:hAnsi="Times New Roman"/>
                <w:noProof/>
                <w:color w:val="000000" w:themeColor="text1"/>
                <w:sz w:val="18"/>
              </w:rPr>
              <w:t>licznych służbach zatrudnienia, ustawy</w:t>
            </w:r>
            <w:r w:rsidR="00A33B9F" w:rsidRPr="00A33B9F">
              <w:rPr>
                <w:rFonts w:ascii="Times New Roman" w:hAnsi="Times New Roman"/>
                <w:noProof/>
                <w:color w:val="000000" w:themeColor="text1"/>
                <w:sz w:val="18"/>
              </w:rPr>
              <w:t xml:space="preserve"> o zat</w:t>
            </w:r>
            <w:r w:rsidRPr="00A33B9F">
              <w:rPr>
                <w:rFonts w:ascii="Times New Roman" w:hAnsi="Times New Roman"/>
                <w:noProof/>
                <w:color w:val="000000" w:themeColor="text1"/>
                <w:sz w:val="18"/>
              </w:rPr>
              <w:t>rudnianiu obywateli państw trzecich oraz ustawy</w:t>
            </w:r>
            <w:r w:rsidR="00A33B9F" w:rsidRPr="00A33B9F">
              <w:rPr>
                <w:rFonts w:ascii="Times New Roman" w:hAnsi="Times New Roman"/>
                <w:noProof/>
                <w:color w:val="000000" w:themeColor="text1"/>
                <w:sz w:val="18"/>
              </w:rPr>
              <w:t xml:space="preserve"> o zaw</w:t>
            </w:r>
            <w:r w:rsidRPr="00A33B9F">
              <w:rPr>
                <w:rFonts w:ascii="Times New Roman" w:hAnsi="Times New Roman"/>
                <w:noProof/>
                <w:color w:val="000000" w:themeColor="text1"/>
                <w:sz w:val="18"/>
              </w:rPr>
              <w:t>ieraniu niektórych umów</w:t>
            </w:r>
            <w:r w:rsidR="00A33B9F" w:rsidRPr="00A33B9F">
              <w:rPr>
                <w:rFonts w:ascii="Times New Roman" w:hAnsi="Times New Roman"/>
                <w:noProof/>
                <w:color w:val="000000" w:themeColor="text1"/>
                <w:sz w:val="18"/>
              </w:rPr>
              <w:t xml:space="preserve"> o pra</w:t>
            </w:r>
            <w:r w:rsidRPr="00A33B9F">
              <w:rPr>
                <w:rFonts w:ascii="Times New Roman" w:hAnsi="Times New Roman"/>
                <w:noProof/>
                <w:color w:val="000000" w:themeColor="text1"/>
                <w:sz w:val="18"/>
              </w:rPr>
              <w:t>cę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elektroniczny:</w:t>
            </w:r>
            <w:r w:rsidRPr="00A33B9F">
              <w:rPr>
                <w:noProof/>
              </w:rPr>
              <w:t xml:space="preserve"> </w:t>
            </w:r>
            <w:r w:rsidRPr="00A33B9F">
              <w:rPr>
                <w:noProof/>
              </w:rPr>
              <w:br/>
            </w:r>
            <w:r w:rsidRPr="00A33B9F">
              <w:rPr>
                <w:rFonts w:ascii="Times New Roman" w:hAnsi="Times New Roman"/>
                <w:noProof/>
                <w:color w:val="000000" w:themeColor="text1"/>
                <w:sz w:val="18"/>
              </w:rPr>
              <w:t>– wprowadzanie zmian</w:t>
            </w:r>
            <w:r w:rsidR="00A33B9F" w:rsidRPr="00A33B9F">
              <w:rPr>
                <w:rFonts w:ascii="Times New Roman" w:hAnsi="Times New Roman"/>
                <w:noProof/>
                <w:color w:val="000000" w:themeColor="text1"/>
                <w:sz w:val="18"/>
              </w:rPr>
              <w:t xml:space="preserve"> w pub</w:t>
            </w:r>
            <w:r w:rsidRPr="00A33B9F">
              <w:rPr>
                <w:rFonts w:ascii="Times New Roman" w:hAnsi="Times New Roman"/>
                <w:noProof/>
                <w:color w:val="000000" w:themeColor="text1"/>
                <w:sz w:val="18"/>
              </w:rPr>
              <w:t>licznych służbach zatrudnienia</w:t>
            </w:r>
            <w:r w:rsidR="00A33B9F" w:rsidRPr="00A33B9F">
              <w:rPr>
                <w:rFonts w:ascii="Times New Roman" w:hAnsi="Times New Roman"/>
                <w:noProof/>
                <w:color w:val="000000" w:themeColor="text1"/>
                <w:sz w:val="18"/>
              </w:rPr>
              <w:t xml:space="preserve"> i akt</w:t>
            </w:r>
            <w:r w:rsidRPr="00A33B9F">
              <w:rPr>
                <w:rFonts w:ascii="Times New Roman" w:hAnsi="Times New Roman"/>
                <w:noProof/>
                <w:color w:val="000000" w:themeColor="text1"/>
                <w:sz w:val="18"/>
              </w:rPr>
              <w:t xml:space="preserve">ywnej </w:t>
            </w:r>
            <w:r w:rsidRPr="00A33B9F">
              <w:rPr>
                <w:rFonts w:ascii="Times New Roman" w:hAnsi="Times New Roman"/>
                <w:noProof/>
                <w:sz w:val="18"/>
              </w:rPr>
              <w:t>polityce</w:t>
            </w:r>
            <w:r w:rsidRPr="00A33B9F">
              <w:rPr>
                <w:rFonts w:ascii="Times New Roman" w:hAnsi="Times New Roman"/>
                <w:noProof/>
                <w:color w:val="000000" w:themeColor="text1"/>
                <w:sz w:val="18"/>
              </w:rPr>
              <w:t xml:space="preserve"> rynku pracy</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zwiększenia aktywności zawodowej</w:t>
            </w:r>
            <w:r w:rsidRPr="00A33B9F">
              <w:rPr>
                <w:noProof/>
              </w:rPr>
              <w:t xml:space="preserve"> </w:t>
            </w:r>
            <w:r w:rsidRPr="00A33B9F">
              <w:rPr>
                <w:noProof/>
              </w:rPr>
              <w:br/>
            </w:r>
            <w:r w:rsidRPr="00A33B9F">
              <w:rPr>
                <w:rFonts w:ascii="Times New Roman" w:hAnsi="Times New Roman"/>
                <w:noProof/>
                <w:color w:val="000000" w:themeColor="text1"/>
                <w:sz w:val="18"/>
              </w:rPr>
              <w:t>– zmniejszanie barier administracyjnych przy zatrudnianiu cudzoziemców</w:t>
            </w:r>
            <w:r w:rsidRPr="00A33B9F">
              <w:rPr>
                <w:noProof/>
              </w:rPr>
              <w:t xml:space="preserve"> </w:t>
            </w:r>
            <w:r w:rsidRPr="00A33B9F">
              <w:rPr>
                <w:noProof/>
              </w:rPr>
              <w:br/>
            </w:r>
            <w:r w:rsidRPr="00A33B9F">
              <w:rPr>
                <w:rFonts w:ascii="Times New Roman" w:hAnsi="Times New Roman"/>
                <w:noProof/>
                <w:color w:val="000000" w:themeColor="text1"/>
                <w:sz w:val="18"/>
              </w:rPr>
              <w:t>– upraszczanie procesu zawierania niektórych umów</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35EDD3" w14:textId="79709DEB" w:rsidR="00BE1B25" w:rsidRPr="00A33B9F"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Przepisy</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pub</w:t>
            </w:r>
            <w:r w:rsidRPr="00A33B9F">
              <w:rPr>
                <w:rFonts w:ascii="Times New Roman" w:hAnsi="Times New Roman"/>
                <w:noProof/>
                <w:color w:val="000000" w:themeColor="text1"/>
                <w:sz w:val="18"/>
              </w:rPr>
              <w:t>licznych służbach zatrudnienia, ustawie</w:t>
            </w:r>
            <w:r w:rsidR="00A33B9F" w:rsidRPr="00A33B9F">
              <w:rPr>
                <w:rFonts w:ascii="Times New Roman" w:hAnsi="Times New Roman"/>
                <w:noProof/>
                <w:color w:val="000000" w:themeColor="text1"/>
                <w:sz w:val="18"/>
              </w:rPr>
              <w:t xml:space="preserve"> o zat</w:t>
            </w:r>
            <w:r w:rsidRPr="00A33B9F">
              <w:rPr>
                <w:rFonts w:ascii="Times New Roman" w:hAnsi="Times New Roman"/>
                <w:noProof/>
                <w:color w:val="000000" w:themeColor="text1"/>
                <w:sz w:val="18"/>
              </w:rPr>
              <w:t>rudnianiu obywateli państw trzecich oraz ustawie</w:t>
            </w:r>
            <w:r w:rsidR="00A33B9F" w:rsidRPr="00A33B9F">
              <w:rPr>
                <w:rFonts w:ascii="Times New Roman" w:hAnsi="Times New Roman"/>
                <w:noProof/>
                <w:color w:val="000000" w:themeColor="text1"/>
                <w:sz w:val="18"/>
              </w:rPr>
              <w:t xml:space="preserve"> o zaw</w:t>
            </w:r>
            <w:r w:rsidRPr="00A33B9F">
              <w:rPr>
                <w:rFonts w:ascii="Times New Roman" w:hAnsi="Times New Roman"/>
                <w:noProof/>
                <w:color w:val="000000" w:themeColor="text1"/>
                <w:sz w:val="18"/>
              </w:rPr>
              <w:t>ieraniu niektórych umów</w:t>
            </w:r>
            <w:r w:rsidR="00A33B9F" w:rsidRPr="00A33B9F">
              <w:rPr>
                <w:rFonts w:ascii="Times New Roman" w:hAnsi="Times New Roman"/>
                <w:noProof/>
                <w:color w:val="000000" w:themeColor="text1"/>
                <w:sz w:val="18"/>
              </w:rPr>
              <w:t xml:space="preserve"> o pra</w:t>
            </w:r>
            <w:r w:rsidRPr="00A33B9F">
              <w:rPr>
                <w:rFonts w:ascii="Times New Roman" w:hAnsi="Times New Roman"/>
                <w:noProof/>
                <w:color w:val="000000" w:themeColor="text1"/>
                <w:sz w:val="18"/>
              </w:rPr>
              <w:t>cę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elektroniczny wskazujące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2A0355"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69FD48"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A58E2B"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8D4F30"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4DE2D5"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E9CF99" w14:textId="093E2A5C" w:rsidR="002248AA" w:rsidRPr="00A33B9F" w:rsidRDefault="4CAFE21A"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trzech nowych ustaw, które wprowadzą nowe przepisy:</w:t>
            </w:r>
          </w:p>
          <w:p w14:paraId="51B90689" w14:textId="609A8618" w:rsidR="002248AA" w:rsidRPr="00A33B9F"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noProof/>
              </w:rPr>
              <w:t xml:space="preserve"> </w:t>
            </w:r>
            <w:r w:rsidRPr="00A33B9F">
              <w:rPr>
                <w:noProof/>
              </w:rPr>
              <w:br/>
            </w:r>
            <w:r w:rsidRPr="00A33B9F">
              <w:rPr>
                <w:rFonts w:ascii="Times New Roman" w:hAnsi="Times New Roman"/>
                <w:noProof/>
                <w:color w:val="000000" w:themeColor="text1"/>
                <w:sz w:val="18"/>
              </w:rPr>
              <w:t>1.</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publicznych służb zatrudnienia oraz aktywnych polityk rynku pracy, aby zwiększyć uczestnictwo</w:t>
            </w:r>
            <w:r w:rsidR="00A33B9F" w:rsidRPr="00A33B9F">
              <w:rPr>
                <w:rFonts w:ascii="Times New Roman" w:hAnsi="Times New Roman"/>
                <w:noProof/>
                <w:color w:val="000000" w:themeColor="text1"/>
                <w:sz w:val="18"/>
              </w:rPr>
              <w:t xml:space="preserve"> w zat</w:t>
            </w:r>
            <w:r w:rsidRPr="00A33B9F">
              <w:rPr>
                <w:rFonts w:ascii="Times New Roman" w:hAnsi="Times New Roman"/>
                <w:noProof/>
                <w:color w:val="000000" w:themeColor="text1"/>
                <w:sz w:val="18"/>
              </w:rPr>
              <w:t>rudnieniu przez: (i) poszerzenie grupy klientów urzędów pracy</w:t>
            </w:r>
            <w:r w:rsidR="00A33B9F" w:rsidRPr="00A33B9F">
              <w:rPr>
                <w:rFonts w:ascii="Times New Roman" w:hAnsi="Times New Roman"/>
                <w:noProof/>
                <w:color w:val="000000" w:themeColor="text1"/>
                <w:sz w:val="18"/>
              </w:rPr>
              <w:t xml:space="preserve"> o oso</w:t>
            </w:r>
            <w:r w:rsidRPr="00A33B9F">
              <w:rPr>
                <w:rFonts w:ascii="Times New Roman" w:hAnsi="Times New Roman"/>
                <w:noProof/>
                <w:color w:val="000000" w:themeColor="text1"/>
                <w:sz w:val="18"/>
              </w:rPr>
              <w:t>by bierne zawodowo; (ii) identyfikację</w:t>
            </w:r>
            <w:r w:rsidR="00A33B9F" w:rsidRPr="00A33B9F">
              <w:rPr>
                <w:rFonts w:ascii="Times New Roman" w:hAnsi="Times New Roman"/>
                <w:noProof/>
                <w:color w:val="000000" w:themeColor="text1"/>
                <w:sz w:val="18"/>
              </w:rPr>
              <w:t xml:space="preserve"> i dot</w:t>
            </w:r>
            <w:r w:rsidRPr="00A33B9F">
              <w:rPr>
                <w:rFonts w:ascii="Times New Roman" w:hAnsi="Times New Roman"/>
                <w:noProof/>
                <w:color w:val="000000" w:themeColor="text1"/>
                <w:sz w:val="18"/>
              </w:rPr>
              <w:t>arcie do osób biernych zawodowo potencjalnie mogących podjąć aktywność zawodową, (iii) wprowadzenie dla pracodawców</w:t>
            </w:r>
            <w:r w:rsidR="00A33B9F" w:rsidRPr="00A33B9F">
              <w:rPr>
                <w:rFonts w:ascii="Times New Roman" w:hAnsi="Times New Roman"/>
                <w:noProof/>
                <w:color w:val="000000" w:themeColor="text1"/>
                <w:sz w:val="18"/>
              </w:rPr>
              <w:t xml:space="preserve"> z sek</w:t>
            </w:r>
            <w:r w:rsidRPr="00A33B9F">
              <w:rPr>
                <w:rFonts w:ascii="Times New Roman" w:hAnsi="Times New Roman"/>
                <w:noProof/>
                <w:color w:val="000000" w:themeColor="text1"/>
                <w:sz w:val="18"/>
              </w:rPr>
              <w:t>tora publicznego oraz prywatnego (dla przedsiębiorców, którzy korzystają ze środków publicznych np. uczestnicząc</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etargach) obowiązku zgłaszania ofert pracy do Centralnej Bazy Ofert Pracy; (iv) zwiększenie dostępu do uczenia się przez całe życie osobom poszukującym pracy, poprzez finansowanie</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duszu Pracy kosztów szkoleń oraz poświadczania nabycia wiedzy</w:t>
            </w:r>
            <w:r w:rsidR="00A33B9F" w:rsidRPr="00A33B9F">
              <w:rPr>
                <w:rFonts w:ascii="Times New Roman" w:hAnsi="Times New Roman"/>
                <w:noProof/>
                <w:color w:val="000000" w:themeColor="text1"/>
                <w:sz w:val="18"/>
              </w:rPr>
              <w:t xml:space="preserve"> i umi</w:t>
            </w:r>
            <w:r w:rsidRPr="00A33B9F">
              <w:rPr>
                <w:rFonts w:ascii="Times New Roman" w:hAnsi="Times New Roman"/>
                <w:noProof/>
                <w:color w:val="000000" w:themeColor="text1"/>
                <w:sz w:val="18"/>
              </w:rPr>
              <w:t>ejętności,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kwalifikacji zawodowych; (v) wprowadzenie nowej formy wsparcia (bonu na podjęcie kształcenia ustawicznego) zarówno dla osób zatrudnionych, jak</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robotnych;</w:t>
            </w:r>
          </w:p>
          <w:p w14:paraId="423D42B3" w14:textId="0D24E666" w:rsidR="002248AA" w:rsidRPr="00A33B9F"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noProof/>
              </w:rPr>
              <w:t xml:space="preserve"> </w:t>
            </w:r>
            <w:r w:rsidRPr="00A33B9F">
              <w:rPr>
                <w:noProof/>
              </w:rPr>
              <w:br/>
            </w:r>
            <w:r w:rsidRPr="00A33B9F">
              <w:rPr>
                <w:rFonts w:ascii="Times New Roman" w:hAnsi="Times New Roman"/>
                <w:noProof/>
                <w:color w:val="000000" w:themeColor="text1"/>
                <w:sz w:val="18"/>
              </w:rPr>
              <w:t>2.</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zmniejszenia barier administracyjnych</w:t>
            </w:r>
            <w:r w:rsidR="00A33B9F" w:rsidRPr="00A33B9F">
              <w:rPr>
                <w:rFonts w:ascii="Times New Roman" w:hAnsi="Times New Roman"/>
                <w:noProof/>
                <w:color w:val="000000" w:themeColor="text1"/>
                <w:sz w:val="18"/>
              </w:rPr>
              <w:t xml:space="preserve"> i usp</w:t>
            </w:r>
            <w:r w:rsidRPr="00A33B9F">
              <w:rPr>
                <w:rFonts w:ascii="Times New Roman" w:hAnsi="Times New Roman"/>
                <w:noProof/>
                <w:color w:val="000000" w:themeColor="text1"/>
                <w:sz w:val="18"/>
              </w:rPr>
              <w:t>rawnienia procedur dotyczących zatrudniania cudzoziemców: (i) możliwość tworzenia przez publiczne służby zatrudnienia wyspecjalizowanych punktów wspierania cudzoziemców na rynku pracy, zarówno pracujących, jak</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robotnych (nie</w:t>
            </w:r>
            <w:r w:rsidR="00A33B9F" w:rsidRPr="00A33B9F">
              <w:rPr>
                <w:rFonts w:ascii="Times New Roman" w:hAnsi="Times New Roman"/>
                <w:noProof/>
                <w:color w:val="000000" w:themeColor="text1"/>
                <w:sz w:val="18"/>
              </w:rPr>
              <w:t xml:space="preserve"> w for</w:t>
            </w:r>
            <w:r w:rsidRPr="00A33B9F">
              <w:rPr>
                <w:rFonts w:ascii="Times New Roman" w:hAnsi="Times New Roman"/>
                <w:noProof/>
                <w:color w:val="000000" w:themeColor="text1"/>
                <w:sz w:val="18"/>
              </w:rPr>
              <w:t>mie odrębnego urzędu); (ii) zwiększenie roli publicznych służb zatrudnienia</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cesie wydawania zezwoleń na pracę cudzoziemców, co czyni ten proces bardziej efektywnym; (iii)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przepisów ustanawiających ramy pełnej cyfryzacji procedur związanych</w:t>
            </w:r>
            <w:r w:rsidR="00A33B9F" w:rsidRPr="00A33B9F">
              <w:rPr>
                <w:rFonts w:ascii="Times New Roman" w:hAnsi="Times New Roman"/>
                <w:noProof/>
                <w:color w:val="000000" w:themeColor="text1"/>
                <w:sz w:val="18"/>
              </w:rPr>
              <w:t xml:space="preserve"> z uzy</w:t>
            </w:r>
            <w:r w:rsidRPr="00A33B9F">
              <w:rPr>
                <w:rFonts w:ascii="Times New Roman" w:hAnsi="Times New Roman"/>
                <w:noProof/>
                <w:color w:val="000000" w:themeColor="text1"/>
                <w:sz w:val="18"/>
              </w:rPr>
              <w:t xml:space="preserve">skaniem zezwolenia na pracę dla cudzoziemców. </w:t>
            </w:r>
          </w:p>
          <w:p w14:paraId="52B62F77" w14:textId="12527947" w:rsidR="00BE1B25" w:rsidRPr="00A33B9F"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noProof/>
              </w:rPr>
              <w:t xml:space="preserve"> </w:t>
            </w:r>
            <w:r w:rsidRPr="00A33B9F">
              <w:rPr>
                <w:noProof/>
              </w:rPr>
              <w:br/>
            </w:r>
            <w:r w:rsidRPr="00A33B9F">
              <w:rPr>
                <w:rFonts w:ascii="Times New Roman" w:hAnsi="Times New Roman"/>
                <w:noProof/>
                <w:color w:val="000000" w:themeColor="text1"/>
                <w:sz w:val="18"/>
              </w:rPr>
              <w:t>3.</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zawierania niektórych umów, celem uproszczenia procesu zatrudniania. Regulacje prawne stworzą możliwość zawierania</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liczania niektórych umów</w:t>
            </w:r>
            <w:r w:rsidR="00A33B9F" w:rsidRPr="00A33B9F">
              <w:rPr>
                <w:rFonts w:ascii="Times New Roman" w:hAnsi="Times New Roman"/>
                <w:noProof/>
                <w:color w:val="000000" w:themeColor="text1"/>
                <w:sz w:val="18"/>
              </w:rPr>
              <w:t xml:space="preserve"> o pra</w:t>
            </w:r>
            <w:r w:rsidRPr="00A33B9F">
              <w:rPr>
                <w:rFonts w:ascii="Times New Roman" w:hAnsi="Times New Roman"/>
                <w:noProof/>
                <w:color w:val="000000" w:themeColor="text1"/>
                <w:sz w:val="18"/>
              </w:rPr>
              <w:t>cę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elektroniczny, zintegrowany</w:t>
            </w:r>
            <w:r w:rsidR="00A33B9F" w:rsidRPr="00A33B9F">
              <w:rPr>
                <w:rFonts w:ascii="Times New Roman" w:hAnsi="Times New Roman"/>
                <w:noProof/>
                <w:color w:val="000000" w:themeColor="text1"/>
                <w:sz w:val="18"/>
              </w:rPr>
              <w:t xml:space="preserve"> z sys</w:t>
            </w:r>
            <w:r w:rsidRPr="00A33B9F">
              <w:rPr>
                <w:rFonts w:ascii="Times New Roman" w:hAnsi="Times New Roman"/>
                <w:noProof/>
                <w:color w:val="000000" w:themeColor="text1"/>
                <w:sz w:val="18"/>
              </w:rPr>
              <w:t>temem zabezpieczenia społecznego</w:t>
            </w:r>
            <w:r w:rsidR="00A33B9F" w:rsidRPr="00A33B9F">
              <w:rPr>
                <w:rFonts w:ascii="Times New Roman" w:hAnsi="Times New Roman"/>
                <w:noProof/>
                <w:color w:val="000000" w:themeColor="text1"/>
                <w:sz w:val="18"/>
              </w:rPr>
              <w:t xml:space="preserve"> i sys</w:t>
            </w:r>
            <w:r w:rsidRPr="00A33B9F">
              <w:rPr>
                <w:rFonts w:ascii="Times New Roman" w:hAnsi="Times New Roman"/>
                <w:noProof/>
                <w:color w:val="000000" w:themeColor="text1"/>
                <w:sz w:val="18"/>
              </w:rPr>
              <w:t>temem podatkowym. Ułatwi to proces nawiązywania stosunku pracy.</w:t>
            </w:r>
          </w:p>
        </w:tc>
      </w:tr>
      <w:tr w:rsidR="008C116B" w:rsidRPr="00A33B9F" w14:paraId="4D9D8288"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028211" w14:textId="7725A808"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A52G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BB20B"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A4.1 Efektywne instytucje na rzecz rynku pracy</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8856B"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B2B7D6" w14:textId="29F34199"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Nowe normy</w:t>
            </w:r>
            <w:r w:rsidR="00A33B9F" w:rsidRPr="00A33B9F">
              <w:rPr>
                <w:rFonts w:ascii="Times New Roman" w:hAnsi="Times New Roman"/>
                <w:noProof/>
                <w:color w:val="000000"/>
                <w:sz w:val="18"/>
              </w:rPr>
              <w:t xml:space="preserve"> i ram</w:t>
            </w:r>
            <w:r w:rsidRPr="00A33B9F">
              <w:rPr>
                <w:rFonts w:ascii="Times New Roman" w:hAnsi="Times New Roman"/>
                <w:noProof/>
                <w:color w:val="000000"/>
                <w:sz w:val="18"/>
              </w:rPr>
              <w:t>y wykonania</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funkcjonowania</w:t>
            </w:r>
            <w:r w:rsidR="00A33B9F" w:rsidRPr="00A33B9F">
              <w:rPr>
                <w:rFonts w:ascii="Times New Roman" w:hAnsi="Times New Roman"/>
                <w:noProof/>
                <w:color w:val="000000"/>
                <w:sz w:val="18"/>
              </w:rPr>
              <w:t xml:space="preserve"> i koo</w:t>
            </w:r>
            <w:r w:rsidRPr="00A33B9F">
              <w:rPr>
                <w:rFonts w:ascii="Times New Roman" w:hAnsi="Times New Roman"/>
                <w:noProof/>
                <w:color w:val="000000"/>
                <w:sz w:val="18"/>
              </w:rPr>
              <w:t>rdynacji publicznych służb zatrudnienia</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058A95" w14:textId="3C074ABB" w:rsidR="00BE1B25" w:rsidRPr="00A33B9F" w:rsidRDefault="00BE1B25" w:rsidP="0086655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Przyjęcie przez Ministerstwo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ityki Społecznej (MRiPS)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5B4414"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578C6"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A429CE"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0FD3D3"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D0F85E"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DC5FE" w14:textId="415B7C00" w:rsidR="00BE1B25" w:rsidRPr="00A33B9F"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Nowe standardy efektywności</w:t>
            </w:r>
            <w:r w:rsidR="00A33B9F" w:rsidRPr="00A33B9F">
              <w:rPr>
                <w:rFonts w:ascii="Times New Roman" w:hAnsi="Times New Roman"/>
                <w:noProof/>
                <w:color w:val="000000" w:themeColor="text1"/>
                <w:sz w:val="18"/>
              </w:rPr>
              <w:t xml:space="preserve"> i ram</w:t>
            </w:r>
            <w:r w:rsidRPr="00A33B9F">
              <w:rPr>
                <w:rFonts w:ascii="Times New Roman" w:hAnsi="Times New Roman"/>
                <w:noProof/>
                <w:color w:val="000000" w:themeColor="text1"/>
                <w:sz w:val="18"/>
              </w:rPr>
              <w:t>y zarządzania realizacją celów,</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w:t>
            </w:r>
            <w:r w:rsidRPr="00A33B9F">
              <w:rPr>
                <w:noProof/>
              </w:rPr>
              <w:t xml:space="preserve"> </w:t>
            </w:r>
            <w:r w:rsidRPr="00A33B9F">
              <w:rPr>
                <w:noProof/>
              </w:rPr>
              <w:br/>
            </w:r>
            <w:r w:rsidRPr="00A33B9F">
              <w:rPr>
                <w:rFonts w:ascii="Times New Roman" w:hAnsi="Times New Roman"/>
                <w:noProof/>
                <w:color w:val="000000" w:themeColor="text1"/>
                <w:sz w:val="18"/>
              </w:rPr>
              <w:t>– dostosowanie do nowej ustawy</w:t>
            </w:r>
            <w:r w:rsidR="00A33B9F" w:rsidRPr="00A33B9F">
              <w:rPr>
                <w:rFonts w:ascii="Times New Roman" w:hAnsi="Times New Roman"/>
                <w:noProof/>
                <w:color w:val="000000" w:themeColor="text1"/>
                <w:sz w:val="18"/>
              </w:rPr>
              <w:t xml:space="preserve"> o pub</w:t>
            </w:r>
            <w:r w:rsidRPr="00A33B9F">
              <w:rPr>
                <w:rFonts w:ascii="Times New Roman" w:hAnsi="Times New Roman"/>
                <w:noProof/>
                <w:color w:val="000000" w:themeColor="text1"/>
                <w:sz w:val="18"/>
              </w:rPr>
              <w:t>licznych służbach zatrudnienia, ustawy</w:t>
            </w:r>
            <w:r w:rsidR="00A33B9F" w:rsidRPr="00A33B9F">
              <w:rPr>
                <w:rFonts w:ascii="Times New Roman" w:hAnsi="Times New Roman"/>
                <w:noProof/>
                <w:color w:val="000000" w:themeColor="text1"/>
                <w:sz w:val="18"/>
              </w:rPr>
              <w:t xml:space="preserve"> o zat</w:t>
            </w:r>
            <w:r w:rsidRPr="00A33B9F">
              <w:rPr>
                <w:rFonts w:ascii="Times New Roman" w:hAnsi="Times New Roman"/>
                <w:noProof/>
                <w:color w:val="000000" w:themeColor="text1"/>
                <w:sz w:val="18"/>
              </w:rPr>
              <w:t>rudnianiu obywateli państw trzecich oraz ustawy</w:t>
            </w:r>
            <w:r w:rsidR="00A33B9F" w:rsidRPr="00A33B9F">
              <w:rPr>
                <w:rFonts w:ascii="Times New Roman" w:hAnsi="Times New Roman"/>
                <w:noProof/>
                <w:color w:val="000000" w:themeColor="text1"/>
                <w:sz w:val="18"/>
              </w:rPr>
              <w:t xml:space="preserve"> o zaw</w:t>
            </w:r>
            <w:r w:rsidRPr="00A33B9F">
              <w:rPr>
                <w:rFonts w:ascii="Times New Roman" w:hAnsi="Times New Roman"/>
                <w:noProof/>
                <w:color w:val="000000" w:themeColor="text1"/>
                <w:sz w:val="18"/>
              </w:rPr>
              <w:t>ieraniu niektórych umów</w:t>
            </w:r>
            <w:r w:rsidR="00A33B9F" w:rsidRPr="00A33B9F">
              <w:rPr>
                <w:rFonts w:ascii="Times New Roman" w:hAnsi="Times New Roman"/>
                <w:noProof/>
                <w:color w:val="000000" w:themeColor="text1"/>
                <w:sz w:val="18"/>
              </w:rPr>
              <w:t xml:space="preserve"> o pra</w:t>
            </w:r>
            <w:r w:rsidRPr="00A33B9F">
              <w:rPr>
                <w:rFonts w:ascii="Times New Roman" w:hAnsi="Times New Roman"/>
                <w:noProof/>
                <w:color w:val="000000" w:themeColor="text1"/>
                <w:sz w:val="18"/>
              </w:rPr>
              <w:t>cę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elektroniczny,</w:t>
            </w:r>
            <w:r w:rsidRPr="00A33B9F">
              <w:rPr>
                <w:noProof/>
              </w:rPr>
              <w:t xml:space="preserve"> </w:t>
            </w:r>
            <w:r w:rsidRPr="00A33B9F">
              <w:rPr>
                <w:noProof/>
              </w:rPr>
              <w:br/>
            </w:r>
            <w:r w:rsidRPr="00A33B9F">
              <w:rPr>
                <w:rFonts w:ascii="Times New Roman" w:hAnsi="Times New Roman"/>
                <w:noProof/>
                <w:color w:val="000000" w:themeColor="text1"/>
                <w:sz w:val="18"/>
              </w:rPr>
              <w:t>– ustanowienie systemu zarządzania realizacją celów dla zdecentralizowanych organów publicznych służb zatrudnienia,</w:t>
            </w:r>
            <w:r w:rsidRPr="00A33B9F">
              <w:rPr>
                <w:noProof/>
              </w:rPr>
              <w:t xml:space="preserve"> </w:t>
            </w:r>
            <w:r w:rsidRPr="00A33B9F">
              <w:rPr>
                <w:noProof/>
              </w:rPr>
              <w:br/>
            </w:r>
            <w:r w:rsidRPr="00A33B9F">
              <w:rPr>
                <w:rFonts w:ascii="Times New Roman" w:hAnsi="Times New Roman"/>
                <w:noProof/>
                <w:color w:val="000000" w:themeColor="text1"/>
                <w:sz w:val="18"/>
              </w:rPr>
              <w:t>– wypracowanie nowych metod pracy</w:t>
            </w:r>
            <w:r w:rsidR="00A33B9F" w:rsidRPr="00A33B9F">
              <w:rPr>
                <w:rFonts w:ascii="Times New Roman" w:hAnsi="Times New Roman"/>
                <w:noProof/>
                <w:color w:val="000000" w:themeColor="text1"/>
                <w:sz w:val="18"/>
              </w:rPr>
              <w:t xml:space="preserve"> i sta</w:t>
            </w:r>
            <w:r w:rsidRPr="00A33B9F">
              <w:rPr>
                <w:rFonts w:ascii="Times New Roman" w:hAnsi="Times New Roman"/>
                <w:noProof/>
                <w:color w:val="000000" w:themeColor="text1"/>
                <w:sz w:val="18"/>
              </w:rPr>
              <w:t>ndardów funkcjonowania</w:t>
            </w:r>
            <w:r w:rsidR="00A33B9F" w:rsidRPr="00A33B9F">
              <w:rPr>
                <w:rFonts w:ascii="Times New Roman" w:hAnsi="Times New Roman"/>
                <w:noProof/>
                <w:color w:val="000000" w:themeColor="text1"/>
                <w:sz w:val="18"/>
              </w:rPr>
              <w:t xml:space="preserve"> i koo</w:t>
            </w:r>
            <w:r w:rsidRPr="00A33B9F">
              <w:rPr>
                <w:rFonts w:ascii="Times New Roman" w:hAnsi="Times New Roman"/>
                <w:noProof/>
                <w:color w:val="000000" w:themeColor="text1"/>
                <w:sz w:val="18"/>
              </w:rPr>
              <w:t>rdynacji publicznych służb zatrudnienia</w:t>
            </w:r>
            <w:r w:rsidR="00A33B9F" w:rsidRPr="00A33B9F">
              <w:rPr>
                <w:rFonts w:ascii="Times New Roman" w:hAnsi="Times New Roman"/>
                <w:noProof/>
                <w:color w:val="000000" w:themeColor="text1"/>
                <w:sz w:val="18"/>
              </w:rPr>
              <w:t xml:space="preserve"> w opa</w:t>
            </w:r>
            <w:r w:rsidRPr="00A33B9F">
              <w:rPr>
                <w:rFonts w:ascii="Times New Roman" w:hAnsi="Times New Roman"/>
                <w:noProof/>
                <w:color w:val="000000" w:themeColor="text1"/>
                <w:sz w:val="18"/>
              </w:rPr>
              <w:t>rciu</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yjęte nowe regulacje (w celu ich operacjonalizowania</w:t>
            </w:r>
            <w:r w:rsidR="00A33B9F" w:rsidRPr="00A33B9F">
              <w:rPr>
                <w:rFonts w:ascii="Times New Roman" w:hAnsi="Times New Roman"/>
                <w:noProof/>
                <w:color w:val="000000" w:themeColor="text1"/>
                <w:sz w:val="18"/>
              </w:rPr>
              <w:t xml:space="preserve"> i opt</w:t>
            </w:r>
            <w:r w:rsidRPr="00A33B9F">
              <w:rPr>
                <w:rFonts w:ascii="Times New Roman" w:hAnsi="Times New Roman"/>
                <w:noProof/>
                <w:color w:val="000000" w:themeColor="text1"/>
                <w:sz w:val="18"/>
              </w:rPr>
              <w:t>ymalnego stosowania, opracowanie nowych standardów usług dla klientów będzie realizowane</w:t>
            </w:r>
            <w:r w:rsidR="00A33B9F" w:rsidRPr="00A33B9F">
              <w:rPr>
                <w:rFonts w:ascii="Times New Roman" w:hAnsi="Times New Roman"/>
                <w:noProof/>
                <w:color w:val="000000" w:themeColor="text1"/>
                <w:sz w:val="18"/>
              </w:rPr>
              <w:t xml:space="preserve"> z dof</w:t>
            </w:r>
            <w:r w:rsidRPr="00A33B9F">
              <w:rPr>
                <w:rFonts w:ascii="Times New Roman" w:hAnsi="Times New Roman"/>
                <w:noProof/>
                <w:color w:val="000000" w:themeColor="text1"/>
                <w:sz w:val="18"/>
              </w:rPr>
              <w:t>inansowaniem</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EFS+).</w:t>
            </w:r>
          </w:p>
        </w:tc>
      </w:tr>
      <w:tr w:rsidR="008C116B" w:rsidRPr="00A33B9F" w14:paraId="78EA2D86"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440C04" w14:textId="7AAC3DA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A53G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3C7DB7"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A4.1 Efektywne instytucje na rzecz rynku pracy</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E671A0"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AFA447" w14:textId="0990A105"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Przeprowadzenie procesu konsultacji</w:t>
            </w:r>
            <w:r w:rsidR="00A33B9F" w:rsidRPr="00A33B9F">
              <w:rPr>
                <w:rFonts w:ascii="Times New Roman" w:hAnsi="Times New Roman"/>
                <w:noProof/>
                <w:color w:val="000000"/>
                <w:sz w:val="18"/>
              </w:rPr>
              <w:t xml:space="preserve"> z par</w:t>
            </w:r>
            <w:r w:rsidRPr="00A33B9F">
              <w:rPr>
                <w:rFonts w:ascii="Times New Roman" w:hAnsi="Times New Roman"/>
                <w:noProof/>
                <w:color w:val="000000"/>
                <w:sz w:val="18"/>
              </w:rPr>
              <w:t>tnerami społecznymi na temat potencjału porozumień zbiorowych oraz przeprowadzenie kompleksowego badania dotyczącego potencjalnej roli jednolitej umowy</w:t>
            </w:r>
            <w:r w:rsidR="00A33B9F" w:rsidRPr="00A33B9F">
              <w:rPr>
                <w:rFonts w:ascii="Times New Roman" w:hAnsi="Times New Roman"/>
                <w:noProof/>
                <w:color w:val="000000"/>
                <w:sz w:val="18"/>
              </w:rPr>
              <w:t xml:space="preserve"> o pra</w:t>
            </w:r>
            <w:r w:rsidRPr="00A33B9F">
              <w:rPr>
                <w:rFonts w:ascii="Times New Roman" w:hAnsi="Times New Roman"/>
                <w:noProof/>
                <w:color w:val="000000"/>
                <w:sz w:val="18"/>
              </w:rPr>
              <w:t>cę</w:t>
            </w:r>
            <w:r w:rsidR="00A33B9F" w:rsidRPr="00A33B9F">
              <w:rPr>
                <w:rFonts w:ascii="Times New Roman" w:hAnsi="Times New Roman"/>
                <w:noProof/>
                <w:color w:val="000000"/>
                <w:sz w:val="18"/>
              </w:rPr>
              <w:t xml:space="preserve"> w zap</w:t>
            </w:r>
            <w:r w:rsidRPr="00A33B9F">
              <w:rPr>
                <w:rFonts w:ascii="Times New Roman" w:hAnsi="Times New Roman"/>
                <w:noProof/>
                <w:color w:val="000000"/>
                <w:sz w:val="18"/>
              </w:rPr>
              <w:t>ewnianiu nowej elastyczności</w:t>
            </w:r>
            <w:r w:rsidR="00A33B9F" w:rsidRPr="00A33B9F">
              <w:rPr>
                <w:rFonts w:ascii="Times New Roman" w:hAnsi="Times New Roman"/>
                <w:noProof/>
                <w:color w:val="000000"/>
                <w:sz w:val="18"/>
              </w:rPr>
              <w:t xml:space="preserve"> i bez</w:t>
            </w:r>
            <w:r w:rsidRPr="00A33B9F">
              <w:rPr>
                <w:rFonts w:ascii="Times New Roman" w:hAnsi="Times New Roman"/>
                <w:noProof/>
                <w:color w:val="000000"/>
                <w:sz w:val="18"/>
              </w:rPr>
              <w:t>pieczeństwa na polskim rynku pracy</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9491C" w14:textId="4BEE9784" w:rsidR="00BE1B25" w:rsidRPr="00A33B9F" w:rsidRDefault="00BE1B25" w:rsidP="00D6775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Publikacja sprawozdań</w:t>
            </w:r>
            <w:r w:rsidR="00A33B9F" w:rsidRPr="00A33B9F">
              <w:rPr>
                <w:rFonts w:ascii="Times New Roman" w:hAnsi="Times New Roman"/>
                <w:noProof/>
                <w:color w:val="000000" w:themeColor="text1"/>
                <w:sz w:val="18"/>
              </w:rPr>
              <w:t xml:space="preserve"> z kon</w:t>
            </w:r>
            <w:r w:rsidRPr="00A33B9F">
              <w:rPr>
                <w:rFonts w:ascii="Times New Roman" w:hAnsi="Times New Roman"/>
                <w:noProof/>
                <w:color w:val="000000" w:themeColor="text1"/>
                <w:sz w:val="18"/>
              </w:rPr>
              <w:t>sultacji</w:t>
            </w:r>
            <w:r w:rsidR="00A33B9F" w:rsidRPr="00A33B9F">
              <w:rPr>
                <w:rFonts w:ascii="Times New Roman" w:hAnsi="Times New Roman"/>
                <w:noProof/>
                <w:color w:val="000000" w:themeColor="text1"/>
                <w:sz w:val="18"/>
              </w:rPr>
              <w:t xml:space="preserve"> z par</w:t>
            </w:r>
            <w:r w:rsidRPr="00A33B9F">
              <w:rPr>
                <w:rFonts w:ascii="Times New Roman" w:hAnsi="Times New Roman"/>
                <w:noProof/>
                <w:color w:val="000000" w:themeColor="text1"/>
                <w:sz w:val="18"/>
              </w:rPr>
              <w:t>tnerami społecznymi przez Ministerstwo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ityki Społecznej (MRiPS)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64FEAB"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5B8C8A"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8DBDE2"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63436"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7ED589"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A58D10" w14:textId="4BB84696"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Celem konsultacji</w:t>
            </w:r>
            <w:r w:rsidR="00A33B9F" w:rsidRPr="00A33B9F">
              <w:rPr>
                <w:rFonts w:ascii="Times New Roman" w:hAnsi="Times New Roman"/>
                <w:noProof/>
                <w:color w:val="000000"/>
                <w:sz w:val="18"/>
              </w:rPr>
              <w:t xml:space="preserve"> z par</w:t>
            </w:r>
            <w:r w:rsidRPr="00A33B9F">
              <w:rPr>
                <w:rFonts w:ascii="Times New Roman" w:hAnsi="Times New Roman"/>
                <w:noProof/>
                <w:color w:val="000000"/>
                <w:sz w:val="18"/>
              </w:rPr>
              <w:t>tnerami społecznymi jest określenie roli</w:t>
            </w:r>
            <w:r w:rsidR="00A33B9F" w:rsidRPr="00A33B9F">
              <w:rPr>
                <w:rFonts w:ascii="Times New Roman" w:hAnsi="Times New Roman"/>
                <w:noProof/>
                <w:color w:val="000000"/>
                <w:sz w:val="18"/>
              </w:rPr>
              <w:t xml:space="preserve"> i pot</w:t>
            </w:r>
            <w:r w:rsidRPr="00A33B9F">
              <w:rPr>
                <w:rFonts w:ascii="Times New Roman" w:hAnsi="Times New Roman"/>
                <w:noProof/>
                <w:color w:val="000000"/>
                <w:sz w:val="18"/>
              </w:rPr>
              <w:t>encjału porozumień zbiorowych na polskim rynku pracy</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zapewnienia nowych elastycznych rozwiązań dopasowanych do nowej, szybko zmieniającej się rzeczywistości. Zostanie przeprowadzone badanie służące uwzględnieniu potencjału ewentualnej jednolitej umowy</w:t>
            </w:r>
            <w:r w:rsidR="00A33B9F" w:rsidRPr="00A33B9F">
              <w:rPr>
                <w:rFonts w:ascii="Times New Roman" w:hAnsi="Times New Roman"/>
                <w:noProof/>
                <w:color w:val="000000"/>
                <w:sz w:val="18"/>
              </w:rPr>
              <w:t xml:space="preserve"> o pra</w:t>
            </w:r>
            <w:r w:rsidRPr="00A33B9F">
              <w:rPr>
                <w:rFonts w:ascii="Times New Roman" w:hAnsi="Times New Roman"/>
                <w:noProof/>
                <w:color w:val="000000"/>
                <w:sz w:val="18"/>
              </w:rPr>
              <w:t>cę, przedstawieniu podstawy analitycznej</w:t>
            </w:r>
            <w:r w:rsidR="00A33B9F" w:rsidRPr="00A33B9F">
              <w:rPr>
                <w:rFonts w:ascii="Times New Roman" w:hAnsi="Times New Roman"/>
                <w:noProof/>
                <w:color w:val="000000"/>
                <w:sz w:val="18"/>
              </w:rPr>
              <w:t xml:space="preserve"> i pra</w:t>
            </w:r>
            <w:r w:rsidRPr="00A33B9F">
              <w:rPr>
                <w:rFonts w:ascii="Times New Roman" w:hAnsi="Times New Roman"/>
                <w:noProof/>
                <w:color w:val="000000"/>
                <w:sz w:val="18"/>
              </w:rPr>
              <w:t xml:space="preserve">wnej oraz stosowaniu analizy porównawczej. Przy jego opracowywaniu można wykorzystać wsparcie organizacji międzynarodowych lub specjalną pomoc techniczną. </w:t>
            </w:r>
          </w:p>
        </w:tc>
      </w:tr>
      <w:tr w:rsidR="008C116B" w:rsidRPr="00A33B9F" w14:paraId="635CFE29"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DE38F6" w14:textId="3CC62E86"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A54G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D55F7A"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A4.1 Efektywne instytucje na rzecz rynku pracy</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74ED57"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834AEB" w14:textId="091C6235"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zmienionych odpowiednich ustaw</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wdrożenia priorytetów</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reformy określonych</w:t>
            </w:r>
            <w:r w:rsidR="00A33B9F" w:rsidRPr="00A33B9F">
              <w:rPr>
                <w:rFonts w:ascii="Times New Roman" w:hAnsi="Times New Roman"/>
                <w:noProof/>
                <w:color w:val="000000"/>
                <w:sz w:val="18"/>
              </w:rPr>
              <w:t xml:space="preserve"> w kon</w:t>
            </w:r>
            <w:r w:rsidRPr="00A33B9F">
              <w:rPr>
                <w:rFonts w:ascii="Times New Roman" w:hAnsi="Times New Roman"/>
                <w:noProof/>
                <w:color w:val="000000"/>
                <w:sz w:val="18"/>
              </w:rPr>
              <w:t>sultacjach na temat porozumień zbiorowych oraz</w:t>
            </w:r>
            <w:r w:rsidR="00A33B9F" w:rsidRPr="00A33B9F">
              <w:rPr>
                <w:rFonts w:ascii="Times New Roman" w:hAnsi="Times New Roman"/>
                <w:noProof/>
                <w:color w:val="000000"/>
                <w:sz w:val="18"/>
              </w:rPr>
              <w:t xml:space="preserve"> w bad</w:t>
            </w:r>
            <w:r w:rsidRPr="00A33B9F">
              <w:rPr>
                <w:rFonts w:ascii="Times New Roman" w:hAnsi="Times New Roman"/>
                <w:noProof/>
                <w:color w:val="000000"/>
                <w:sz w:val="18"/>
              </w:rPr>
              <w:t>aniu dotyczącym jednolitej umowy</w:t>
            </w:r>
            <w:r w:rsidR="00A33B9F" w:rsidRPr="00A33B9F">
              <w:rPr>
                <w:rFonts w:ascii="Times New Roman" w:hAnsi="Times New Roman"/>
                <w:noProof/>
                <w:color w:val="000000"/>
                <w:sz w:val="18"/>
              </w:rPr>
              <w:t xml:space="preserve"> o pra</w:t>
            </w:r>
            <w:r w:rsidRPr="00A33B9F">
              <w:rPr>
                <w:rFonts w:ascii="Times New Roman" w:hAnsi="Times New Roman"/>
                <w:noProof/>
                <w:color w:val="000000"/>
                <w:sz w:val="18"/>
              </w:rPr>
              <w:t>cę</w:t>
            </w:r>
            <w:r w:rsidR="00A33B9F" w:rsidRPr="00A33B9F">
              <w:rPr>
                <w:rFonts w:ascii="Times New Roman" w:hAnsi="Times New Roman"/>
                <w:noProof/>
                <w:color w:val="000000"/>
                <w:sz w:val="18"/>
              </w:rPr>
              <w:t xml:space="preserve"> w Pol</w:t>
            </w:r>
            <w:r w:rsidRPr="00A33B9F">
              <w:rPr>
                <w:rFonts w:ascii="Times New Roman" w:hAnsi="Times New Roman"/>
                <w:noProof/>
                <w:color w:val="000000"/>
                <w:sz w:val="18"/>
              </w:rPr>
              <w:t>sce</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1ABA93" w14:textId="5DCF3FC5" w:rsidR="00BE1B25" w:rsidRPr="00A33B9F" w:rsidRDefault="65520F3A"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odpowiednich ustaw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2D7DC3"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835728"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FD6BF3"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C7C0D8"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689B90"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ADEBCE" w14:textId="15722235" w:rsidR="00BE1B25" w:rsidRPr="00A33B9F" w:rsidRDefault="00BE1B25" w:rsidP="00DE54E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zmienionych odpowiednich ustaw</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wdrożenia priorytetów</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reformy określonych</w:t>
            </w:r>
            <w:r w:rsidR="00A33B9F" w:rsidRPr="00A33B9F">
              <w:rPr>
                <w:rFonts w:ascii="Times New Roman" w:hAnsi="Times New Roman"/>
                <w:noProof/>
                <w:color w:val="000000"/>
                <w:sz w:val="18"/>
              </w:rPr>
              <w:t xml:space="preserve"> w bad</w:t>
            </w:r>
            <w:r w:rsidRPr="00A33B9F">
              <w:rPr>
                <w:rFonts w:ascii="Times New Roman" w:hAnsi="Times New Roman"/>
                <w:noProof/>
                <w:color w:val="000000"/>
                <w:sz w:val="18"/>
              </w:rPr>
              <w:t>aniu dotyczącym potencjalnego znaczenia jednolitej umowy</w:t>
            </w:r>
            <w:r w:rsidR="00A33B9F" w:rsidRPr="00A33B9F">
              <w:rPr>
                <w:rFonts w:ascii="Times New Roman" w:hAnsi="Times New Roman"/>
                <w:noProof/>
                <w:color w:val="000000"/>
                <w:sz w:val="18"/>
              </w:rPr>
              <w:t xml:space="preserve"> o pra</w:t>
            </w:r>
            <w:r w:rsidRPr="00A33B9F">
              <w:rPr>
                <w:rFonts w:ascii="Times New Roman" w:hAnsi="Times New Roman"/>
                <w:noProof/>
                <w:color w:val="000000"/>
                <w:sz w:val="18"/>
              </w:rPr>
              <w:t>cę oraz zgodnie</w:t>
            </w:r>
            <w:r w:rsidR="00A33B9F" w:rsidRPr="00A33B9F">
              <w:rPr>
                <w:rFonts w:ascii="Times New Roman" w:hAnsi="Times New Roman"/>
                <w:noProof/>
                <w:color w:val="000000"/>
                <w:sz w:val="18"/>
              </w:rPr>
              <w:t xml:space="preserve"> z kon</w:t>
            </w:r>
            <w:r w:rsidRPr="00A33B9F">
              <w:rPr>
                <w:rFonts w:ascii="Times New Roman" w:hAnsi="Times New Roman"/>
                <w:noProof/>
                <w:color w:val="000000"/>
                <w:sz w:val="18"/>
              </w:rPr>
              <w:t>sultacjami na temat porozumień zbiorowych</w:t>
            </w:r>
          </w:p>
        </w:tc>
      </w:tr>
      <w:tr w:rsidR="008C116B" w:rsidRPr="00A33B9F" w14:paraId="5346AC47"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19E73" w14:textId="19F3921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A55G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B9384C"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A4.1.1 Inwestycje wspierające reformę instytucji rynku pracy</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5E76AE"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810EEF" w14:textId="4876BCB4"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Publiczne służby zatrudnienia,</w:t>
            </w:r>
            <w:r w:rsidR="00A33B9F" w:rsidRPr="00A33B9F">
              <w:rPr>
                <w:rFonts w:ascii="Times New Roman" w:hAnsi="Times New Roman"/>
                <w:noProof/>
                <w:color w:val="000000"/>
                <w:sz w:val="18"/>
              </w:rPr>
              <w:t xml:space="preserve"> w któ</w:t>
            </w:r>
            <w:r w:rsidRPr="00A33B9F">
              <w:rPr>
                <w:rFonts w:ascii="Times New Roman" w:hAnsi="Times New Roman"/>
                <w:noProof/>
                <w:color w:val="000000"/>
                <w:sz w:val="18"/>
              </w:rPr>
              <w:t>rych zostaną wdrożone zmodernizowane systemy informatyczne</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EEC1AA"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F3FE7E"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(procent)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6BB521"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B72823"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88100"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764896"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32881" w14:textId="4ABC1D5B" w:rsidR="00BE1B25" w:rsidRPr="00A33B9F" w:rsidRDefault="00BE1B25" w:rsidP="00C6743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Udział publicznych służb zatrudnienia (urzędów),</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zainstalowano systemy informatyczne. Wdrożenie polega na:</w:t>
            </w:r>
            <w:r w:rsidRPr="00A33B9F">
              <w:rPr>
                <w:noProof/>
              </w:rPr>
              <w:t xml:space="preserve"> </w:t>
            </w:r>
            <w:r w:rsidRPr="00A33B9F">
              <w:rPr>
                <w:noProof/>
              </w:rPr>
              <w:br/>
            </w:r>
            <w:r w:rsidRPr="00A33B9F">
              <w:rPr>
                <w:rFonts w:ascii="Times New Roman" w:hAnsi="Times New Roman"/>
                <w:noProof/>
                <w:color w:val="000000" w:themeColor="text1"/>
                <w:sz w:val="18"/>
              </w:rPr>
              <w:t>– modernizacji systemu informatycznego (wdrożeniu nowych funkcjonalności obecnego systemu informatycznego, dostosowaniu go do nowych zadań zgodnie</w:t>
            </w:r>
            <w:r w:rsidR="00A33B9F" w:rsidRPr="00A33B9F">
              <w:rPr>
                <w:rFonts w:ascii="Times New Roman" w:hAnsi="Times New Roman"/>
                <w:noProof/>
                <w:color w:val="000000" w:themeColor="text1"/>
                <w:sz w:val="18"/>
              </w:rPr>
              <w:t xml:space="preserve"> z now</w:t>
            </w:r>
            <w:r w:rsidRPr="00A33B9F">
              <w:rPr>
                <w:rFonts w:ascii="Times New Roman" w:hAnsi="Times New Roman"/>
                <w:noProof/>
                <w:color w:val="000000" w:themeColor="text1"/>
                <w:sz w:val="18"/>
              </w:rPr>
              <w:t>ą ustawą, takich jak nowe zadania służb dla cudzoziemców)</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efektywnego zarządzania aktywnymi politykami rynku pracy</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cedurami publicznych służb zatrudnienia oraz narzędzi cyfrowych na rzecz aktywnej polityki rynku pracy</w:t>
            </w:r>
            <w:r w:rsidR="00A33B9F" w:rsidRPr="00A33B9F">
              <w:rPr>
                <w:rFonts w:ascii="Times New Roman" w:hAnsi="Times New Roman"/>
                <w:noProof/>
                <w:color w:val="000000" w:themeColor="text1"/>
                <w:sz w:val="18"/>
              </w:rPr>
              <w:t xml:space="preserve"> w pub</w:t>
            </w:r>
            <w:r w:rsidRPr="00A33B9F">
              <w:rPr>
                <w:rFonts w:ascii="Times New Roman" w:hAnsi="Times New Roman"/>
                <w:noProof/>
                <w:color w:val="000000" w:themeColor="text1"/>
                <w:sz w:val="18"/>
              </w:rPr>
              <w:t>licznych służbach zatrudnienia,</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zintegrowaniu</w:t>
            </w:r>
            <w:r w:rsidR="00A33B9F" w:rsidRPr="00A33B9F">
              <w:rPr>
                <w:rFonts w:ascii="Times New Roman" w:hAnsi="Times New Roman"/>
                <w:noProof/>
                <w:color w:val="000000" w:themeColor="text1"/>
                <w:sz w:val="18"/>
              </w:rPr>
              <w:t xml:space="preserve"> z dan</w:t>
            </w:r>
            <w:r w:rsidRPr="00A33B9F">
              <w:rPr>
                <w:rFonts w:ascii="Times New Roman" w:hAnsi="Times New Roman"/>
                <w:noProof/>
                <w:color w:val="000000" w:themeColor="text1"/>
                <w:sz w:val="18"/>
              </w:rPr>
              <w:t>ymi</w:t>
            </w:r>
            <w:r w:rsidR="00A33B9F" w:rsidRPr="00A33B9F">
              <w:rPr>
                <w:rFonts w:ascii="Times New Roman" w:hAnsi="Times New Roman"/>
                <w:noProof/>
                <w:color w:val="000000" w:themeColor="text1"/>
                <w:sz w:val="18"/>
              </w:rPr>
              <w:t xml:space="preserve"> z inn</w:t>
            </w:r>
            <w:r w:rsidRPr="00A33B9F">
              <w:rPr>
                <w:rFonts w:ascii="Times New Roman" w:hAnsi="Times New Roman"/>
                <w:noProof/>
                <w:color w:val="000000" w:themeColor="text1"/>
                <w:sz w:val="18"/>
              </w:rPr>
              <w:t>ych komplementarnych systemów informatycznych</w:t>
            </w:r>
            <w:r w:rsidR="00A33B9F" w:rsidRPr="00A33B9F">
              <w:rPr>
                <w:rFonts w:ascii="Times New Roman" w:hAnsi="Times New Roman"/>
                <w:noProof/>
                <w:color w:val="000000" w:themeColor="text1"/>
                <w:sz w:val="18"/>
              </w:rPr>
              <w:t xml:space="preserve"> w odp</w:t>
            </w:r>
            <w:r w:rsidRPr="00A33B9F">
              <w:rPr>
                <w:rFonts w:ascii="Times New Roman" w:hAnsi="Times New Roman"/>
                <w:noProof/>
                <w:color w:val="000000" w:themeColor="text1"/>
                <w:sz w:val="18"/>
              </w:rPr>
              <w:t>owiednich obszarach (m.in. rejestrach ubezpieczeń społecznych</w:t>
            </w:r>
            <w:r w:rsidR="00A33B9F" w:rsidRPr="00A33B9F">
              <w:rPr>
                <w:rFonts w:ascii="Times New Roman" w:hAnsi="Times New Roman"/>
                <w:noProof/>
                <w:color w:val="000000" w:themeColor="text1"/>
                <w:sz w:val="18"/>
              </w:rPr>
              <w:t xml:space="preserve"> i pod</w:t>
            </w:r>
            <w:r w:rsidRPr="00A33B9F">
              <w:rPr>
                <w:rFonts w:ascii="Times New Roman" w:hAnsi="Times New Roman"/>
                <w:noProof/>
                <w:color w:val="000000" w:themeColor="text1"/>
                <w:sz w:val="18"/>
              </w:rPr>
              <w:t>atkowych);</w:t>
            </w:r>
            <w:r w:rsidRPr="00A33B9F">
              <w:rPr>
                <w:noProof/>
              </w:rPr>
              <w:t xml:space="preserve"> </w:t>
            </w:r>
            <w:r w:rsidRPr="00A33B9F">
              <w:rPr>
                <w:noProof/>
              </w:rPr>
              <w:br/>
            </w:r>
            <w:r w:rsidRPr="00A33B9F">
              <w:rPr>
                <w:rFonts w:ascii="Times New Roman" w:hAnsi="Times New Roman"/>
                <w:noProof/>
                <w:color w:val="000000" w:themeColor="text1"/>
                <w:sz w:val="18"/>
              </w:rPr>
              <w:t>– transformacji cyfrowej procesów</w:t>
            </w:r>
            <w:r w:rsidR="00A33B9F" w:rsidRPr="00A33B9F">
              <w:rPr>
                <w:rFonts w:ascii="Times New Roman" w:hAnsi="Times New Roman"/>
                <w:noProof/>
                <w:color w:val="000000" w:themeColor="text1"/>
                <w:sz w:val="18"/>
              </w:rPr>
              <w:t xml:space="preserve"> i nar</w:t>
            </w:r>
            <w:r w:rsidRPr="00A33B9F">
              <w:rPr>
                <w:rFonts w:ascii="Times New Roman" w:hAnsi="Times New Roman"/>
                <w:noProof/>
                <w:color w:val="000000" w:themeColor="text1"/>
                <w:sz w:val="18"/>
              </w:rPr>
              <w:t>zędzi wykorzystywanych przez publiczne służby zatrudnienia;</w:t>
            </w:r>
            <w:r w:rsidRPr="00A33B9F">
              <w:rPr>
                <w:noProof/>
              </w:rPr>
              <w:t xml:space="preserve"> </w:t>
            </w:r>
            <w:r w:rsidRPr="00A33B9F">
              <w:rPr>
                <w:noProof/>
              </w:rPr>
              <w:br/>
            </w:r>
            <w:r w:rsidRPr="00A33B9F">
              <w:rPr>
                <w:rFonts w:ascii="Times New Roman" w:hAnsi="Times New Roman"/>
                <w:noProof/>
                <w:color w:val="000000" w:themeColor="text1"/>
                <w:sz w:val="18"/>
              </w:rPr>
              <w:t>– modernizacji istniejących lub wdrożeniu nowych rozwiązań informatycznych wykorzystywanych przez publiczne służby zatrudnienia, także</w:t>
            </w:r>
            <w:r w:rsidR="00A33B9F" w:rsidRPr="00A33B9F">
              <w:rPr>
                <w:rFonts w:ascii="Times New Roman" w:hAnsi="Times New Roman"/>
                <w:noProof/>
                <w:color w:val="000000" w:themeColor="text1"/>
                <w:sz w:val="18"/>
              </w:rPr>
              <w:t xml:space="preserve"> w obs</w:t>
            </w:r>
            <w:r w:rsidRPr="00A33B9F">
              <w:rPr>
                <w:rFonts w:ascii="Times New Roman" w:hAnsi="Times New Roman"/>
                <w:noProof/>
                <w:color w:val="000000" w:themeColor="text1"/>
                <w:sz w:val="18"/>
              </w:rPr>
              <w:t>łudze ich klientów;</w:t>
            </w:r>
            <w:r w:rsidRPr="00A33B9F">
              <w:rPr>
                <w:noProof/>
              </w:rPr>
              <w:t xml:space="preserve"> </w:t>
            </w:r>
            <w:r w:rsidRPr="00A33B9F">
              <w:rPr>
                <w:noProof/>
              </w:rPr>
              <w:br/>
            </w:r>
            <w:r w:rsidRPr="00A33B9F">
              <w:rPr>
                <w:rFonts w:ascii="Times New Roman" w:hAnsi="Times New Roman"/>
                <w:noProof/>
                <w:color w:val="000000" w:themeColor="text1"/>
                <w:sz w:val="18"/>
              </w:rPr>
              <w:t>– rozbudowie infrastruktury ICT publicznych służb zatrudnienia;</w:t>
            </w:r>
            <w:r w:rsidRPr="00A33B9F">
              <w:rPr>
                <w:noProof/>
              </w:rPr>
              <w:t xml:space="preserve"> </w:t>
            </w:r>
            <w:r w:rsidRPr="00A33B9F">
              <w:rPr>
                <w:noProof/>
              </w:rPr>
              <w:br/>
            </w:r>
            <w:r w:rsidRPr="00A33B9F">
              <w:rPr>
                <w:rFonts w:ascii="Times New Roman" w:hAnsi="Times New Roman"/>
                <w:noProof/>
                <w:color w:val="000000" w:themeColor="text1"/>
                <w:sz w:val="18"/>
              </w:rPr>
              <w:t>– wdrożeniu nowych narzędzi komunikacji (w tym informatycznych)</w:t>
            </w:r>
            <w:r w:rsidR="00A33B9F" w:rsidRPr="00A33B9F">
              <w:rPr>
                <w:rFonts w:ascii="Times New Roman" w:hAnsi="Times New Roman"/>
                <w:noProof/>
                <w:color w:val="000000" w:themeColor="text1"/>
                <w:sz w:val="18"/>
              </w:rPr>
              <w:t xml:space="preserve"> z kli</w:t>
            </w:r>
            <w:r w:rsidRPr="00A33B9F">
              <w:rPr>
                <w:rFonts w:ascii="Times New Roman" w:hAnsi="Times New Roman"/>
                <w:noProof/>
                <w:color w:val="000000" w:themeColor="text1"/>
                <w:sz w:val="18"/>
              </w:rPr>
              <w:t>entami.</w:t>
            </w:r>
          </w:p>
        </w:tc>
      </w:tr>
      <w:tr w:rsidR="008C116B" w:rsidRPr="00A33B9F" w14:paraId="18D62F36"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B76B51" w14:textId="303833CE"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A56G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175B9B"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A4.1.1 Inwestycje wspierające reformę instytucji rynku pracy</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531FA2"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FA922" w14:textId="245278C0" w:rsidR="00BE1B25" w:rsidRPr="00A33B9F"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Pracownicy publicznych służb zatrudnienia przeszkoleni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stosowania nowych procedur</w:t>
            </w:r>
            <w:r w:rsidR="00A33B9F" w:rsidRPr="00A33B9F">
              <w:rPr>
                <w:rFonts w:ascii="Times New Roman" w:hAnsi="Times New Roman"/>
                <w:noProof/>
                <w:color w:val="000000" w:themeColor="text1"/>
                <w:sz w:val="18"/>
              </w:rPr>
              <w:t xml:space="preserve"> i wyk</w:t>
            </w:r>
            <w:r w:rsidRPr="00A33B9F">
              <w:rPr>
                <w:rFonts w:ascii="Times New Roman" w:hAnsi="Times New Roman"/>
                <w:noProof/>
                <w:color w:val="000000" w:themeColor="text1"/>
                <w:sz w:val="18"/>
              </w:rPr>
              <w:t>orzystywania narzędzi informatycznych, które wdrożono</w:t>
            </w:r>
            <w:r w:rsidR="00A33B9F" w:rsidRPr="00A33B9F">
              <w:rPr>
                <w:rFonts w:ascii="Times New Roman" w:hAnsi="Times New Roman"/>
                <w:noProof/>
                <w:color w:val="000000" w:themeColor="text1"/>
                <w:sz w:val="18"/>
              </w:rPr>
              <w:t xml:space="preserve"> w zwi</w:t>
            </w:r>
            <w:r w:rsidRPr="00A33B9F">
              <w:rPr>
                <w:rFonts w:ascii="Times New Roman" w:hAnsi="Times New Roman"/>
                <w:noProof/>
                <w:color w:val="000000" w:themeColor="text1"/>
                <w:sz w:val="18"/>
              </w:rPr>
              <w:t>ązku</w:t>
            </w:r>
            <w:r w:rsidR="00A33B9F" w:rsidRPr="00A33B9F">
              <w:rPr>
                <w:rFonts w:ascii="Times New Roman" w:hAnsi="Times New Roman"/>
                <w:noProof/>
                <w:color w:val="000000" w:themeColor="text1"/>
                <w:sz w:val="18"/>
              </w:rPr>
              <w:t xml:space="preserve"> z now</w:t>
            </w:r>
            <w:r w:rsidRPr="00A33B9F">
              <w:rPr>
                <w:rFonts w:ascii="Times New Roman" w:hAnsi="Times New Roman"/>
                <w:noProof/>
                <w:color w:val="000000" w:themeColor="text1"/>
                <w:sz w:val="18"/>
              </w:rPr>
              <w:t>ą ustawą</w:t>
            </w:r>
            <w:r w:rsidR="00A33B9F" w:rsidRPr="00A33B9F">
              <w:rPr>
                <w:rFonts w:ascii="Times New Roman" w:hAnsi="Times New Roman"/>
                <w:noProof/>
                <w:color w:val="000000" w:themeColor="text1"/>
                <w:sz w:val="18"/>
              </w:rPr>
              <w:t xml:space="preserve"> o pub</w:t>
            </w:r>
            <w:r w:rsidRPr="00A33B9F">
              <w:rPr>
                <w:rFonts w:ascii="Times New Roman" w:hAnsi="Times New Roman"/>
                <w:noProof/>
                <w:color w:val="000000" w:themeColor="text1"/>
                <w:sz w:val="18"/>
              </w:rPr>
              <w:t>licznych służbach zatrudnienia, ustawą</w:t>
            </w:r>
            <w:r w:rsidR="00A33B9F" w:rsidRPr="00A33B9F">
              <w:rPr>
                <w:rFonts w:ascii="Times New Roman" w:hAnsi="Times New Roman"/>
                <w:noProof/>
                <w:color w:val="000000" w:themeColor="text1"/>
                <w:sz w:val="18"/>
              </w:rPr>
              <w:t xml:space="preserve"> o zat</w:t>
            </w:r>
            <w:r w:rsidRPr="00A33B9F">
              <w:rPr>
                <w:rFonts w:ascii="Times New Roman" w:hAnsi="Times New Roman"/>
                <w:noProof/>
                <w:color w:val="000000" w:themeColor="text1"/>
                <w:sz w:val="18"/>
              </w:rPr>
              <w:t>rudnianiu obywateli państw trzecich oraz ustawą</w:t>
            </w:r>
            <w:r w:rsidR="00A33B9F" w:rsidRPr="00A33B9F">
              <w:rPr>
                <w:rFonts w:ascii="Times New Roman" w:hAnsi="Times New Roman"/>
                <w:noProof/>
                <w:color w:val="000000" w:themeColor="text1"/>
                <w:sz w:val="18"/>
              </w:rPr>
              <w:t xml:space="preserve"> o zaw</w:t>
            </w:r>
            <w:r w:rsidRPr="00A33B9F">
              <w:rPr>
                <w:rFonts w:ascii="Times New Roman" w:hAnsi="Times New Roman"/>
                <w:noProof/>
                <w:color w:val="000000" w:themeColor="text1"/>
                <w:sz w:val="18"/>
              </w:rPr>
              <w:t>ieraniu niektórych umów</w:t>
            </w:r>
            <w:r w:rsidR="00A33B9F" w:rsidRPr="00A33B9F">
              <w:rPr>
                <w:rFonts w:ascii="Times New Roman" w:hAnsi="Times New Roman"/>
                <w:noProof/>
                <w:color w:val="000000" w:themeColor="text1"/>
                <w:sz w:val="18"/>
              </w:rPr>
              <w:t xml:space="preserve"> o pra</w:t>
            </w:r>
            <w:r w:rsidRPr="00A33B9F">
              <w:rPr>
                <w:rFonts w:ascii="Times New Roman" w:hAnsi="Times New Roman"/>
                <w:noProof/>
                <w:color w:val="000000" w:themeColor="text1"/>
                <w:sz w:val="18"/>
              </w:rPr>
              <w:t>cę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elektroniczny</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7E312" w14:textId="77777777" w:rsidR="00BE1B25" w:rsidRPr="00A33B9F" w:rsidRDefault="66DCEF2E"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44A874"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(procent)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AF8648"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8893D"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50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7E03F"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78E455"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9B1A5" w14:textId="422DF637" w:rsidR="00BE1B25" w:rsidRPr="00A33B9F" w:rsidRDefault="48818174"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Pracowników publicznych służb zatrudnienia ukończą szkolenie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nowych procedur</w:t>
            </w:r>
            <w:r w:rsidR="00A33B9F" w:rsidRPr="00A33B9F">
              <w:rPr>
                <w:rFonts w:ascii="Times New Roman" w:hAnsi="Times New Roman"/>
                <w:noProof/>
                <w:color w:val="000000" w:themeColor="text1"/>
                <w:sz w:val="18"/>
              </w:rPr>
              <w:t xml:space="preserve"> i sta</w:t>
            </w:r>
            <w:r w:rsidRPr="00A33B9F">
              <w:rPr>
                <w:rFonts w:ascii="Times New Roman" w:hAnsi="Times New Roman"/>
                <w:noProof/>
                <w:color w:val="000000" w:themeColor="text1"/>
                <w:sz w:val="18"/>
              </w:rPr>
              <w:t>ndardów określonych</w:t>
            </w:r>
            <w:r w:rsidR="00A33B9F" w:rsidRPr="00A33B9F">
              <w:rPr>
                <w:rFonts w:ascii="Times New Roman" w:hAnsi="Times New Roman"/>
                <w:noProof/>
                <w:color w:val="000000" w:themeColor="text1"/>
                <w:sz w:val="18"/>
              </w:rPr>
              <w:t xml:space="preserve"> w now</w:t>
            </w:r>
            <w:r w:rsidRPr="00A33B9F">
              <w:rPr>
                <w:rFonts w:ascii="Times New Roman" w:hAnsi="Times New Roman"/>
                <w:noProof/>
                <w:color w:val="000000" w:themeColor="text1"/>
                <w:sz w:val="18"/>
              </w:rPr>
              <w:t>ej ustawie</w:t>
            </w:r>
            <w:r w:rsidR="00A33B9F" w:rsidRPr="00A33B9F">
              <w:rPr>
                <w:rFonts w:ascii="Times New Roman" w:hAnsi="Times New Roman"/>
                <w:noProof/>
                <w:color w:val="000000" w:themeColor="text1"/>
                <w:sz w:val="18"/>
              </w:rPr>
              <w:t xml:space="preserve"> o pub</w:t>
            </w:r>
            <w:r w:rsidRPr="00A33B9F">
              <w:rPr>
                <w:rFonts w:ascii="Times New Roman" w:hAnsi="Times New Roman"/>
                <w:noProof/>
                <w:color w:val="000000" w:themeColor="text1"/>
                <w:sz w:val="18"/>
              </w:rPr>
              <w:t>licznych służbach zatrudnienia, ustawie</w:t>
            </w:r>
            <w:r w:rsidR="00A33B9F" w:rsidRPr="00A33B9F">
              <w:rPr>
                <w:rFonts w:ascii="Times New Roman" w:hAnsi="Times New Roman"/>
                <w:noProof/>
                <w:color w:val="000000" w:themeColor="text1"/>
                <w:sz w:val="18"/>
              </w:rPr>
              <w:t xml:space="preserve"> o zat</w:t>
            </w:r>
            <w:r w:rsidRPr="00A33B9F">
              <w:rPr>
                <w:rFonts w:ascii="Times New Roman" w:hAnsi="Times New Roman"/>
                <w:noProof/>
                <w:color w:val="000000" w:themeColor="text1"/>
                <w:sz w:val="18"/>
              </w:rPr>
              <w:t>rudnianiu obywateli państw trzecich oraz ustawie</w:t>
            </w:r>
            <w:r w:rsidR="00A33B9F" w:rsidRPr="00A33B9F">
              <w:rPr>
                <w:rFonts w:ascii="Times New Roman" w:hAnsi="Times New Roman"/>
                <w:noProof/>
                <w:color w:val="000000" w:themeColor="text1"/>
                <w:sz w:val="18"/>
              </w:rPr>
              <w:t xml:space="preserve"> o zaw</w:t>
            </w:r>
            <w:r w:rsidRPr="00A33B9F">
              <w:rPr>
                <w:rFonts w:ascii="Times New Roman" w:hAnsi="Times New Roman"/>
                <w:noProof/>
                <w:color w:val="000000" w:themeColor="text1"/>
                <w:sz w:val="18"/>
              </w:rPr>
              <w:t>ieraniu niektórych umów</w:t>
            </w:r>
            <w:r w:rsidR="00A33B9F" w:rsidRPr="00A33B9F">
              <w:rPr>
                <w:rFonts w:ascii="Times New Roman" w:hAnsi="Times New Roman"/>
                <w:noProof/>
                <w:color w:val="000000" w:themeColor="text1"/>
                <w:sz w:val="18"/>
              </w:rPr>
              <w:t xml:space="preserve"> o pra</w:t>
            </w:r>
            <w:r w:rsidRPr="00A33B9F">
              <w:rPr>
                <w:rFonts w:ascii="Times New Roman" w:hAnsi="Times New Roman"/>
                <w:noProof/>
                <w:color w:val="000000" w:themeColor="text1"/>
                <w:sz w:val="18"/>
              </w:rPr>
              <w:t>cę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elektroniczny,</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narzędzi</w:t>
            </w:r>
            <w:r w:rsidR="00A33B9F" w:rsidRPr="00A33B9F">
              <w:rPr>
                <w:rFonts w:ascii="Times New Roman" w:hAnsi="Times New Roman"/>
                <w:noProof/>
                <w:color w:val="000000" w:themeColor="text1"/>
                <w:sz w:val="18"/>
              </w:rPr>
              <w:t xml:space="preserve"> i sys</w:t>
            </w:r>
            <w:r w:rsidRPr="00A33B9F">
              <w:rPr>
                <w:rFonts w:ascii="Times New Roman" w:hAnsi="Times New Roman"/>
                <w:noProof/>
                <w:color w:val="000000" w:themeColor="text1"/>
                <w:sz w:val="18"/>
              </w:rPr>
              <w:t>temów informatycznych obsługujących te nowe narzędzia</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cedury. Wartość docelowa odnosi się do odsetka ogólnej liczby przeszkolonych pracowników publicznych służb zatrudnienia.</w:t>
            </w:r>
          </w:p>
        </w:tc>
      </w:tr>
      <w:tr w:rsidR="008C116B" w:rsidRPr="00A33B9F" w14:paraId="42779281"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4139B5" w14:textId="77282932"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A57G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43DFEC" w14:textId="19E7A9DA" w:rsidR="00BE1B25" w:rsidRPr="00A33B9F" w:rsidRDefault="00BE1B25" w:rsidP="0049799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A4.2 Reforma na rzecz poprawy sytuacji rodziców na rynku pracy poprzez zwiększenie dostępu do wysokiej jakości opieki nad dziećmi do lat trzech</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8DFDA0"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90950" w14:textId="4F222DD8" w:rsidR="00BE1B25" w:rsidRPr="00A33B9F" w:rsidRDefault="00BE1B25" w:rsidP="0093351A">
            <w:pPr>
              <w:pStyle w:val="Normal0"/>
              <w:pBdr>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Przyjęcie norm jakości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opieki nad dziećmi,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wytycznych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edukacji</w:t>
            </w:r>
            <w:r w:rsidR="00A33B9F" w:rsidRPr="00A33B9F">
              <w:rPr>
                <w:rFonts w:ascii="Times New Roman" w:hAnsi="Times New Roman"/>
                <w:noProof/>
                <w:color w:val="000000" w:themeColor="text1"/>
                <w:sz w:val="18"/>
              </w:rPr>
              <w:t xml:space="preserve"> i sta</w:t>
            </w:r>
            <w:r w:rsidRPr="00A33B9F">
              <w:rPr>
                <w:rFonts w:ascii="Times New Roman" w:hAnsi="Times New Roman"/>
                <w:noProof/>
                <w:color w:val="000000" w:themeColor="text1"/>
                <w:sz w:val="18"/>
              </w:rPr>
              <w:t>ndardów usług opieki nad dziećmi poniżej trzeciego roku życia, zapewniających wysoką jakość,</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edukacji</w:t>
            </w:r>
            <w:r w:rsidR="00A33B9F" w:rsidRPr="00A33B9F">
              <w:rPr>
                <w:rFonts w:ascii="Times New Roman" w:hAnsi="Times New Roman"/>
                <w:noProof/>
                <w:color w:val="000000" w:themeColor="text1"/>
                <w:sz w:val="18"/>
              </w:rPr>
              <w:t xml:space="preserve"> i opi</w:t>
            </w:r>
            <w:r w:rsidRPr="00A33B9F">
              <w:rPr>
                <w:rFonts w:ascii="Times New Roman" w:hAnsi="Times New Roman"/>
                <w:noProof/>
                <w:color w:val="000000" w:themeColor="text1"/>
                <w:sz w:val="18"/>
              </w:rPr>
              <w:t>eki</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0EFF0B" w14:textId="369AF964" w:rsidR="00BE1B25" w:rsidRPr="00A33B9F" w:rsidRDefault="00BE1B25" w:rsidP="002823E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odp</w:t>
            </w:r>
            <w:r w:rsidRPr="00A33B9F">
              <w:rPr>
                <w:rFonts w:ascii="Times New Roman" w:hAnsi="Times New Roman"/>
                <w:noProof/>
                <w:color w:val="000000" w:themeColor="text1"/>
                <w:sz w:val="18"/>
              </w:rPr>
              <w:t>owiedniej ustawie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85448D" w14:textId="77777777"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342F75"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A004A" w14:textId="77777777" w:rsidR="00BE1B25" w:rsidRPr="00A33B9F" w:rsidRDefault="00BE1B25"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BCF9AA" w14:textId="713DA5C8"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4D2E42" w14:textId="77777777" w:rsidR="00BE1B25" w:rsidRPr="00A33B9F" w:rsidRDefault="00BE1B25"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4E5A3" w14:textId="5A6D1C88"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Niezależna analiza zakresu,</w:t>
            </w:r>
            <w:r w:rsidR="00A33B9F" w:rsidRPr="00A33B9F">
              <w:rPr>
                <w:rFonts w:ascii="Times New Roman" w:hAnsi="Times New Roman"/>
                <w:noProof/>
                <w:color w:val="000000" w:themeColor="text1"/>
                <w:sz w:val="18"/>
              </w:rPr>
              <w:t xml:space="preserve"> w jak</w:t>
            </w:r>
            <w:r w:rsidRPr="00A33B9F">
              <w:rPr>
                <w:rFonts w:ascii="Times New Roman" w:hAnsi="Times New Roman"/>
                <w:noProof/>
                <w:color w:val="000000" w:themeColor="text1"/>
                <w:sz w:val="18"/>
              </w:rPr>
              <w:t>im obowiązujące standardy opieki</w:t>
            </w:r>
            <w:r w:rsidR="00A33B9F" w:rsidRPr="00A33B9F">
              <w:rPr>
                <w:rFonts w:ascii="Times New Roman" w:hAnsi="Times New Roman"/>
                <w:noProof/>
                <w:color w:val="000000" w:themeColor="text1"/>
                <w:sz w:val="18"/>
              </w:rPr>
              <w:t xml:space="preserve"> i edu</w:t>
            </w:r>
            <w:r w:rsidRPr="00A33B9F">
              <w:rPr>
                <w:rFonts w:ascii="Times New Roman" w:hAnsi="Times New Roman"/>
                <w:noProof/>
                <w:color w:val="000000" w:themeColor="text1"/>
                <w:sz w:val="18"/>
              </w:rPr>
              <w:t>kacji dla dzieci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umożliwiają dostęp do wysokiej jakości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ystępnych cenowo systemów wczesnej edukacji</w:t>
            </w:r>
            <w:r w:rsidR="00A33B9F" w:rsidRPr="00A33B9F">
              <w:rPr>
                <w:rFonts w:ascii="Times New Roman" w:hAnsi="Times New Roman"/>
                <w:noProof/>
                <w:color w:val="000000" w:themeColor="text1"/>
                <w:sz w:val="18"/>
              </w:rPr>
              <w:t xml:space="preserve"> i opi</w:t>
            </w:r>
            <w:r w:rsidRPr="00A33B9F">
              <w:rPr>
                <w:rFonts w:ascii="Times New Roman" w:hAnsi="Times New Roman"/>
                <w:noProof/>
                <w:color w:val="000000" w:themeColor="text1"/>
                <w:sz w:val="18"/>
              </w:rPr>
              <w:t>eki nad dzieckiem. Analiza zostanie przeprowadzona</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zalecenia Rady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22 maja 2019</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wysokiej jakości systemów wczesnej edukacji</w:t>
            </w:r>
            <w:r w:rsidR="00A33B9F" w:rsidRPr="00A33B9F">
              <w:rPr>
                <w:rFonts w:ascii="Times New Roman" w:hAnsi="Times New Roman"/>
                <w:noProof/>
                <w:color w:val="000000" w:themeColor="text1"/>
                <w:sz w:val="18"/>
              </w:rPr>
              <w:t xml:space="preserve"> i opi</w:t>
            </w:r>
            <w:r w:rsidRPr="00A33B9F">
              <w:rPr>
                <w:rFonts w:ascii="Times New Roman" w:hAnsi="Times New Roman"/>
                <w:noProof/>
                <w:color w:val="000000" w:themeColor="text1"/>
                <w:sz w:val="18"/>
              </w:rPr>
              <w:t>eki nad dzieckiem (2019/C 189/02)</w:t>
            </w:r>
            <w:r w:rsidR="00A33B9F" w:rsidRPr="00A33B9F">
              <w:rPr>
                <w:rFonts w:ascii="Times New Roman" w:hAnsi="Times New Roman"/>
                <w:noProof/>
                <w:color w:val="000000" w:themeColor="text1"/>
                <w:sz w:val="18"/>
              </w:rPr>
              <w:t xml:space="preserve"> i zos</w:t>
            </w:r>
            <w:r w:rsidRPr="00A33B9F">
              <w:rPr>
                <w:rFonts w:ascii="Times New Roman" w:hAnsi="Times New Roman"/>
                <w:noProof/>
                <w:color w:val="000000" w:themeColor="text1"/>
                <w:sz w:val="18"/>
              </w:rPr>
              <w:t>tanie przedstawiona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awozdaniu, które opublikuje Ministerstwo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ityki Społecznej.</w:t>
            </w:r>
          </w:p>
          <w:p w14:paraId="42719EAC" w14:textId="20E88632" w:rsidR="2A06F329" w:rsidRPr="00A33B9F" w:rsidRDefault="2A06F329" w:rsidP="2A06F329">
            <w:pPr>
              <w:pStyle w:val="Normal0"/>
              <w:spacing w:after="0" w:line="240" w:lineRule="auto"/>
              <w:rPr>
                <w:rFonts w:ascii="Times New Roman" w:eastAsia="Times New Roman" w:hAnsi="Times New Roman" w:cs="Times New Roman"/>
                <w:noProof/>
                <w:color w:val="000000" w:themeColor="text1"/>
                <w:sz w:val="18"/>
                <w:szCs w:val="18"/>
              </w:rPr>
            </w:pPr>
          </w:p>
          <w:p w14:paraId="779C1DAD" w14:textId="55ACAA85" w:rsidR="00BE1B25" w:rsidRPr="00A33B9F" w:rsidRDefault="00BE1B25"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Na podstawie analizy przygotowane zostaną ramy norm jakości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opieki nad dziećmi,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wytyczne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edukacji</w:t>
            </w:r>
            <w:r w:rsidR="00A33B9F" w:rsidRPr="00A33B9F">
              <w:rPr>
                <w:rFonts w:ascii="Times New Roman" w:hAnsi="Times New Roman"/>
                <w:noProof/>
                <w:color w:val="000000" w:themeColor="text1"/>
                <w:sz w:val="18"/>
              </w:rPr>
              <w:t xml:space="preserve"> i sta</w:t>
            </w:r>
            <w:r w:rsidRPr="00A33B9F">
              <w:rPr>
                <w:rFonts w:ascii="Times New Roman" w:hAnsi="Times New Roman"/>
                <w:noProof/>
                <w:color w:val="000000" w:themeColor="text1"/>
                <w:sz w:val="18"/>
              </w:rPr>
              <w:t>ndardy usług opieki nad dziećmi poniżej trzeciego roku życia, które następnie zostaną poddane konsultacjom publicznym</w:t>
            </w:r>
            <w:r w:rsidR="00A33B9F" w:rsidRPr="00A33B9F">
              <w:rPr>
                <w:rFonts w:ascii="Times New Roman" w:hAnsi="Times New Roman"/>
                <w:noProof/>
                <w:color w:val="000000" w:themeColor="text1"/>
                <w:sz w:val="18"/>
              </w:rPr>
              <w:t xml:space="preserve"> i uzg</w:t>
            </w:r>
            <w:r w:rsidRPr="00A33B9F">
              <w:rPr>
                <w:rFonts w:ascii="Times New Roman" w:hAnsi="Times New Roman"/>
                <w:noProof/>
                <w:color w:val="000000" w:themeColor="text1"/>
                <w:sz w:val="18"/>
              </w:rPr>
              <w:t>odnione</w:t>
            </w:r>
            <w:r w:rsidR="00A33B9F" w:rsidRPr="00A33B9F">
              <w:rPr>
                <w:rFonts w:ascii="Times New Roman" w:hAnsi="Times New Roman"/>
                <w:noProof/>
                <w:color w:val="000000" w:themeColor="text1"/>
                <w:sz w:val="18"/>
              </w:rPr>
              <w:t xml:space="preserve"> z zai</w:t>
            </w:r>
            <w:r w:rsidRPr="00A33B9F">
              <w:rPr>
                <w:rFonts w:ascii="Times New Roman" w:hAnsi="Times New Roman"/>
                <w:noProof/>
                <w:color w:val="000000" w:themeColor="text1"/>
                <w:sz w:val="18"/>
              </w:rPr>
              <w:t>nteresowanymi stronami przez Ministerstwo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 xml:space="preserve">ityki Społecznej. </w:t>
            </w:r>
          </w:p>
          <w:p w14:paraId="79B31204" w14:textId="28EAC5CA" w:rsidR="2A06F329" w:rsidRPr="00A33B9F" w:rsidRDefault="2A06F329" w:rsidP="2A06F329">
            <w:pPr>
              <w:pStyle w:val="Normal0"/>
              <w:spacing w:after="0" w:line="240" w:lineRule="auto"/>
              <w:rPr>
                <w:rFonts w:ascii="Times New Roman" w:eastAsia="Times New Roman" w:hAnsi="Times New Roman" w:cs="Times New Roman"/>
                <w:noProof/>
                <w:color w:val="000000" w:themeColor="text1"/>
                <w:sz w:val="18"/>
                <w:szCs w:val="18"/>
              </w:rPr>
            </w:pPr>
          </w:p>
          <w:p w14:paraId="3120967C" w14:textId="1EEE7C54" w:rsidR="00BE1B25" w:rsidRPr="00A33B9F" w:rsidRDefault="00BE1B25" w:rsidP="00C70EB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zmiany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4 lutego 2011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opi</w:t>
            </w:r>
            <w:r w:rsidRPr="00A33B9F">
              <w:rPr>
                <w:rFonts w:ascii="Times New Roman" w:hAnsi="Times New Roman"/>
                <w:noProof/>
                <w:color w:val="000000" w:themeColor="text1"/>
                <w:sz w:val="18"/>
              </w:rPr>
              <w:t>ece nad dziećmi do lat trzech nada ramom charakter wiążący dla podmiotów świadczących opiekę nad dziećmi, po uzyskaniu wyników konsultacji i na podstawie uzgodnień Ministerstwa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ityki Społecznej</w:t>
            </w:r>
            <w:r w:rsidR="00A33B9F" w:rsidRPr="00A33B9F">
              <w:rPr>
                <w:rFonts w:ascii="Times New Roman" w:hAnsi="Times New Roman"/>
                <w:noProof/>
                <w:color w:val="000000" w:themeColor="text1"/>
                <w:sz w:val="18"/>
              </w:rPr>
              <w:t xml:space="preserve"> z zai</w:t>
            </w:r>
            <w:r w:rsidRPr="00A33B9F">
              <w:rPr>
                <w:rFonts w:ascii="Times New Roman" w:hAnsi="Times New Roman"/>
                <w:noProof/>
                <w:color w:val="000000" w:themeColor="text1"/>
                <w:sz w:val="18"/>
              </w:rPr>
              <w:t>nteresowanymi stronami.</w:t>
            </w:r>
          </w:p>
        </w:tc>
      </w:tr>
      <w:tr w:rsidR="008C116B" w:rsidRPr="00A33B9F" w14:paraId="1ACA9C49"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6154E7" w14:textId="0B3D738B" w:rsidR="00C6743C" w:rsidRPr="00A33B9F" w:rsidRDefault="00C6743C" w:rsidP="00FF7DD3">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A58G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02ED4C" w14:textId="5320D2D8" w:rsidR="00C6743C" w:rsidRPr="00A33B9F" w:rsidRDefault="00C6743C" w:rsidP="0049799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A4.2 Reforma na rzecz poprawy sytuacji rodziców na rynku pracy poprzez zwiększenie dostępu do wysokiej jakości opieki nad dziećmi do lat trzech</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564C1D" w14:textId="2D45896D"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B29D4B" w14:textId="3F2D56D6" w:rsidR="00C6743C" w:rsidRPr="00A33B9F" w:rsidRDefault="5B82B5CD" w:rsidP="00F151BD">
            <w:pPr>
              <w:pStyle w:val="Normal0"/>
              <w:pBdr>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opi</w:t>
            </w:r>
            <w:r w:rsidRPr="00A33B9F">
              <w:rPr>
                <w:rFonts w:ascii="Times New Roman" w:hAnsi="Times New Roman"/>
                <w:noProof/>
                <w:color w:val="000000" w:themeColor="text1"/>
                <w:sz w:val="18"/>
              </w:rPr>
              <w:t>ece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zapewniającej stabilne, długoterminowe finansowanie usług opieki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ze środków krajowych</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93F41" w14:textId="7790502D" w:rsidR="00C6743C" w:rsidRPr="00A33B9F" w:rsidRDefault="6A1498D8" w:rsidP="002823E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4 lutego 2011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opi</w:t>
            </w:r>
            <w:r w:rsidRPr="00A33B9F">
              <w:rPr>
                <w:rFonts w:ascii="Times New Roman" w:hAnsi="Times New Roman"/>
                <w:noProof/>
                <w:color w:val="000000" w:themeColor="text1"/>
                <w:sz w:val="18"/>
              </w:rPr>
              <w:t>ece nad dziećmi do lat trzech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0C87F0" w14:textId="5AC54268"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C7EE9B" w14:textId="5C91663F"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19AA24" w14:textId="510C7041"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A10E41" w14:textId="653B40A2"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ACB205" w14:textId="2D2B6A95"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3664ED" w14:textId="5A849658"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4 lutego 2011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opi</w:t>
            </w:r>
            <w:r w:rsidRPr="00A33B9F">
              <w:rPr>
                <w:rFonts w:ascii="Times New Roman" w:hAnsi="Times New Roman"/>
                <w:noProof/>
                <w:color w:val="000000" w:themeColor="text1"/>
                <w:sz w:val="18"/>
              </w:rPr>
              <w:t>ece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która zapewni stabilne, długoterminowe finansowanie ze środków krajowych tworzenia</w:t>
            </w:r>
            <w:r w:rsidR="00A33B9F" w:rsidRPr="00A33B9F">
              <w:rPr>
                <w:rFonts w:ascii="Times New Roman" w:hAnsi="Times New Roman"/>
                <w:noProof/>
                <w:color w:val="000000" w:themeColor="text1"/>
                <w:sz w:val="18"/>
              </w:rPr>
              <w:t xml:space="preserve"> i fun</w:t>
            </w:r>
            <w:r w:rsidRPr="00A33B9F">
              <w:rPr>
                <w:rFonts w:ascii="Times New Roman" w:hAnsi="Times New Roman"/>
                <w:noProof/>
                <w:color w:val="000000" w:themeColor="text1"/>
                <w:sz w:val="18"/>
              </w:rPr>
              <w:t>kcjonowania usług opieki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w:t>
            </w:r>
          </w:p>
        </w:tc>
      </w:tr>
      <w:tr w:rsidR="008C116B" w:rsidRPr="00A33B9F" w14:paraId="57337D71"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4CBA15" w14:textId="44002DA8"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A59G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4DB2A5"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A4.2 Reforma na rzecz poprawy sytuacji rodziców na rynku pracy poprzez zwiększenie dostępu do opieki nad dziećmi do lat trzech</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A63C1" w14:textId="06045B9C"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r w:rsidR="00C3621A" w:rsidRPr="00A33B9F">
              <w:rPr>
                <w:rFonts w:ascii="Times New Roman" w:hAnsi="Times New Roman"/>
                <w:noProof/>
                <w:color w:val="000000"/>
                <w:sz w:val="18"/>
              </w:rPr>
              <w:t xml:space="preserve"> </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A64DBC" w14:textId="772D7C9C" w:rsidR="00C6743C" w:rsidRPr="00A33B9F" w:rsidRDefault="3709ACC8" w:rsidP="00E035D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opi</w:t>
            </w:r>
            <w:r w:rsidRPr="00A33B9F">
              <w:rPr>
                <w:rFonts w:ascii="Times New Roman" w:hAnsi="Times New Roman"/>
                <w:noProof/>
                <w:color w:val="000000" w:themeColor="text1"/>
                <w:sz w:val="18"/>
              </w:rPr>
              <w:t>ece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mającej na celu zmianę organizacji systemu finansowania opieki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aby wdrożyć jeden spójny system zarządzania finansowaniem</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tworzenia</w:t>
            </w:r>
            <w:r w:rsidR="00A33B9F" w:rsidRPr="00A33B9F">
              <w:rPr>
                <w:rFonts w:ascii="Times New Roman" w:hAnsi="Times New Roman"/>
                <w:noProof/>
                <w:color w:val="000000" w:themeColor="text1"/>
                <w:sz w:val="18"/>
              </w:rPr>
              <w:t xml:space="preserve"> i fun</w:t>
            </w:r>
            <w:r w:rsidRPr="00A33B9F">
              <w:rPr>
                <w:rFonts w:ascii="Times New Roman" w:hAnsi="Times New Roman"/>
                <w:noProof/>
                <w:color w:val="000000" w:themeColor="text1"/>
                <w:sz w:val="18"/>
              </w:rPr>
              <w:t>kcjonowania usług opieki nad dziećmi do lat trzech</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AC6948" w14:textId="1EE0B90D" w:rsidR="00C6743C" w:rsidRPr="00A33B9F" w:rsidRDefault="3709ACC8" w:rsidP="00E035D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4 lutego 2011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opi</w:t>
            </w:r>
            <w:r w:rsidRPr="00A33B9F">
              <w:rPr>
                <w:rFonts w:ascii="Times New Roman" w:hAnsi="Times New Roman"/>
                <w:noProof/>
                <w:color w:val="000000" w:themeColor="text1"/>
                <w:sz w:val="18"/>
              </w:rPr>
              <w:t>ece nad dziećmi do lat trzech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A6EE37"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610BE"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4DE1EE"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ACD4F7"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B3A032"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C4715" w14:textId="70688A1B"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4 lutego 2011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opi</w:t>
            </w:r>
            <w:r w:rsidRPr="00A33B9F">
              <w:rPr>
                <w:rFonts w:ascii="Times New Roman" w:hAnsi="Times New Roman"/>
                <w:noProof/>
                <w:color w:val="000000" w:themeColor="text1"/>
                <w:sz w:val="18"/>
              </w:rPr>
              <w:t>ece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usprawni zarządzanie finansami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tworzenia</w:t>
            </w:r>
            <w:r w:rsidR="00A33B9F" w:rsidRPr="00A33B9F">
              <w:rPr>
                <w:rFonts w:ascii="Times New Roman" w:hAnsi="Times New Roman"/>
                <w:noProof/>
                <w:color w:val="000000" w:themeColor="text1"/>
                <w:sz w:val="18"/>
              </w:rPr>
              <w:t xml:space="preserve"> i fun</w:t>
            </w:r>
            <w:r w:rsidRPr="00A33B9F">
              <w:rPr>
                <w:rFonts w:ascii="Times New Roman" w:hAnsi="Times New Roman"/>
                <w:noProof/>
                <w:color w:val="000000" w:themeColor="text1"/>
                <w:sz w:val="18"/>
              </w:rPr>
              <w:t>kcjonowania placówek opieki nad dziećmi poprzez:</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wdrożenie jednego spójnego systemu zarządzania finansowaniem</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tworzenia</w:t>
            </w:r>
            <w:r w:rsidR="00A33B9F" w:rsidRPr="00A33B9F">
              <w:rPr>
                <w:rFonts w:ascii="Times New Roman" w:hAnsi="Times New Roman"/>
                <w:noProof/>
                <w:color w:val="000000" w:themeColor="text1"/>
                <w:sz w:val="18"/>
              </w:rPr>
              <w:t xml:space="preserve"> i fun</w:t>
            </w:r>
            <w:r w:rsidRPr="00A33B9F">
              <w:rPr>
                <w:rFonts w:ascii="Times New Roman" w:hAnsi="Times New Roman"/>
                <w:noProof/>
                <w:color w:val="000000" w:themeColor="text1"/>
                <w:sz w:val="18"/>
              </w:rPr>
              <w:t>kcjonowania usług opieki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zarządzanie środkami finansowymi pochodzącymi</w:t>
            </w:r>
            <w:r w:rsidR="00A33B9F" w:rsidRPr="00A33B9F">
              <w:rPr>
                <w:rFonts w:ascii="Times New Roman" w:hAnsi="Times New Roman"/>
                <w:noProof/>
                <w:color w:val="000000" w:themeColor="text1"/>
                <w:sz w:val="18"/>
              </w:rPr>
              <w:t xml:space="preserve"> z róż</w:t>
            </w:r>
            <w:r w:rsidRPr="00A33B9F">
              <w:rPr>
                <w:rFonts w:ascii="Times New Roman" w:hAnsi="Times New Roman"/>
                <w:noProof/>
                <w:color w:val="000000" w:themeColor="text1"/>
                <w:sz w:val="18"/>
              </w:rPr>
              <w:t>nych źródeł finansowania</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programu MALUCH+.</w:t>
            </w:r>
          </w:p>
        </w:tc>
      </w:tr>
      <w:tr w:rsidR="008C116B" w:rsidRPr="00A33B9F" w14:paraId="5C753F01"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B94B75" w14:textId="55E464E4"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A60G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AC3730" w14:textId="05593F5C"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A4.2.1 Wsparcie placówek opieki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trzech lat (żłobki, kluby dziecięce)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programu MALUCH+</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2256D7"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AA21F" w14:textId="197DFC2C"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Stworzenie systemu informatycznego na potrzeby zarządzania finansowaniem</w:t>
            </w:r>
            <w:r w:rsidR="00A33B9F" w:rsidRPr="00A33B9F">
              <w:rPr>
                <w:rFonts w:ascii="Times New Roman" w:hAnsi="Times New Roman"/>
                <w:noProof/>
                <w:color w:val="000000"/>
                <w:sz w:val="18"/>
              </w:rPr>
              <w:t xml:space="preserve"> i two</w:t>
            </w:r>
            <w:r w:rsidRPr="00A33B9F">
              <w:rPr>
                <w:rFonts w:ascii="Times New Roman" w:hAnsi="Times New Roman"/>
                <w:noProof/>
                <w:color w:val="000000"/>
                <w:sz w:val="18"/>
              </w:rPr>
              <w:t>rzeniem placówek opieki nad dziećmi</w:t>
            </w:r>
            <w:r w:rsidR="00A33B9F" w:rsidRPr="00A33B9F">
              <w:rPr>
                <w:rFonts w:ascii="Times New Roman" w:hAnsi="Times New Roman"/>
                <w:noProof/>
                <w:color w:val="000000"/>
                <w:sz w:val="18"/>
              </w:rPr>
              <w:t xml:space="preserve"> w wie</w:t>
            </w:r>
            <w:r w:rsidRPr="00A33B9F">
              <w:rPr>
                <w:rFonts w:ascii="Times New Roman" w:hAnsi="Times New Roman"/>
                <w:noProof/>
                <w:color w:val="000000"/>
                <w:sz w:val="18"/>
              </w:rPr>
              <w:t>ku do lat trzech, który łączy różne źródła finansowania opieki nad dziećmi</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EE6A2"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 pełni funkcjonujący system informatyczny</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C6D796"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1831B3"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11D2A"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F6EBCF"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41507C"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CFDDD" w14:textId="4A46CAB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Stworzenie</w:t>
            </w:r>
            <w:r w:rsidR="00A33B9F" w:rsidRPr="00A33B9F">
              <w:rPr>
                <w:rFonts w:ascii="Times New Roman" w:hAnsi="Times New Roman"/>
                <w:noProof/>
                <w:color w:val="000000"/>
                <w:sz w:val="18"/>
              </w:rPr>
              <w:t xml:space="preserve"> i wdr</w:t>
            </w:r>
            <w:r w:rsidRPr="00A33B9F">
              <w:rPr>
                <w:rFonts w:ascii="Times New Roman" w:hAnsi="Times New Roman"/>
                <w:noProof/>
                <w:color w:val="000000"/>
                <w:sz w:val="18"/>
              </w:rPr>
              <w:t>ożenie operacyjnego systemu informatycznego (lub rozbudowa jednego</w:t>
            </w:r>
            <w:r w:rsidR="00A33B9F" w:rsidRPr="00A33B9F">
              <w:rPr>
                <w:rFonts w:ascii="Times New Roman" w:hAnsi="Times New Roman"/>
                <w:noProof/>
                <w:color w:val="000000"/>
                <w:sz w:val="18"/>
              </w:rPr>
              <w:t xml:space="preserve"> z ist</w:t>
            </w:r>
            <w:r w:rsidRPr="00A33B9F">
              <w:rPr>
                <w:rFonts w:ascii="Times New Roman" w:hAnsi="Times New Roman"/>
                <w:noProof/>
                <w:color w:val="000000"/>
                <w:sz w:val="18"/>
              </w:rPr>
              <w:t>niejących systemów), który wykorzystuje się</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wsparcia projektów realizowanych przez odbiorców końcowych pomocy finansowej, czyli podmioty tworzące</w:t>
            </w:r>
            <w:r w:rsidR="00A33B9F" w:rsidRPr="00A33B9F">
              <w:rPr>
                <w:rFonts w:ascii="Times New Roman" w:hAnsi="Times New Roman"/>
                <w:noProof/>
                <w:color w:val="000000"/>
                <w:sz w:val="18"/>
              </w:rPr>
              <w:t xml:space="preserve"> i pro</w:t>
            </w:r>
            <w:r w:rsidRPr="00A33B9F">
              <w:rPr>
                <w:rFonts w:ascii="Times New Roman" w:hAnsi="Times New Roman"/>
                <w:noProof/>
                <w:color w:val="000000"/>
                <w:sz w:val="18"/>
              </w:rPr>
              <w:t>wadzące instytucje opieki nad dziećmi, na każdym etapie ich realizacji. System ten będzie również wykorzystywany przez instytucje nadzorujące</w:t>
            </w:r>
            <w:r w:rsidR="00A33B9F" w:rsidRPr="00A33B9F">
              <w:rPr>
                <w:rFonts w:ascii="Times New Roman" w:hAnsi="Times New Roman"/>
                <w:noProof/>
                <w:color w:val="000000"/>
                <w:sz w:val="18"/>
              </w:rPr>
              <w:t xml:space="preserve"> i wdr</w:t>
            </w:r>
            <w:r w:rsidRPr="00A33B9F">
              <w:rPr>
                <w:rFonts w:ascii="Times New Roman" w:hAnsi="Times New Roman"/>
                <w:noProof/>
                <w:color w:val="000000"/>
                <w:sz w:val="18"/>
              </w:rPr>
              <w:t>ażające reformę.</w:t>
            </w:r>
          </w:p>
        </w:tc>
      </w:tr>
      <w:tr w:rsidR="008C116B" w:rsidRPr="00A33B9F" w14:paraId="56737D5F"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9B972E" w14:textId="35FF5705"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A61G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CF8C49" w14:textId="0C68851C"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A4.2.1 Wsparcie placówek opieki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trzech lat (żłobki, kluby dziecięce)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programu MALUCH+</w:t>
            </w:r>
          </w:p>
          <w:p w14:paraId="31126E5D"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0A595"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B8F103" w14:textId="628EF485"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Tworzenie nowych miejsc</w:t>
            </w:r>
            <w:r w:rsidR="00A33B9F" w:rsidRPr="00A33B9F">
              <w:rPr>
                <w:rFonts w:ascii="Times New Roman" w:hAnsi="Times New Roman"/>
                <w:noProof/>
                <w:color w:val="000000"/>
                <w:sz w:val="18"/>
              </w:rPr>
              <w:t xml:space="preserve"> w pla</w:t>
            </w:r>
            <w:r w:rsidRPr="00A33B9F">
              <w:rPr>
                <w:rFonts w:ascii="Times New Roman" w:hAnsi="Times New Roman"/>
                <w:noProof/>
                <w:color w:val="000000"/>
                <w:sz w:val="18"/>
              </w:rPr>
              <w:t>cówkach opieki nad dziećmi (żłobkach, klubach dziecięcych) dla dzieci</w:t>
            </w:r>
            <w:r w:rsidR="00A33B9F" w:rsidRPr="00A33B9F">
              <w:rPr>
                <w:rFonts w:ascii="Times New Roman" w:hAnsi="Times New Roman"/>
                <w:noProof/>
                <w:color w:val="000000"/>
                <w:sz w:val="18"/>
              </w:rPr>
              <w:t xml:space="preserve"> w wie</w:t>
            </w:r>
            <w:r w:rsidRPr="00A33B9F">
              <w:rPr>
                <w:rFonts w:ascii="Times New Roman" w:hAnsi="Times New Roman"/>
                <w:noProof/>
                <w:color w:val="000000"/>
                <w:sz w:val="18"/>
              </w:rPr>
              <w:t>ku do lat trzech</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9D4942"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AEED7"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C630B7" w14:textId="2F9AF243" w:rsidR="00C6743C" w:rsidRPr="00A33B9F" w:rsidRDefault="00A55D7E"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5541A" w14:textId="664CCAE1" w:rsidR="00C6743C" w:rsidRPr="00A33B9F" w:rsidRDefault="00A55D7E" w:rsidP="004810ED">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47 500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C41FC3"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CFB499"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5BC9CD" w14:textId="1C93103B" w:rsidR="00C6743C" w:rsidRPr="00A33B9F" w:rsidRDefault="00C6743C" w:rsidP="004810E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Tworzenie</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wój infrastruktury</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opieki nad dziećmi</w:t>
            </w:r>
            <w:r w:rsidR="00A33B9F" w:rsidRPr="00A33B9F">
              <w:rPr>
                <w:rFonts w:ascii="Times New Roman" w:hAnsi="Times New Roman"/>
                <w:noProof/>
                <w:color w:val="000000" w:themeColor="text1"/>
                <w:sz w:val="18"/>
              </w:rPr>
              <w:t xml:space="preserve"> w wie</w:t>
            </w:r>
            <w:r w:rsidRPr="00A33B9F">
              <w:rPr>
                <w:rFonts w:ascii="Times New Roman" w:hAnsi="Times New Roman"/>
                <w:noProof/>
                <w:color w:val="000000" w:themeColor="text1"/>
                <w:sz w:val="18"/>
              </w:rPr>
              <w:t>ku do lat trzech oznacza:</w:t>
            </w:r>
            <w:r w:rsidRPr="00A33B9F">
              <w:rPr>
                <w:noProof/>
              </w:rPr>
              <w:t xml:space="preserve"> </w:t>
            </w:r>
            <w:r w:rsidRPr="00A33B9F">
              <w:rPr>
                <w:noProof/>
              </w:rPr>
              <w:br/>
            </w:r>
            <w:r w:rsidRPr="00A33B9F">
              <w:rPr>
                <w:rFonts w:ascii="Times New Roman" w:hAnsi="Times New Roman"/>
                <w:noProof/>
                <w:color w:val="000000" w:themeColor="text1"/>
                <w:sz w:val="18"/>
              </w:rPr>
              <w:t>– budowę lub renowację żłobków</w:t>
            </w:r>
            <w:r w:rsidR="00A33B9F" w:rsidRPr="00A33B9F">
              <w:rPr>
                <w:rFonts w:ascii="Times New Roman" w:hAnsi="Times New Roman"/>
                <w:noProof/>
                <w:color w:val="000000" w:themeColor="text1"/>
                <w:sz w:val="18"/>
              </w:rPr>
              <w:t xml:space="preserve"> i klu</w:t>
            </w:r>
            <w:r w:rsidRPr="00A33B9F">
              <w:rPr>
                <w:rFonts w:ascii="Times New Roman" w:hAnsi="Times New Roman"/>
                <w:noProof/>
                <w:color w:val="000000" w:themeColor="text1"/>
                <w:sz w:val="18"/>
              </w:rPr>
              <w:t>bów dziecięcych (zgodnie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projektowania uniwersalnego);</w:t>
            </w:r>
            <w:r w:rsidRPr="00A33B9F">
              <w:rPr>
                <w:noProof/>
              </w:rPr>
              <w:t xml:space="preserve"> </w:t>
            </w:r>
            <w:r w:rsidRPr="00A33B9F">
              <w:rPr>
                <w:noProof/>
              </w:rPr>
              <w:br/>
            </w:r>
            <w:r w:rsidRPr="00A33B9F">
              <w:rPr>
                <w:rFonts w:ascii="Times New Roman" w:hAnsi="Times New Roman"/>
                <w:noProof/>
                <w:color w:val="000000" w:themeColor="text1"/>
                <w:sz w:val="18"/>
              </w:rPr>
              <w:t>– zakup nieruchomości</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rastruktury (zakup gruntu lub lokalów).</w:t>
            </w:r>
            <w:r w:rsidRPr="00A33B9F">
              <w:rPr>
                <w:noProof/>
              </w:rPr>
              <w:t xml:space="preserve"> </w:t>
            </w:r>
            <w:r w:rsidRPr="00A33B9F">
              <w:rPr>
                <w:noProof/>
              </w:rPr>
              <w:br/>
            </w:r>
            <w:r w:rsidRPr="00A33B9F">
              <w:rPr>
                <w:rFonts w:ascii="Times New Roman" w:hAnsi="Times New Roman"/>
                <w:noProof/>
                <w:color w:val="000000" w:themeColor="text1"/>
                <w:sz w:val="18"/>
              </w:rPr>
              <w:t>Wartość docelowa ma zastosowanie do żłobków</w:t>
            </w:r>
            <w:r w:rsidR="00A33B9F" w:rsidRPr="00A33B9F">
              <w:rPr>
                <w:rFonts w:ascii="Times New Roman" w:hAnsi="Times New Roman"/>
                <w:noProof/>
                <w:color w:val="000000" w:themeColor="text1"/>
                <w:sz w:val="18"/>
              </w:rPr>
              <w:t xml:space="preserve"> i klu</w:t>
            </w:r>
            <w:r w:rsidRPr="00A33B9F">
              <w:rPr>
                <w:rFonts w:ascii="Times New Roman" w:hAnsi="Times New Roman"/>
                <w:noProof/>
                <w:color w:val="000000" w:themeColor="text1"/>
                <w:sz w:val="18"/>
              </w:rPr>
              <w:t>bów dziecięcych. Wartość docelowa dotyczy budowy nowych placówek,</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renowacji</w:t>
            </w:r>
            <w:r w:rsidR="00A33B9F" w:rsidRPr="00A33B9F">
              <w:rPr>
                <w:rFonts w:ascii="Times New Roman" w:hAnsi="Times New Roman"/>
                <w:noProof/>
                <w:color w:val="000000" w:themeColor="text1"/>
                <w:sz w:val="18"/>
              </w:rPr>
              <w:t xml:space="preserve"> i ada</w:t>
            </w:r>
            <w:r w:rsidRPr="00A33B9F">
              <w:rPr>
                <w:rFonts w:ascii="Times New Roman" w:hAnsi="Times New Roman"/>
                <w:noProof/>
                <w:color w:val="000000" w:themeColor="text1"/>
                <w:sz w:val="18"/>
              </w:rPr>
              <w:t>ptacji istniejących placówek, co zapewni łącznie co najmniej 47 500 nowych miejsc</w:t>
            </w:r>
            <w:r w:rsidR="00A33B9F" w:rsidRPr="00A33B9F">
              <w:rPr>
                <w:rFonts w:ascii="Times New Roman" w:hAnsi="Times New Roman"/>
                <w:noProof/>
                <w:color w:val="000000" w:themeColor="text1"/>
                <w:sz w:val="18"/>
              </w:rPr>
              <w:t xml:space="preserve"> w pla</w:t>
            </w:r>
            <w:r w:rsidRPr="00A33B9F">
              <w:rPr>
                <w:rFonts w:ascii="Times New Roman" w:hAnsi="Times New Roman"/>
                <w:noProof/>
                <w:color w:val="000000" w:themeColor="text1"/>
                <w:sz w:val="18"/>
              </w:rPr>
              <w:t xml:space="preserve">cówkach opieki nad dziećmi. </w:t>
            </w:r>
          </w:p>
        </w:tc>
      </w:tr>
      <w:tr w:rsidR="008C116B" w:rsidRPr="00A33B9F" w14:paraId="2C480E26"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47656" w14:textId="1FBA2CA4"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A62G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B42D35"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A.4.3 Wdrożenie ram prawnych dla podmiotów ekonomii społecznej</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E7754C"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EC6706" w14:textId="7C874089"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ustawy</w:t>
            </w:r>
            <w:r w:rsidR="00A33B9F" w:rsidRPr="00A33B9F">
              <w:rPr>
                <w:rFonts w:ascii="Times New Roman" w:hAnsi="Times New Roman"/>
                <w:noProof/>
                <w:color w:val="000000"/>
                <w:sz w:val="18"/>
              </w:rPr>
              <w:t xml:space="preserve"> o eko</w:t>
            </w:r>
            <w:r w:rsidRPr="00A33B9F">
              <w:rPr>
                <w:rFonts w:ascii="Times New Roman" w:hAnsi="Times New Roman"/>
                <w:noProof/>
                <w:color w:val="000000"/>
                <w:sz w:val="18"/>
              </w:rPr>
              <w:t>nomii społecznej</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8F97C8" w14:textId="256DAB90"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eko</w:t>
            </w:r>
            <w:r w:rsidRPr="00A33B9F">
              <w:rPr>
                <w:rFonts w:ascii="Times New Roman" w:hAnsi="Times New Roman"/>
                <w:noProof/>
                <w:color w:val="000000" w:themeColor="text1"/>
                <w:sz w:val="18"/>
              </w:rPr>
              <w:t>nomii społecznej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93A24D"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840F38"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4F736F"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B7D198"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77A41D"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784BC" w14:textId="79AD3EA3"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ustawy</w:t>
            </w:r>
            <w:r w:rsidR="00A33B9F" w:rsidRPr="00A33B9F">
              <w:rPr>
                <w:rFonts w:ascii="Times New Roman" w:hAnsi="Times New Roman"/>
                <w:noProof/>
                <w:color w:val="000000"/>
                <w:sz w:val="18"/>
              </w:rPr>
              <w:t xml:space="preserve"> o eko</w:t>
            </w:r>
            <w:r w:rsidRPr="00A33B9F">
              <w:rPr>
                <w:rFonts w:ascii="Times New Roman" w:hAnsi="Times New Roman"/>
                <w:noProof/>
                <w:color w:val="000000"/>
                <w:sz w:val="18"/>
              </w:rPr>
              <w:t>nomii społecznej, która ureguluje podstawowe kwestie związane</w:t>
            </w:r>
            <w:r w:rsidR="00A33B9F" w:rsidRPr="00A33B9F">
              <w:rPr>
                <w:rFonts w:ascii="Times New Roman" w:hAnsi="Times New Roman"/>
                <w:noProof/>
                <w:color w:val="000000"/>
                <w:sz w:val="18"/>
              </w:rPr>
              <w:t xml:space="preserve"> z tym</w:t>
            </w:r>
            <w:r w:rsidRPr="00A33B9F">
              <w:rPr>
                <w:rFonts w:ascii="Times New Roman" w:hAnsi="Times New Roman"/>
                <w:noProof/>
                <w:color w:val="000000"/>
                <w:sz w:val="18"/>
              </w:rPr>
              <w:t xml:space="preserve"> sektorem,</w:t>
            </w:r>
            <w:r w:rsidR="00A33B9F" w:rsidRPr="00A33B9F">
              <w:rPr>
                <w:rFonts w:ascii="Times New Roman" w:hAnsi="Times New Roman"/>
                <w:noProof/>
                <w:color w:val="000000"/>
                <w:sz w:val="18"/>
              </w:rPr>
              <w:t xml:space="preserve"> w tym w szc</w:t>
            </w:r>
            <w:r w:rsidRPr="00A33B9F">
              <w:rPr>
                <w:rFonts w:ascii="Times New Roman" w:hAnsi="Times New Roman"/>
                <w:noProof/>
                <w:color w:val="000000"/>
                <w:sz w:val="18"/>
              </w:rPr>
              <w:t>zególności: definicję przedsiębiorstwa społecznego, zasady funkcjonowania</w:t>
            </w:r>
            <w:r w:rsidR="00A33B9F" w:rsidRPr="00A33B9F">
              <w:rPr>
                <w:rFonts w:ascii="Times New Roman" w:hAnsi="Times New Roman"/>
                <w:noProof/>
                <w:color w:val="000000"/>
                <w:sz w:val="18"/>
              </w:rPr>
              <w:t xml:space="preserve"> i wsp</w:t>
            </w:r>
            <w:r w:rsidRPr="00A33B9F">
              <w:rPr>
                <w:rFonts w:ascii="Times New Roman" w:hAnsi="Times New Roman"/>
                <w:noProof/>
                <w:color w:val="000000"/>
                <w:sz w:val="18"/>
              </w:rPr>
              <w:t>ierania przedsiębiorstwa społecznego, nowe modele współpracy między przedsiębiorstwami społecznymi</w:t>
            </w:r>
            <w:r w:rsidR="00A33B9F" w:rsidRPr="00A33B9F">
              <w:rPr>
                <w:rFonts w:ascii="Times New Roman" w:hAnsi="Times New Roman"/>
                <w:noProof/>
                <w:color w:val="000000"/>
                <w:sz w:val="18"/>
              </w:rPr>
              <w:t xml:space="preserve"> a wła</w:t>
            </w:r>
            <w:r w:rsidRPr="00A33B9F">
              <w:rPr>
                <w:rFonts w:ascii="Times New Roman" w:hAnsi="Times New Roman"/>
                <w:noProof/>
                <w:color w:val="000000"/>
                <w:sz w:val="18"/>
              </w:rPr>
              <w:t>dzami lokalnymi</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realizacji usług społecznych,</w:t>
            </w:r>
            <w:r w:rsidR="00A33B9F" w:rsidRPr="00A33B9F">
              <w:rPr>
                <w:rFonts w:ascii="Times New Roman" w:hAnsi="Times New Roman"/>
                <w:noProof/>
                <w:color w:val="000000"/>
                <w:sz w:val="18"/>
              </w:rPr>
              <w:t xml:space="preserve"> a tak</w:t>
            </w:r>
            <w:r w:rsidRPr="00A33B9F">
              <w:rPr>
                <w:rFonts w:ascii="Times New Roman" w:hAnsi="Times New Roman"/>
                <w:noProof/>
                <w:color w:val="000000"/>
                <w:sz w:val="18"/>
              </w:rPr>
              <w:t>że zasady koordynacji polityki</w:t>
            </w:r>
            <w:r w:rsidR="00A33B9F" w:rsidRPr="00A33B9F">
              <w:rPr>
                <w:rFonts w:ascii="Times New Roman" w:hAnsi="Times New Roman"/>
                <w:noProof/>
                <w:color w:val="000000"/>
                <w:sz w:val="18"/>
              </w:rPr>
              <w:t xml:space="preserve"> w dzi</w:t>
            </w:r>
            <w:r w:rsidRPr="00A33B9F">
              <w:rPr>
                <w:rFonts w:ascii="Times New Roman" w:hAnsi="Times New Roman"/>
                <w:noProof/>
                <w:color w:val="000000"/>
                <w:sz w:val="18"/>
              </w:rPr>
              <w:t>edzinie rozwoju ekonomii społecznej.</w:t>
            </w:r>
            <w:r w:rsidR="00C3621A" w:rsidRPr="00A33B9F">
              <w:rPr>
                <w:rFonts w:ascii="Times New Roman" w:hAnsi="Times New Roman"/>
                <w:noProof/>
                <w:color w:val="000000"/>
                <w:sz w:val="18"/>
              </w:rPr>
              <w:t xml:space="preserve"> </w:t>
            </w:r>
          </w:p>
        </w:tc>
      </w:tr>
      <w:tr w:rsidR="008C116B" w:rsidRPr="00A33B9F" w14:paraId="4E0A7361"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A771A2" w14:textId="444F508B"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A63G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AA1D83" w14:textId="5FF0FA10"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A4.3.1 Programy wsparcia inwestycyjnego umożliwiające</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rozwój działalności, zwiększenie udziału</w:t>
            </w:r>
            <w:r w:rsidR="00A33B9F" w:rsidRPr="00A33B9F">
              <w:rPr>
                <w:rFonts w:ascii="Times New Roman" w:hAnsi="Times New Roman"/>
                <w:noProof/>
                <w:color w:val="000000" w:themeColor="text1"/>
                <w:sz w:val="18"/>
              </w:rPr>
              <w:t xml:space="preserve"> w rea</w:t>
            </w:r>
            <w:r w:rsidRPr="00A33B9F">
              <w:rPr>
                <w:rFonts w:ascii="Times New Roman" w:hAnsi="Times New Roman"/>
                <w:noProof/>
                <w:color w:val="000000" w:themeColor="text1"/>
                <w:sz w:val="18"/>
              </w:rPr>
              <w:t>lizacji usług społecznych, podniesienie jakości integracji</w:t>
            </w:r>
            <w:r w:rsidR="00A33B9F" w:rsidRPr="00A33B9F">
              <w:rPr>
                <w:rFonts w:ascii="Times New Roman" w:hAnsi="Times New Roman"/>
                <w:noProof/>
                <w:color w:val="000000" w:themeColor="text1"/>
                <w:sz w:val="18"/>
              </w:rPr>
              <w:t xml:space="preserve"> w pod</w:t>
            </w:r>
            <w:r w:rsidRPr="00A33B9F">
              <w:rPr>
                <w:rFonts w:ascii="Times New Roman" w:hAnsi="Times New Roman"/>
                <w:noProof/>
                <w:color w:val="000000" w:themeColor="text1"/>
                <w:sz w:val="18"/>
              </w:rPr>
              <w:t>miotach ekonomii społecznej</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6A4B4B"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2F287F"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 podmiotów, które uzyskały status przedsiębiorstwa społecznego</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1EE185"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E7BCA"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6AE620"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3CDA8" w14:textId="06E635CF"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1 400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2F91B2"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F1C3E2"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B7F23" w14:textId="101017D4" w:rsidR="00C6743C" w:rsidRPr="00A33B9F" w:rsidRDefault="00C6743C" w:rsidP="005026D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Przyznanie statusu przedsiębiorstwa społecznego 1 400 podmiotom. </w:t>
            </w:r>
          </w:p>
        </w:tc>
      </w:tr>
      <w:tr w:rsidR="008C116B" w:rsidRPr="00A33B9F" w14:paraId="0E9E8C5C"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DC3A13" w14:textId="31D1AA7B"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A64G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5646C6" w14:textId="74C20AED"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A4.3.1 Programy wsparcia inwestycyjnego umożliwiające</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rozwój działalności, zwiększenie udziału</w:t>
            </w:r>
            <w:r w:rsidR="00A33B9F" w:rsidRPr="00A33B9F">
              <w:rPr>
                <w:rFonts w:ascii="Times New Roman" w:hAnsi="Times New Roman"/>
                <w:noProof/>
                <w:color w:val="000000" w:themeColor="text1"/>
                <w:sz w:val="18"/>
              </w:rPr>
              <w:t xml:space="preserve"> w rea</w:t>
            </w:r>
            <w:r w:rsidRPr="00A33B9F">
              <w:rPr>
                <w:rFonts w:ascii="Times New Roman" w:hAnsi="Times New Roman"/>
                <w:noProof/>
                <w:color w:val="000000" w:themeColor="text1"/>
                <w:sz w:val="18"/>
              </w:rPr>
              <w:t>lizacji usług społecznych, podniesienie jakości integracji</w:t>
            </w:r>
            <w:r w:rsidR="00A33B9F" w:rsidRPr="00A33B9F">
              <w:rPr>
                <w:rFonts w:ascii="Times New Roman" w:hAnsi="Times New Roman"/>
                <w:noProof/>
                <w:color w:val="000000" w:themeColor="text1"/>
                <w:sz w:val="18"/>
              </w:rPr>
              <w:t xml:space="preserve"> w pod</w:t>
            </w:r>
            <w:r w:rsidRPr="00A33B9F">
              <w:rPr>
                <w:rFonts w:ascii="Times New Roman" w:hAnsi="Times New Roman"/>
                <w:noProof/>
                <w:color w:val="000000" w:themeColor="text1"/>
                <w:sz w:val="18"/>
              </w:rPr>
              <w:t>miotach ekonomii społecznej</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1D0152"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9B499C" w14:textId="6EB5FA6B"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 podmiotów ekonomii społecznej,</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przedsiębiorstw społecznych, objętych wsparciem finansowym</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24AB7A"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0EC95"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56E414"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E938CE" w14:textId="6876EE63"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1 000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2E4500"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02C41F"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6A10DF" w14:textId="5A5F395E"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Przyznanie dotacji co najmniej 1 000 podmiotom ekonomii społecznej,</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przedsiębiorstwom społecznym, które doprowadzą do utrzymania miejsc pracy, zwiększenia obrotu finansowego lub zmian</w:t>
            </w:r>
            <w:r w:rsidR="00A33B9F" w:rsidRPr="00A33B9F">
              <w:rPr>
                <w:rFonts w:ascii="Times New Roman" w:hAnsi="Times New Roman"/>
                <w:noProof/>
                <w:color w:val="000000" w:themeColor="text1"/>
                <w:sz w:val="18"/>
              </w:rPr>
              <w:t xml:space="preserve"> w dzi</w:t>
            </w:r>
            <w:r w:rsidRPr="00A33B9F">
              <w:rPr>
                <w:rFonts w:ascii="Times New Roman" w:hAnsi="Times New Roman"/>
                <w:noProof/>
                <w:color w:val="000000" w:themeColor="text1"/>
                <w:sz w:val="18"/>
              </w:rPr>
              <w:t>ałalności gospodarczej (rozszerzenie skali, forma działalności lub przebranżowienie). Miejsca pracy</w:t>
            </w:r>
            <w:r w:rsidR="00A33B9F" w:rsidRPr="00A33B9F">
              <w:rPr>
                <w:rFonts w:ascii="Times New Roman" w:hAnsi="Times New Roman"/>
                <w:noProof/>
                <w:color w:val="000000" w:themeColor="text1"/>
                <w:sz w:val="18"/>
              </w:rPr>
              <w:t xml:space="preserve"> w pod</w:t>
            </w:r>
            <w:r w:rsidRPr="00A33B9F">
              <w:rPr>
                <w:rFonts w:ascii="Times New Roman" w:hAnsi="Times New Roman"/>
                <w:noProof/>
                <w:color w:val="000000" w:themeColor="text1"/>
                <w:sz w:val="18"/>
              </w:rPr>
              <w:t xml:space="preserve">miotach otrzymujących dotacje powinny zostać utrzymane przez co najmniej 12 miesięcy od daty przyznania dotacji. </w:t>
            </w:r>
          </w:p>
          <w:p w14:paraId="3828323B" w14:textId="01F9A465"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Wybór beneficjentów będzie dokonywany na podstawie określonych kryteriów kwalifikacji, zgodnie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niedyskryminacji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ejrzystości.</w:t>
            </w:r>
          </w:p>
        </w:tc>
      </w:tr>
      <w:tr w:rsidR="008C116B" w:rsidRPr="00A33B9F" w14:paraId="53D338D8"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B4977" w14:textId="5385FD2F"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A65G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01081" w14:textId="0E4FB7FF"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A4.4 Uelastycznienie form zatrudnienia</w:t>
            </w:r>
            <w:r w:rsidR="00A33B9F" w:rsidRPr="00A33B9F">
              <w:rPr>
                <w:rFonts w:ascii="Times New Roman" w:hAnsi="Times New Roman"/>
                <w:noProof/>
                <w:color w:val="000000"/>
                <w:sz w:val="18"/>
              </w:rPr>
              <w:t xml:space="preserve"> i wpr</w:t>
            </w:r>
            <w:r w:rsidRPr="00A33B9F">
              <w:rPr>
                <w:rFonts w:ascii="Times New Roman" w:hAnsi="Times New Roman"/>
                <w:noProof/>
                <w:color w:val="000000"/>
                <w:sz w:val="18"/>
              </w:rPr>
              <w:t>owadzenie pracy zdalnej</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DE46BC"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50152D" w14:textId="4B06326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Kodeksu pracy wprowadzającej na stałe do przepisów Kodeksu pracy instytucję pracy zdalnej oraz elastyczne formy organizacji czasu pracy</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8554EA" w14:textId="39B0DD7B"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Kodeksu pracy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B0BD7B"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B54525"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BA9E3"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729CC7"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5363C" w14:textId="1922FD71" w:rsidR="00C6743C" w:rsidRPr="00A33B9F" w:rsidRDefault="00C6743C" w:rsidP="602A902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512794" w14:textId="3C69A1B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Kodeksu pracy, która przyczyni się do skuteczniejszego godzenia obowiązków zawodowych</w:t>
            </w:r>
            <w:r w:rsidR="00A33B9F" w:rsidRPr="00A33B9F">
              <w:rPr>
                <w:rFonts w:ascii="Times New Roman" w:hAnsi="Times New Roman"/>
                <w:noProof/>
                <w:color w:val="000000" w:themeColor="text1"/>
                <w:sz w:val="18"/>
              </w:rPr>
              <w:t xml:space="preserve"> z pry</w:t>
            </w:r>
            <w:r w:rsidRPr="00A33B9F">
              <w:rPr>
                <w:rFonts w:ascii="Times New Roman" w:hAnsi="Times New Roman"/>
                <w:noProof/>
                <w:color w:val="000000" w:themeColor="text1"/>
                <w:sz w:val="18"/>
              </w:rPr>
              <w:t>watnymi, lepszego reagowania na kryzys</w:t>
            </w:r>
            <w:r w:rsidR="00A33B9F" w:rsidRPr="00A33B9F">
              <w:rPr>
                <w:rFonts w:ascii="Times New Roman" w:hAnsi="Times New Roman"/>
                <w:noProof/>
                <w:color w:val="000000" w:themeColor="text1"/>
                <w:sz w:val="18"/>
              </w:rPr>
              <w:t xml:space="preserve"> i zap</w:t>
            </w:r>
            <w:r w:rsidRPr="00A33B9F">
              <w:rPr>
                <w:rFonts w:ascii="Times New Roman" w:hAnsi="Times New Roman"/>
                <w:noProof/>
                <w:color w:val="000000" w:themeColor="text1"/>
                <w:sz w:val="18"/>
              </w:rPr>
              <w:t>ewniania wsparcia</w:t>
            </w:r>
            <w:r w:rsidR="00A33B9F" w:rsidRPr="00A33B9F">
              <w:rPr>
                <w:rFonts w:ascii="Times New Roman" w:hAnsi="Times New Roman"/>
                <w:noProof/>
                <w:color w:val="000000" w:themeColor="text1"/>
                <w:sz w:val="18"/>
              </w:rPr>
              <w:t xml:space="preserve"> w zna</w:t>
            </w:r>
            <w:r w:rsidRPr="00A33B9F">
              <w:rPr>
                <w:rFonts w:ascii="Times New Roman" w:hAnsi="Times New Roman"/>
                <w:noProof/>
                <w:color w:val="000000" w:themeColor="text1"/>
                <w:sz w:val="18"/>
              </w:rPr>
              <w:t>lezieniu stałego zatrudnienia osobom biernym zawodowo</w:t>
            </w:r>
            <w:r w:rsidR="00A33B9F" w:rsidRPr="00A33B9F">
              <w:rPr>
                <w:rFonts w:ascii="Times New Roman" w:hAnsi="Times New Roman"/>
                <w:noProof/>
                <w:color w:val="000000" w:themeColor="text1"/>
                <w:sz w:val="18"/>
              </w:rPr>
              <w:t xml:space="preserve"> o niż</w:t>
            </w:r>
            <w:r w:rsidRPr="00A33B9F">
              <w:rPr>
                <w:rFonts w:ascii="Times New Roman" w:hAnsi="Times New Roman"/>
                <w:noProof/>
                <w:color w:val="000000" w:themeColor="text1"/>
                <w:sz w:val="18"/>
              </w:rPr>
              <w:t>szym wskaźniku aktywności zawodowej. Reforma obejmuje:</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wprowadzenie możliwości wykonywania pracy zdalnej (całkowicie lub częściowo) poza miejscem pracy na podstawie uzgodnień między pracownikiem</w:t>
            </w:r>
            <w:r w:rsidR="00A33B9F" w:rsidRPr="00A33B9F">
              <w:rPr>
                <w:rFonts w:ascii="Times New Roman" w:hAnsi="Times New Roman"/>
                <w:noProof/>
                <w:color w:val="000000" w:themeColor="text1"/>
                <w:sz w:val="18"/>
              </w:rPr>
              <w:t xml:space="preserve"> a pra</w:t>
            </w:r>
            <w:r w:rsidRPr="00A33B9F">
              <w:rPr>
                <w:rFonts w:ascii="Times New Roman" w:hAnsi="Times New Roman"/>
                <w:noProof/>
                <w:color w:val="000000" w:themeColor="text1"/>
                <w:sz w:val="18"/>
              </w:rPr>
              <w:t>codawcą dokonywanych przy zawieraniu umowy</w:t>
            </w:r>
            <w:r w:rsidR="00A33B9F" w:rsidRPr="00A33B9F">
              <w:rPr>
                <w:rFonts w:ascii="Times New Roman" w:hAnsi="Times New Roman"/>
                <w:noProof/>
                <w:color w:val="000000" w:themeColor="text1"/>
                <w:sz w:val="18"/>
              </w:rPr>
              <w:t xml:space="preserve"> o pra</w:t>
            </w:r>
            <w:r w:rsidRPr="00A33B9F">
              <w:rPr>
                <w:rFonts w:ascii="Times New Roman" w:hAnsi="Times New Roman"/>
                <w:noProof/>
                <w:color w:val="000000" w:themeColor="text1"/>
                <w:sz w:val="18"/>
              </w:rPr>
              <w:t>cę albo</w:t>
            </w:r>
            <w:r w:rsidR="00A33B9F" w:rsidRPr="00A33B9F">
              <w:rPr>
                <w:rFonts w:ascii="Times New Roman" w:hAnsi="Times New Roman"/>
                <w:noProof/>
                <w:color w:val="000000" w:themeColor="text1"/>
                <w:sz w:val="18"/>
              </w:rPr>
              <w:t xml:space="preserve"> w tra</w:t>
            </w:r>
            <w:r w:rsidRPr="00A33B9F">
              <w:rPr>
                <w:rFonts w:ascii="Times New Roman" w:hAnsi="Times New Roman"/>
                <w:noProof/>
                <w:color w:val="000000" w:themeColor="text1"/>
                <w:sz w:val="18"/>
              </w:rPr>
              <w:t>kcie zatrudnienia;</w:t>
            </w:r>
            <w:r w:rsidRPr="00A33B9F">
              <w:rPr>
                <w:noProof/>
              </w:rPr>
              <w:t xml:space="preserve"> </w:t>
            </w:r>
            <w:r w:rsidRPr="00A33B9F">
              <w:rPr>
                <w:noProof/>
              </w:rPr>
              <w:br/>
            </w:r>
            <w:r w:rsidRPr="00A33B9F">
              <w:rPr>
                <w:rFonts w:ascii="Times New Roman" w:hAnsi="Times New Roman"/>
                <w:noProof/>
                <w:color w:val="000000" w:themeColor="text1"/>
                <w:sz w:val="18"/>
              </w:rPr>
              <w:t xml:space="preserve"> – ustalenie zasad wykonywania pracy zdalnej na podstawie uzgodnień pomiędzy pracodawcą</w:t>
            </w:r>
            <w:r w:rsidR="00A33B9F" w:rsidRPr="00A33B9F">
              <w:rPr>
                <w:rFonts w:ascii="Times New Roman" w:hAnsi="Times New Roman"/>
                <w:noProof/>
                <w:color w:val="000000" w:themeColor="text1"/>
                <w:sz w:val="18"/>
              </w:rPr>
              <w:t xml:space="preserve"> a prz</w:t>
            </w:r>
            <w:r w:rsidRPr="00A33B9F">
              <w:rPr>
                <w:rFonts w:ascii="Times New Roman" w:hAnsi="Times New Roman"/>
                <w:noProof/>
                <w:color w:val="000000" w:themeColor="text1"/>
                <w:sz w:val="18"/>
              </w:rPr>
              <w:t>edstawicielami pracowników;</w:t>
            </w:r>
            <w:r w:rsidRPr="00A33B9F">
              <w:rPr>
                <w:noProof/>
              </w:rPr>
              <w:t xml:space="preserve"> </w:t>
            </w:r>
            <w:r w:rsidRPr="00A33B9F">
              <w:rPr>
                <w:noProof/>
              </w:rPr>
              <w:br/>
            </w:r>
            <w:r w:rsidRPr="00A33B9F">
              <w:rPr>
                <w:rFonts w:ascii="Times New Roman" w:hAnsi="Times New Roman"/>
                <w:noProof/>
                <w:color w:val="000000" w:themeColor="text1"/>
                <w:sz w:val="18"/>
              </w:rPr>
              <w:t xml:space="preserve"> – uwzględnienie szczególnych przypadków, kiedy praca zdalna mogłaby być wykonywana na polecenie pracodawcy (np.</w:t>
            </w:r>
            <w:r w:rsidR="00A33B9F" w:rsidRPr="00A33B9F">
              <w:rPr>
                <w:rFonts w:ascii="Times New Roman" w:hAnsi="Times New Roman"/>
                <w:noProof/>
                <w:color w:val="000000" w:themeColor="text1"/>
                <w:sz w:val="18"/>
              </w:rPr>
              <w:t xml:space="preserve"> w nad</w:t>
            </w:r>
            <w:r w:rsidRPr="00A33B9F">
              <w:rPr>
                <w:rFonts w:ascii="Times New Roman" w:hAnsi="Times New Roman"/>
                <w:noProof/>
                <w:color w:val="000000" w:themeColor="text1"/>
                <w:sz w:val="18"/>
              </w:rPr>
              <w:t>zwyczajnych okolicznościach);</w:t>
            </w:r>
            <w:r w:rsidRPr="00A33B9F">
              <w:rPr>
                <w:noProof/>
              </w:rPr>
              <w:t xml:space="preserve"> </w:t>
            </w:r>
            <w:r w:rsidRPr="00A33B9F">
              <w:rPr>
                <w:noProof/>
              </w:rPr>
              <w:br/>
            </w:r>
            <w:r w:rsidRPr="00A33B9F">
              <w:rPr>
                <w:rFonts w:ascii="Times New Roman" w:hAnsi="Times New Roman"/>
                <w:noProof/>
                <w:color w:val="000000" w:themeColor="text1"/>
                <w:sz w:val="18"/>
              </w:rPr>
              <w:t xml:space="preserve"> – ustanowienie obowiązku zapewnienia przez pracodawcę materiałów</w:t>
            </w:r>
            <w:r w:rsidR="00A33B9F" w:rsidRPr="00A33B9F">
              <w:rPr>
                <w:rFonts w:ascii="Times New Roman" w:hAnsi="Times New Roman"/>
                <w:noProof/>
                <w:color w:val="000000" w:themeColor="text1"/>
                <w:sz w:val="18"/>
              </w:rPr>
              <w:t xml:space="preserve"> i nar</w:t>
            </w:r>
            <w:r w:rsidRPr="00A33B9F">
              <w:rPr>
                <w:rFonts w:ascii="Times New Roman" w:hAnsi="Times New Roman"/>
                <w:noProof/>
                <w:color w:val="000000" w:themeColor="text1"/>
                <w:sz w:val="18"/>
              </w:rPr>
              <w:t>zędzi niezbędnych do wykonywania pracy zdalnej lub możliwości korzystania ze sprzętów będących własnością pracowników;</w:t>
            </w:r>
            <w:r w:rsidRPr="00A33B9F">
              <w:rPr>
                <w:noProof/>
              </w:rPr>
              <w:t xml:space="preserve"> </w:t>
            </w:r>
            <w:r w:rsidRPr="00A33B9F">
              <w:rPr>
                <w:noProof/>
              </w:rPr>
              <w:br/>
            </w:r>
            <w:r w:rsidRPr="00A33B9F">
              <w:rPr>
                <w:rFonts w:ascii="Times New Roman" w:hAnsi="Times New Roman"/>
                <w:noProof/>
                <w:color w:val="000000" w:themeColor="text1"/>
                <w:sz w:val="18"/>
              </w:rPr>
              <w:t xml:space="preserve"> – wprowadzenie elastycznych form organizacji czasu pracy.</w:t>
            </w:r>
          </w:p>
        </w:tc>
      </w:tr>
      <w:tr w:rsidR="008C116B" w:rsidRPr="00A33B9F" w14:paraId="20B76696"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F02807" w14:textId="7449AE92"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A67G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FEDA03" w14:textId="576F2FAE"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A4.5 Przedłużanie kariery zawodowej</w:t>
            </w:r>
            <w:r w:rsidR="00A33B9F" w:rsidRPr="00A33B9F">
              <w:rPr>
                <w:rFonts w:ascii="Times New Roman" w:hAnsi="Times New Roman"/>
                <w:noProof/>
                <w:color w:val="000000"/>
                <w:sz w:val="18"/>
              </w:rPr>
              <w:t xml:space="preserve"> i pro</w:t>
            </w:r>
            <w:r w:rsidRPr="00A33B9F">
              <w:rPr>
                <w:rFonts w:ascii="Times New Roman" w:hAnsi="Times New Roman"/>
                <w:noProof/>
                <w:color w:val="000000"/>
                <w:sz w:val="18"/>
              </w:rPr>
              <w:t>mowanie pracy po przekroczeniu ustawowego wieku emerytalnego</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C5068"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EC5E58" w14:textId="5AB6DCC4"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pod</w:t>
            </w:r>
            <w:r w:rsidRPr="00A33B9F">
              <w:rPr>
                <w:rFonts w:ascii="Times New Roman" w:hAnsi="Times New Roman"/>
                <w:noProof/>
                <w:color w:val="000000" w:themeColor="text1"/>
                <w:sz w:val="18"/>
              </w:rPr>
              <w:t>atku dochodowym od osób fizycznych wprowadzającej od</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2023</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obniżenie stawki podatku dochodowego od osób fizycznych dla osób, które osiągnęły wiek emerytalny</w:t>
            </w:r>
            <w:r w:rsidR="00A33B9F" w:rsidRPr="00A33B9F">
              <w:rPr>
                <w:rFonts w:ascii="Times New Roman" w:hAnsi="Times New Roman"/>
                <w:noProof/>
                <w:color w:val="000000" w:themeColor="text1"/>
                <w:sz w:val="18"/>
              </w:rPr>
              <w:t xml:space="preserve"> i nad</w:t>
            </w:r>
            <w:r w:rsidRPr="00A33B9F">
              <w:rPr>
                <w:rFonts w:ascii="Times New Roman" w:hAnsi="Times New Roman"/>
                <w:noProof/>
                <w:color w:val="000000" w:themeColor="text1"/>
                <w:sz w:val="18"/>
              </w:rPr>
              <w:t>al pracują</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62E3B6" w14:textId="4500D914"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pod</w:t>
            </w:r>
            <w:r w:rsidRPr="00A33B9F">
              <w:rPr>
                <w:rFonts w:ascii="Times New Roman" w:hAnsi="Times New Roman"/>
                <w:noProof/>
                <w:color w:val="000000" w:themeColor="text1"/>
                <w:sz w:val="18"/>
              </w:rPr>
              <w:t>atku dochodowym od osób fizycznych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08BDD0"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BE7177"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DDFAB"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213C6B"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9E796"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ECD53F" w14:textId="7B50EA27" w:rsidR="00C6743C" w:rsidRPr="00A33B9F" w:rsidRDefault="51AB10E8"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pod</w:t>
            </w:r>
            <w:r w:rsidRPr="00A33B9F">
              <w:rPr>
                <w:rFonts w:ascii="Times New Roman" w:hAnsi="Times New Roman"/>
                <w:noProof/>
                <w:color w:val="000000" w:themeColor="text1"/>
                <w:sz w:val="18"/>
              </w:rPr>
              <w:t>atku dochodowym od osób fizycznych, która wprowadzi następujące zmiany: obniżenie stawki podatku dochodowego od osób fizycznych będzie przysługiwać podatnikom, którzy osiągną ustawowy wiek emerytalny</w:t>
            </w:r>
            <w:r w:rsidR="00A33B9F" w:rsidRPr="00A33B9F">
              <w:rPr>
                <w:rFonts w:ascii="Times New Roman" w:hAnsi="Times New Roman"/>
                <w:noProof/>
                <w:color w:val="000000" w:themeColor="text1"/>
                <w:sz w:val="18"/>
              </w:rPr>
              <w:t xml:space="preserve"> i zde</w:t>
            </w:r>
            <w:r w:rsidRPr="00A33B9F">
              <w:rPr>
                <w:rFonts w:ascii="Times New Roman" w:hAnsi="Times New Roman"/>
                <w:noProof/>
                <w:color w:val="000000" w:themeColor="text1"/>
                <w:sz w:val="18"/>
              </w:rPr>
              <w:t>cydują się na kontynuację zatrudnienia zamiast przejścia na emeryturę. Tacy pracownicy będą zwolnieni</w:t>
            </w:r>
            <w:r w:rsidR="00A33B9F" w:rsidRPr="00A33B9F">
              <w:rPr>
                <w:rFonts w:ascii="Times New Roman" w:hAnsi="Times New Roman"/>
                <w:noProof/>
                <w:color w:val="000000" w:themeColor="text1"/>
                <w:sz w:val="18"/>
              </w:rPr>
              <w:t xml:space="preserve"> z odp</w:t>
            </w:r>
            <w:r w:rsidRPr="00A33B9F">
              <w:rPr>
                <w:rFonts w:ascii="Times New Roman" w:hAnsi="Times New Roman"/>
                <w:noProof/>
                <w:color w:val="000000" w:themeColor="text1"/>
                <w:sz w:val="18"/>
              </w:rPr>
              <w:t>rowadzania podatku dochodowego do określonego limitu dochodów (tylko do pierwszego progu podatkowego wynoszącego 85 528 PLN</w:t>
            </w:r>
            <w:r w:rsidR="00A33B9F" w:rsidRPr="00A33B9F">
              <w:rPr>
                <w:rFonts w:ascii="Times New Roman" w:hAnsi="Times New Roman"/>
                <w:noProof/>
                <w:color w:val="000000" w:themeColor="text1"/>
                <w:sz w:val="18"/>
              </w:rPr>
              <w:t xml:space="preserve"> w 2</w:t>
            </w:r>
            <w:r w:rsidRPr="00A33B9F">
              <w:rPr>
                <w:rFonts w:ascii="Times New Roman" w:hAnsi="Times New Roman"/>
                <w:noProof/>
                <w:color w:val="000000" w:themeColor="text1"/>
                <w:sz w:val="18"/>
              </w:rPr>
              <w:t>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i tyl</w:t>
            </w:r>
            <w:r w:rsidRPr="00A33B9F">
              <w:rPr>
                <w:rFonts w:ascii="Times New Roman" w:hAnsi="Times New Roman"/>
                <w:noProof/>
                <w:color w:val="000000" w:themeColor="text1"/>
                <w:sz w:val="18"/>
              </w:rPr>
              <w:t>ko do wysokości przeciętnego wynagrodzenia brutto</w:t>
            </w:r>
            <w:r w:rsidR="00A33B9F" w:rsidRPr="00A33B9F">
              <w:rPr>
                <w:rFonts w:ascii="Times New Roman" w:hAnsi="Times New Roman"/>
                <w:noProof/>
                <w:color w:val="000000" w:themeColor="text1"/>
                <w:sz w:val="18"/>
              </w:rPr>
              <w:t xml:space="preserve"> w gos</w:t>
            </w:r>
            <w:r w:rsidRPr="00A33B9F">
              <w:rPr>
                <w:rFonts w:ascii="Times New Roman" w:hAnsi="Times New Roman"/>
                <w:noProof/>
                <w:color w:val="000000" w:themeColor="text1"/>
                <w:sz w:val="18"/>
              </w:rPr>
              <w:t>podarce publicznej</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Obniżona zostanie stawka podatku dochodowego od osób fizycznych dla osób znajdujących się powyżej pierwszego progu podatkowego. Dzięki tej zachęcie podatkowej podatnicy będą zarabiać dodatkowe kwoty odpowiadające kwocie niezapłaconego podatku dochodowego, co ma ich zachęcić do wydłużenia okresu aktywności zawodowej.</w:t>
            </w:r>
          </w:p>
        </w:tc>
      </w:tr>
      <w:tr w:rsidR="008C116B" w:rsidRPr="00A33B9F" w14:paraId="6B978138"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8EA849" w14:textId="49BB0363"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A68G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C7BAFE" w14:textId="762E78B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A4.5 Przedłużanie kariery zawodowej</w:t>
            </w:r>
            <w:r w:rsidR="00A33B9F" w:rsidRPr="00A33B9F">
              <w:rPr>
                <w:rFonts w:ascii="Times New Roman" w:hAnsi="Times New Roman"/>
                <w:noProof/>
                <w:color w:val="000000"/>
                <w:sz w:val="18"/>
              </w:rPr>
              <w:t xml:space="preserve"> i pro</w:t>
            </w:r>
            <w:r w:rsidRPr="00A33B9F">
              <w:rPr>
                <w:rFonts w:ascii="Times New Roman" w:hAnsi="Times New Roman"/>
                <w:noProof/>
                <w:color w:val="000000"/>
                <w:sz w:val="18"/>
              </w:rPr>
              <w:t>mowanie pracy po przekroczeniu ustawowego wieku emerytalnego</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7456DD"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1A95B"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Sprawozdanie oceniające wpływ działań służących podwyższaniu rzeczywistego wieku przejścia na emeryturę</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028C0" w14:textId="4E655F0B"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Publikacja sprawozdania oceniającego przez Ministerstwo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ityki Społecznej (MRiPS)</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F269C"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C8A419"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FE776" w14:textId="77777777" w:rsidR="00C6743C" w:rsidRPr="00A33B9F" w:rsidRDefault="00C6743C" w:rsidP="00FF7DD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57B762"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4BFC85"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C4132E" w14:textId="7C26C10B"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Celem tego sprawozdania jest dokonanie</w:t>
            </w:r>
            <w:r w:rsidR="00A33B9F" w:rsidRPr="00A33B9F">
              <w:rPr>
                <w:rFonts w:ascii="Times New Roman" w:hAnsi="Times New Roman"/>
                <w:noProof/>
                <w:color w:val="000000"/>
                <w:sz w:val="18"/>
              </w:rPr>
              <w:t xml:space="preserve"> w cią</w:t>
            </w:r>
            <w:r w:rsidRPr="00A33B9F">
              <w:rPr>
                <w:rFonts w:ascii="Times New Roman" w:hAnsi="Times New Roman"/>
                <w:noProof/>
                <w:color w:val="000000"/>
                <w:sz w:val="18"/>
              </w:rPr>
              <w:t>gu dwóch lat od wprowadzenia powyższego działania oceny wpływu zmian</w:t>
            </w:r>
            <w:r w:rsidR="00A33B9F" w:rsidRPr="00A33B9F">
              <w:rPr>
                <w:rFonts w:ascii="Times New Roman" w:hAnsi="Times New Roman"/>
                <w:noProof/>
                <w:color w:val="000000"/>
                <w:sz w:val="18"/>
              </w:rPr>
              <w:t xml:space="preserve"> w pod</w:t>
            </w:r>
            <w:r w:rsidRPr="00A33B9F">
              <w:rPr>
                <w:rFonts w:ascii="Times New Roman" w:hAnsi="Times New Roman"/>
                <w:noProof/>
                <w:color w:val="000000"/>
                <w:sz w:val="18"/>
              </w:rPr>
              <w:t>atku dochodowym od osób fizycznych na rzeczywisty wiek przejścia na emeryturę. Ocena ta będzie miała na celu przeanalizowanie wpływu na współczynnik aktywności zawodowej, trwałość systemu emerytalnego, finanse publiczne oraz równouprawnienie płci.</w:t>
            </w:r>
          </w:p>
        </w:tc>
      </w:tr>
      <w:tr w:rsidR="008C116B" w:rsidRPr="00A33B9F" w14:paraId="75DB26AD"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44BFB1" w14:textId="267DB99E"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A69G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D7550F"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A4.6 Wzrost współczynnika aktywności zawodowej określonych grup poprzez rozwój opieki długoterminowej</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D4A5B8"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3E20F1" w14:textId="010A250F"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Strategiczny przegląd opieki długoterminowej</w:t>
            </w:r>
            <w:r w:rsidR="00A33B9F" w:rsidRPr="00A33B9F">
              <w:rPr>
                <w:rFonts w:ascii="Times New Roman" w:hAnsi="Times New Roman"/>
                <w:noProof/>
                <w:color w:val="000000"/>
                <w:sz w:val="18"/>
              </w:rPr>
              <w:t xml:space="preserve"> w Pol</w:t>
            </w:r>
            <w:r w:rsidRPr="00A33B9F">
              <w:rPr>
                <w:rFonts w:ascii="Times New Roman" w:hAnsi="Times New Roman"/>
                <w:noProof/>
                <w:color w:val="000000"/>
                <w:sz w:val="18"/>
              </w:rPr>
              <w:t>sce</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określenia priorytetów</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reform</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B24439" w14:textId="27C1C159"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Publikacja sprawozdania ze strategicznego przeglądu przez Ministerstwo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ityki Społecznej (MRiPS)</w:t>
            </w:r>
            <w:r w:rsidR="00A33B9F" w:rsidRPr="00A33B9F">
              <w:rPr>
                <w:rFonts w:ascii="Times New Roman" w:hAnsi="Times New Roman"/>
                <w:noProof/>
                <w:color w:val="000000" w:themeColor="text1"/>
                <w:sz w:val="18"/>
              </w:rPr>
              <w:t xml:space="preserve"> i Min</w:t>
            </w:r>
            <w:r w:rsidRPr="00A33B9F">
              <w:rPr>
                <w:rFonts w:ascii="Times New Roman" w:hAnsi="Times New Roman"/>
                <w:noProof/>
                <w:color w:val="000000" w:themeColor="text1"/>
                <w:sz w:val="18"/>
              </w:rPr>
              <w:t>isterstwo Zdrowia</w:t>
            </w:r>
          </w:p>
          <w:p w14:paraId="2DE403A5"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96C0E2"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5B5DE2"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8B5DA1"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AE184B"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63B540"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676B7D" w14:textId="632AFF90"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Ukończenie analizy systemu opieki długoterminowej</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pod względem jego przyszłej reformy</w:t>
            </w:r>
            <w:r w:rsidR="00A33B9F" w:rsidRPr="00A33B9F">
              <w:rPr>
                <w:rFonts w:ascii="Times New Roman" w:hAnsi="Times New Roman"/>
                <w:noProof/>
                <w:color w:val="000000" w:themeColor="text1"/>
                <w:sz w:val="18"/>
              </w:rPr>
              <w:t xml:space="preserve"> i opu</w:t>
            </w:r>
            <w:r w:rsidRPr="00A33B9F">
              <w:rPr>
                <w:rFonts w:ascii="Times New Roman" w:hAnsi="Times New Roman"/>
                <w:noProof/>
                <w:color w:val="000000" w:themeColor="text1"/>
                <w:sz w:val="18"/>
              </w:rPr>
              <w:t>blikowanie odnośnego sprawozdania na stronie internetowej Biuletynu Informacji Publicznej Ministerstwa Rodziny</w:t>
            </w:r>
            <w:r w:rsidR="00A33B9F" w:rsidRPr="00A33B9F">
              <w:rPr>
                <w:rFonts w:ascii="Times New Roman" w:hAnsi="Times New Roman"/>
                <w:noProof/>
                <w:color w:val="000000" w:themeColor="text1"/>
                <w:sz w:val="18"/>
              </w:rPr>
              <w:t xml:space="preserve"> i Pol</w:t>
            </w:r>
            <w:r w:rsidRPr="00A33B9F">
              <w:rPr>
                <w:rFonts w:ascii="Times New Roman" w:hAnsi="Times New Roman"/>
                <w:noProof/>
                <w:color w:val="000000" w:themeColor="text1"/>
                <w:sz w:val="18"/>
              </w:rPr>
              <w:t>ityki Społecznej oraz na stronie internetowej Biuletynu Informacji Publicznej Ministerstwa Zdrowia</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analizy zbadane zostaną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możliwości:</w:t>
            </w:r>
            <w:r w:rsidRPr="00A33B9F">
              <w:rPr>
                <w:noProof/>
              </w:rPr>
              <w:t xml:space="preserve"> </w:t>
            </w:r>
            <w:r w:rsidRPr="00A33B9F">
              <w:rPr>
                <w:noProof/>
              </w:rPr>
              <w:br/>
            </w:r>
            <w:r w:rsidRPr="00A33B9F">
              <w:rPr>
                <w:rFonts w:ascii="Times New Roman" w:hAnsi="Times New Roman"/>
                <w:noProof/>
                <w:color w:val="000000" w:themeColor="text1"/>
                <w:sz w:val="18"/>
              </w:rPr>
              <w:t>– integracji społecznej</w:t>
            </w:r>
            <w:r w:rsidR="00A33B9F" w:rsidRPr="00A33B9F">
              <w:rPr>
                <w:rFonts w:ascii="Times New Roman" w:hAnsi="Times New Roman"/>
                <w:noProof/>
                <w:color w:val="000000" w:themeColor="text1"/>
                <w:sz w:val="18"/>
              </w:rPr>
              <w:t xml:space="preserve"> i zdr</w:t>
            </w:r>
            <w:r w:rsidRPr="00A33B9F">
              <w:rPr>
                <w:rFonts w:ascii="Times New Roman" w:hAnsi="Times New Roman"/>
                <w:noProof/>
                <w:color w:val="000000" w:themeColor="text1"/>
                <w:sz w:val="18"/>
              </w:rPr>
              <w:t>owotnej opieki długoterminowej,</w:t>
            </w:r>
            <w:r w:rsidRPr="00A33B9F">
              <w:rPr>
                <w:rFonts w:ascii="Times New Roman" w:hAnsi="Times New Roman"/>
                <w:noProof/>
                <w:color w:val="000000" w:themeColor="text1"/>
                <w:sz w:val="18"/>
              </w:rPr>
              <w:br/>
              <w:t>– przyspieszenia deinstytucjonalizacji tych usług,</w:t>
            </w:r>
            <w:r w:rsidRPr="00A33B9F">
              <w:rPr>
                <w:rFonts w:ascii="Times New Roman" w:hAnsi="Times New Roman"/>
                <w:noProof/>
                <w:color w:val="000000" w:themeColor="text1"/>
                <w:sz w:val="18"/>
              </w:rPr>
              <w:br/>
              <w:t>– podporządkowania ich jednemu organowi,</w:t>
            </w:r>
            <w:r w:rsidRPr="00A33B9F">
              <w:rPr>
                <w:noProof/>
              </w:rPr>
              <w:t xml:space="preserve"> </w:t>
            </w:r>
            <w:r w:rsidRPr="00A33B9F">
              <w:rPr>
                <w:noProof/>
              </w:rPr>
              <w:br/>
            </w:r>
            <w:r w:rsidRPr="00A33B9F">
              <w:rPr>
                <w:rFonts w:ascii="Times New Roman" w:hAnsi="Times New Roman"/>
                <w:noProof/>
                <w:color w:val="000000" w:themeColor="text1"/>
                <w:sz w:val="18"/>
              </w:rPr>
              <w:t>– ograniczenia fragmentacji świadczenia opieki,</w:t>
            </w:r>
          </w:p>
          <w:p w14:paraId="6AAAF9ED" w14:textId="5AF0E14A" w:rsidR="00C6743C" w:rsidRPr="00A33B9F" w:rsidRDefault="00C6743C" w:rsidP="005A7FC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dokonania przeglądu świadczeń opiekuńczych, aby umożliwić podejmowanie zatrudnienia,</w:t>
            </w:r>
            <w:r w:rsidRPr="00A33B9F">
              <w:rPr>
                <w:noProof/>
              </w:rPr>
              <w:t xml:space="preserve"> </w:t>
            </w:r>
            <w:r w:rsidRPr="00A33B9F">
              <w:rPr>
                <w:noProof/>
              </w:rPr>
              <w:br/>
            </w:r>
            <w:r w:rsidRPr="00A33B9F">
              <w:rPr>
                <w:rFonts w:ascii="Times New Roman" w:hAnsi="Times New Roman"/>
                <w:noProof/>
                <w:color w:val="000000" w:themeColor="text1"/>
                <w:sz w:val="18"/>
              </w:rPr>
              <w:t>– stworzenia stabilnego systemu odpowiedniego finansowania usług</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opieki długoterminowej, zwłaszcza opieki środowiskowej</w:t>
            </w:r>
            <w:r w:rsidR="00A33B9F" w:rsidRPr="00A33B9F">
              <w:rPr>
                <w:rFonts w:ascii="Times New Roman" w:hAnsi="Times New Roman"/>
                <w:noProof/>
                <w:color w:val="000000" w:themeColor="text1"/>
                <w:sz w:val="18"/>
              </w:rPr>
              <w:t xml:space="preserve"> i dom</w:t>
            </w:r>
            <w:r w:rsidRPr="00A33B9F">
              <w:rPr>
                <w:rFonts w:ascii="Times New Roman" w:hAnsi="Times New Roman"/>
                <w:noProof/>
                <w:color w:val="000000" w:themeColor="text1"/>
                <w:sz w:val="18"/>
              </w:rPr>
              <w:t>owej,</w:t>
            </w:r>
            <w:r w:rsidRPr="00A33B9F">
              <w:rPr>
                <w:noProof/>
              </w:rPr>
              <w:t xml:space="preserve"> </w:t>
            </w:r>
            <w:r w:rsidRPr="00A33B9F">
              <w:rPr>
                <w:noProof/>
              </w:rPr>
              <w:br/>
            </w:r>
            <w:r w:rsidRPr="00A33B9F">
              <w:rPr>
                <w:rFonts w:ascii="Times New Roman" w:hAnsi="Times New Roman"/>
                <w:noProof/>
                <w:color w:val="000000" w:themeColor="text1"/>
                <w:sz w:val="18"/>
              </w:rPr>
              <w:t>– wprowadzenia ram jakościowych dotyczących usług</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opieki długoterminowej (wymogów dotyczących pracowników, wyposażenia, dopuszczenia do rynku podmiotów świadczących usługi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opieki długoterminowej).</w:t>
            </w:r>
            <w:r w:rsidRPr="00A33B9F">
              <w:rPr>
                <w:noProof/>
              </w:rPr>
              <w:t xml:space="preserve"> </w:t>
            </w:r>
            <w:r w:rsidRPr="00A33B9F">
              <w:rPr>
                <w:noProof/>
              </w:rPr>
              <w:br/>
            </w:r>
            <w:r w:rsidRPr="00A33B9F">
              <w:rPr>
                <w:rFonts w:ascii="Times New Roman" w:hAnsi="Times New Roman"/>
                <w:noProof/>
                <w:color w:val="000000" w:themeColor="text1"/>
                <w:sz w:val="18"/>
              </w:rPr>
              <w:t>Analiza zostanie przeprowadzona</w:t>
            </w:r>
            <w:r w:rsidR="00A33B9F" w:rsidRPr="00A33B9F">
              <w:rPr>
                <w:rFonts w:ascii="Times New Roman" w:hAnsi="Times New Roman"/>
                <w:noProof/>
                <w:color w:val="000000" w:themeColor="text1"/>
                <w:sz w:val="18"/>
              </w:rPr>
              <w:t xml:space="preserve"> w por</w:t>
            </w:r>
            <w:r w:rsidRPr="00A33B9F">
              <w:rPr>
                <w:rFonts w:ascii="Times New Roman" w:hAnsi="Times New Roman"/>
                <w:noProof/>
                <w:color w:val="000000" w:themeColor="text1"/>
                <w:sz w:val="18"/>
              </w:rPr>
              <w:t>ozumieniu</w:t>
            </w:r>
            <w:r w:rsidR="00A33B9F" w:rsidRPr="00A33B9F">
              <w:rPr>
                <w:rFonts w:ascii="Times New Roman" w:hAnsi="Times New Roman"/>
                <w:noProof/>
                <w:color w:val="000000" w:themeColor="text1"/>
                <w:sz w:val="18"/>
              </w:rPr>
              <w:t xml:space="preserve"> z odp</w:t>
            </w:r>
            <w:r w:rsidRPr="00A33B9F">
              <w:rPr>
                <w:rFonts w:ascii="Times New Roman" w:hAnsi="Times New Roman"/>
                <w:noProof/>
                <w:color w:val="000000" w:themeColor="text1"/>
                <w:sz w:val="18"/>
              </w:rPr>
              <w:t>owiednimi zainteresowanymi stronami,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partnerami społecznymi, którzy zajmują się przepisami dotyczącymi opieki długoterminowej, opiekunami nieformalnymi, osobami otrzymującymi opiekę, osobami, które nie otrzymują opieki, lecz powinny ją otrzymywać,</w:t>
            </w:r>
            <w:r w:rsidR="00A33B9F" w:rsidRPr="00A33B9F">
              <w:rPr>
                <w:rFonts w:ascii="Times New Roman" w:hAnsi="Times New Roman"/>
                <w:noProof/>
                <w:color w:val="000000" w:themeColor="text1"/>
                <w:sz w:val="18"/>
              </w:rPr>
              <w:t xml:space="preserve"> i sam</w:t>
            </w:r>
            <w:r w:rsidRPr="00A33B9F">
              <w:rPr>
                <w:rFonts w:ascii="Times New Roman" w:hAnsi="Times New Roman"/>
                <w:noProof/>
                <w:color w:val="000000" w:themeColor="text1"/>
                <w:sz w:val="18"/>
              </w:rPr>
              <w:t>orządami terytorialnymi.</w:t>
            </w:r>
          </w:p>
        </w:tc>
      </w:tr>
      <w:tr w:rsidR="008C116B" w:rsidRPr="00A33B9F" w14:paraId="08DA6E8C"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83C2D" w14:textId="4046B545"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A70G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927F4A"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A4.6 Wzrost współczynnika aktywności zawodowej określonych grup poprzez rozwój opieki długoterminowej</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422C70"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BD3D04" w14:textId="4CEE4D60" w:rsidR="00C6743C" w:rsidRPr="00A33B9F" w:rsidRDefault="28E7A2D3" w:rsidP="00AC6B2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odpowiednich ustaw</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realizacji priorytetów</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reform określonych</w:t>
            </w:r>
            <w:r w:rsidR="00A33B9F" w:rsidRPr="00A33B9F">
              <w:rPr>
                <w:rFonts w:ascii="Times New Roman" w:hAnsi="Times New Roman"/>
                <w:noProof/>
                <w:color w:val="000000" w:themeColor="text1"/>
                <w:sz w:val="18"/>
              </w:rPr>
              <w:t xml:space="preserve"> w str</w:t>
            </w:r>
            <w:r w:rsidRPr="00A33B9F">
              <w:rPr>
                <w:rFonts w:ascii="Times New Roman" w:hAnsi="Times New Roman"/>
                <w:noProof/>
                <w:color w:val="000000" w:themeColor="text1"/>
                <w:sz w:val="18"/>
              </w:rPr>
              <w:t>ategicznym przeglądzie opieki długoterminowej</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(zgodnie</w:t>
            </w:r>
            <w:r w:rsidR="00A33B9F" w:rsidRPr="00A33B9F">
              <w:rPr>
                <w:rFonts w:ascii="Times New Roman" w:hAnsi="Times New Roman"/>
                <w:noProof/>
                <w:color w:val="000000" w:themeColor="text1"/>
                <w:sz w:val="18"/>
              </w:rPr>
              <w:t xml:space="preserve"> z kam</w:t>
            </w:r>
            <w:r w:rsidRPr="00A33B9F">
              <w:rPr>
                <w:rFonts w:ascii="Times New Roman" w:hAnsi="Times New Roman"/>
                <w:noProof/>
                <w:color w:val="000000" w:themeColor="text1"/>
                <w:sz w:val="18"/>
              </w:rPr>
              <w:t>ieniem milowym A69G)</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6B480E" w14:textId="7F1E3102"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odpowiednich ustaw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747F86"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DF40D6"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361D8D"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EDD68F"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1EB26B"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3C9B70" w14:textId="07FAB1B2" w:rsidR="00C6743C" w:rsidRPr="00A33B9F" w:rsidRDefault="28E7A2D3" w:rsidP="00AB74D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odpowiednich ustaw, która zapewni realizację priorytetów</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reform określonych</w:t>
            </w:r>
            <w:r w:rsidR="00A33B9F" w:rsidRPr="00A33B9F">
              <w:rPr>
                <w:rFonts w:ascii="Times New Roman" w:hAnsi="Times New Roman"/>
                <w:noProof/>
                <w:color w:val="000000" w:themeColor="text1"/>
                <w:sz w:val="18"/>
              </w:rPr>
              <w:t xml:space="preserve"> w str</w:t>
            </w:r>
            <w:r w:rsidRPr="00A33B9F">
              <w:rPr>
                <w:rFonts w:ascii="Times New Roman" w:hAnsi="Times New Roman"/>
                <w:noProof/>
                <w:color w:val="000000" w:themeColor="text1"/>
                <w:sz w:val="18"/>
              </w:rPr>
              <w:t>ategicznym przeglądzie opieki długoterminowej</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w:t>
            </w:r>
          </w:p>
        </w:tc>
      </w:tr>
      <w:tr w:rsidR="008C116B" w:rsidRPr="00A33B9F" w14:paraId="33C0F5D5" w14:textId="77777777" w:rsidTr="00681D72">
        <w:trPr>
          <w:trHeight w:val="313"/>
        </w:trPr>
        <w:tc>
          <w:tcPr>
            <w:tcW w:w="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436C1" w14:textId="1945E9F0"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A71G</w:t>
            </w:r>
          </w:p>
        </w:tc>
        <w:tc>
          <w:tcPr>
            <w:tcW w:w="1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916EB"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A4.7 Ograniczenie segmentacji rynku pracy</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2A11AE"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63E167" w14:textId="37BC83DB" w:rsidR="00C6743C" w:rsidRPr="00A33B9F" w:rsidRDefault="4A6CDA9B" w:rsidP="008309E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sys</w:t>
            </w:r>
            <w:r w:rsidRPr="00A33B9F">
              <w:rPr>
                <w:rFonts w:ascii="Times New Roman" w:hAnsi="Times New Roman"/>
                <w:noProof/>
                <w:color w:val="000000" w:themeColor="text1"/>
                <w:sz w:val="18"/>
              </w:rPr>
              <w:t>temie ubezpieczeń społecznych ograniczającej segmentację rynku pracy</w:t>
            </w:r>
            <w:r w:rsidR="00A33B9F" w:rsidRPr="00A33B9F">
              <w:rPr>
                <w:rFonts w:ascii="Times New Roman" w:hAnsi="Times New Roman"/>
                <w:noProof/>
                <w:color w:val="000000" w:themeColor="text1"/>
                <w:sz w:val="18"/>
              </w:rPr>
              <w:t xml:space="preserve"> i zwi</w:t>
            </w:r>
            <w:r w:rsidRPr="00A33B9F">
              <w:rPr>
                <w:rFonts w:ascii="Times New Roman" w:hAnsi="Times New Roman"/>
                <w:noProof/>
                <w:color w:val="000000" w:themeColor="text1"/>
                <w:sz w:val="18"/>
              </w:rPr>
              <w:t>ększającej ochronę socjalną wszystkich osób wykonujących pracę na podstawie umów cywilnoprawnych, poprzez objęcie tych umów składkami na ubezpieczenia społeczne</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8E2429" w14:textId="02623DD2"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sys</w:t>
            </w:r>
            <w:r w:rsidRPr="00A33B9F">
              <w:rPr>
                <w:rFonts w:ascii="Times New Roman" w:hAnsi="Times New Roman"/>
                <w:noProof/>
                <w:color w:val="000000" w:themeColor="text1"/>
                <w:sz w:val="18"/>
              </w:rPr>
              <w:t>temie ubezpieczeń społecznych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5E0D1A"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49BAF6"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077A0D" w14:textId="77777777" w:rsidR="00C6743C" w:rsidRPr="00A33B9F" w:rsidRDefault="00C6743C"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67FEF7" w14:textId="367CCD47" w:rsidR="00C6743C" w:rsidRPr="00A33B9F" w:rsidRDefault="0F533787"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IV kw.</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5307AE" w14:textId="77777777" w:rsidR="00C6743C" w:rsidRPr="00A33B9F" w:rsidRDefault="00C6743C" w:rsidP="00FF7DD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FFAB7A" w14:textId="41B64933" w:rsidR="00C6743C" w:rsidRPr="00A33B9F" w:rsidRDefault="4A6CDA9B" w:rsidP="00FF7DD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sys</w:t>
            </w:r>
            <w:r w:rsidRPr="00A33B9F">
              <w:rPr>
                <w:rFonts w:ascii="Times New Roman" w:hAnsi="Times New Roman"/>
                <w:noProof/>
                <w:color w:val="000000" w:themeColor="text1"/>
                <w:sz w:val="18"/>
              </w:rPr>
              <w:t>temie ubezpieczeń społecznych, która: (i) zapewni, aby wszystkie umowy cywilnoprawne podlegały składkom na ubezpieczenia społeczne (emerytalnym, rentowym, wypadkowym</w:t>
            </w:r>
            <w:r w:rsidR="00A33B9F" w:rsidRPr="00A33B9F">
              <w:rPr>
                <w:rFonts w:ascii="Times New Roman" w:hAnsi="Times New Roman"/>
                <w:noProof/>
                <w:color w:val="000000" w:themeColor="text1"/>
                <w:sz w:val="18"/>
              </w:rPr>
              <w:t xml:space="preserve"> i z tyt</w:t>
            </w:r>
            <w:r w:rsidRPr="00A33B9F">
              <w:rPr>
                <w:rFonts w:ascii="Times New Roman" w:hAnsi="Times New Roman"/>
                <w:noProof/>
                <w:color w:val="000000" w:themeColor="text1"/>
                <w:sz w:val="18"/>
              </w:rPr>
              <w:t>ułu chorób zawodowych oraz –</w:t>
            </w:r>
            <w:r w:rsidR="00A33B9F" w:rsidRPr="00A33B9F">
              <w:rPr>
                <w:rFonts w:ascii="Times New Roman" w:hAnsi="Times New Roman"/>
                <w:noProof/>
                <w:color w:val="000000" w:themeColor="text1"/>
                <w:sz w:val="18"/>
              </w:rPr>
              <w:t xml:space="preserve"> z wyj</w:t>
            </w:r>
            <w:r w:rsidRPr="00A33B9F">
              <w:rPr>
                <w:rFonts w:ascii="Times New Roman" w:hAnsi="Times New Roman"/>
                <w:noProof/>
                <w:color w:val="000000" w:themeColor="text1"/>
                <w:sz w:val="18"/>
              </w:rPr>
              <w:t>ątkiem umów</w:t>
            </w:r>
            <w:r w:rsidR="00A33B9F" w:rsidRPr="00A33B9F">
              <w:rPr>
                <w:rFonts w:ascii="Times New Roman" w:hAnsi="Times New Roman"/>
                <w:noProof/>
                <w:color w:val="000000" w:themeColor="text1"/>
                <w:sz w:val="18"/>
              </w:rPr>
              <w:t xml:space="preserve"> o dzi</w:t>
            </w:r>
            <w:r w:rsidRPr="00A33B9F">
              <w:rPr>
                <w:rFonts w:ascii="Times New Roman" w:hAnsi="Times New Roman"/>
                <w:noProof/>
                <w:color w:val="000000" w:themeColor="text1"/>
                <w:sz w:val="18"/>
              </w:rPr>
              <w:t>eło,</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których będą dobrowolne – chorobowym), niezależnie od uzyskiwanych dochodów,</w:t>
            </w:r>
            <w:r w:rsidR="00A33B9F" w:rsidRPr="00A33B9F">
              <w:rPr>
                <w:rFonts w:ascii="Times New Roman" w:hAnsi="Times New Roman"/>
                <w:noProof/>
                <w:color w:val="000000" w:themeColor="text1"/>
                <w:sz w:val="18"/>
              </w:rPr>
              <w:t xml:space="preserve"> z wyj</w:t>
            </w:r>
            <w:r w:rsidRPr="00A33B9F">
              <w:rPr>
                <w:rFonts w:ascii="Times New Roman" w:hAnsi="Times New Roman"/>
                <w:noProof/>
                <w:color w:val="000000" w:themeColor="text1"/>
                <w:sz w:val="18"/>
              </w:rPr>
              <w:t>ątkiem umów zawieranych ze studentami poniżej 26. roku życia; (ii) zniesie zasadę, zgodnie</w:t>
            </w:r>
            <w:r w:rsidR="00A33B9F" w:rsidRPr="00A33B9F">
              <w:rPr>
                <w:rFonts w:ascii="Times New Roman" w:hAnsi="Times New Roman"/>
                <w:noProof/>
                <w:color w:val="000000" w:themeColor="text1"/>
                <w:sz w:val="18"/>
              </w:rPr>
              <w:t xml:space="preserve"> z któ</w:t>
            </w:r>
            <w:r w:rsidRPr="00A33B9F">
              <w:rPr>
                <w:rFonts w:ascii="Times New Roman" w:hAnsi="Times New Roman"/>
                <w:noProof/>
                <w:color w:val="000000" w:themeColor="text1"/>
                <w:sz w:val="18"/>
              </w:rPr>
              <w:t>rą</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umów cywilnoprawnych składki na ubezpieczenia społeczne są płacone na podstawie minimalnego wynagrodzenia.</w:t>
            </w:r>
          </w:p>
        </w:tc>
      </w:tr>
    </w:tbl>
    <w:p w14:paraId="62431CDC" w14:textId="77777777" w:rsidR="00B64177" w:rsidRPr="00A33B9F" w:rsidRDefault="00B6417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9E398E2" w14:textId="77777777" w:rsidR="00DE66EA" w:rsidRPr="00A33B9F" w:rsidRDefault="00DE66EA">
      <w:pPr>
        <w:rPr>
          <w:rFonts w:ascii="Times New Roman" w:hAnsi="Times New Roman" w:cs="Times New Roman"/>
          <w:noProof/>
        </w:rPr>
      </w:pPr>
    </w:p>
    <w:p w14:paraId="16287F21" w14:textId="77777777" w:rsidR="002216B7" w:rsidRPr="00A33B9F" w:rsidRDefault="002216B7" w:rsidP="005F48F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sectPr w:rsidR="002216B7" w:rsidRPr="00A33B9F">
          <w:headerReference w:type="even" r:id="rId37"/>
          <w:headerReference w:type="default" r:id="rId38"/>
          <w:footerReference w:type="even" r:id="rId39"/>
          <w:footerReference w:type="default" r:id="rId40"/>
          <w:headerReference w:type="first" r:id="rId41"/>
          <w:footerReference w:type="first" r:id="rId42"/>
          <w:pgSz w:w="16839" w:h="11907" w:orient="landscape"/>
          <w:pgMar w:top="720" w:right="720" w:bottom="720" w:left="720" w:header="709" w:footer="709" w:gutter="0"/>
          <w:cols w:space="720"/>
        </w:sectPr>
      </w:pPr>
    </w:p>
    <w:p w14:paraId="371556A5" w14:textId="15056ABC"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themeColor="text1"/>
          <w:sz w:val="24"/>
        </w:rPr>
        <w:t xml:space="preserve">A.3. </w:t>
      </w:r>
      <w:r w:rsidRPr="00A33B9F">
        <w:rPr>
          <w:noProof/>
        </w:rPr>
        <w:tab/>
      </w:r>
      <w:r w:rsidRPr="00A33B9F">
        <w:rPr>
          <w:rFonts w:ascii="Times New Roman" w:hAnsi="Times New Roman"/>
          <w:b/>
          <w:noProof/>
          <w:color w:val="000000" w:themeColor="text1"/>
          <w:sz w:val="24"/>
        </w:rPr>
        <w:t>Opis reform</w:t>
      </w:r>
      <w:r w:rsidR="00A33B9F" w:rsidRPr="00A33B9F">
        <w:rPr>
          <w:rFonts w:ascii="Times New Roman" w:hAnsi="Times New Roman"/>
          <w:b/>
          <w:noProof/>
          <w:color w:val="000000" w:themeColor="text1"/>
          <w:sz w:val="24"/>
        </w:rPr>
        <w:t xml:space="preserve"> i inw</w:t>
      </w:r>
      <w:r w:rsidRPr="00A33B9F">
        <w:rPr>
          <w:rFonts w:ascii="Times New Roman" w:hAnsi="Times New Roman"/>
          <w:b/>
          <w:noProof/>
          <w:color w:val="000000" w:themeColor="text1"/>
          <w:sz w:val="24"/>
        </w:rPr>
        <w:t>estycji, które mają być finansowane</w:t>
      </w:r>
      <w:r w:rsidR="00A33B9F" w:rsidRPr="00A33B9F">
        <w:rPr>
          <w:rFonts w:ascii="Times New Roman" w:hAnsi="Times New Roman"/>
          <w:b/>
          <w:noProof/>
          <w:color w:val="000000" w:themeColor="text1"/>
          <w:sz w:val="24"/>
        </w:rPr>
        <w:t xml:space="preserve"> z poż</w:t>
      </w:r>
      <w:r w:rsidRPr="00A33B9F">
        <w:rPr>
          <w:rFonts w:ascii="Times New Roman" w:hAnsi="Times New Roman"/>
          <w:b/>
          <w:noProof/>
          <w:color w:val="000000" w:themeColor="text1"/>
          <w:sz w:val="24"/>
        </w:rPr>
        <w:t xml:space="preserve">yczki </w:t>
      </w:r>
    </w:p>
    <w:p w14:paraId="5BE93A62" w14:textId="77777777" w:rsidR="00FF07E1" w:rsidRPr="00A33B9F" w:rsidRDefault="00FF07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szCs w:val="24"/>
        </w:rPr>
      </w:pPr>
    </w:p>
    <w:p w14:paraId="2407045E" w14:textId="5F2B874D" w:rsidR="004A3621" w:rsidRPr="00A33B9F" w:rsidRDefault="004A3621" w:rsidP="004A3621">
      <w:pPr>
        <w:pStyle w:val="Normal0"/>
        <w:spacing w:before="120" w:after="120" w:line="240" w:lineRule="auto"/>
        <w:jc w:val="both"/>
        <w:rPr>
          <w:rFonts w:ascii="Times New Roman" w:eastAsia="Times New Roman" w:hAnsi="Times New Roman" w:cs="Times New Roman"/>
          <w:b/>
          <w:noProof/>
          <w:color w:val="000000" w:themeColor="text1"/>
          <w:sz w:val="24"/>
          <w:szCs w:val="24"/>
          <w:u w:val="single"/>
        </w:rPr>
      </w:pPr>
      <w:r w:rsidRPr="00A33B9F">
        <w:rPr>
          <w:rFonts w:ascii="Times New Roman" w:hAnsi="Times New Roman"/>
          <w:b/>
          <w:noProof/>
          <w:color w:val="000000" w:themeColor="text1"/>
          <w:sz w:val="24"/>
          <w:u w:val="single"/>
        </w:rPr>
        <w:t>A2.5 Zwiększenie znaczenia sektora kultury</w:t>
      </w:r>
      <w:r w:rsidR="00A33B9F" w:rsidRPr="00A33B9F">
        <w:rPr>
          <w:rFonts w:ascii="Times New Roman" w:hAnsi="Times New Roman"/>
          <w:b/>
          <w:noProof/>
          <w:color w:val="000000" w:themeColor="text1"/>
          <w:sz w:val="24"/>
          <w:u w:val="single"/>
        </w:rPr>
        <w:t xml:space="preserve"> i prz</w:t>
      </w:r>
      <w:r w:rsidRPr="00A33B9F">
        <w:rPr>
          <w:rFonts w:ascii="Times New Roman" w:hAnsi="Times New Roman"/>
          <w:b/>
          <w:noProof/>
          <w:color w:val="000000" w:themeColor="text1"/>
          <w:sz w:val="24"/>
          <w:u w:val="single"/>
        </w:rPr>
        <w:t>emysłu kultury dla rozwoju gospodarczego</w:t>
      </w:r>
    </w:p>
    <w:p w14:paraId="2D4B7562" w14:textId="0F04B664" w:rsidR="004A3621" w:rsidRPr="00A33B9F" w:rsidRDefault="3F6FAA7E"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Nadrzędnym celem tej reformy jest opracowanie</w:t>
      </w:r>
      <w:r w:rsidR="00A33B9F" w:rsidRPr="00A33B9F">
        <w:rPr>
          <w:rFonts w:ascii="Times New Roman" w:hAnsi="Times New Roman"/>
          <w:noProof/>
          <w:color w:val="000000" w:themeColor="text1"/>
          <w:sz w:val="24"/>
        </w:rPr>
        <w:t xml:space="preserve"> i stw</w:t>
      </w:r>
      <w:r w:rsidRPr="00A33B9F">
        <w:rPr>
          <w:rFonts w:ascii="Times New Roman" w:hAnsi="Times New Roman"/>
          <w:noProof/>
          <w:color w:val="000000" w:themeColor="text1"/>
          <w:sz w:val="24"/>
        </w:rPr>
        <w:t>orzenie ram wsparcia sektora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tora kreatywnego</w:t>
      </w:r>
      <w:r w:rsidR="00A33B9F" w:rsidRPr="00A33B9F">
        <w:rPr>
          <w:rFonts w:ascii="Times New Roman" w:hAnsi="Times New Roman"/>
          <w:noProof/>
          <w:color w:val="000000" w:themeColor="text1"/>
          <w:sz w:val="24"/>
        </w:rPr>
        <w:t xml:space="preserve"> w nas</w:t>
      </w:r>
      <w:r w:rsidRPr="00A33B9F">
        <w:rPr>
          <w:rFonts w:ascii="Times New Roman" w:hAnsi="Times New Roman"/>
          <w:noProof/>
          <w:color w:val="000000" w:themeColor="text1"/>
          <w:sz w:val="24"/>
        </w:rPr>
        <w:t>tępstwie pandemii COVID-19. Reforma polega na przyjęciu dokumentu programowego poświęconego następującym kwestiom: (i) określeniu kluczowych średnio-</w:t>
      </w:r>
      <w:r w:rsidR="00A33B9F" w:rsidRPr="00A33B9F">
        <w:rPr>
          <w:rFonts w:ascii="Times New Roman" w:hAnsi="Times New Roman"/>
          <w:noProof/>
          <w:color w:val="000000" w:themeColor="text1"/>
          <w:sz w:val="24"/>
        </w:rPr>
        <w:t xml:space="preserve"> i dłu</w:t>
      </w:r>
      <w:r w:rsidRPr="00A33B9F">
        <w:rPr>
          <w:rFonts w:ascii="Times New Roman" w:hAnsi="Times New Roman"/>
          <w:noProof/>
          <w:color w:val="000000" w:themeColor="text1"/>
          <w:sz w:val="24"/>
        </w:rPr>
        <w:t>goterminowych wyzwań</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 (ii) zapewnieniu zgodności</w:t>
      </w:r>
      <w:r w:rsidR="00A33B9F" w:rsidRPr="00A33B9F">
        <w:rPr>
          <w:rFonts w:ascii="Times New Roman" w:hAnsi="Times New Roman"/>
          <w:noProof/>
          <w:color w:val="000000" w:themeColor="text1"/>
          <w:sz w:val="24"/>
        </w:rPr>
        <w:t xml:space="preserve"> z zas</w:t>
      </w:r>
      <w:r w:rsidRPr="00A33B9F">
        <w:rPr>
          <w:rFonts w:ascii="Times New Roman" w:hAnsi="Times New Roman"/>
          <w:noProof/>
          <w:color w:val="000000" w:themeColor="text1"/>
          <w:sz w:val="24"/>
        </w:rPr>
        <w:t>adami horyzontalnymi UE,</w:t>
      </w:r>
      <w:r w:rsidR="00A33B9F" w:rsidRPr="00A33B9F">
        <w:rPr>
          <w:rFonts w:ascii="Times New Roman" w:hAnsi="Times New Roman"/>
          <w:noProof/>
          <w:color w:val="000000" w:themeColor="text1"/>
          <w:sz w:val="24"/>
        </w:rPr>
        <w:t xml:space="preserve"> w tym z zas</w:t>
      </w:r>
      <w:r w:rsidRPr="00A33B9F">
        <w:rPr>
          <w:rFonts w:ascii="Times New Roman" w:hAnsi="Times New Roman"/>
          <w:noProof/>
          <w:color w:val="000000" w:themeColor="text1"/>
          <w:sz w:val="24"/>
        </w:rPr>
        <w:t>adami równouprawnienia płci</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dyskryminacji; (iii) określeniu zdolności ekologicznych</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rowych narzędzi</w:t>
      </w:r>
      <w:r w:rsidR="00A33B9F" w:rsidRPr="00A33B9F">
        <w:rPr>
          <w:rFonts w:ascii="Times New Roman" w:hAnsi="Times New Roman"/>
          <w:noProof/>
          <w:color w:val="000000" w:themeColor="text1"/>
          <w:sz w:val="24"/>
        </w:rPr>
        <w:t xml:space="preserve"> i pla</w:t>
      </w:r>
      <w:r w:rsidRPr="00A33B9F">
        <w:rPr>
          <w:rFonts w:ascii="Times New Roman" w:hAnsi="Times New Roman"/>
          <w:noProof/>
          <w:color w:val="000000" w:themeColor="text1"/>
          <w:sz w:val="24"/>
        </w:rPr>
        <w:t>tform do sprostania tym wyzwaniom; (iv) opracowaniu koncepcji współpracy</w:t>
      </w:r>
      <w:r w:rsidR="00A33B9F" w:rsidRPr="00A33B9F">
        <w:rPr>
          <w:rFonts w:ascii="Times New Roman" w:hAnsi="Times New Roman"/>
          <w:noProof/>
          <w:color w:val="000000" w:themeColor="text1"/>
          <w:sz w:val="24"/>
        </w:rPr>
        <w:t xml:space="preserve"> i tra</w:t>
      </w:r>
      <w:r w:rsidRPr="00A33B9F">
        <w:rPr>
          <w:rFonts w:ascii="Times New Roman" w:hAnsi="Times New Roman"/>
          <w:noProof/>
          <w:color w:val="000000" w:themeColor="text1"/>
          <w:sz w:val="24"/>
        </w:rPr>
        <w:t>nsferu wiedzy</w:t>
      </w:r>
      <w:r w:rsidR="00A33B9F" w:rsidRPr="00A33B9F">
        <w:rPr>
          <w:rFonts w:ascii="Times New Roman" w:hAnsi="Times New Roman"/>
          <w:noProof/>
          <w:color w:val="000000" w:themeColor="text1"/>
          <w:sz w:val="24"/>
        </w:rPr>
        <w:t xml:space="preserve"> i umi</w:t>
      </w:r>
      <w:r w:rsidRPr="00A33B9F">
        <w:rPr>
          <w:rFonts w:ascii="Times New Roman" w:hAnsi="Times New Roman"/>
          <w:noProof/>
          <w:color w:val="000000" w:themeColor="text1"/>
          <w:sz w:val="24"/>
        </w:rPr>
        <w:t>ejętności między sektorem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torem kreatywnym</w:t>
      </w:r>
      <w:r w:rsidR="00A33B9F" w:rsidRPr="00A33B9F">
        <w:rPr>
          <w:rFonts w:ascii="Times New Roman" w:hAnsi="Times New Roman"/>
          <w:noProof/>
          <w:color w:val="000000" w:themeColor="text1"/>
          <w:sz w:val="24"/>
        </w:rPr>
        <w:t xml:space="preserve"> a sek</w:t>
      </w:r>
      <w:r w:rsidRPr="00A33B9F">
        <w:rPr>
          <w:rFonts w:ascii="Times New Roman" w:hAnsi="Times New Roman"/>
          <w:noProof/>
          <w:color w:val="000000" w:themeColor="text1"/>
          <w:sz w:val="24"/>
        </w:rPr>
        <w:t>torami nauki, edukacji, technologii</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edsiębiorstw, ze szczególnym uwzględnieniem ogólnych zasad UE,</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równouprawnienia płci</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dyskryminacji; (v) określeniu preferowanych wariantów zapewniania publicznego wsparcia na rzecz działań</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w:t>
      </w:r>
    </w:p>
    <w:p w14:paraId="326A145B" w14:textId="41ACED48" w:rsidR="004A3621" w:rsidRPr="00A33B9F" w:rsidRDefault="004A3621" w:rsidP="004A3621">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reformy zostanie zakończona do dnia 31 grudnia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84BA73E" w14:textId="77777777" w:rsidR="004A3621" w:rsidRPr="00A33B9F"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7F608D7F" w14:textId="44911F06" w:rsidR="004A3621" w:rsidRPr="00A33B9F" w:rsidRDefault="3F6FAA7E" w:rsidP="16BD6518">
      <w:pPr>
        <w:pStyle w:val="Normal0"/>
        <w:spacing w:before="120" w:after="120" w:line="240" w:lineRule="auto"/>
        <w:jc w:val="both"/>
        <w:rPr>
          <w:rFonts w:ascii="Times New Roman" w:eastAsia="Times New Roman" w:hAnsi="Times New Roman" w:cs="Times New Roman"/>
          <w:b/>
          <w:bCs/>
          <w:noProof/>
          <w:color w:val="000000" w:themeColor="text1"/>
          <w:sz w:val="24"/>
          <w:szCs w:val="24"/>
          <w:u w:val="single"/>
        </w:rPr>
      </w:pPr>
      <w:r w:rsidRPr="00A33B9F">
        <w:rPr>
          <w:rFonts w:ascii="Times New Roman" w:hAnsi="Times New Roman"/>
          <w:b/>
          <w:noProof/>
          <w:color w:val="000000" w:themeColor="text1"/>
          <w:sz w:val="24"/>
          <w:u w:val="single"/>
        </w:rPr>
        <w:t>A2.5.1 Program wspierania działalności podmiotów działających</w:t>
      </w:r>
      <w:r w:rsidR="00A33B9F" w:rsidRPr="00A33B9F">
        <w:rPr>
          <w:rFonts w:ascii="Times New Roman" w:hAnsi="Times New Roman"/>
          <w:b/>
          <w:noProof/>
          <w:color w:val="000000" w:themeColor="text1"/>
          <w:sz w:val="24"/>
          <w:u w:val="single"/>
        </w:rPr>
        <w:t xml:space="preserve"> w sek</w:t>
      </w:r>
      <w:r w:rsidRPr="00A33B9F">
        <w:rPr>
          <w:rFonts w:ascii="Times New Roman" w:hAnsi="Times New Roman"/>
          <w:b/>
          <w:noProof/>
          <w:color w:val="000000" w:themeColor="text1"/>
          <w:sz w:val="24"/>
          <w:u w:val="single"/>
        </w:rPr>
        <w:t>torze kultury</w:t>
      </w:r>
      <w:r w:rsidR="00A33B9F" w:rsidRPr="00A33B9F">
        <w:rPr>
          <w:rFonts w:ascii="Times New Roman" w:hAnsi="Times New Roman"/>
          <w:b/>
          <w:noProof/>
          <w:color w:val="000000" w:themeColor="text1"/>
          <w:sz w:val="24"/>
          <w:u w:val="single"/>
        </w:rPr>
        <w:t xml:space="preserve"> i sek</w:t>
      </w:r>
      <w:r w:rsidRPr="00A33B9F">
        <w:rPr>
          <w:rFonts w:ascii="Times New Roman" w:hAnsi="Times New Roman"/>
          <w:b/>
          <w:noProof/>
          <w:color w:val="000000" w:themeColor="text1"/>
          <w:sz w:val="24"/>
          <w:u w:val="single"/>
        </w:rPr>
        <w:t>torze kreatywnym</w:t>
      </w:r>
      <w:r w:rsidR="00A33B9F" w:rsidRPr="00A33B9F">
        <w:rPr>
          <w:rFonts w:ascii="Times New Roman" w:hAnsi="Times New Roman"/>
          <w:noProof/>
          <w:color w:val="000000" w:themeColor="text1"/>
          <w:sz w:val="24"/>
          <w:u w:val="single"/>
        </w:rPr>
        <w:t xml:space="preserve"> </w:t>
      </w:r>
      <w:r w:rsidR="00A33B9F" w:rsidRPr="00A33B9F">
        <w:rPr>
          <w:rFonts w:ascii="Times New Roman" w:hAnsi="Times New Roman"/>
          <w:b/>
          <w:noProof/>
          <w:color w:val="000000" w:themeColor="text1"/>
          <w:sz w:val="24"/>
          <w:u w:val="single"/>
        </w:rPr>
        <w:t>w</w:t>
      </w:r>
      <w:r w:rsidR="00A33B9F" w:rsidRPr="00A33B9F">
        <w:rPr>
          <w:rFonts w:ascii="Times New Roman" w:hAnsi="Times New Roman"/>
          <w:noProof/>
          <w:color w:val="000000" w:themeColor="text1"/>
          <w:sz w:val="24"/>
          <w:u w:val="single"/>
        </w:rPr>
        <w:t> </w:t>
      </w:r>
      <w:r w:rsidR="00A33B9F" w:rsidRPr="00A33B9F">
        <w:rPr>
          <w:rFonts w:ascii="Times New Roman" w:hAnsi="Times New Roman"/>
          <w:b/>
          <w:noProof/>
          <w:color w:val="000000" w:themeColor="text1"/>
          <w:sz w:val="24"/>
          <w:u w:val="single"/>
        </w:rPr>
        <w:t>cel</w:t>
      </w:r>
      <w:r w:rsidRPr="00A33B9F">
        <w:rPr>
          <w:rFonts w:ascii="Times New Roman" w:hAnsi="Times New Roman"/>
          <w:b/>
          <w:noProof/>
          <w:color w:val="000000" w:themeColor="text1"/>
          <w:sz w:val="24"/>
          <w:u w:val="single"/>
        </w:rPr>
        <w:t>u stymulowania ich rozwoju</w:t>
      </w:r>
    </w:p>
    <w:p w14:paraId="15E6868C" w14:textId="5F668ECC" w:rsidR="004A3621" w:rsidRPr="00A33B9F"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Celem tej inwestycji jest zapobieganie długoterminowym negatywnym skutkom pandemii COVID-19 oraz zachęcanie do transformacji zielonej</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rowej</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w:t>
      </w:r>
      <w:r w:rsidR="00A33B9F" w:rsidRPr="00A33B9F">
        <w:rPr>
          <w:rFonts w:ascii="Times New Roman" w:hAnsi="Times New Roman"/>
          <w:noProof/>
          <w:color w:val="000000" w:themeColor="text1"/>
          <w:sz w:val="24"/>
        </w:rPr>
        <w:t>. W tym</w:t>
      </w:r>
      <w:r w:rsidRPr="00A33B9F">
        <w:rPr>
          <w:rFonts w:ascii="Times New Roman" w:hAnsi="Times New Roman"/>
          <w:noProof/>
          <w:color w:val="000000" w:themeColor="text1"/>
          <w:sz w:val="24"/>
        </w:rPr>
        <w:t xml:space="preserve"> celu inwestycja ma zapewnić wsparcie finansowe</w:t>
      </w:r>
      <w:r w:rsidR="00A33B9F" w:rsidRPr="00A33B9F">
        <w:rPr>
          <w:rFonts w:ascii="Times New Roman" w:hAnsi="Times New Roman"/>
          <w:noProof/>
          <w:color w:val="000000" w:themeColor="text1"/>
          <w:sz w:val="24"/>
        </w:rPr>
        <w:t xml:space="preserve"> i pom</w:t>
      </w:r>
      <w:r w:rsidRPr="00A33B9F">
        <w:rPr>
          <w:rFonts w:ascii="Times New Roman" w:hAnsi="Times New Roman"/>
          <w:noProof/>
          <w:color w:val="000000" w:themeColor="text1"/>
          <w:sz w:val="24"/>
        </w:rPr>
        <w:t>oc techniczną instytucjom kultury, organizacjom pozarządowym, artystom, mikroprzedsiębiorstwom i MŚP</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w:t>
      </w:r>
    </w:p>
    <w:p w14:paraId="19408C34" w14:textId="5B66864E" w:rsidR="004A3621" w:rsidRPr="00A33B9F" w:rsidRDefault="3CBACE0B"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składać się będzie</w:t>
      </w:r>
      <w:r w:rsidR="00A33B9F" w:rsidRPr="00A33B9F">
        <w:rPr>
          <w:rFonts w:ascii="Times New Roman" w:hAnsi="Times New Roman"/>
          <w:noProof/>
          <w:color w:val="000000" w:themeColor="text1"/>
          <w:sz w:val="24"/>
        </w:rPr>
        <w:t xml:space="preserve"> z dwó</w:t>
      </w:r>
      <w:r w:rsidRPr="00A33B9F">
        <w:rPr>
          <w:rFonts w:ascii="Times New Roman" w:hAnsi="Times New Roman"/>
          <w:noProof/>
          <w:color w:val="000000" w:themeColor="text1"/>
          <w:sz w:val="24"/>
        </w:rPr>
        <w:t>ch głównych elementów. Po pierwsze,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inwestycji powstanie program dotacji na rzecz instytucji kultury, organizacji pozarządowych, MŚP</w:t>
      </w:r>
      <w:r w:rsidR="00A33B9F" w:rsidRPr="00A33B9F">
        <w:rPr>
          <w:rFonts w:ascii="Times New Roman" w:hAnsi="Times New Roman"/>
          <w:noProof/>
          <w:color w:val="000000" w:themeColor="text1"/>
          <w:sz w:val="24"/>
        </w:rPr>
        <w:t xml:space="preserve"> i mik</w:t>
      </w:r>
      <w:r w:rsidRPr="00A33B9F">
        <w:rPr>
          <w:rFonts w:ascii="Times New Roman" w:hAnsi="Times New Roman"/>
          <w:noProof/>
          <w:color w:val="000000" w:themeColor="text1"/>
          <w:sz w:val="24"/>
        </w:rPr>
        <w:t>roprzedsiębiorstw</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wsparcia projektów wdrożeniowych związanych z: (i) poprawą kompetencji cyfrowych</w:t>
      </w:r>
      <w:r w:rsidR="00A33B9F" w:rsidRPr="00A33B9F">
        <w:rPr>
          <w:rFonts w:ascii="Times New Roman" w:hAnsi="Times New Roman"/>
          <w:noProof/>
          <w:color w:val="000000" w:themeColor="text1"/>
          <w:sz w:val="24"/>
        </w:rPr>
        <w:t xml:space="preserve"> i eko</w:t>
      </w:r>
      <w:r w:rsidRPr="00A33B9F">
        <w:rPr>
          <w:rFonts w:ascii="Times New Roman" w:hAnsi="Times New Roman"/>
          <w:noProof/>
          <w:color w:val="000000" w:themeColor="text1"/>
          <w:sz w:val="24"/>
        </w:rPr>
        <w:t>logicznych</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 (ii) rozwojem działalności kulturalnej/kreatywnej, takiej jak koncerty, występy</w:t>
      </w:r>
      <w:r w:rsidR="00A33B9F" w:rsidRPr="00A33B9F">
        <w:rPr>
          <w:rFonts w:ascii="Times New Roman" w:hAnsi="Times New Roman"/>
          <w:noProof/>
          <w:color w:val="000000" w:themeColor="text1"/>
          <w:sz w:val="24"/>
        </w:rPr>
        <w:t xml:space="preserve"> i wys</w:t>
      </w:r>
      <w:r w:rsidRPr="00A33B9F">
        <w:rPr>
          <w:rFonts w:ascii="Times New Roman" w:hAnsi="Times New Roman"/>
          <w:noProof/>
          <w:color w:val="000000" w:themeColor="text1"/>
          <w:sz w:val="24"/>
        </w:rPr>
        <w:t>tawy,</w:t>
      </w:r>
      <w:r w:rsidR="00A33B9F" w:rsidRPr="00A33B9F">
        <w:rPr>
          <w:rFonts w:ascii="Times New Roman" w:hAnsi="Times New Roman"/>
          <w:noProof/>
          <w:color w:val="000000" w:themeColor="text1"/>
          <w:sz w:val="24"/>
        </w:rPr>
        <w:t xml:space="preserve"> w tym w for</w:t>
      </w:r>
      <w:r w:rsidRPr="00A33B9F">
        <w:rPr>
          <w:rFonts w:ascii="Times New Roman" w:hAnsi="Times New Roman"/>
          <w:noProof/>
          <w:color w:val="000000" w:themeColor="text1"/>
          <w:sz w:val="24"/>
        </w:rPr>
        <w:t>mie wirtualnej; (iii) tworzeniem programów edukacyjnych</w:t>
      </w:r>
      <w:r w:rsidR="00A33B9F" w:rsidRPr="00A33B9F">
        <w:rPr>
          <w:rFonts w:ascii="Times New Roman" w:hAnsi="Times New Roman"/>
          <w:noProof/>
          <w:color w:val="000000" w:themeColor="text1"/>
          <w:sz w:val="24"/>
        </w:rPr>
        <w:t xml:space="preserve"> i org</w:t>
      </w:r>
      <w:r w:rsidRPr="00A33B9F">
        <w:rPr>
          <w:rFonts w:ascii="Times New Roman" w:hAnsi="Times New Roman"/>
          <w:noProof/>
          <w:color w:val="000000" w:themeColor="text1"/>
          <w:sz w:val="24"/>
        </w:rPr>
        <w:t>anizacją warsztatów poświęconych architekturze, projektowaniu</w:t>
      </w:r>
      <w:r w:rsidR="00A33B9F" w:rsidRPr="00A33B9F">
        <w:rPr>
          <w:rFonts w:ascii="Times New Roman" w:hAnsi="Times New Roman"/>
          <w:noProof/>
          <w:color w:val="000000" w:themeColor="text1"/>
          <w:sz w:val="24"/>
        </w:rPr>
        <w:t xml:space="preserve"> i szt</w:t>
      </w:r>
      <w:r w:rsidRPr="00A33B9F">
        <w:rPr>
          <w:rFonts w:ascii="Times New Roman" w:hAnsi="Times New Roman"/>
          <w:noProof/>
          <w:color w:val="000000" w:themeColor="text1"/>
          <w:sz w:val="24"/>
        </w:rPr>
        <w:t>uce kreatywnej, aby pomóc artystom</w:t>
      </w:r>
      <w:r w:rsidR="00A33B9F" w:rsidRPr="00A33B9F">
        <w:rPr>
          <w:rFonts w:ascii="Times New Roman" w:hAnsi="Times New Roman"/>
          <w:noProof/>
          <w:color w:val="000000" w:themeColor="text1"/>
          <w:sz w:val="24"/>
        </w:rPr>
        <w:t xml:space="preserve"> i pro</w:t>
      </w:r>
      <w:r w:rsidRPr="00A33B9F">
        <w:rPr>
          <w:rFonts w:ascii="Times New Roman" w:hAnsi="Times New Roman"/>
          <w:noProof/>
          <w:color w:val="000000" w:themeColor="text1"/>
          <w:sz w:val="24"/>
        </w:rPr>
        <w:t>jektantom</w:t>
      </w:r>
      <w:r w:rsidR="00A33B9F" w:rsidRPr="00A33B9F">
        <w:rPr>
          <w:rFonts w:ascii="Times New Roman" w:hAnsi="Times New Roman"/>
          <w:noProof/>
          <w:color w:val="000000" w:themeColor="text1"/>
          <w:sz w:val="24"/>
        </w:rPr>
        <w:t xml:space="preserve"> w roz</w:t>
      </w:r>
      <w:r w:rsidRPr="00A33B9F">
        <w:rPr>
          <w:rFonts w:ascii="Times New Roman" w:hAnsi="Times New Roman"/>
          <w:noProof/>
          <w:color w:val="000000" w:themeColor="text1"/>
          <w:sz w:val="24"/>
        </w:rPr>
        <w:t>wijaniu ich umiejętności ekologicznych</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rowych; (iv) organizacją warsztatów mających na celu wspieranie współpracy oraz wymianę wiedzy</w:t>
      </w:r>
      <w:r w:rsidR="00A33B9F" w:rsidRPr="00A33B9F">
        <w:rPr>
          <w:rFonts w:ascii="Times New Roman" w:hAnsi="Times New Roman"/>
          <w:noProof/>
          <w:color w:val="000000" w:themeColor="text1"/>
          <w:sz w:val="24"/>
        </w:rPr>
        <w:t xml:space="preserve"> i umi</w:t>
      </w:r>
      <w:r w:rsidRPr="00A33B9F">
        <w:rPr>
          <w:rFonts w:ascii="Times New Roman" w:hAnsi="Times New Roman"/>
          <w:noProof/>
          <w:color w:val="000000" w:themeColor="text1"/>
          <w:sz w:val="24"/>
        </w:rPr>
        <w:t>ejętności między sektorem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torem kreatywnym</w:t>
      </w:r>
      <w:r w:rsidR="00A33B9F" w:rsidRPr="00A33B9F">
        <w:rPr>
          <w:rFonts w:ascii="Times New Roman" w:hAnsi="Times New Roman"/>
          <w:noProof/>
          <w:color w:val="000000" w:themeColor="text1"/>
          <w:sz w:val="24"/>
        </w:rPr>
        <w:t xml:space="preserve"> a sek</w:t>
      </w:r>
      <w:r w:rsidRPr="00A33B9F">
        <w:rPr>
          <w:rFonts w:ascii="Times New Roman" w:hAnsi="Times New Roman"/>
          <w:noProof/>
          <w:color w:val="000000" w:themeColor="text1"/>
          <w:sz w:val="24"/>
        </w:rPr>
        <w:t>torami nauki, technologii</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edsiębiorstw; (v) opracowywaniem nowych produktów</w:t>
      </w:r>
      <w:r w:rsidR="00A33B9F" w:rsidRPr="00A33B9F">
        <w:rPr>
          <w:rFonts w:ascii="Times New Roman" w:hAnsi="Times New Roman"/>
          <w:noProof/>
          <w:color w:val="000000" w:themeColor="text1"/>
          <w:sz w:val="24"/>
        </w:rPr>
        <w:t xml:space="preserve"> i usł</w:t>
      </w:r>
      <w:r w:rsidRPr="00A33B9F">
        <w:rPr>
          <w:rFonts w:ascii="Times New Roman" w:hAnsi="Times New Roman"/>
          <w:noProof/>
          <w:color w:val="000000" w:themeColor="text1"/>
          <w:sz w:val="24"/>
        </w:rPr>
        <w:t>ug wykorzystujących technologie przełomowe, takie jak sztuczna inteligencja, łańcuch bloków oraz internet rzeczy,</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 We wszystkich projektach uwzględnione zostaną ogólne zasady UE,</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zasady równouprawnienia płci</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dyskryminacji.</w:t>
      </w:r>
    </w:p>
    <w:p w14:paraId="440D9AD8" w14:textId="5826B1FC" w:rsidR="004A3621" w:rsidRPr="00A33B9F" w:rsidRDefault="004A3621" w:rsidP="004A3621">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Po drugie,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inwestycji powstanie program stypendialny mający na celu wspieranie twórców, artystów, animatorów, edukatorów</w:t>
      </w:r>
      <w:r w:rsidR="00A33B9F" w:rsidRPr="00A33B9F">
        <w:rPr>
          <w:rFonts w:ascii="Times New Roman" w:hAnsi="Times New Roman"/>
          <w:noProof/>
          <w:color w:val="000000" w:themeColor="text1"/>
          <w:sz w:val="24"/>
        </w:rPr>
        <w:t xml:space="preserve"> i nau</w:t>
      </w:r>
      <w:r w:rsidRPr="00A33B9F">
        <w:rPr>
          <w:rFonts w:ascii="Times New Roman" w:hAnsi="Times New Roman"/>
          <w:noProof/>
          <w:color w:val="000000" w:themeColor="text1"/>
          <w:sz w:val="24"/>
        </w:rPr>
        <w:t>kowców</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w:t>
      </w:r>
      <w:r w:rsidR="00A33B9F" w:rsidRPr="00A33B9F">
        <w:rPr>
          <w:rFonts w:ascii="Times New Roman" w:hAnsi="Times New Roman"/>
          <w:noProof/>
          <w:color w:val="000000" w:themeColor="text1"/>
          <w:sz w:val="24"/>
        </w:rPr>
        <w:t>. W szc</w:t>
      </w:r>
      <w:r w:rsidRPr="00A33B9F">
        <w:rPr>
          <w:rFonts w:ascii="Times New Roman" w:hAnsi="Times New Roman"/>
          <w:noProof/>
          <w:color w:val="000000" w:themeColor="text1"/>
          <w:sz w:val="24"/>
        </w:rPr>
        <w:t>zególności program stypendialny zapewni pomoc finansową przeznaczoną na następujące cele: (i) prowadzenie kursów dla artystów</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rozwijania ich umiejętności artystycznych</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rowych lub ekologicznych; (ii) zapewnienie artystom zindywidualizowanego szkolenia zawodowego; (iii) stworzenie artystom możliwości spotkań</w:t>
      </w:r>
      <w:r w:rsidR="00A33B9F" w:rsidRPr="00A33B9F">
        <w:rPr>
          <w:rFonts w:ascii="Times New Roman" w:hAnsi="Times New Roman"/>
          <w:noProof/>
          <w:color w:val="000000" w:themeColor="text1"/>
          <w:sz w:val="24"/>
        </w:rPr>
        <w:t xml:space="preserve"> w for</w:t>
      </w:r>
      <w:r w:rsidRPr="00A33B9F">
        <w:rPr>
          <w:rFonts w:ascii="Times New Roman" w:hAnsi="Times New Roman"/>
          <w:noProof/>
          <w:color w:val="000000" w:themeColor="text1"/>
          <w:sz w:val="24"/>
        </w:rPr>
        <w:t>mie wirtualnej lub stacjonarnej</w:t>
      </w:r>
      <w:r w:rsidR="00A33B9F" w:rsidRPr="00A33B9F">
        <w:rPr>
          <w:rFonts w:ascii="Times New Roman" w:hAnsi="Times New Roman"/>
          <w:noProof/>
          <w:color w:val="000000" w:themeColor="text1"/>
          <w:sz w:val="24"/>
        </w:rPr>
        <w:t xml:space="preserve"> z lok</w:t>
      </w:r>
      <w:r w:rsidRPr="00A33B9F">
        <w:rPr>
          <w:rFonts w:ascii="Times New Roman" w:hAnsi="Times New Roman"/>
          <w:noProof/>
          <w:color w:val="000000" w:themeColor="text1"/>
          <w:sz w:val="24"/>
        </w:rPr>
        <w:t>alnymi, krajowymi</w:t>
      </w:r>
      <w:r w:rsidR="00A33B9F" w:rsidRPr="00A33B9F">
        <w:rPr>
          <w:rFonts w:ascii="Times New Roman" w:hAnsi="Times New Roman"/>
          <w:noProof/>
          <w:color w:val="000000" w:themeColor="text1"/>
          <w:sz w:val="24"/>
        </w:rPr>
        <w:t xml:space="preserve"> i mię</w:t>
      </w:r>
      <w:r w:rsidRPr="00A33B9F">
        <w:rPr>
          <w:rFonts w:ascii="Times New Roman" w:hAnsi="Times New Roman"/>
          <w:noProof/>
          <w:color w:val="000000" w:themeColor="text1"/>
          <w:sz w:val="24"/>
        </w:rPr>
        <w:t>dzynarodowymi specjalistami</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sztuki poprzez organizację warsztatów</w:t>
      </w:r>
      <w:r w:rsidR="00A33B9F" w:rsidRPr="00A33B9F">
        <w:rPr>
          <w:rFonts w:ascii="Times New Roman" w:hAnsi="Times New Roman"/>
          <w:noProof/>
          <w:color w:val="000000" w:themeColor="text1"/>
          <w:sz w:val="24"/>
        </w:rPr>
        <w:t xml:space="preserve"> i cyk</w:t>
      </w:r>
      <w:r w:rsidRPr="00A33B9F">
        <w:rPr>
          <w:rFonts w:ascii="Times New Roman" w:hAnsi="Times New Roman"/>
          <w:noProof/>
          <w:color w:val="000000" w:themeColor="text1"/>
          <w:sz w:val="24"/>
        </w:rPr>
        <w:t>lu dyskusji; (iv) stworzenie artystom możliwości współpracy</w:t>
      </w:r>
      <w:r w:rsidR="00A33B9F" w:rsidRPr="00A33B9F">
        <w:rPr>
          <w:rFonts w:ascii="Times New Roman" w:hAnsi="Times New Roman"/>
          <w:noProof/>
          <w:color w:val="000000" w:themeColor="text1"/>
          <w:sz w:val="24"/>
        </w:rPr>
        <w:t xml:space="preserve"> w for</w:t>
      </w:r>
      <w:r w:rsidRPr="00A33B9F">
        <w:rPr>
          <w:rFonts w:ascii="Times New Roman" w:hAnsi="Times New Roman"/>
          <w:noProof/>
          <w:color w:val="000000" w:themeColor="text1"/>
          <w:sz w:val="24"/>
        </w:rPr>
        <w:t>mie wirtualnej lub stacjonarnej ze specjalistami</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ych sektorów,</w:t>
      </w:r>
      <w:r w:rsidR="00A33B9F" w:rsidRPr="00A33B9F">
        <w:rPr>
          <w:rFonts w:ascii="Times New Roman" w:hAnsi="Times New Roman"/>
          <w:noProof/>
          <w:color w:val="000000" w:themeColor="text1"/>
          <w:sz w:val="24"/>
        </w:rPr>
        <w:t xml:space="preserve"> w tym z sek</w:t>
      </w:r>
      <w:r w:rsidRPr="00A33B9F">
        <w:rPr>
          <w:rFonts w:ascii="Times New Roman" w:hAnsi="Times New Roman"/>
          <w:noProof/>
          <w:color w:val="000000" w:themeColor="text1"/>
          <w:sz w:val="24"/>
        </w:rPr>
        <w:t>tora nauki, technologii</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edsiębiorstw. Stypendia przyznawane będą</w:t>
      </w:r>
      <w:r w:rsidR="00A33B9F" w:rsidRPr="00A33B9F">
        <w:rPr>
          <w:rFonts w:ascii="Times New Roman" w:hAnsi="Times New Roman"/>
          <w:noProof/>
          <w:color w:val="000000" w:themeColor="text1"/>
          <w:sz w:val="24"/>
        </w:rPr>
        <w:t xml:space="preserve"> z pos</w:t>
      </w:r>
      <w:r w:rsidRPr="00A33B9F">
        <w:rPr>
          <w:rFonts w:ascii="Times New Roman" w:hAnsi="Times New Roman"/>
          <w:noProof/>
          <w:color w:val="000000" w:themeColor="text1"/>
          <w:sz w:val="24"/>
        </w:rPr>
        <w:t>zanowaniem ogólnych zasad UE,</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zasady równouprawnienia płci</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dyskryminacji. Kryteria kwalifikacji wniosków</w:t>
      </w:r>
      <w:r w:rsidR="00A33B9F" w:rsidRPr="00A33B9F">
        <w:rPr>
          <w:rFonts w:ascii="Times New Roman" w:hAnsi="Times New Roman"/>
          <w:noProof/>
          <w:color w:val="000000" w:themeColor="text1"/>
          <w:sz w:val="24"/>
        </w:rPr>
        <w:t xml:space="preserve"> o sty</w:t>
      </w:r>
      <w:r w:rsidRPr="00A33B9F">
        <w:rPr>
          <w:rFonts w:ascii="Times New Roman" w:hAnsi="Times New Roman"/>
          <w:noProof/>
          <w:color w:val="000000" w:themeColor="text1"/>
          <w:sz w:val="24"/>
        </w:rPr>
        <w:t>pendia dla artystów</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kultury</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kreatywnym, odpowiadającym jednemu</w:t>
      </w:r>
      <w:r w:rsidR="00A33B9F" w:rsidRPr="00A33B9F">
        <w:rPr>
          <w:rFonts w:ascii="Times New Roman" w:hAnsi="Times New Roman"/>
          <w:noProof/>
          <w:color w:val="000000" w:themeColor="text1"/>
          <w:sz w:val="24"/>
        </w:rPr>
        <w:t xml:space="preserve"> z sek</w:t>
      </w:r>
      <w:r w:rsidRPr="00A33B9F">
        <w:rPr>
          <w:rFonts w:ascii="Times New Roman" w:hAnsi="Times New Roman"/>
          <w:noProof/>
          <w:color w:val="000000" w:themeColor="text1"/>
          <w:sz w:val="24"/>
        </w:rPr>
        <w:t>torów NACE zdefiniowanych przez Eurostat, będą obejmować: a) przekonujące portfolio artystyczne zawierające prace wykonane</w:t>
      </w:r>
      <w:r w:rsidR="00A33B9F" w:rsidRPr="00A33B9F">
        <w:rPr>
          <w:rFonts w:ascii="Times New Roman" w:hAnsi="Times New Roman"/>
          <w:noProof/>
          <w:color w:val="000000" w:themeColor="text1"/>
          <w:sz w:val="24"/>
        </w:rPr>
        <w:t xml:space="preserve"> w cią</w:t>
      </w:r>
      <w:r w:rsidRPr="00A33B9F">
        <w:rPr>
          <w:rFonts w:ascii="Times New Roman" w:hAnsi="Times New Roman"/>
          <w:noProof/>
          <w:color w:val="000000" w:themeColor="text1"/>
          <w:sz w:val="24"/>
        </w:rPr>
        <w:t>gu ostatnich 24 miesięcy; b) przekonujący plan artystyczny na najbliższe 24 miesiące.</w:t>
      </w:r>
    </w:p>
    <w:p w14:paraId="531A07C6" w14:textId="014A9060" w:rsidR="004A3621" w:rsidRPr="00A33B9F" w:rsidRDefault="004A3621" w:rsidP="004A3621">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inwestycji zostanie zakończona do dnia 31 grudnia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D34F5C7" w14:textId="455D697B" w:rsidR="004A3621" w:rsidRPr="00A33B9F" w:rsidRDefault="004A3621" w:rsidP="191C79D4">
      <w:pPr>
        <w:pStyle w:val="Normal0"/>
        <w:spacing w:before="120" w:after="120" w:line="240" w:lineRule="auto"/>
        <w:jc w:val="both"/>
        <w:rPr>
          <w:rFonts w:ascii="Times New Roman" w:eastAsia="Times New Roman" w:hAnsi="Times New Roman" w:cs="Times New Roman"/>
          <w:noProof/>
          <w:color w:val="000000"/>
          <w:sz w:val="24"/>
          <w:szCs w:val="24"/>
        </w:rPr>
      </w:pPr>
    </w:p>
    <w:p w14:paraId="3011107A" w14:textId="0461B902" w:rsidR="007C4506" w:rsidRPr="00A33B9F" w:rsidRDefault="5135F4AF" w:rsidP="27342C6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r w:rsidRPr="00A33B9F">
        <w:rPr>
          <w:rFonts w:ascii="Times New Roman" w:hAnsi="Times New Roman"/>
          <w:b/>
          <w:noProof/>
          <w:color w:val="000000" w:themeColor="text1"/>
          <w:sz w:val="24"/>
          <w:u w:val="single"/>
        </w:rPr>
        <w:t>A2.6 Reforma – Rozbudowa krajowego systemu serwisów monitoringowych, produktów, narzędzi analitycznych, usług</w:t>
      </w:r>
      <w:r w:rsidR="00A33B9F" w:rsidRPr="00A33B9F">
        <w:rPr>
          <w:rFonts w:ascii="Times New Roman" w:hAnsi="Times New Roman"/>
          <w:b/>
          <w:noProof/>
          <w:color w:val="000000" w:themeColor="text1"/>
          <w:sz w:val="24"/>
          <w:u w:val="single"/>
        </w:rPr>
        <w:t xml:space="preserve"> i tow</w:t>
      </w:r>
      <w:r w:rsidRPr="00A33B9F">
        <w:rPr>
          <w:rFonts w:ascii="Times New Roman" w:hAnsi="Times New Roman"/>
          <w:b/>
          <w:noProof/>
          <w:color w:val="000000" w:themeColor="text1"/>
          <w:sz w:val="24"/>
          <w:u w:val="single"/>
        </w:rPr>
        <w:t>arzyszącej infrastruktury wykorzystujących dane satelitarne</w:t>
      </w:r>
    </w:p>
    <w:p w14:paraId="3DF47A9B" w14:textId="3FD14E56"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zwiększenie wykorzystania danych satelitarnych przez podmioty publiczne</w:t>
      </w:r>
      <w:r w:rsidR="00A33B9F" w:rsidRPr="00A33B9F">
        <w:rPr>
          <w:rFonts w:ascii="Times New Roman" w:hAnsi="Times New Roman"/>
          <w:noProof/>
          <w:color w:val="000000"/>
          <w:sz w:val="24"/>
        </w:rPr>
        <w:t xml:space="preserve"> i pry</w:t>
      </w:r>
      <w:r w:rsidRPr="00A33B9F">
        <w:rPr>
          <w:rFonts w:ascii="Times New Roman" w:hAnsi="Times New Roman"/>
          <w:noProof/>
          <w:color w:val="000000"/>
          <w:sz w:val="24"/>
        </w:rPr>
        <w:t>watne. Nowa ustawa</w:t>
      </w:r>
      <w:r w:rsidR="00A33B9F" w:rsidRPr="00A33B9F">
        <w:rPr>
          <w:rFonts w:ascii="Times New Roman" w:hAnsi="Times New Roman"/>
          <w:noProof/>
          <w:color w:val="000000"/>
          <w:sz w:val="24"/>
        </w:rPr>
        <w:t xml:space="preserve"> o dzi</w:t>
      </w:r>
      <w:r w:rsidRPr="00A33B9F">
        <w:rPr>
          <w:rFonts w:ascii="Times New Roman" w:hAnsi="Times New Roman"/>
          <w:noProof/>
          <w:color w:val="000000"/>
          <w:sz w:val="24"/>
        </w:rPr>
        <w:t>ałalności</w:t>
      </w:r>
      <w:r w:rsidR="00A33B9F" w:rsidRPr="00A33B9F">
        <w:rPr>
          <w:rFonts w:ascii="Times New Roman" w:hAnsi="Times New Roman"/>
          <w:noProof/>
          <w:color w:val="000000"/>
          <w:sz w:val="24"/>
        </w:rPr>
        <w:t xml:space="preserve"> w prz</w:t>
      </w:r>
      <w:r w:rsidRPr="00A33B9F">
        <w:rPr>
          <w:rFonts w:ascii="Times New Roman" w:hAnsi="Times New Roman"/>
          <w:noProof/>
          <w:color w:val="000000"/>
          <w:sz w:val="24"/>
        </w:rPr>
        <w:t xml:space="preserve">estrzeni kosmicznej ułatwi wykorzystanie danych satelitarnych przez administrację publiczną. </w:t>
      </w:r>
    </w:p>
    <w:p w14:paraId="4FD975EA" w14:textId="7EC6C910" w:rsidR="007C4506" w:rsidRPr="00A33B9F" w:rsidRDefault="553BD9D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Ustawa ustanowi krajowego operatora danych satelitarnych. Będzie on również zobowiązany do promowania wykorzystania danych satelitarnych przez prywatne przedsiębiorstwa, m.in. poprzez organizowanie szkoleń dla wszystkich zainteresowanych podmiotów</w:t>
      </w:r>
      <w:r w:rsidR="00A33B9F" w:rsidRPr="00A33B9F">
        <w:rPr>
          <w:rFonts w:ascii="Times New Roman" w:hAnsi="Times New Roman"/>
          <w:noProof/>
          <w:color w:val="000000" w:themeColor="text1"/>
          <w:sz w:val="24"/>
        </w:rPr>
        <w:t>. W ust</w:t>
      </w:r>
      <w:r w:rsidRPr="00A33B9F">
        <w:rPr>
          <w:rFonts w:ascii="Times New Roman" w:hAnsi="Times New Roman"/>
          <w:noProof/>
          <w:color w:val="000000" w:themeColor="text1"/>
          <w:sz w:val="24"/>
        </w:rPr>
        <w:t>awie zostaną również określone zasady</w:t>
      </w:r>
      <w:r w:rsidR="00A33B9F" w:rsidRPr="00A33B9F">
        <w:rPr>
          <w:rFonts w:ascii="Times New Roman" w:hAnsi="Times New Roman"/>
          <w:noProof/>
          <w:color w:val="000000" w:themeColor="text1"/>
          <w:sz w:val="24"/>
        </w:rPr>
        <w:t xml:space="preserve"> i war</w:t>
      </w:r>
      <w:r w:rsidRPr="00A33B9F">
        <w:rPr>
          <w:rFonts w:ascii="Times New Roman" w:hAnsi="Times New Roman"/>
          <w:noProof/>
          <w:color w:val="000000" w:themeColor="text1"/>
          <w:sz w:val="24"/>
        </w:rPr>
        <w:t>unki prowadzenia działalności</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estrzeni kosmicznej</w:t>
      </w:r>
      <w:r w:rsidR="00A33B9F" w:rsidRPr="00A33B9F">
        <w:rPr>
          <w:rFonts w:ascii="Times New Roman" w:hAnsi="Times New Roman"/>
          <w:noProof/>
          <w:color w:val="000000" w:themeColor="text1"/>
          <w:sz w:val="24"/>
        </w:rPr>
        <w:t xml:space="preserve"> i nad</w:t>
      </w:r>
      <w:r w:rsidRPr="00A33B9F">
        <w:rPr>
          <w:rFonts w:ascii="Times New Roman" w:hAnsi="Times New Roman"/>
          <w:noProof/>
          <w:color w:val="000000" w:themeColor="text1"/>
          <w:sz w:val="24"/>
        </w:rPr>
        <w:t>zoru nad nią,</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odpowiedzialności za szkody wyrządzone przez obiekt kosmiczny oraz zasady funkcjonowania Krajowego Rejestru Obiektów Kosmicznych.</w:t>
      </w:r>
    </w:p>
    <w:p w14:paraId="4A09802E" w14:textId="7AC82894"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30 września 2024</w:t>
      </w:r>
      <w:r w:rsidR="00A33B9F" w:rsidRPr="00A33B9F">
        <w:rPr>
          <w:rFonts w:ascii="Times New Roman" w:hAnsi="Times New Roman"/>
          <w:noProof/>
          <w:color w:val="000000"/>
          <w:sz w:val="24"/>
        </w:rPr>
        <w:t> </w:t>
      </w:r>
      <w:r w:rsidRPr="00A33B9F">
        <w:rPr>
          <w:rFonts w:ascii="Times New Roman" w:hAnsi="Times New Roman"/>
          <w:noProof/>
          <w:color w:val="000000"/>
          <w:sz w:val="24"/>
        </w:rPr>
        <w:t xml:space="preserve">r. </w:t>
      </w:r>
    </w:p>
    <w:p w14:paraId="29D6B04F"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 xml:space="preserve"> </w:t>
      </w:r>
    </w:p>
    <w:p w14:paraId="4203A76C" w14:textId="2533F253" w:rsidR="007C4506" w:rsidRPr="00A33B9F" w:rsidRDefault="5135F4AF" w:rsidP="27342C6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r w:rsidRPr="00A33B9F">
        <w:rPr>
          <w:rFonts w:ascii="Times New Roman" w:hAnsi="Times New Roman"/>
          <w:b/>
          <w:noProof/>
          <w:color w:val="000000" w:themeColor="text1"/>
          <w:sz w:val="24"/>
          <w:u w:val="single"/>
        </w:rPr>
        <w:t>A2.6.1 Inwestycje – Rozbudowa krajowego systemu serwisów monitoringowych, produktów, narzędzi analitycznych, usług</w:t>
      </w:r>
      <w:r w:rsidR="00A33B9F" w:rsidRPr="00A33B9F">
        <w:rPr>
          <w:rFonts w:ascii="Times New Roman" w:hAnsi="Times New Roman"/>
          <w:b/>
          <w:noProof/>
          <w:color w:val="000000" w:themeColor="text1"/>
          <w:sz w:val="24"/>
          <w:u w:val="single"/>
        </w:rPr>
        <w:t xml:space="preserve"> i tow</w:t>
      </w:r>
      <w:r w:rsidRPr="00A33B9F">
        <w:rPr>
          <w:rFonts w:ascii="Times New Roman" w:hAnsi="Times New Roman"/>
          <w:b/>
          <w:noProof/>
          <w:color w:val="000000" w:themeColor="text1"/>
          <w:sz w:val="24"/>
          <w:u w:val="single"/>
        </w:rPr>
        <w:t>arzyszącej infrastruktury wykorzystujących dane satelitarne</w:t>
      </w:r>
    </w:p>
    <w:p w14:paraId="6851D837" w14:textId="15A8EBDF" w:rsidR="007C4506" w:rsidRPr="00A33B9F" w:rsidRDefault="00B31839" w:rsidP="4FB1767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inwestycji jest znaczące zwiększenie efektywności wykorzystania satelitarnych obserwacji Ziemi</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oraz zapewnienie sprawnego</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przerwanego wytwarzania przetworzonych informacji dotyczących obserwacji Ziemi dostosowanych do potrzeb użytkownika oraz ich udostępniania. Ma to na celu poprawę zarządzania krajem (podejmowanie decyzji na podstawie bardziej szczegółowych</w:t>
      </w:r>
      <w:r w:rsidR="00A33B9F" w:rsidRPr="00A33B9F">
        <w:rPr>
          <w:rFonts w:ascii="Times New Roman" w:hAnsi="Times New Roman"/>
          <w:noProof/>
          <w:color w:val="000000" w:themeColor="text1"/>
          <w:sz w:val="24"/>
        </w:rPr>
        <w:t xml:space="preserve"> i akt</w:t>
      </w:r>
      <w:r w:rsidRPr="00A33B9F">
        <w:rPr>
          <w:rFonts w:ascii="Times New Roman" w:hAnsi="Times New Roman"/>
          <w:noProof/>
          <w:color w:val="000000" w:themeColor="text1"/>
          <w:sz w:val="24"/>
        </w:rPr>
        <w:t>ualnych informacji), przeprowadzenie znaczącej transformacji cyfrowej administracji oraz stworzenie popytu na produkty obserwacji Ziemi,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dodatkowy popyt sektora prywatnego</w:t>
      </w:r>
      <w:r w:rsidR="00A33B9F" w:rsidRPr="00A33B9F">
        <w:rPr>
          <w:rFonts w:ascii="Times New Roman" w:hAnsi="Times New Roman"/>
          <w:noProof/>
          <w:color w:val="000000" w:themeColor="text1"/>
          <w:sz w:val="24"/>
        </w:rPr>
        <w:t xml:space="preserve"> i pub</w:t>
      </w:r>
      <w:r w:rsidRPr="00A33B9F">
        <w:rPr>
          <w:rFonts w:ascii="Times New Roman" w:hAnsi="Times New Roman"/>
          <w:noProof/>
          <w:color w:val="000000" w:themeColor="text1"/>
          <w:sz w:val="24"/>
        </w:rPr>
        <w:t>licznego na funkcjonujący już unijny system Copernicus.</w:t>
      </w:r>
    </w:p>
    <w:p w14:paraId="502860F4" w14:textId="235829B2" w:rsidR="007C4506" w:rsidRPr="00A33B9F" w:rsidRDefault="542D1CF6"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Inwestycja składać się będzie</w:t>
      </w:r>
      <w:r w:rsidR="00A33B9F" w:rsidRPr="00A33B9F">
        <w:rPr>
          <w:rFonts w:ascii="Times New Roman" w:hAnsi="Times New Roman"/>
          <w:noProof/>
          <w:color w:val="000000" w:themeColor="text1"/>
          <w:sz w:val="24"/>
        </w:rPr>
        <w:t xml:space="preserve"> z dwó</w:t>
      </w:r>
      <w:r w:rsidRPr="00A33B9F">
        <w:rPr>
          <w:rFonts w:ascii="Times New Roman" w:hAnsi="Times New Roman"/>
          <w:noProof/>
          <w:color w:val="000000" w:themeColor="text1"/>
          <w:sz w:val="24"/>
        </w:rPr>
        <w:t>ch inwestycji. Pierwsza inwestycja polegać będzie na utworzeniu Narodowego Systemu Informacji Satelitarnej (NSIS),</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którego świadczone będą usługi monitoringu</w:t>
      </w:r>
      <w:r w:rsidR="00A33B9F" w:rsidRPr="00A33B9F">
        <w:rPr>
          <w:rFonts w:ascii="Times New Roman" w:hAnsi="Times New Roman"/>
          <w:noProof/>
          <w:color w:val="000000" w:themeColor="text1"/>
          <w:sz w:val="24"/>
        </w:rPr>
        <w:t xml:space="preserve"> z wyk</w:t>
      </w:r>
      <w:r w:rsidRPr="00A33B9F">
        <w:rPr>
          <w:rFonts w:ascii="Times New Roman" w:hAnsi="Times New Roman"/>
          <w:noProof/>
          <w:color w:val="000000" w:themeColor="text1"/>
          <w:sz w:val="24"/>
        </w:rPr>
        <w:t>orzystaniem danych pochodzących</w:t>
      </w:r>
      <w:r w:rsidR="00A33B9F" w:rsidRPr="00A33B9F">
        <w:rPr>
          <w:rFonts w:ascii="Times New Roman" w:hAnsi="Times New Roman"/>
          <w:noProof/>
          <w:color w:val="000000" w:themeColor="text1"/>
          <w:sz w:val="24"/>
        </w:rPr>
        <w:t xml:space="preserve"> z obs</w:t>
      </w:r>
      <w:r w:rsidRPr="00A33B9F">
        <w:rPr>
          <w:rFonts w:ascii="Times New Roman" w:hAnsi="Times New Roman"/>
          <w:noProof/>
          <w:color w:val="000000" w:themeColor="text1"/>
          <w:sz w:val="24"/>
        </w:rPr>
        <w:t>erwacji satelitarnej Ziemi. Pierwsze usługi zostaną udostępnione użytkownikom końcowym do dnia 30 czerwca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25C0E0F3" w14:textId="444BE21B" w:rsidR="00B54E14" w:rsidRPr="00A33B9F" w:rsidRDefault="553BD9D4" w:rsidP="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sectPr w:rsidR="00B54E14" w:rsidRPr="00A33B9F" w:rsidSect="00B54E14">
          <w:headerReference w:type="even" r:id="rId43"/>
          <w:headerReference w:type="default" r:id="rId44"/>
          <w:footerReference w:type="even" r:id="rId45"/>
          <w:footerReference w:type="default" r:id="rId46"/>
          <w:headerReference w:type="first" r:id="rId47"/>
          <w:footerReference w:type="first" r:id="rId48"/>
          <w:pgSz w:w="11907" w:h="16839"/>
          <w:pgMar w:top="1134" w:right="1418" w:bottom="1134" w:left="1418" w:header="709" w:footer="709" w:gutter="0"/>
          <w:cols w:space="720"/>
          <w:docGrid w:linePitch="299"/>
        </w:sectPr>
      </w:pPr>
      <w:r w:rsidRPr="00A33B9F">
        <w:rPr>
          <w:rFonts w:ascii="Times New Roman" w:hAnsi="Times New Roman"/>
          <w:noProof/>
          <w:color w:val="000000" w:themeColor="text1"/>
          <w:sz w:val="24"/>
        </w:rPr>
        <w:t>Druga inwestycja polegać będzie na wyniesieniu czterech satelitów na orbitę. Prace przygotowawcze prowadzone zgodnie</w:t>
      </w:r>
      <w:r w:rsidR="00A33B9F" w:rsidRPr="00A33B9F">
        <w:rPr>
          <w:rFonts w:ascii="Times New Roman" w:hAnsi="Times New Roman"/>
          <w:noProof/>
          <w:color w:val="000000" w:themeColor="text1"/>
          <w:sz w:val="24"/>
        </w:rPr>
        <w:t xml:space="preserve"> z nor</w:t>
      </w:r>
      <w:r w:rsidRPr="00A33B9F">
        <w:rPr>
          <w:rFonts w:ascii="Times New Roman" w:hAnsi="Times New Roman"/>
          <w:noProof/>
          <w:color w:val="000000" w:themeColor="text1"/>
          <w:sz w:val="24"/>
        </w:rPr>
        <w:t>mami europejskiej współpracy</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normalizacji związanej</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estrzenią kosmiczną (ECSS Phase 0/A/B/C) zostaną zakończone do dnia 30 września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1170E367" w14:textId="60EF6774" w:rsidR="00B54E14" w:rsidRPr="00A33B9F" w:rsidRDefault="00B54E14" w:rsidP="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A.4. 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dotyczące pożyczki</w:t>
      </w:r>
    </w:p>
    <w:p w14:paraId="0B4020A7" w14:textId="32D0A369" w:rsidR="007C4506" w:rsidRPr="00A33B9F" w:rsidRDefault="00B54E14" w:rsidP="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A2 – INNOWACJE</w:t>
      </w:r>
    </w:p>
    <w:tbl>
      <w:tblPr>
        <w:tblW w:w="15876"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1"/>
        <w:gridCol w:w="2093"/>
        <w:gridCol w:w="1258"/>
        <w:gridCol w:w="2233"/>
        <w:gridCol w:w="1536"/>
        <w:gridCol w:w="1118"/>
        <w:gridCol w:w="952"/>
        <w:gridCol w:w="701"/>
        <w:gridCol w:w="958"/>
        <w:gridCol w:w="700"/>
        <w:gridCol w:w="3626"/>
      </w:tblGrid>
      <w:tr w:rsidR="008C116B" w:rsidRPr="00A33B9F" w14:paraId="26ED3A65" w14:textId="77777777" w:rsidTr="1CE0CE0C">
        <w:trPr>
          <w:trHeight w:val="939"/>
          <w:tblHeader/>
        </w:trPr>
        <w:tc>
          <w:tcPr>
            <w:tcW w:w="705" w:type="dxa"/>
            <w:vMerge w:val="restart"/>
            <w:tcBorders>
              <w:top w:val="single" w:sz="4" w:space="0" w:color="000000" w:themeColor="text1"/>
            </w:tcBorders>
            <w:shd w:val="clear" w:color="auto" w:fill="BDD7EE"/>
            <w:vAlign w:val="center"/>
          </w:tcPr>
          <w:p w14:paraId="0560DCE9" w14:textId="531FED95" w:rsidR="00712D5D" w:rsidRPr="00A33B9F" w:rsidRDefault="00EE39EA"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2110" w:type="dxa"/>
            <w:vMerge w:val="restart"/>
            <w:tcBorders>
              <w:top w:val="single" w:sz="4" w:space="0" w:color="000000" w:themeColor="text1"/>
            </w:tcBorders>
            <w:shd w:val="clear" w:color="auto" w:fill="BDD7EE"/>
            <w:vAlign w:val="center"/>
          </w:tcPr>
          <w:p w14:paraId="12EFB8ED"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267" w:type="dxa"/>
            <w:vMerge w:val="restart"/>
            <w:tcBorders>
              <w:top w:val="single" w:sz="4" w:space="0" w:color="000000" w:themeColor="text1"/>
            </w:tcBorders>
            <w:shd w:val="clear" w:color="auto" w:fill="BDD7EE"/>
            <w:vAlign w:val="center"/>
          </w:tcPr>
          <w:p w14:paraId="69514B1F"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2251" w:type="dxa"/>
            <w:vMerge w:val="restart"/>
            <w:tcBorders>
              <w:top w:val="single" w:sz="4" w:space="0" w:color="000000" w:themeColor="text1"/>
            </w:tcBorders>
            <w:shd w:val="clear" w:color="auto" w:fill="BDD7EE"/>
            <w:vAlign w:val="center"/>
          </w:tcPr>
          <w:p w14:paraId="178F8722"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548" w:type="dxa"/>
            <w:vMerge w:val="restart"/>
            <w:tcBorders>
              <w:top w:val="single" w:sz="4" w:space="0" w:color="000000" w:themeColor="text1"/>
            </w:tcBorders>
            <w:shd w:val="clear" w:color="auto" w:fill="BDD7EE"/>
            <w:vAlign w:val="center"/>
          </w:tcPr>
          <w:p w14:paraId="77CACFE9"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789" w:type="dxa"/>
            <w:gridSpan w:val="3"/>
            <w:tcBorders>
              <w:top w:val="single" w:sz="4" w:space="0" w:color="000000" w:themeColor="text1"/>
            </w:tcBorders>
            <w:shd w:val="clear" w:color="auto" w:fill="BDD7EE"/>
            <w:vAlign w:val="center"/>
          </w:tcPr>
          <w:p w14:paraId="761BC86E"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550" w:type="dxa"/>
            <w:gridSpan w:val="2"/>
            <w:tcBorders>
              <w:top w:val="single" w:sz="4" w:space="0" w:color="000000" w:themeColor="text1"/>
            </w:tcBorders>
            <w:shd w:val="clear" w:color="auto" w:fill="BDD7EE"/>
            <w:vAlign w:val="center"/>
          </w:tcPr>
          <w:p w14:paraId="0A1D18ED"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656" w:type="dxa"/>
            <w:vMerge w:val="restart"/>
            <w:tcBorders>
              <w:top w:val="single" w:sz="4" w:space="0" w:color="000000" w:themeColor="text1"/>
            </w:tcBorders>
            <w:shd w:val="clear" w:color="auto" w:fill="BDD7EE"/>
            <w:vAlign w:val="center"/>
          </w:tcPr>
          <w:p w14:paraId="7C1CC161" w14:textId="1457F04F"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CA5542" w:rsidRPr="00A33B9F" w14:paraId="094E959E" w14:textId="77777777" w:rsidTr="1CE0CE0C">
        <w:trPr>
          <w:trHeight w:val="1027"/>
        </w:trPr>
        <w:tc>
          <w:tcPr>
            <w:tcW w:w="705" w:type="dxa"/>
            <w:vMerge/>
            <w:vAlign w:val="center"/>
          </w:tcPr>
          <w:p w14:paraId="1D7B270A" w14:textId="77777777" w:rsidR="00712D5D" w:rsidRPr="00A33B9F"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10" w:type="dxa"/>
            <w:vMerge/>
            <w:vAlign w:val="center"/>
          </w:tcPr>
          <w:p w14:paraId="4F904CB7" w14:textId="77777777" w:rsidR="00712D5D" w:rsidRPr="00A33B9F"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67" w:type="dxa"/>
            <w:vMerge/>
            <w:vAlign w:val="center"/>
          </w:tcPr>
          <w:p w14:paraId="06971CD3" w14:textId="77777777" w:rsidR="00712D5D" w:rsidRPr="00A33B9F"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251" w:type="dxa"/>
            <w:vMerge/>
            <w:vAlign w:val="center"/>
          </w:tcPr>
          <w:p w14:paraId="2A1F701D" w14:textId="77777777" w:rsidR="00712D5D" w:rsidRPr="00A33B9F"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48" w:type="dxa"/>
            <w:vMerge/>
            <w:vAlign w:val="center"/>
          </w:tcPr>
          <w:p w14:paraId="03EFCA41" w14:textId="77777777" w:rsidR="00712D5D" w:rsidRPr="00A33B9F"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26" w:type="dxa"/>
            <w:shd w:val="clear" w:color="auto" w:fill="BDD7EE"/>
            <w:vAlign w:val="center"/>
          </w:tcPr>
          <w:p w14:paraId="2BB0D5B6"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58" w:type="dxa"/>
            <w:shd w:val="clear" w:color="auto" w:fill="BDD7EE"/>
            <w:vAlign w:val="center"/>
          </w:tcPr>
          <w:p w14:paraId="1D1C991E"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705" w:type="dxa"/>
            <w:shd w:val="clear" w:color="auto" w:fill="BDD7EE"/>
            <w:vAlign w:val="center"/>
          </w:tcPr>
          <w:p w14:paraId="04C27F3C"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64" w:type="dxa"/>
            <w:shd w:val="clear" w:color="auto" w:fill="BDD7EE"/>
            <w:vAlign w:val="center"/>
          </w:tcPr>
          <w:p w14:paraId="40A90909"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704" w:type="dxa"/>
            <w:shd w:val="clear" w:color="auto" w:fill="BDD7EE"/>
            <w:vAlign w:val="center"/>
          </w:tcPr>
          <w:p w14:paraId="72C88E70" w14:textId="77777777" w:rsidR="00712D5D" w:rsidRPr="00A33B9F" w:rsidRDefault="00712D5D" w:rsidP="00712D5D">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656" w:type="dxa"/>
            <w:vMerge/>
            <w:vAlign w:val="center"/>
          </w:tcPr>
          <w:p w14:paraId="5F96A722" w14:textId="77777777" w:rsidR="00712D5D" w:rsidRPr="00A33B9F" w:rsidRDefault="00712D5D" w:rsidP="00712D5D">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5A170BCE" w14:textId="77777777" w:rsidTr="1CE0CE0C">
        <w:trPr>
          <w:trHeight w:val="1361"/>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F0BF2" w14:textId="12A29F9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A1L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95B28" w14:textId="699CF07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A2.5 Zwiększenie znaczenia sektora kultury</w:t>
            </w:r>
            <w:r w:rsidR="00A33B9F" w:rsidRPr="00A33B9F">
              <w:rPr>
                <w:rFonts w:ascii="Times New Roman" w:hAnsi="Times New Roman"/>
                <w:noProof/>
                <w:color w:val="000000"/>
                <w:sz w:val="18"/>
              </w:rPr>
              <w:t xml:space="preserve"> i prz</w:t>
            </w:r>
            <w:r w:rsidRPr="00A33B9F">
              <w:rPr>
                <w:rFonts w:ascii="Times New Roman" w:hAnsi="Times New Roman"/>
                <w:noProof/>
                <w:color w:val="000000"/>
                <w:sz w:val="18"/>
              </w:rPr>
              <w:t>emysłu kultury dla rozwoju gospodarczego</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E5442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29331E" w14:textId="36C60469" w:rsidR="00BE1B25" w:rsidRPr="00A33B9F" w:rsidRDefault="00BE1B25" w:rsidP="0009421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Przyjęcie dokumentu programowego</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wspierania działań ekologicznych</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rowych</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9733DE" w14:textId="261A70CD" w:rsidR="00BE1B25" w:rsidRPr="00A33B9F"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Publikacja dokumentu programowego</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95CD1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0BBB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CB595B"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55411C" w14:textId="5F661E92" w:rsidR="00BE1B25" w:rsidRPr="00A33B9F" w:rsidRDefault="48818174"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2C3D4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23BABC" w14:textId="48FFD7A5" w:rsidR="00BE1B25" w:rsidRPr="00A33B9F" w:rsidRDefault="00BE1B25" w:rsidP="00BE1B25">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 przeprowadzeniu konsultacji publicznych przyjęcie przez ministra właściwego do spraw kultury dokumentu programowego dotyczącego wsparcia sektora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tora kreatywnego. Dokument ten będzie poświęcony</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następującym kwestiom:</w:t>
            </w:r>
          </w:p>
          <w:p w14:paraId="1F5FDADC" w14:textId="1AA85EBE" w:rsidR="00BE1B25" w:rsidRPr="00A33B9F" w:rsidRDefault="00BE1B25" w:rsidP="00394B30">
            <w:pPr>
              <w:numPr>
                <w:ilvl w:val="0"/>
                <w:numId w:val="13"/>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określeniu kluczowych średnio-</w:t>
            </w:r>
            <w:r w:rsidR="00A33B9F" w:rsidRPr="00A33B9F">
              <w:rPr>
                <w:rFonts w:ascii="Times New Roman" w:hAnsi="Times New Roman"/>
                <w:noProof/>
                <w:color w:val="000000" w:themeColor="text1"/>
                <w:sz w:val="18"/>
              </w:rPr>
              <w:t xml:space="preserve"> i dłu</w:t>
            </w:r>
            <w:r w:rsidRPr="00A33B9F">
              <w:rPr>
                <w:rFonts w:ascii="Times New Roman" w:hAnsi="Times New Roman"/>
                <w:noProof/>
                <w:color w:val="000000" w:themeColor="text1"/>
                <w:sz w:val="18"/>
              </w:rPr>
              <w:t>goterminowych wyzwań</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wniosków wyciągniętych</w:t>
            </w:r>
            <w:r w:rsidR="00A33B9F" w:rsidRPr="00A33B9F">
              <w:rPr>
                <w:rFonts w:ascii="Times New Roman" w:hAnsi="Times New Roman"/>
                <w:noProof/>
                <w:color w:val="000000" w:themeColor="text1"/>
                <w:sz w:val="18"/>
              </w:rPr>
              <w:t xml:space="preserve"> z kry</w:t>
            </w:r>
            <w:r w:rsidRPr="00A33B9F">
              <w:rPr>
                <w:rFonts w:ascii="Times New Roman" w:hAnsi="Times New Roman"/>
                <w:noProof/>
                <w:color w:val="000000" w:themeColor="text1"/>
                <w:sz w:val="18"/>
              </w:rPr>
              <w:t>zysu związanego z COVID-19;</w:t>
            </w:r>
          </w:p>
          <w:p w14:paraId="3FF76746" w14:textId="5DE76678" w:rsidR="00BE1B25" w:rsidRPr="00A33B9F" w:rsidRDefault="00BE1B25" w:rsidP="00394B30">
            <w:pPr>
              <w:numPr>
                <w:ilvl w:val="0"/>
                <w:numId w:val="13"/>
              </w:numPr>
              <w:spacing w:after="0" w:line="240" w:lineRule="auto"/>
              <w:ind w:right="600"/>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zapewnieniu zgodności</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ogólnymi UE,</w:t>
            </w:r>
            <w:r w:rsidR="00A33B9F" w:rsidRPr="00A33B9F">
              <w:rPr>
                <w:rFonts w:ascii="Times New Roman" w:hAnsi="Times New Roman"/>
                <w:noProof/>
                <w:color w:val="000000" w:themeColor="text1"/>
                <w:sz w:val="18"/>
              </w:rPr>
              <w:t xml:space="preserve"> w tym z zas</w:t>
            </w:r>
            <w:r w:rsidRPr="00A33B9F">
              <w:rPr>
                <w:rFonts w:ascii="Times New Roman" w:hAnsi="Times New Roman"/>
                <w:noProof/>
                <w:color w:val="000000" w:themeColor="text1"/>
                <w:sz w:val="18"/>
              </w:rPr>
              <w:t>adami równouprawnienia płci</w:t>
            </w:r>
            <w:r w:rsidR="00A33B9F" w:rsidRPr="00A33B9F">
              <w:rPr>
                <w:rFonts w:ascii="Times New Roman" w:hAnsi="Times New Roman"/>
                <w:noProof/>
                <w:color w:val="000000" w:themeColor="text1"/>
                <w:sz w:val="18"/>
              </w:rPr>
              <w:t xml:space="preserve"> i nie</w:t>
            </w:r>
            <w:r w:rsidRPr="00A33B9F">
              <w:rPr>
                <w:rFonts w:ascii="Times New Roman" w:hAnsi="Times New Roman"/>
                <w:noProof/>
                <w:color w:val="000000" w:themeColor="text1"/>
                <w:sz w:val="18"/>
              </w:rPr>
              <w:t>dyskryminacji,</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jektach, które mają zostać objęte wsparciem;</w:t>
            </w:r>
          </w:p>
          <w:p w14:paraId="38F5FEC6" w14:textId="3ED90108" w:rsidR="00BE1B25" w:rsidRPr="00A33B9F" w:rsidRDefault="00BE1B25" w:rsidP="00394B30">
            <w:pPr>
              <w:numPr>
                <w:ilvl w:val="0"/>
                <w:numId w:val="13"/>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określeniu zdolności ekologicznych</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rowych narzędzi</w:t>
            </w:r>
            <w:r w:rsidR="00A33B9F" w:rsidRPr="00A33B9F">
              <w:rPr>
                <w:rFonts w:ascii="Times New Roman" w:hAnsi="Times New Roman"/>
                <w:noProof/>
                <w:color w:val="000000" w:themeColor="text1"/>
                <w:sz w:val="18"/>
              </w:rPr>
              <w:t xml:space="preserve"> i pla</w:t>
            </w:r>
            <w:r w:rsidRPr="00A33B9F">
              <w:rPr>
                <w:rFonts w:ascii="Times New Roman" w:hAnsi="Times New Roman"/>
                <w:noProof/>
                <w:color w:val="000000" w:themeColor="text1"/>
                <w:sz w:val="18"/>
              </w:rPr>
              <w:t>tform do sprostania tym wyzwaniom;</w:t>
            </w:r>
          </w:p>
          <w:p w14:paraId="312B7151" w14:textId="401B8724" w:rsidR="00BE1B25" w:rsidRPr="00A33B9F" w:rsidRDefault="00BE1B25" w:rsidP="00394B30">
            <w:pPr>
              <w:numPr>
                <w:ilvl w:val="0"/>
                <w:numId w:val="13"/>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opracowaniu koncepcji współpracy</w:t>
            </w:r>
            <w:r w:rsidR="00A33B9F" w:rsidRPr="00A33B9F">
              <w:rPr>
                <w:rFonts w:ascii="Times New Roman" w:hAnsi="Times New Roman"/>
                <w:noProof/>
                <w:color w:val="000000" w:themeColor="text1"/>
                <w:sz w:val="18"/>
              </w:rPr>
              <w:t xml:space="preserve"> i tra</w:t>
            </w:r>
            <w:r w:rsidRPr="00A33B9F">
              <w:rPr>
                <w:rFonts w:ascii="Times New Roman" w:hAnsi="Times New Roman"/>
                <w:noProof/>
                <w:color w:val="000000" w:themeColor="text1"/>
                <w:sz w:val="18"/>
              </w:rPr>
              <w:t>nsferu wiedzy</w:t>
            </w:r>
            <w:r w:rsidR="00A33B9F" w:rsidRPr="00A33B9F">
              <w:rPr>
                <w:rFonts w:ascii="Times New Roman" w:hAnsi="Times New Roman"/>
                <w:noProof/>
                <w:color w:val="000000" w:themeColor="text1"/>
                <w:sz w:val="18"/>
              </w:rPr>
              <w:t xml:space="preserve"> i umi</w:t>
            </w:r>
            <w:r w:rsidRPr="00A33B9F">
              <w:rPr>
                <w:rFonts w:ascii="Times New Roman" w:hAnsi="Times New Roman"/>
                <w:noProof/>
                <w:color w:val="000000" w:themeColor="text1"/>
                <w:sz w:val="18"/>
              </w:rPr>
              <w:t>ejętności między sektorem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torem kreatywnym oraz</w:t>
            </w:r>
            <w:r w:rsidR="00A33B9F" w:rsidRPr="00A33B9F">
              <w:rPr>
                <w:rFonts w:ascii="Times New Roman" w:hAnsi="Times New Roman"/>
                <w:noProof/>
                <w:color w:val="000000" w:themeColor="text1"/>
                <w:sz w:val="18"/>
              </w:rPr>
              <w:t xml:space="preserve"> z sek</w:t>
            </w:r>
            <w:r w:rsidRPr="00A33B9F">
              <w:rPr>
                <w:rFonts w:ascii="Times New Roman" w:hAnsi="Times New Roman"/>
                <w:noProof/>
                <w:color w:val="000000" w:themeColor="text1"/>
                <w:sz w:val="18"/>
              </w:rPr>
              <w:t>torami nauki, edukacji, technologii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edsiębiorstw, ze szczególnym uwzględnieniem ogólnych zasad UE,</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równouprawnienia płci</w:t>
            </w:r>
            <w:r w:rsidR="00A33B9F" w:rsidRPr="00A33B9F">
              <w:rPr>
                <w:rFonts w:ascii="Times New Roman" w:hAnsi="Times New Roman"/>
                <w:noProof/>
                <w:color w:val="000000" w:themeColor="text1"/>
                <w:sz w:val="18"/>
              </w:rPr>
              <w:t xml:space="preserve"> i nie</w:t>
            </w:r>
            <w:r w:rsidRPr="00A33B9F">
              <w:rPr>
                <w:rFonts w:ascii="Times New Roman" w:hAnsi="Times New Roman"/>
                <w:noProof/>
                <w:color w:val="000000" w:themeColor="text1"/>
                <w:sz w:val="18"/>
              </w:rPr>
              <w:t>dyskryminacji,</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sektorem ekologicznym</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rowym.</w:t>
            </w:r>
          </w:p>
          <w:p w14:paraId="6D9C8D3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55C6377" w14:textId="2FDC369D"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Określenie preferowanych wariantów zapewnienia publicznego wsparcia na rzecz działań</w:t>
            </w:r>
            <w:r w:rsidR="00A33B9F" w:rsidRPr="00A33B9F">
              <w:rPr>
                <w:rFonts w:ascii="Times New Roman" w:hAnsi="Times New Roman"/>
                <w:noProof/>
                <w:color w:val="000000"/>
                <w:sz w:val="18"/>
              </w:rPr>
              <w:t xml:space="preserve"> w sek</w:t>
            </w:r>
            <w:r w:rsidRPr="00A33B9F">
              <w:rPr>
                <w:rFonts w:ascii="Times New Roman" w:hAnsi="Times New Roman"/>
                <w:noProof/>
                <w:color w:val="000000"/>
                <w:sz w:val="18"/>
              </w:rPr>
              <w:t>torze kultury</w:t>
            </w:r>
            <w:r w:rsidR="00A33B9F" w:rsidRPr="00A33B9F">
              <w:rPr>
                <w:rFonts w:ascii="Times New Roman" w:hAnsi="Times New Roman"/>
                <w:noProof/>
                <w:color w:val="000000"/>
                <w:sz w:val="18"/>
              </w:rPr>
              <w:t xml:space="preserve"> i sek</w:t>
            </w:r>
            <w:r w:rsidRPr="00A33B9F">
              <w:rPr>
                <w:rFonts w:ascii="Times New Roman" w:hAnsi="Times New Roman"/>
                <w:noProof/>
                <w:color w:val="000000"/>
                <w:sz w:val="18"/>
              </w:rPr>
              <w:t>torze kreatywnym.</w:t>
            </w:r>
          </w:p>
        </w:tc>
      </w:tr>
      <w:tr w:rsidR="008C116B" w:rsidRPr="00A33B9F" w14:paraId="4C762B98" w14:textId="77777777" w:rsidTr="1CE0CE0C">
        <w:trPr>
          <w:trHeight w:val="850"/>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B585D4" w14:textId="03D02398"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A2L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6A9B6F" w14:textId="518593A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A2.5.1 Program wspierania działalności podmiotów sektora kultury</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emysłów kreatywnych na rzecz stymulowania ich rozwoju</w:t>
            </w:r>
          </w:p>
          <w:p w14:paraId="675E05E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77031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9C6E5" w14:textId="42CAFFE1" w:rsidR="00BE1B25" w:rsidRPr="00A33B9F" w:rsidRDefault="00BE1B25" w:rsidP="0009421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Kryteria kwalifikacji projektów do otrzymania wsparcia</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24E484" w14:textId="0A2C2B2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Publikacja kryteriów kwalifikacji</w:t>
            </w:r>
            <w:r w:rsidR="00A33B9F" w:rsidRPr="00A33B9F">
              <w:rPr>
                <w:rFonts w:ascii="Times New Roman" w:hAnsi="Times New Roman"/>
                <w:noProof/>
                <w:color w:val="000000"/>
                <w:sz w:val="18"/>
              </w:rPr>
              <w:t xml:space="preserve"> i pow</w:t>
            </w:r>
            <w:r w:rsidRPr="00A33B9F">
              <w:rPr>
                <w:rFonts w:ascii="Times New Roman" w:hAnsi="Times New Roman"/>
                <w:noProof/>
                <w:color w:val="000000"/>
                <w:sz w:val="18"/>
              </w:rPr>
              <w:t>ołanie niezależnej komisji selekcyjnej</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C17F8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4F7224"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48A43"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85A9C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F8A4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C2EFB" w14:textId="4949FBA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Ministerstwo Kultury</w:t>
            </w:r>
            <w:r w:rsidR="00A33B9F" w:rsidRPr="00A33B9F">
              <w:rPr>
                <w:rFonts w:ascii="Times New Roman" w:hAnsi="Times New Roman"/>
                <w:noProof/>
                <w:color w:val="000000" w:themeColor="text1"/>
                <w:sz w:val="18"/>
              </w:rPr>
              <w:t xml:space="preserve"> i Dzi</w:t>
            </w:r>
            <w:r w:rsidRPr="00A33B9F">
              <w:rPr>
                <w:rFonts w:ascii="Times New Roman" w:hAnsi="Times New Roman"/>
                <w:noProof/>
                <w:color w:val="000000" w:themeColor="text1"/>
                <w:sz w:val="18"/>
              </w:rPr>
              <w:t>edzictwa Narodowego przyjmie</w:t>
            </w:r>
            <w:r w:rsidR="00A33B9F" w:rsidRPr="00A33B9F">
              <w:rPr>
                <w:rFonts w:ascii="Times New Roman" w:hAnsi="Times New Roman"/>
                <w:noProof/>
                <w:color w:val="000000" w:themeColor="text1"/>
                <w:sz w:val="18"/>
              </w:rPr>
              <w:t xml:space="preserve"> i opu</w:t>
            </w:r>
            <w:r w:rsidRPr="00A33B9F">
              <w:rPr>
                <w:rFonts w:ascii="Times New Roman" w:hAnsi="Times New Roman"/>
                <w:noProof/>
                <w:color w:val="000000" w:themeColor="text1"/>
                <w:sz w:val="18"/>
              </w:rPr>
              <w:t>blikuje kryteria kwalifikacji MŚP, instytucji kultury</w:t>
            </w:r>
            <w:r w:rsidR="00A33B9F" w:rsidRPr="00A33B9F">
              <w:rPr>
                <w:rFonts w:ascii="Times New Roman" w:hAnsi="Times New Roman"/>
                <w:noProof/>
                <w:color w:val="000000" w:themeColor="text1"/>
                <w:sz w:val="18"/>
              </w:rPr>
              <w:t xml:space="preserve"> i org</w:t>
            </w:r>
            <w:r w:rsidRPr="00A33B9F">
              <w:rPr>
                <w:rFonts w:ascii="Times New Roman" w:hAnsi="Times New Roman"/>
                <w:noProof/>
                <w:color w:val="000000" w:themeColor="text1"/>
                <w:sz w:val="18"/>
              </w:rPr>
              <w:t>anizacji pozarządowych do objęcia wsparciem</w:t>
            </w:r>
            <w:r w:rsidR="00A33B9F" w:rsidRPr="00A33B9F">
              <w:rPr>
                <w:rFonts w:ascii="Times New Roman" w:hAnsi="Times New Roman"/>
                <w:noProof/>
                <w:color w:val="000000" w:themeColor="text1"/>
                <w:sz w:val="18"/>
              </w:rPr>
              <w:t xml:space="preserve"> w two</w:t>
            </w:r>
            <w:r w:rsidRPr="00A33B9F">
              <w:rPr>
                <w:rFonts w:ascii="Times New Roman" w:hAnsi="Times New Roman"/>
                <w:noProof/>
                <w:color w:val="000000" w:themeColor="text1"/>
                <w:sz w:val="18"/>
              </w:rPr>
              <w:t>rzeniu projektów</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 xml:space="preserve">torze kreatywnym. </w:t>
            </w:r>
          </w:p>
          <w:p w14:paraId="50F40DE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7053B00A" w14:textId="360615E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Ponadto ustanowiona zostanie niezależna komisja selekcyjna,</w:t>
            </w:r>
            <w:r w:rsidR="00A33B9F" w:rsidRPr="00A33B9F">
              <w:rPr>
                <w:rFonts w:ascii="Times New Roman" w:hAnsi="Times New Roman"/>
                <w:noProof/>
                <w:color w:val="000000"/>
                <w:sz w:val="18"/>
              </w:rPr>
              <w:t xml:space="preserve"> w skł</w:t>
            </w:r>
            <w:r w:rsidRPr="00A33B9F">
              <w:rPr>
                <w:rFonts w:ascii="Times New Roman" w:hAnsi="Times New Roman"/>
                <w:noProof/>
                <w:color w:val="000000"/>
                <w:sz w:val="18"/>
              </w:rPr>
              <w:t>ad której wejdą eksperci</w:t>
            </w:r>
            <w:r w:rsidR="00A33B9F" w:rsidRPr="00A33B9F">
              <w:rPr>
                <w:rFonts w:ascii="Times New Roman" w:hAnsi="Times New Roman"/>
                <w:noProof/>
                <w:color w:val="000000"/>
                <w:sz w:val="18"/>
              </w:rPr>
              <w:t xml:space="preserve"> z róż</w:t>
            </w:r>
            <w:r w:rsidRPr="00A33B9F">
              <w:rPr>
                <w:rFonts w:ascii="Times New Roman" w:hAnsi="Times New Roman"/>
                <w:noProof/>
                <w:color w:val="000000"/>
                <w:sz w:val="18"/>
              </w:rPr>
              <w:t>nych dziedzin,</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przedstawiciele niezależnych organizacji</w:t>
            </w:r>
            <w:r w:rsidR="00A33B9F" w:rsidRPr="00A33B9F">
              <w:rPr>
                <w:rFonts w:ascii="Times New Roman" w:hAnsi="Times New Roman"/>
                <w:noProof/>
                <w:color w:val="000000"/>
                <w:sz w:val="18"/>
              </w:rPr>
              <w:t xml:space="preserve"> i ins</w:t>
            </w:r>
            <w:r w:rsidRPr="00A33B9F">
              <w:rPr>
                <w:rFonts w:ascii="Times New Roman" w:hAnsi="Times New Roman"/>
                <w:noProof/>
                <w:color w:val="000000"/>
                <w:sz w:val="18"/>
              </w:rPr>
              <w:t>tytucji sektora kultury</w:t>
            </w:r>
            <w:r w:rsidR="00A33B9F" w:rsidRPr="00A33B9F">
              <w:rPr>
                <w:rFonts w:ascii="Times New Roman" w:hAnsi="Times New Roman"/>
                <w:noProof/>
                <w:color w:val="000000"/>
                <w:sz w:val="18"/>
              </w:rPr>
              <w:t xml:space="preserve"> i sek</w:t>
            </w:r>
            <w:r w:rsidRPr="00A33B9F">
              <w:rPr>
                <w:rFonts w:ascii="Times New Roman" w:hAnsi="Times New Roman"/>
                <w:noProof/>
                <w:color w:val="000000"/>
                <w:sz w:val="18"/>
              </w:rPr>
              <w:t>tora kreatywnego. Komisja selekcyjna będzie podejmowała decyzje</w:t>
            </w:r>
            <w:r w:rsidR="00A33B9F" w:rsidRPr="00A33B9F">
              <w:rPr>
                <w:rFonts w:ascii="Times New Roman" w:hAnsi="Times New Roman"/>
                <w:noProof/>
                <w:color w:val="000000"/>
                <w:sz w:val="18"/>
              </w:rPr>
              <w:t xml:space="preserve"> w spr</w:t>
            </w:r>
            <w:r w:rsidRPr="00A33B9F">
              <w:rPr>
                <w:rFonts w:ascii="Times New Roman" w:hAnsi="Times New Roman"/>
                <w:noProof/>
                <w:color w:val="000000"/>
                <w:sz w:val="18"/>
              </w:rPr>
              <w:t>awie przyznania dotacji</w:t>
            </w:r>
            <w:r w:rsidR="00A33B9F" w:rsidRPr="00A33B9F">
              <w:rPr>
                <w:rFonts w:ascii="Times New Roman" w:hAnsi="Times New Roman"/>
                <w:noProof/>
                <w:color w:val="000000"/>
                <w:sz w:val="18"/>
              </w:rPr>
              <w:t xml:space="preserve"> i sty</w:t>
            </w:r>
            <w:r w:rsidRPr="00A33B9F">
              <w:rPr>
                <w:rFonts w:ascii="Times New Roman" w:hAnsi="Times New Roman"/>
                <w:noProof/>
                <w:color w:val="000000"/>
                <w:sz w:val="18"/>
              </w:rPr>
              <w:t>pendiów.</w:t>
            </w:r>
          </w:p>
          <w:p w14:paraId="77A5229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18E4BC7E" w14:textId="15F9D7DB" w:rsidR="00BE1B25" w:rsidRPr="00A33B9F" w:rsidRDefault="062A8CF6" w:rsidP="1CE0CE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Kryteria kwalifikacji wniosków</w:t>
            </w:r>
            <w:r w:rsidR="00A33B9F" w:rsidRPr="00A33B9F">
              <w:rPr>
                <w:rFonts w:ascii="Times New Roman" w:hAnsi="Times New Roman"/>
                <w:noProof/>
                <w:color w:val="000000" w:themeColor="text1"/>
                <w:sz w:val="18"/>
              </w:rPr>
              <w:t xml:space="preserve"> o dot</w:t>
            </w:r>
            <w:r w:rsidRPr="00A33B9F">
              <w:rPr>
                <w:rFonts w:ascii="Times New Roman" w:hAnsi="Times New Roman"/>
                <w:noProof/>
                <w:color w:val="000000" w:themeColor="text1"/>
                <w:sz w:val="18"/>
              </w:rPr>
              <w:t>acje na projekty złożonych przez instytucje kultury, organizacje pozarządowe, MŚP</w:t>
            </w:r>
            <w:r w:rsidR="00A33B9F" w:rsidRPr="00A33B9F">
              <w:rPr>
                <w:rFonts w:ascii="Times New Roman" w:hAnsi="Times New Roman"/>
                <w:noProof/>
                <w:color w:val="000000" w:themeColor="text1"/>
                <w:sz w:val="18"/>
              </w:rPr>
              <w:t xml:space="preserve"> i mik</w:t>
            </w:r>
            <w:r w:rsidRPr="00A33B9F">
              <w:rPr>
                <w:rFonts w:ascii="Times New Roman" w:hAnsi="Times New Roman"/>
                <w:noProof/>
                <w:color w:val="000000" w:themeColor="text1"/>
                <w:sz w:val="18"/>
              </w:rPr>
              <w:t>roprzedsiębiorstwa</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 odpowiadającym jednemu</w:t>
            </w:r>
            <w:r w:rsidR="00A33B9F" w:rsidRPr="00A33B9F">
              <w:rPr>
                <w:rFonts w:ascii="Times New Roman" w:hAnsi="Times New Roman"/>
                <w:noProof/>
                <w:color w:val="000000" w:themeColor="text1"/>
                <w:sz w:val="18"/>
              </w:rPr>
              <w:t xml:space="preserve"> z sek</w:t>
            </w:r>
            <w:r w:rsidRPr="00A33B9F">
              <w:rPr>
                <w:rFonts w:ascii="Times New Roman" w:hAnsi="Times New Roman"/>
                <w:noProof/>
                <w:color w:val="000000" w:themeColor="text1"/>
                <w:sz w:val="18"/>
              </w:rPr>
              <w:t>torów NACE zdefiniowanych przez Eurostat, będą:</w:t>
            </w:r>
          </w:p>
          <w:p w14:paraId="21A66136" w14:textId="3229F45C"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 zapewniać przyznanie pierwszeństwa projektom, które prawdopodobnie będą miały trwały wpływ na cyfrową</w:t>
            </w:r>
            <w:r w:rsidR="00A33B9F" w:rsidRPr="00A33B9F">
              <w:rPr>
                <w:rFonts w:ascii="Times New Roman" w:hAnsi="Times New Roman"/>
                <w:noProof/>
                <w:color w:val="000000" w:themeColor="text1"/>
                <w:sz w:val="18"/>
              </w:rPr>
              <w:t xml:space="preserve"> i zie</w:t>
            </w:r>
            <w:r w:rsidRPr="00A33B9F">
              <w:rPr>
                <w:rFonts w:ascii="Times New Roman" w:hAnsi="Times New Roman"/>
                <w:noProof/>
                <w:color w:val="000000" w:themeColor="text1"/>
                <w:sz w:val="18"/>
              </w:rPr>
              <w:t>loną transformację</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w:t>
            </w:r>
          </w:p>
          <w:p w14:paraId="29F169F3" w14:textId="289C84B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 zapewniać przyznanie pierwszeństwa tym beneficjentom, którzy opracowali biznesplan określający,</w:t>
            </w:r>
            <w:r w:rsidR="00A33B9F" w:rsidRPr="00A33B9F">
              <w:rPr>
                <w:rFonts w:ascii="Times New Roman" w:hAnsi="Times New Roman"/>
                <w:noProof/>
                <w:color w:val="000000" w:themeColor="text1"/>
                <w:sz w:val="18"/>
              </w:rPr>
              <w:t xml:space="preserve"> w jak</w:t>
            </w:r>
            <w:r w:rsidRPr="00A33B9F">
              <w:rPr>
                <w:rFonts w:ascii="Times New Roman" w:hAnsi="Times New Roman"/>
                <w:noProof/>
                <w:color w:val="000000" w:themeColor="text1"/>
                <w:sz w:val="18"/>
              </w:rPr>
              <w:t>i sposób dotacje mają być wykorzystywane do finansowania kosztów projektu;</w:t>
            </w:r>
          </w:p>
          <w:p w14:paraId="75708DC6" w14:textId="618FEDB6"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 zapewniać przyznanie pierwszeństwa tym beneficjentom, którzy</w:t>
            </w:r>
            <w:r w:rsidR="00A33B9F" w:rsidRPr="00A33B9F">
              <w:rPr>
                <w:rFonts w:ascii="Times New Roman" w:hAnsi="Times New Roman"/>
                <w:noProof/>
                <w:color w:val="000000"/>
                <w:sz w:val="18"/>
              </w:rPr>
              <w:t xml:space="preserve"> w cią</w:t>
            </w:r>
            <w:r w:rsidRPr="00A33B9F">
              <w:rPr>
                <w:rFonts w:ascii="Times New Roman" w:hAnsi="Times New Roman"/>
                <w:noProof/>
                <w:color w:val="000000"/>
                <w:sz w:val="18"/>
              </w:rPr>
              <w:t>gu ostatnich 24 miesięcy mieli udokumentowane osiągnięcia</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działań lub projektów związanych</w:t>
            </w:r>
            <w:r w:rsidR="00A33B9F" w:rsidRPr="00A33B9F">
              <w:rPr>
                <w:rFonts w:ascii="Times New Roman" w:hAnsi="Times New Roman"/>
                <w:noProof/>
                <w:color w:val="000000"/>
                <w:sz w:val="18"/>
              </w:rPr>
              <w:t xml:space="preserve"> z wni</w:t>
            </w:r>
            <w:r w:rsidRPr="00A33B9F">
              <w:rPr>
                <w:rFonts w:ascii="Times New Roman" w:hAnsi="Times New Roman"/>
                <w:noProof/>
                <w:color w:val="000000"/>
                <w:sz w:val="18"/>
              </w:rPr>
              <w:t xml:space="preserve">oskiem dotyczącym projektu. </w:t>
            </w:r>
          </w:p>
          <w:p w14:paraId="007DCDA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FE8CDEB" w14:textId="1DF348F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 wszystkich projektach uwzględnione zostaną ogólne zasady UE,</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zasady równouprawnienia płci</w:t>
            </w:r>
            <w:r w:rsidR="00A33B9F" w:rsidRPr="00A33B9F">
              <w:rPr>
                <w:rFonts w:ascii="Times New Roman" w:hAnsi="Times New Roman"/>
                <w:noProof/>
                <w:color w:val="000000" w:themeColor="text1"/>
                <w:sz w:val="18"/>
              </w:rPr>
              <w:t xml:space="preserve"> i nie</w:t>
            </w:r>
            <w:r w:rsidRPr="00A33B9F">
              <w:rPr>
                <w:rFonts w:ascii="Times New Roman" w:hAnsi="Times New Roman"/>
                <w:noProof/>
                <w:color w:val="000000" w:themeColor="text1"/>
                <w:sz w:val="18"/>
              </w:rPr>
              <w:t>dyskryminacji.</w:t>
            </w:r>
          </w:p>
        </w:tc>
      </w:tr>
      <w:tr w:rsidR="008C116B" w:rsidRPr="00A33B9F" w14:paraId="19D2E55D" w14:textId="77777777" w:rsidTr="1CE0CE0C">
        <w:trPr>
          <w:trHeight w:val="141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336A3" w14:textId="62F22E3F"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A3L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46D6E4" w14:textId="6C5963E6" w:rsidR="00BE1B25" w:rsidRPr="00A33B9F"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A2.5.1 Program wspierania działalności podmiotów sektora kultury</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emysłów kreatywnych na rzecz stymulowania ich rozwoju</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21384E" w14:textId="77777777" w:rsidR="00BE1B25" w:rsidRPr="00A33B9F"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FF35A" w14:textId="2006215A" w:rsidR="00BE1B25" w:rsidRPr="00A33B9F" w:rsidRDefault="5302AEA7" w:rsidP="008773A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podpisanych umów dotyczących projektów instytucji kultury, organizacji pozarządowych, MŚP</w:t>
            </w:r>
            <w:r w:rsidR="00A33B9F" w:rsidRPr="00A33B9F">
              <w:rPr>
                <w:rFonts w:ascii="Times New Roman" w:hAnsi="Times New Roman"/>
                <w:noProof/>
                <w:color w:val="000000" w:themeColor="text1"/>
                <w:sz w:val="18"/>
              </w:rPr>
              <w:t xml:space="preserve"> i mik</w:t>
            </w:r>
            <w:r w:rsidRPr="00A33B9F">
              <w:rPr>
                <w:rFonts w:ascii="Times New Roman" w:hAnsi="Times New Roman"/>
                <w:noProof/>
                <w:color w:val="000000" w:themeColor="text1"/>
                <w:sz w:val="18"/>
              </w:rPr>
              <w:t>roprzedsiębiorstw działających</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 xml:space="preserve">torze kreatywnym </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0EA2D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DC705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452D0A"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728E67" w14:textId="723DFC2E" w:rsidR="00BE1B25" w:rsidRPr="00A33B9F" w:rsidRDefault="636E9449" w:rsidP="293D33FD">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4324</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7816B"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4DE12B" w14:textId="4C23BCD9" w:rsidR="00BE1B25" w:rsidRPr="00A33B9F" w:rsidRDefault="4C2C792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E864D1" w14:textId="42FA2816" w:rsidR="00BE1B25" w:rsidRPr="00A33B9F"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Celem tego działania jest wzmocnienie sektora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tora kreatywnego poprzez wspieranie realizacji projektów służących rozpowszechnianiu osiągnięć kulturalnych oraz zwiększanie znaczenia kultury</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iu społecznym za pomocą narzędzi</w:t>
            </w:r>
            <w:r w:rsidR="00A33B9F" w:rsidRPr="00A33B9F">
              <w:rPr>
                <w:rFonts w:ascii="Times New Roman" w:hAnsi="Times New Roman"/>
                <w:noProof/>
                <w:color w:val="000000" w:themeColor="text1"/>
                <w:sz w:val="18"/>
              </w:rPr>
              <w:t xml:space="preserve"> i zas</w:t>
            </w:r>
            <w:r w:rsidRPr="00A33B9F">
              <w:rPr>
                <w:rFonts w:ascii="Times New Roman" w:hAnsi="Times New Roman"/>
                <w:noProof/>
                <w:color w:val="000000" w:themeColor="text1"/>
                <w:sz w:val="18"/>
              </w:rPr>
              <w:t>obów internetowych. Projekty zostaną wybrane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otwartego zaproszenia do składania wniosków.</w:t>
            </w:r>
          </w:p>
          <w:p w14:paraId="0A6959E7" w14:textId="40EBFD7F"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78EE3E1" w14:textId="081300A7" w:rsidR="00BE1B25" w:rsidRPr="00A33B9F"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Zakres projektów będzie obejmował przekwalifikowanie</w:t>
            </w:r>
            <w:r w:rsidR="00A33B9F" w:rsidRPr="00A33B9F">
              <w:rPr>
                <w:rFonts w:ascii="Times New Roman" w:hAnsi="Times New Roman"/>
                <w:noProof/>
                <w:color w:val="000000" w:themeColor="text1"/>
                <w:sz w:val="18"/>
              </w:rPr>
              <w:t xml:space="preserve"> i pod</w:t>
            </w:r>
            <w:r w:rsidRPr="00A33B9F">
              <w:rPr>
                <w:rFonts w:ascii="Times New Roman" w:hAnsi="Times New Roman"/>
                <w:noProof/>
                <w:color w:val="000000" w:themeColor="text1"/>
                <w:sz w:val="18"/>
              </w:rPr>
              <w:t>noszenie kwalifikacji,</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podnoszenie kompetencji cyfrowych operatorów kulturalnych (zarówno prywatnych, jak</w:t>
            </w:r>
            <w:r w:rsidR="00A33B9F" w:rsidRPr="00A33B9F">
              <w:rPr>
                <w:rFonts w:ascii="Times New Roman" w:hAnsi="Times New Roman"/>
                <w:noProof/>
                <w:color w:val="000000" w:themeColor="text1"/>
                <w:sz w:val="18"/>
              </w:rPr>
              <w:t xml:space="preserve"> i pra</w:t>
            </w:r>
            <w:r w:rsidRPr="00A33B9F">
              <w:rPr>
                <w:rFonts w:ascii="Times New Roman" w:hAnsi="Times New Roman"/>
                <w:noProof/>
                <w:color w:val="000000" w:themeColor="text1"/>
                <w:sz w:val="18"/>
              </w:rPr>
              <w:t xml:space="preserve">cowników instytucji kultury). </w:t>
            </w:r>
          </w:p>
          <w:p w14:paraId="3DD355C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7BB9B307" w14:textId="1B7D3FD3" w:rsidR="00BE1B25" w:rsidRPr="00A33B9F" w:rsidRDefault="5302AEA7"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Wspierana będzie realizacja 4 324 projektów</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 wybranych na podstawie kryteriów opublikowanych</w:t>
            </w:r>
            <w:r w:rsidR="00A33B9F" w:rsidRPr="00A33B9F">
              <w:rPr>
                <w:rFonts w:ascii="Times New Roman" w:hAnsi="Times New Roman"/>
                <w:noProof/>
                <w:color w:val="000000" w:themeColor="text1"/>
                <w:sz w:val="18"/>
              </w:rPr>
              <w:t xml:space="preserve"> w kon</w:t>
            </w:r>
            <w:r w:rsidRPr="00A33B9F">
              <w:rPr>
                <w:rFonts w:ascii="Times New Roman" w:hAnsi="Times New Roman"/>
                <w:noProof/>
                <w:color w:val="000000" w:themeColor="text1"/>
                <w:sz w:val="18"/>
              </w:rPr>
              <w:t>tekście kamienia milowego A2L.</w:t>
            </w:r>
          </w:p>
        </w:tc>
      </w:tr>
      <w:tr w:rsidR="008C116B" w:rsidRPr="00A33B9F" w14:paraId="1B56D5DE" w14:textId="77777777" w:rsidTr="1CE0CE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2EB26C" w14:textId="19F3F3EB"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A4L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FB415D" w14:textId="6364FDED"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A2.5.1 Program wspierania działalności podmiotów sektora kultury</w:t>
            </w:r>
            <w:r w:rsidR="00A33B9F" w:rsidRPr="00A33B9F">
              <w:rPr>
                <w:rFonts w:ascii="Times New Roman" w:hAnsi="Times New Roman"/>
                <w:noProof/>
                <w:color w:val="000000"/>
                <w:sz w:val="18"/>
              </w:rPr>
              <w:t xml:space="preserve"> i prz</w:t>
            </w:r>
            <w:r w:rsidRPr="00A33B9F">
              <w:rPr>
                <w:rFonts w:ascii="Times New Roman" w:hAnsi="Times New Roman"/>
                <w:noProof/>
                <w:color w:val="000000"/>
                <w:sz w:val="18"/>
              </w:rPr>
              <w:t>emysłów kreatywnych na rzecz stymulowania ich rozwoju</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31A0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E0A28" w14:textId="33CAAB76"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stypendiów przyznanych</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7AAFB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E55C0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55B75"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3BF05E" w14:textId="3B9F7646" w:rsidR="00BE1B25" w:rsidRPr="00A33B9F" w:rsidRDefault="26B978F8" w:rsidP="293D33FD">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1438</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C464C5"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19AC4" w14:textId="1C508AF0" w:rsidR="00BE1B25" w:rsidRPr="00A33B9F" w:rsidRDefault="429D9DF2" w:rsidP="079DCE0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A6CF2" w14:textId="2DF9A7A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Celem tej inwestycji jest stworzenie programu stypendialnego wspierającego twórców, artystów, animatorów</w:t>
            </w:r>
            <w:r w:rsidR="00A33B9F" w:rsidRPr="00A33B9F">
              <w:rPr>
                <w:rFonts w:ascii="Times New Roman" w:hAnsi="Times New Roman"/>
                <w:noProof/>
                <w:color w:val="000000" w:themeColor="text1"/>
                <w:sz w:val="18"/>
              </w:rPr>
              <w:t xml:space="preserve"> i edu</w:t>
            </w:r>
            <w:r w:rsidRPr="00A33B9F">
              <w:rPr>
                <w:rFonts w:ascii="Times New Roman" w:hAnsi="Times New Roman"/>
                <w:noProof/>
                <w:color w:val="000000" w:themeColor="text1"/>
                <w:sz w:val="18"/>
              </w:rPr>
              <w:t>katorów,</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naukowców, którzy chcą znaleźć nowe sposoby prezentacji dóbr kultury na żywo</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ez internet.</w:t>
            </w:r>
          </w:p>
          <w:p w14:paraId="51952A32" w14:textId="52C39496" w:rsidR="00BE1B25" w:rsidRPr="00A33B9F" w:rsidRDefault="007E419F"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Na rozwój działalności artystów zostanie przyznanych 1438 stypendiów. Celem programu stypendialnego będzie zapewnienie artystom wsparcia służącego stymulowaniu działalności twórczej</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odbudowy po pandemii COVID-19</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program stypendialny zapewni pomoc finansową przeznaczoną na następujące cele:</w:t>
            </w:r>
          </w:p>
          <w:p w14:paraId="654E7F9B" w14:textId="5923CDAB" w:rsidR="00BE1B25" w:rsidRPr="00A33B9F" w:rsidRDefault="00BE1B25" w:rsidP="00394B30">
            <w:pPr>
              <w:numPr>
                <w:ilvl w:val="0"/>
                <w:numId w:val="15"/>
              </w:numPr>
              <w:spacing w:after="0" w:line="240" w:lineRule="auto"/>
              <w:ind w:right="600"/>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prowadzenie kursów dla artystów</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rozwijania ich umiejętności artystycznych</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rowych lub ekologicznych;</w:t>
            </w:r>
          </w:p>
          <w:p w14:paraId="1E0D471F" w14:textId="627DCB4F" w:rsidR="00BE1B25" w:rsidRPr="00A33B9F" w:rsidRDefault="00BE1B25" w:rsidP="00394B30">
            <w:pPr>
              <w:numPr>
                <w:ilvl w:val="0"/>
                <w:numId w:val="15"/>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zapewnienie artystom zindywidualizowanego szkolenia zawodowego;</w:t>
            </w:r>
          </w:p>
          <w:p w14:paraId="16D4EDFD" w14:textId="07ED7FB9" w:rsidR="00BE1B25" w:rsidRPr="00A33B9F" w:rsidRDefault="00BE1B25" w:rsidP="00394B30">
            <w:pPr>
              <w:numPr>
                <w:ilvl w:val="0"/>
                <w:numId w:val="15"/>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stworzenie artystom możliwości spotkań</w:t>
            </w:r>
            <w:r w:rsidR="00A33B9F" w:rsidRPr="00A33B9F">
              <w:rPr>
                <w:rFonts w:ascii="Times New Roman" w:hAnsi="Times New Roman"/>
                <w:noProof/>
                <w:color w:val="000000" w:themeColor="text1"/>
                <w:sz w:val="18"/>
              </w:rPr>
              <w:t xml:space="preserve"> w for</w:t>
            </w:r>
            <w:r w:rsidRPr="00A33B9F">
              <w:rPr>
                <w:rFonts w:ascii="Times New Roman" w:hAnsi="Times New Roman"/>
                <w:noProof/>
                <w:color w:val="000000" w:themeColor="text1"/>
                <w:sz w:val="18"/>
              </w:rPr>
              <w:t>mie wirtualnej lub stacjonarnej</w:t>
            </w:r>
            <w:r w:rsidR="00A33B9F" w:rsidRPr="00A33B9F">
              <w:rPr>
                <w:rFonts w:ascii="Times New Roman" w:hAnsi="Times New Roman"/>
                <w:noProof/>
                <w:color w:val="000000" w:themeColor="text1"/>
                <w:sz w:val="18"/>
              </w:rPr>
              <w:t xml:space="preserve"> z lok</w:t>
            </w:r>
            <w:r w:rsidRPr="00A33B9F">
              <w:rPr>
                <w:rFonts w:ascii="Times New Roman" w:hAnsi="Times New Roman"/>
                <w:noProof/>
                <w:color w:val="000000" w:themeColor="text1"/>
                <w:sz w:val="18"/>
              </w:rPr>
              <w:t>alnymi, krajowymi</w:t>
            </w:r>
            <w:r w:rsidR="00A33B9F" w:rsidRPr="00A33B9F">
              <w:rPr>
                <w:rFonts w:ascii="Times New Roman" w:hAnsi="Times New Roman"/>
                <w:noProof/>
                <w:color w:val="000000" w:themeColor="text1"/>
                <w:sz w:val="18"/>
              </w:rPr>
              <w:t xml:space="preserve"> i mię</w:t>
            </w:r>
            <w:r w:rsidRPr="00A33B9F">
              <w:rPr>
                <w:rFonts w:ascii="Times New Roman" w:hAnsi="Times New Roman"/>
                <w:noProof/>
                <w:color w:val="000000" w:themeColor="text1"/>
                <w:sz w:val="18"/>
              </w:rPr>
              <w:t>dzynarodowymi specjalistami</w:t>
            </w:r>
            <w:r w:rsidR="00A33B9F" w:rsidRPr="00A33B9F">
              <w:rPr>
                <w:rFonts w:ascii="Times New Roman" w:hAnsi="Times New Roman"/>
                <w:noProof/>
                <w:color w:val="000000" w:themeColor="text1"/>
                <w:sz w:val="18"/>
              </w:rPr>
              <w:t xml:space="preserve"> w dzi</w:t>
            </w:r>
            <w:r w:rsidRPr="00A33B9F">
              <w:rPr>
                <w:rFonts w:ascii="Times New Roman" w:hAnsi="Times New Roman"/>
                <w:noProof/>
                <w:color w:val="000000" w:themeColor="text1"/>
                <w:sz w:val="18"/>
              </w:rPr>
              <w:t>edzinie sztuki poprzez organizację warsztatów</w:t>
            </w:r>
            <w:r w:rsidR="00A33B9F" w:rsidRPr="00A33B9F">
              <w:rPr>
                <w:rFonts w:ascii="Times New Roman" w:hAnsi="Times New Roman"/>
                <w:noProof/>
                <w:color w:val="000000" w:themeColor="text1"/>
                <w:sz w:val="18"/>
              </w:rPr>
              <w:t xml:space="preserve"> i cyk</w:t>
            </w:r>
            <w:r w:rsidRPr="00A33B9F">
              <w:rPr>
                <w:rFonts w:ascii="Times New Roman" w:hAnsi="Times New Roman"/>
                <w:noProof/>
                <w:color w:val="000000" w:themeColor="text1"/>
                <w:sz w:val="18"/>
              </w:rPr>
              <w:t>lu dyskusji;</w:t>
            </w:r>
          </w:p>
          <w:p w14:paraId="72BA8817" w14:textId="679D4A08" w:rsidR="00BE1B25" w:rsidRPr="00A33B9F" w:rsidRDefault="00BE1B25" w:rsidP="00394B30">
            <w:pPr>
              <w:numPr>
                <w:ilvl w:val="0"/>
                <w:numId w:val="15"/>
              </w:numPr>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stworzenie artystom możliwości współpracy</w:t>
            </w:r>
            <w:r w:rsidR="00A33B9F" w:rsidRPr="00A33B9F">
              <w:rPr>
                <w:rFonts w:ascii="Times New Roman" w:hAnsi="Times New Roman"/>
                <w:noProof/>
                <w:color w:val="000000" w:themeColor="text1"/>
                <w:sz w:val="18"/>
              </w:rPr>
              <w:t xml:space="preserve"> w for</w:t>
            </w:r>
            <w:r w:rsidRPr="00A33B9F">
              <w:rPr>
                <w:rFonts w:ascii="Times New Roman" w:hAnsi="Times New Roman"/>
                <w:noProof/>
                <w:color w:val="000000" w:themeColor="text1"/>
                <w:sz w:val="18"/>
              </w:rPr>
              <w:t>mie wirtualnej lub stacjonarnej ze specjalistami</w:t>
            </w:r>
            <w:r w:rsidR="00A33B9F" w:rsidRPr="00A33B9F">
              <w:rPr>
                <w:rFonts w:ascii="Times New Roman" w:hAnsi="Times New Roman"/>
                <w:noProof/>
                <w:color w:val="000000" w:themeColor="text1"/>
                <w:sz w:val="18"/>
              </w:rPr>
              <w:t xml:space="preserve"> z inn</w:t>
            </w:r>
            <w:r w:rsidRPr="00A33B9F">
              <w:rPr>
                <w:rFonts w:ascii="Times New Roman" w:hAnsi="Times New Roman"/>
                <w:noProof/>
                <w:color w:val="000000" w:themeColor="text1"/>
                <w:sz w:val="18"/>
              </w:rPr>
              <w:t>ych sektorów,</w:t>
            </w:r>
            <w:r w:rsidR="00A33B9F" w:rsidRPr="00A33B9F">
              <w:rPr>
                <w:rFonts w:ascii="Times New Roman" w:hAnsi="Times New Roman"/>
                <w:noProof/>
                <w:color w:val="000000" w:themeColor="text1"/>
                <w:sz w:val="18"/>
              </w:rPr>
              <w:t xml:space="preserve"> w tym z sek</w:t>
            </w:r>
            <w:r w:rsidRPr="00A33B9F">
              <w:rPr>
                <w:rFonts w:ascii="Times New Roman" w:hAnsi="Times New Roman"/>
                <w:noProof/>
                <w:color w:val="000000" w:themeColor="text1"/>
                <w:sz w:val="18"/>
              </w:rPr>
              <w:t>tora nauki, technologii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edsiębiorstw.</w:t>
            </w:r>
          </w:p>
          <w:p w14:paraId="59C75016" w14:textId="6405D56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Stypendia przyznawane będą</w:t>
            </w:r>
            <w:r w:rsidR="00A33B9F" w:rsidRPr="00A33B9F">
              <w:rPr>
                <w:rFonts w:ascii="Times New Roman" w:hAnsi="Times New Roman"/>
                <w:noProof/>
                <w:color w:val="000000" w:themeColor="text1"/>
                <w:sz w:val="18"/>
              </w:rPr>
              <w:t xml:space="preserve"> z pos</w:t>
            </w:r>
            <w:r w:rsidRPr="00A33B9F">
              <w:rPr>
                <w:rFonts w:ascii="Times New Roman" w:hAnsi="Times New Roman"/>
                <w:noProof/>
                <w:color w:val="000000" w:themeColor="text1"/>
                <w:sz w:val="18"/>
              </w:rPr>
              <w:t>zanowaniem ogólnych zasad UE,</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zasady równouprawnienia płci</w:t>
            </w:r>
            <w:r w:rsidR="00A33B9F" w:rsidRPr="00A33B9F">
              <w:rPr>
                <w:rFonts w:ascii="Times New Roman" w:hAnsi="Times New Roman"/>
                <w:noProof/>
                <w:color w:val="000000" w:themeColor="text1"/>
                <w:sz w:val="18"/>
              </w:rPr>
              <w:t xml:space="preserve"> i nie</w:t>
            </w:r>
            <w:r w:rsidRPr="00A33B9F">
              <w:rPr>
                <w:rFonts w:ascii="Times New Roman" w:hAnsi="Times New Roman"/>
                <w:noProof/>
                <w:color w:val="000000" w:themeColor="text1"/>
                <w:sz w:val="18"/>
              </w:rPr>
              <w:t>dyskryminacji. Kryteria kwalifikacji wniosków</w:t>
            </w:r>
            <w:r w:rsidR="00A33B9F" w:rsidRPr="00A33B9F">
              <w:rPr>
                <w:rFonts w:ascii="Times New Roman" w:hAnsi="Times New Roman"/>
                <w:noProof/>
                <w:color w:val="000000" w:themeColor="text1"/>
                <w:sz w:val="18"/>
              </w:rPr>
              <w:t xml:space="preserve"> o sty</w:t>
            </w:r>
            <w:r w:rsidRPr="00A33B9F">
              <w:rPr>
                <w:rFonts w:ascii="Times New Roman" w:hAnsi="Times New Roman"/>
                <w:noProof/>
                <w:color w:val="000000" w:themeColor="text1"/>
                <w:sz w:val="18"/>
              </w:rPr>
              <w:t>pendia dla artystów</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kultury</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torze kreatywnym, odpowiadającym jednemu</w:t>
            </w:r>
            <w:r w:rsidR="00A33B9F" w:rsidRPr="00A33B9F">
              <w:rPr>
                <w:rFonts w:ascii="Times New Roman" w:hAnsi="Times New Roman"/>
                <w:noProof/>
                <w:color w:val="000000" w:themeColor="text1"/>
                <w:sz w:val="18"/>
              </w:rPr>
              <w:t xml:space="preserve"> z sek</w:t>
            </w:r>
            <w:r w:rsidRPr="00A33B9F">
              <w:rPr>
                <w:rFonts w:ascii="Times New Roman" w:hAnsi="Times New Roman"/>
                <w:noProof/>
                <w:color w:val="000000" w:themeColor="text1"/>
                <w:sz w:val="18"/>
              </w:rPr>
              <w:t>torów NACE zdefiniowanych przez Eurostat, będą obejmować:</w:t>
            </w:r>
          </w:p>
          <w:p w14:paraId="1D38C1D7" w14:textId="7B0DA579" w:rsidR="00BE1B25" w:rsidRPr="00A33B9F" w:rsidRDefault="00BE1B25" w:rsidP="00394B30">
            <w:pPr>
              <w:pStyle w:val="Normal0"/>
              <w:numPr>
                <w:ilvl w:val="0"/>
                <w:numId w:val="17"/>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przekonujące portfolio artystyczne zawierające prace wykonane</w:t>
            </w:r>
            <w:r w:rsidR="00A33B9F" w:rsidRPr="00A33B9F">
              <w:rPr>
                <w:rFonts w:ascii="Times New Roman" w:hAnsi="Times New Roman"/>
                <w:noProof/>
                <w:color w:val="000000" w:themeColor="text1"/>
                <w:sz w:val="18"/>
              </w:rPr>
              <w:t xml:space="preserve"> w cią</w:t>
            </w:r>
            <w:r w:rsidRPr="00A33B9F">
              <w:rPr>
                <w:rFonts w:ascii="Times New Roman" w:hAnsi="Times New Roman"/>
                <w:noProof/>
                <w:color w:val="000000" w:themeColor="text1"/>
                <w:sz w:val="18"/>
              </w:rPr>
              <w:t>gu ostatnich 24 miesięcy;</w:t>
            </w:r>
          </w:p>
          <w:p w14:paraId="22A2E48D" w14:textId="77777777" w:rsidR="00BE1B25" w:rsidRPr="00A33B9F" w:rsidRDefault="00BE1B25" w:rsidP="00394B30">
            <w:pPr>
              <w:pStyle w:val="Normal0"/>
              <w:numPr>
                <w:ilvl w:val="0"/>
                <w:numId w:val="17"/>
              </w:num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przekonujący plan artystyczny na najbliższe 24 miesiące.</w:t>
            </w:r>
          </w:p>
          <w:p w14:paraId="7072C1C8" w14:textId="2BD58E8C" w:rsidR="00BE1B25" w:rsidRPr="00A33B9F" w:rsidRDefault="00BE1B25" w:rsidP="00D66D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Komisja selekcyjna,</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rej mowa</w:t>
            </w:r>
            <w:r w:rsidR="00A33B9F" w:rsidRPr="00A33B9F">
              <w:rPr>
                <w:rFonts w:ascii="Times New Roman" w:hAnsi="Times New Roman"/>
                <w:noProof/>
                <w:color w:val="000000" w:themeColor="text1"/>
                <w:sz w:val="18"/>
              </w:rPr>
              <w:t xml:space="preserve"> w kam</w:t>
            </w:r>
            <w:r w:rsidRPr="00A33B9F">
              <w:rPr>
                <w:rFonts w:ascii="Times New Roman" w:hAnsi="Times New Roman"/>
                <w:noProof/>
                <w:color w:val="000000" w:themeColor="text1"/>
                <w:sz w:val="18"/>
              </w:rPr>
              <w:t xml:space="preserve">ieniu milowym A2L, zadecyduje, komu przyznane zostaną stypendia. </w:t>
            </w:r>
          </w:p>
        </w:tc>
      </w:tr>
      <w:tr w:rsidR="008C116B" w:rsidRPr="00A33B9F" w14:paraId="4DEA8A78" w14:textId="77777777" w:rsidTr="1CE0CE0C">
        <w:trPr>
          <w:trHeight w:val="141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5D5EE9" w14:textId="170C5BD4"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A7L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C2D5AA" w14:textId="720CA54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A2.6 Reforma – Rozbudowa krajowego systemu serwisów monitoringowych, produktów, narzędzi analitycznych, usług</w:t>
            </w:r>
            <w:r w:rsidR="00A33B9F" w:rsidRPr="00A33B9F">
              <w:rPr>
                <w:rFonts w:ascii="Times New Roman" w:hAnsi="Times New Roman"/>
                <w:noProof/>
                <w:color w:val="000000" w:themeColor="text1"/>
                <w:sz w:val="18"/>
              </w:rPr>
              <w:t xml:space="preserve"> i tow</w:t>
            </w:r>
            <w:r w:rsidRPr="00A33B9F">
              <w:rPr>
                <w:rFonts w:ascii="Times New Roman" w:hAnsi="Times New Roman"/>
                <w:noProof/>
                <w:color w:val="000000" w:themeColor="text1"/>
                <w:sz w:val="18"/>
              </w:rPr>
              <w:t xml:space="preserve">arzyszącej infrastruktury wykorzystujących dane satelitarne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1262B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27B41C" w14:textId="441EEF2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ustawy</w:t>
            </w:r>
            <w:r w:rsidR="00A33B9F" w:rsidRPr="00A33B9F">
              <w:rPr>
                <w:rFonts w:ascii="Times New Roman" w:hAnsi="Times New Roman"/>
                <w:noProof/>
                <w:color w:val="000000"/>
                <w:sz w:val="18"/>
              </w:rPr>
              <w:t xml:space="preserve"> o dzi</w:t>
            </w:r>
            <w:r w:rsidRPr="00A33B9F">
              <w:rPr>
                <w:rFonts w:ascii="Times New Roman" w:hAnsi="Times New Roman"/>
                <w:noProof/>
                <w:color w:val="000000"/>
                <w:sz w:val="18"/>
              </w:rPr>
              <w:t>ałalności</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estrzeni kosmicznej, która ma być przyjęta przez Parlament</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5871C5" w14:textId="14A9FFE6"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32A5A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45AE9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150FD0"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9A1D4A"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70BBC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8C8ECE" w14:textId="70967861" w:rsidR="00BE1B25" w:rsidRPr="00A33B9F" w:rsidRDefault="3F7AC5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Nowa ustawa ułatwi m.in. wykorzystanie danych satelitarnych przez administrację publiczną. Ustawa ustanowi krajowego operatora danych satelitarnych. Na mocy ustawy krajowy operator zostanie zobowiązany do promowania wykorzystania danych satelitarnych przez prywatne przedsiębiorstwa, m.in. poprzez organizowanie szkoleń dla wszystkich zainteresowanych podmiotów.</w:t>
            </w:r>
          </w:p>
        </w:tc>
      </w:tr>
      <w:tr w:rsidR="008C116B" w:rsidRPr="00A33B9F" w14:paraId="1E7CE908" w14:textId="77777777" w:rsidTr="1CE0CE0C">
        <w:trPr>
          <w:trHeight w:val="177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64BF76" w14:textId="502B913B"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A8L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5816AC" w14:textId="2F3E4785" w:rsidR="00BE1B25" w:rsidRPr="00A33B9F" w:rsidRDefault="0A516C51" w:rsidP="661DC3E4">
            <w:pPr>
              <w:pStyle w:val="Normal0"/>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A2.6.1 Inwestycje – Rozbudowa krajowego systemu serwisów monitoringowych, produktów, narzędzi analitycznych, usług</w:t>
            </w:r>
            <w:r w:rsidR="00A33B9F" w:rsidRPr="00A33B9F">
              <w:rPr>
                <w:rFonts w:ascii="Times New Roman" w:hAnsi="Times New Roman"/>
                <w:noProof/>
                <w:color w:val="000000" w:themeColor="text1"/>
                <w:sz w:val="18"/>
              </w:rPr>
              <w:t xml:space="preserve"> i tow</w:t>
            </w:r>
            <w:r w:rsidRPr="00A33B9F">
              <w:rPr>
                <w:rFonts w:ascii="Times New Roman" w:hAnsi="Times New Roman"/>
                <w:noProof/>
                <w:color w:val="000000" w:themeColor="text1"/>
                <w:sz w:val="18"/>
              </w:rPr>
              <w:t>arzyszącej infrastruktury wykorzystujących dane satelitarne</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74D863" w14:textId="77777777" w:rsidR="00BE1B25" w:rsidRPr="00A33B9F" w:rsidRDefault="66DCEF2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Wartość docelowa </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4D3C93" w14:textId="45857627" w:rsidR="00BE1B25" w:rsidRPr="00A33B9F" w:rsidRDefault="66DCEF2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Rozwój niezbędnej infrastruktury: Narodowy System Informacji Satelitarnej (NSIS), który będzie świadczyć usługi monitorowania</w:t>
            </w:r>
            <w:r w:rsidR="00A33B9F" w:rsidRPr="00A33B9F">
              <w:rPr>
                <w:rFonts w:ascii="Times New Roman" w:hAnsi="Times New Roman"/>
                <w:noProof/>
                <w:color w:val="000000" w:themeColor="text1"/>
                <w:sz w:val="18"/>
              </w:rPr>
              <w:t xml:space="preserve"> z wyk</w:t>
            </w:r>
            <w:r w:rsidRPr="00A33B9F">
              <w:rPr>
                <w:rFonts w:ascii="Times New Roman" w:hAnsi="Times New Roman"/>
                <w:noProof/>
                <w:color w:val="000000" w:themeColor="text1"/>
                <w:sz w:val="18"/>
              </w:rPr>
              <w:t>orzystaniem danych pochodzących</w:t>
            </w:r>
            <w:r w:rsidR="00A33B9F" w:rsidRPr="00A33B9F">
              <w:rPr>
                <w:rFonts w:ascii="Times New Roman" w:hAnsi="Times New Roman"/>
                <w:noProof/>
                <w:color w:val="000000" w:themeColor="text1"/>
                <w:sz w:val="18"/>
              </w:rPr>
              <w:t xml:space="preserve"> z obs</w:t>
            </w:r>
            <w:r w:rsidRPr="00A33B9F">
              <w:rPr>
                <w:rFonts w:ascii="Times New Roman" w:hAnsi="Times New Roman"/>
                <w:noProof/>
                <w:color w:val="000000" w:themeColor="text1"/>
                <w:sz w:val="18"/>
              </w:rPr>
              <w:t>erwacji satelitarnej Ziemi.</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D3A2D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548F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46225B"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B20A0C"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1F61AE" w14:textId="4D7CB5ED" w:rsidR="00BE1B25" w:rsidRPr="00A33B9F" w:rsidRDefault="4C2C792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E632F" w14:textId="7FB7F30F" w:rsidR="00BE1B25" w:rsidRPr="00A33B9F" w:rsidRDefault="4C2C792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0677D" w14:textId="3E610173" w:rsidR="00BE1B25" w:rsidRPr="00A33B9F" w:rsidRDefault="1B81901B"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Uruchomiony zostanie Narodowy System Informacji Satelitarnej (NSIS). Uruchomienie wstępnych usług we współpracy</w:t>
            </w:r>
            <w:r w:rsidR="00A33B9F" w:rsidRPr="00A33B9F">
              <w:rPr>
                <w:rFonts w:ascii="Times New Roman" w:hAnsi="Times New Roman"/>
                <w:noProof/>
                <w:color w:val="000000" w:themeColor="text1"/>
                <w:sz w:val="18"/>
              </w:rPr>
              <w:t xml:space="preserve"> z uży</w:t>
            </w:r>
            <w:r w:rsidRPr="00A33B9F">
              <w:rPr>
                <w:rFonts w:ascii="Times New Roman" w:hAnsi="Times New Roman"/>
                <w:noProof/>
                <w:color w:val="000000" w:themeColor="text1"/>
                <w:sz w:val="18"/>
              </w:rPr>
              <w:t>tkownikami na dwóch płaszczyznach stosowania elektronicznego przechwytywania danych</w:t>
            </w:r>
            <w:r w:rsidR="00A33B9F" w:rsidRPr="00A33B9F">
              <w:rPr>
                <w:rFonts w:ascii="Times New Roman" w:hAnsi="Times New Roman"/>
                <w:noProof/>
                <w:color w:val="000000" w:themeColor="text1"/>
                <w:sz w:val="18"/>
              </w:rPr>
              <w:t xml:space="preserve"> o duż</w:t>
            </w:r>
            <w:r w:rsidRPr="00A33B9F">
              <w:rPr>
                <w:rFonts w:ascii="Times New Roman" w:hAnsi="Times New Roman"/>
                <w:noProof/>
                <w:color w:val="000000" w:themeColor="text1"/>
                <w:sz w:val="18"/>
              </w:rPr>
              <w:t>ym znaczeniu dla gospodarki</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pieczeństwa Polski, które wybrano spośród następujących obszarów: gospodarka przestrzenna, zarządzanie kryzysowe, rolnictwo</w:t>
            </w:r>
            <w:r w:rsidR="00A33B9F" w:rsidRPr="00A33B9F">
              <w:rPr>
                <w:rFonts w:ascii="Times New Roman" w:hAnsi="Times New Roman"/>
                <w:noProof/>
                <w:color w:val="000000" w:themeColor="text1"/>
                <w:sz w:val="18"/>
              </w:rPr>
              <w:t xml:space="preserve"> i leś</w:t>
            </w:r>
            <w:r w:rsidRPr="00A33B9F">
              <w:rPr>
                <w:rFonts w:ascii="Times New Roman" w:hAnsi="Times New Roman"/>
                <w:noProof/>
                <w:color w:val="000000" w:themeColor="text1"/>
                <w:sz w:val="18"/>
              </w:rPr>
              <w:t>nictwo, gospodarka wodna, monitorowanie środowiska Bałtyku.</w:t>
            </w:r>
          </w:p>
        </w:tc>
      </w:tr>
      <w:tr w:rsidR="008C116B" w:rsidRPr="00A33B9F" w14:paraId="4CB57EE2" w14:textId="77777777" w:rsidTr="1CE0CE0C">
        <w:trPr>
          <w:trHeight w:val="177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03C4DE" w14:textId="326F6DA2"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A9L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2E6709" w14:textId="780899B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A2.6.1 Inwestycje – Rozbudowa krajowego systemu serwisów monitoringowych, produktów, narzędzi analitycznych, usług</w:t>
            </w:r>
            <w:r w:rsidR="00A33B9F" w:rsidRPr="00A33B9F">
              <w:rPr>
                <w:rFonts w:ascii="Times New Roman" w:hAnsi="Times New Roman"/>
                <w:noProof/>
                <w:color w:val="000000" w:themeColor="text1"/>
                <w:sz w:val="18"/>
              </w:rPr>
              <w:t xml:space="preserve"> i tow</w:t>
            </w:r>
            <w:r w:rsidRPr="00A33B9F">
              <w:rPr>
                <w:rFonts w:ascii="Times New Roman" w:hAnsi="Times New Roman"/>
                <w:noProof/>
                <w:color w:val="000000" w:themeColor="text1"/>
                <w:sz w:val="18"/>
              </w:rPr>
              <w:t xml:space="preserve">arzyszącej infrastruktury wykorzystujących dane satelitarne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6E9CF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Kamień milowy</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B7229B" w14:textId="398D7AF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Prace przygotowawcze do wyniesienia pierwszego polskiego satelity: ECSS Phase 0/A/B/C (analiza misji/identyfikacja potrzeb, wykonalność</w:t>
            </w:r>
            <w:r w:rsidR="00A33B9F" w:rsidRPr="00A33B9F">
              <w:rPr>
                <w:rFonts w:ascii="Times New Roman" w:hAnsi="Times New Roman"/>
                <w:noProof/>
                <w:color w:val="000000" w:themeColor="text1"/>
                <w:sz w:val="18"/>
              </w:rPr>
              <w:t xml:space="preserve"> i def</w:t>
            </w:r>
            <w:r w:rsidRPr="00A33B9F">
              <w:rPr>
                <w:rFonts w:ascii="Times New Roman" w:hAnsi="Times New Roman"/>
                <w:noProof/>
                <w:color w:val="000000" w:themeColor="text1"/>
                <w:sz w:val="18"/>
              </w:rPr>
              <w:t>inicja)</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41272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Publikacja sprawozdania</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35753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F023C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DB549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4BE697" w14:textId="511DEDBB" w:rsidR="00BE1B25" w:rsidRPr="00A33B9F" w:rsidRDefault="4C2C792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50C5A4" w14:textId="3CBDE43F" w:rsidR="00BE1B25" w:rsidRPr="00A33B9F" w:rsidRDefault="217A2526"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2024</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586353" w14:textId="42765833" w:rsidR="00BE1B25" w:rsidRPr="00A33B9F" w:rsidRDefault="2334FC5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Wskaźnik odnosi się do trzech opublikowanych sprawozdań (przegląd definicji misji, wstępny przegląd wymogów, krytyczny przegląd projektu). Segment kosmiczny obejmować będzie platformy satelitarne klasy mikro</w:t>
            </w:r>
            <w:r w:rsidR="00A33B9F" w:rsidRPr="00A33B9F">
              <w:rPr>
                <w:rFonts w:ascii="Times New Roman" w:hAnsi="Times New Roman"/>
                <w:noProof/>
                <w:color w:val="000000" w:themeColor="text1"/>
                <w:sz w:val="18"/>
              </w:rPr>
              <w:t xml:space="preserve"> i sen</w:t>
            </w:r>
            <w:r w:rsidRPr="00A33B9F">
              <w:rPr>
                <w:rFonts w:ascii="Times New Roman" w:hAnsi="Times New Roman"/>
                <w:noProof/>
                <w:color w:val="000000" w:themeColor="text1"/>
                <w:sz w:val="18"/>
              </w:rPr>
              <w:t>sory umożliwiające pozyskiwanie danych optoelektronicznych, wyposażone</w:t>
            </w:r>
            <w:r w:rsidR="00A33B9F" w:rsidRPr="00A33B9F">
              <w:rPr>
                <w:rFonts w:ascii="Times New Roman" w:hAnsi="Times New Roman"/>
                <w:noProof/>
                <w:color w:val="000000" w:themeColor="text1"/>
                <w:sz w:val="18"/>
              </w:rPr>
              <w:t xml:space="preserve"> w mię</w:t>
            </w:r>
            <w:r w:rsidRPr="00A33B9F">
              <w:rPr>
                <w:rFonts w:ascii="Times New Roman" w:hAnsi="Times New Roman"/>
                <w:noProof/>
                <w:color w:val="000000" w:themeColor="text1"/>
                <w:sz w:val="18"/>
              </w:rPr>
              <w:t>dzy innymi</w:t>
            </w:r>
            <w:r w:rsidR="00A33B9F" w:rsidRPr="00A33B9F">
              <w:rPr>
                <w:rFonts w:ascii="Times New Roman" w:hAnsi="Times New Roman"/>
                <w:noProof/>
                <w:color w:val="000000" w:themeColor="text1"/>
                <w:sz w:val="18"/>
              </w:rPr>
              <w:t xml:space="preserve"> w mod</w:t>
            </w:r>
            <w:r w:rsidRPr="00A33B9F">
              <w:rPr>
                <w:rFonts w:ascii="Times New Roman" w:hAnsi="Times New Roman"/>
                <w:noProof/>
                <w:color w:val="000000" w:themeColor="text1"/>
                <w:sz w:val="18"/>
              </w:rPr>
              <w:t>uł kompresji oraz szyfrowane łącza radiowe uplink/downlink. Prace przygotowawcze będą prowadzone zgodnie</w:t>
            </w:r>
            <w:r w:rsidR="00A33B9F" w:rsidRPr="00A33B9F">
              <w:rPr>
                <w:rFonts w:ascii="Times New Roman" w:hAnsi="Times New Roman"/>
                <w:noProof/>
                <w:color w:val="000000" w:themeColor="text1"/>
                <w:sz w:val="18"/>
              </w:rPr>
              <w:t xml:space="preserve"> z nor</w:t>
            </w:r>
            <w:r w:rsidRPr="00A33B9F">
              <w:rPr>
                <w:rFonts w:ascii="Times New Roman" w:hAnsi="Times New Roman"/>
                <w:noProof/>
                <w:color w:val="000000" w:themeColor="text1"/>
                <w:sz w:val="18"/>
              </w:rPr>
              <w:t>mami europejskiej współpracy</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normalizacji związanej</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estrzenią kosmiczną (ECSS).</w:t>
            </w:r>
          </w:p>
        </w:tc>
      </w:tr>
      <w:tr w:rsidR="008C116B" w:rsidRPr="00A33B9F" w14:paraId="31009C2C" w14:textId="77777777" w:rsidTr="1CE0CE0C">
        <w:trPr>
          <w:trHeight w:val="39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45A828" w14:textId="77CDBA96"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A10L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90E542" w14:textId="35612EA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A2.6.1 Inwestycje – Rozbudowa krajowego systemu serwisów monitoringowych, produktów, narzędzi analitycznych, usług</w:t>
            </w:r>
            <w:r w:rsidR="00A33B9F" w:rsidRPr="00A33B9F">
              <w:rPr>
                <w:rFonts w:ascii="Times New Roman" w:hAnsi="Times New Roman"/>
                <w:noProof/>
                <w:color w:val="000000" w:themeColor="text1"/>
                <w:sz w:val="18"/>
              </w:rPr>
              <w:t xml:space="preserve"> i tow</w:t>
            </w:r>
            <w:r w:rsidRPr="00A33B9F">
              <w:rPr>
                <w:rFonts w:ascii="Times New Roman" w:hAnsi="Times New Roman"/>
                <w:noProof/>
                <w:color w:val="000000" w:themeColor="text1"/>
                <w:sz w:val="18"/>
              </w:rPr>
              <w:t xml:space="preserve">arzyszącej infrastruktury wykorzystujących dane satelitarne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3A13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775C75" w14:textId="41B26FC5" w:rsidR="00BE1B25" w:rsidRPr="00A33B9F" w:rsidRDefault="00DD331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T1 – Wyniesienie pierwszego polskiego satelity</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6F80DB"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2A1C5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07ADC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9FAAB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1FBC2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9B3AF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66126C" w14:textId="118B4A0D"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wyniesionych satelitów, co obejmuje całość produkcji, montażu</w:t>
            </w:r>
            <w:r w:rsidR="00A33B9F" w:rsidRPr="00A33B9F">
              <w:rPr>
                <w:rFonts w:ascii="Times New Roman" w:hAnsi="Times New Roman"/>
                <w:noProof/>
                <w:color w:val="000000" w:themeColor="text1"/>
                <w:sz w:val="18"/>
              </w:rPr>
              <w:t xml:space="preserve"> i tes</w:t>
            </w:r>
            <w:r w:rsidRPr="00A33B9F">
              <w:rPr>
                <w:rFonts w:ascii="Times New Roman" w:hAnsi="Times New Roman"/>
                <w:noProof/>
                <w:color w:val="000000" w:themeColor="text1"/>
                <w:sz w:val="18"/>
              </w:rPr>
              <w:t>towania sprzętu/oprogramowania lotniczego,</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powiązanego sprzętu do obsługi naziemnej statków powietrznych, wyniesienie pierwszego satelity na orbitę.</w:t>
            </w:r>
          </w:p>
        </w:tc>
      </w:tr>
      <w:tr w:rsidR="008C116B" w:rsidRPr="00A33B9F" w14:paraId="4C949B18" w14:textId="77777777" w:rsidTr="1CE0CE0C">
        <w:trPr>
          <w:trHeight w:val="1417"/>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2CA41D" w14:textId="2A7C0B6C" w:rsidR="00BE1B25" w:rsidRPr="00A33B9F" w:rsidRDefault="00BE1B25" w:rsidP="00BE1B25">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A11L</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2BD4B8" w14:textId="138ABD3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A2.6.1 Inwestycje – Rozbudowa krajowego systemu serwisów monitoringowych, produktów, narzędzi analitycznych, usług</w:t>
            </w:r>
            <w:r w:rsidR="00A33B9F" w:rsidRPr="00A33B9F">
              <w:rPr>
                <w:rFonts w:ascii="Times New Roman" w:hAnsi="Times New Roman"/>
                <w:noProof/>
                <w:color w:val="000000" w:themeColor="text1"/>
                <w:sz w:val="18"/>
              </w:rPr>
              <w:t xml:space="preserve"> i tow</w:t>
            </w:r>
            <w:r w:rsidRPr="00A33B9F">
              <w:rPr>
                <w:rFonts w:ascii="Times New Roman" w:hAnsi="Times New Roman"/>
                <w:noProof/>
                <w:color w:val="000000" w:themeColor="text1"/>
                <w:sz w:val="18"/>
              </w:rPr>
              <w:t xml:space="preserve">arzyszącej infrastruktury wykorzystujących dane satelitarne </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23922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FDE3EF" w14:textId="43A5C917" w:rsidR="00BE1B25" w:rsidRPr="00A33B9F" w:rsidRDefault="00BE1B25" w:rsidP="00DD331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T2 – Wyniesienie kolejnych trzech polskich satelitów</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2EA137" w14:textId="77777777" w:rsidR="00BE1B25" w:rsidRPr="00A33B9F" w:rsidRDefault="66DCEF2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A49C9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14E3C"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964D7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4</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F56111"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A3A52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4D68D" w14:textId="567489D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 odnosi się do liczby wyniesionych satelitów (zgodnie</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ogami określonymi dla działania A10L powyżej). Ukończenie produkcji, montażu</w:t>
            </w:r>
            <w:r w:rsidR="00A33B9F" w:rsidRPr="00A33B9F">
              <w:rPr>
                <w:rFonts w:ascii="Times New Roman" w:hAnsi="Times New Roman"/>
                <w:noProof/>
                <w:color w:val="000000" w:themeColor="text1"/>
                <w:sz w:val="18"/>
              </w:rPr>
              <w:t xml:space="preserve"> i tes</w:t>
            </w:r>
            <w:r w:rsidRPr="00A33B9F">
              <w:rPr>
                <w:rFonts w:ascii="Times New Roman" w:hAnsi="Times New Roman"/>
                <w:noProof/>
                <w:color w:val="000000" w:themeColor="text1"/>
                <w:sz w:val="18"/>
              </w:rPr>
              <w:t>towania sprzętu/oprogramowania lotniczego,</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powiązanego sprzętu do obsługi naziemnej statków powietrznych, co prowadzi do wyniesienia kolejnych trzech satelitów na orbitę.</w:t>
            </w:r>
          </w:p>
        </w:tc>
      </w:tr>
    </w:tbl>
    <w:p w14:paraId="2916C19D"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7C4506" w:rsidRPr="00A33B9F" w:rsidSect="00720E54">
          <w:headerReference w:type="even" r:id="rId49"/>
          <w:headerReference w:type="default" r:id="rId50"/>
          <w:footerReference w:type="even" r:id="rId51"/>
          <w:footerReference w:type="default" r:id="rId52"/>
          <w:headerReference w:type="first" r:id="rId53"/>
          <w:footerReference w:type="first" r:id="rId54"/>
          <w:pgSz w:w="16839" w:h="11907" w:orient="landscape"/>
          <w:pgMar w:top="720" w:right="1021" w:bottom="720" w:left="1021" w:header="709" w:footer="709" w:gutter="0"/>
          <w:cols w:space="720"/>
        </w:sectPr>
      </w:pPr>
    </w:p>
    <w:p w14:paraId="67DB6013" w14:textId="77777777" w:rsidR="007C4506" w:rsidRPr="00A33B9F"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noProof/>
          <w:color w:val="000000"/>
          <w:sz w:val="24"/>
          <w:szCs w:val="24"/>
        </w:rPr>
      </w:pPr>
      <w:r w:rsidRPr="00A33B9F">
        <w:rPr>
          <w:rFonts w:ascii="Times New Roman" w:hAnsi="Times New Roman"/>
          <w:b/>
          <w:smallCaps/>
          <w:noProof/>
          <w:color w:val="000000"/>
          <w:sz w:val="24"/>
        </w:rPr>
        <w:t xml:space="preserve">B. KOMPONENT B: „ZIELONA ENERGIA I ZMNIEJSZENIE ENERGOCHŁONNOŚCI” </w:t>
      </w:r>
    </w:p>
    <w:p w14:paraId="6ED381A2" w14:textId="09B1A1AF" w:rsidR="007C4506" w:rsidRPr="00A33B9F"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Ten komponent polskiego planu odbudowy</w:t>
      </w:r>
      <w:r w:rsidR="00A33B9F" w:rsidRPr="00A33B9F">
        <w:rPr>
          <w:rFonts w:ascii="Times New Roman" w:hAnsi="Times New Roman"/>
          <w:noProof/>
          <w:color w:val="000000"/>
          <w:sz w:val="24"/>
        </w:rPr>
        <w:t xml:space="preserve"> i zwi</w:t>
      </w:r>
      <w:r w:rsidRPr="00A33B9F">
        <w:rPr>
          <w:rFonts w:ascii="Times New Roman" w:hAnsi="Times New Roman"/>
          <w:noProof/>
          <w:color w:val="000000"/>
          <w:sz w:val="24"/>
        </w:rPr>
        <w:t>ększania odporności ma odnieść się do szeregu wyzwań, przed którymi stoi obecnie polski sektor energetyczny</w:t>
      </w:r>
      <w:r w:rsidR="00A33B9F" w:rsidRPr="00A33B9F">
        <w:rPr>
          <w:rFonts w:ascii="Times New Roman" w:hAnsi="Times New Roman"/>
          <w:noProof/>
          <w:color w:val="000000"/>
          <w:sz w:val="24"/>
        </w:rPr>
        <w:t xml:space="preserve"> w odn</w:t>
      </w:r>
      <w:r w:rsidRPr="00A33B9F">
        <w:rPr>
          <w:rFonts w:ascii="Times New Roman" w:hAnsi="Times New Roman"/>
          <w:noProof/>
          <w:color w:val="000000"/>
          <w:sz w:val="24"/>
        </w:rPr>
        <w:t>iesieniu do dekarbonizacji</w:t>
      </w:r>
      <w:r w:rsidR="00A33B9F" w:rsidRPr="00A33B9F">
        <w:rPr>
          <w:rFonts w:ascii="Times New Roman" w:hAnsi="Times New Roman"/>
          <w:noProof/>
          <w:color w:val="000000"/>
          <w:sz w:val="24"/>
        </w:rPr>
        <w:t xml:space="preserve"> i zan</w:t>
      </w:r>
      <w:r w:rsidRPr="00A33B9F">
        <w:rPr>
          <w:rFonts w:ascii="Times New Roman" w:hAnsi="Times New Roman"/>
          <w:noProof/>
          <w:color w:val="000000"/>
          <w:sz w:val="24"/>
        </w:rPr>
        <w:t>ieczyszczenia powietrza. Po pierwsze, zależność Polski od węgla jest nadal znacznie wyższa niż</w:t>
      </w:r>
      <w:r w:rsidR="00A33B9F" w:rsidRPr="00A33B9F">
        <w:rPr>
          <w:rFonts w:ascii="Times New Roman" w:hAnsi="Times New Roman"/>
          <w:noProof/>
          <w:color w:val="000000"/>
          <w:sz w:val="24"/>
        </w:rPr>
        <w:t xml:space="preserve"> w inn</w:t>
      </w:r>
      <w:r w:rsidRPr="00A33B9F">
        <w:rPr>
          <w:rFonts w:ascii="Times New Roman" w:hAnsi="Times New Roman"/>
          <w:noProof/>
          <w:color w:val="000000"/>
          <w:sz w:val="24"/>
        </w:rPr>
        <w:t>ych państwach członkowskich, co sprawia, że transformacja energetyczna</w:t>
      </w:r>
      <w:r w:rsidR="00A33B9F" w:rsidRPr="00A33B9F">
        <w:rPr>
          <w:rFonts w:ascii="Times New Roman" w:hAnsi="Times New Roman"/>
          <w:noProof/>
          <w:color w:val="000000"/>
          <w:sz w:val="24"/>
        </w:rPr>
        <w:t xml:space="preserve"> w kie</w:t>
      </w:r>
      <w:r w:rsidRPr="00A33B9F">
        <w:rPr>
          <w:rFonts w:ascii="Times New Roman" w:hAnsi="Times New Roman"/>
          <w:noProof/>
          <w:color w:val="000000"/>
          <w:sz w:val="24"/>
        </w:rPr>
        <w:t>runku neutralności pod względem emisji dwutlenku węgla jest trudna. Po drugie, około 70</w:t>
      </w:r>
      <w:r w:rsidR="00A33B9F" w:rsidRPr="00A33B9F">
        <w:rPr>
          <w:rFonts w:ascii="Times New Roman" w:hAnsi="Times New Roman"/>
          <w:noProof/>
          <w:color w:val="000000"/>
          <w:sz w:val="24"/>
        </w:rPr>
        <w:t> </w:t>
      </w:r>
      <w:r w:rsidRPr="00A33B9F">
        <w:rPr>
          <w:rFonts w:ascii="Times New Roman" w:hAnsi="Times New Roman"/>
          <w:noProof/>
          <w:color w:val="000000"/>
          <w:sz w:val="24"/>
        </w:rPr>
        <w:t>% jednorodzinnych budynków mieszkalnych oraz wiele budynków wielorodzinnych</w:t>
      </w:r>
      <w:r w:rsidR="00A33B9F" w:rsidRPr="00A33B9F">
        <w:rPr>
          <w:rFonts w:ascii="Times New Roman" w:hAnsi="Times New Roman"/>
          <w:noProof/>
          <w:color w:val="000000"/>
          <w:sz w:val="24"/>
        </w:rPr>
        <w:t xml:space="preserve"> i uży</w:t>
      </w:r>
      <w:r w:rsidRPr="00A33B9F">
        <w:rPr>
          <w:rFonts w:ascii="Times New Roman" w:hAnsi="Times New Roman"/>
          <w:noProof/>
          <w:color w:val="000000"/>
          <w:sz w:val="24"/>
        </w:rPr>
        <w:t>teczności publicznej nie spełnia standardów efektywności energetycznej</w:t>
      </w:r>
      <w:r w:rsidR="00A33B9F" w:rsidRPr="00A33B9F">
        <w:rPr>
          <w:rFonts w:ascii="Times New Roman" w:hAnsi="Times New Roman"/>
          <w:noProof/>
          <w:color w:val="000000"/>
          <w:sz w:val="24"/>
        </w:rPr>
        <w:t>. W poł</w:t>
      </w:r>
      <w:r w:rsidRPr="00A33B9F">
        <w:rPr>
          <w:rFonts w:ascii="Times New Roman" w:hAnsi="Times New Roman"/>
          <w:noProof/>
          <w:color w:val="000000"/>
          <w:sz w:val="24"/>
        </w:rPr>
        <w:t>ączeniu</w:t>
      </w:r>
      <w:r w:rsidR="00A33B9F" w:rsidRPr="00A33B9F">
        <w:rPr>
          <w:rFonts w:ascii="Times New Roman" w:hAnsi="Times New Roman"/>
          <w:noProof/>
          <w:color w:val="000000"/>
          <w:sz w:val="24"/>
        </w:rPr>
        <w:t xml:space="preserve"> z wci</w:t>
      </w:r>
      <w:r w:rsidRPr="00A33B9F">
        <w:rPr>
          <w:rFonts w:ascii="Times New Roman" w:hAnsi="Times New Roman"/>
          <w:noProof/>
          <w:color w:val="000000"/>
          <w:sz w:val="24"/>
        </w:rPr>
        <w:t>ąż powszechnym wykorzystaniem węgla niskiej jakości</w:t>
      </w:r>
      <w:r w:rsidR="00A33B9F" w:rsidRPr="00A33B9F">
        <w:rPr>
          <w:rFonts w:ascii="Times New Roman" w:hAnsi="Times New Roman"/>
          <w:noProof/>
          <w:color w:val="000000"/>
          <w:sz w:val="24"/>
        </w:rPr>
        <w:t xml:space="preserve"> w ind</w:t>
      </w:r>
      <w:r w:rsidRPr="00A33B9F">
        <w:rPr>
          <w:rFonts w:ascii="Times New Roman" w:hAnsi="Times New Roman"/>
          <w:noProof/>
          <w:color w:val="000000"/>
          <w:sz w:val="24"/>
        </w:rPr>
        <w:t>ywidualnych systemach grzewczych prowadzi to do niskiej jakości powietrza. Po trzecie, poważnymi problemami są niski poziom retencji oraz niedobory wody (w tym wody pitnej) na obszarach wiejskich.</w:t>
      </w:r>
      <w:r w:rsidR="00C3621A" w:rsidRPr="00A33B9F">
        <w:rPr>
          <w:rFonts w:ascii="Times New Roman" w:hAnsi="Times New Roman"/>
          <w:noProof/>
          <w:color w:val="000000"/>
          <w:sz w:val="24"/>
        </w:rPr>
        <w:t xml:space="preserve"> </w:t>
      </w:r>
    </w:p>
    <w:p w14:paraId="7197CB5D" w14:textId="297BFC31" w:rsidR="007C4506" w:rsidRPr="00A33B9F" w:rsidRDefault="00B31839" w:rsidP="1CDF7C14">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Głównym celem komponentu jest zmiana koszyka energetycznego</w:t>
      </w:r>
      <w:r w:rsidR="00A33B9F" w:rsidRPr="00A33B9F">
        <w:rPr>
          <w:rFonts w:ascii="Times New Roman" w:hAnsi="Times New Roman"/>
          <w:noProof/>
          <w:color w:val="000000" w:themeColor="text1"/>
          <w:sz w:val="24"/>
        </w:rPr>
        <w:t xml:space="preserve"> w kie</w:t>
      </w:r>
      <w:r w:rsidRPr="00A33B9F">
        <w:rPr>
          <w:rFonts w:ascii="Times New Roman" w:hAnsi="Times New Roman"/>
          <w:noProof/>
          <w:color w:val="000000" w:themeColor="text1"/>
          <w:sz w:val="24"/>
        </w:rPr>
        <w:t>runku technologii niskoemisyjnych poprzez ułatwienie wdrażania odnawialnych źródeł energii oraz zwiększenie wykorzystania alternatywnych źródeł energii, takich jak wodór</w:t>
      </w:r>
      <w:r w:rsidR="00A33B9F" w:rsidRPr="00A33B9F">
        <w:rPr>
          <w:rFonts w:ascii="Times New Roman" w:hAnsi="Times New Roman"/>
          <w:noProof/>
          <w:color w:val="000000" w:themeColor="text1"/>
          <w:sz w:val="24"/>
        </w:rPr>
        <w:t xml:space="preserve"> i bio</w:t>
      </w:r>
      <w:r w:rsidRPr="00A33B9F">
        <w:rPr>
          <w:rFonts w:ascii="Times New Roman" w:hAnsi="Times New Roman"/>
          <w:noProof/>
          <w:color w:val="000000" w:themeColor="text1"/>
          <w:sz w:val="24"/>
        </w:rPr>
        <w:t>gaz. Komponent ma również na celu zmniejszenie zużycia energii poprzez przeprowadzenie gruntownej renowacji budynków,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termomodernizacji, oraz poprzez zmniejszenie energochłonności przemysłu</w:t>
      </w:r>
      <w:r w:rsidR="00A33B9F" w:rsidRPr="00A33B9F">
        <w:rPr>
          <w:rFonts w:ascii="Times New Roman" w:hAnsi="Times New Roman"/>
          <w:noProof/>
          <w:color w:val="000000" w:themeColor="text1"/>
          <w:sz w:val="24"/>
        </w:rPr>
        <w:t xml:space="preserve"> i usł</w:t>
      </w:r>
      <w:r w:rsidRPr="00A33B9F">
        <w:rPr>
          <w:rFonts w:ascii="Times New Roman" w:hAnsi="Times New Roman"/>
          <w:noProof/>
          <w:color w:val="000000" w:themeColor="text1"/>
          <w:sz w:val="24"/>
        </w:rPr>
        <w:t>ug,</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gospodarstw domowych. Ponadto</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komponentu nacisk zostanie położony na zmniejszenie wpływu człowieka na środowisko,</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poprzez inwestycje</w:t>
      </w:r>
      <w:r w:rsidR="00A33B9F" w:rsidRPr="00A33B9F">
        <w:rPr>
          <w:rFonts w:ascii="Times New Roman" w:hAnsi="Times New Roman"/>
          <w:noProof/>
          <w:color w:val="000000" w:themeColor="text1"/>
          <w:sz w:val="24"/>
        </w:rPr>
        <w:t xml:space="preserve"> w neu</w:t>
      </w:r>
      <w:r w:rsidRPr="00A33B9F">
        <w:rPr>
          <w:rFonts w:ascii="Times New Roman" w:hAnsi="Times New Roman"/>
          <w:noProof/>
          <w:color w:val="000000" w:themeColor="text1"/>
          <w:sz w:val="24"/>
        </w:rPr>
        <w:t>tralizację zagrożeń oraz odnowę wielkoobszarowych terenów zdegradowanych</w:t>
      </w:r>
      <w:r w:rsidR="00A33B9F" w:rsidRPr="00A33B9F">
        <w:rPr>
          <w:rFonts w:ascii="Times New Roman" w:hAnsi="Times New Roman"/>
          <w:noProof/>
          <w:color w:val="000000" w:themeColor="text1"/>
          <w:sz w:val="24"/>
        </w:rPr>
        <w:t xml:space="preserve"> i Mor</w:t>
      </w:r>
      <w:r w:rsidRPr="00A33B9F">
        <w:rPr>
          <w:rFonts w:ascii="Times New Roman" w:hAnsi="Times New Roman"/>
          <w:noProof/>
          <w:color w:val="000000" w:themeColor="text1"/>
          <w:sz w:val="24"/>
        </w:rPr>
        <w:t>za Bałtyckiego.</w:t>
      </w:r>
    </w:p>
    <w:p w14:paraId="4FBC8519" w14:textId="580881B9" w:rsidR="007C4506" w:rsidRPr="00A33B9F" w:rsidRDefault="00B31839" w:rsidP="3FB7034F">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Komponent obejmuje wsparcie na rzecz realizacji zalecenia dla poszczególnych krajów dotyczącego ukierunkowania inwestycyjnej polityki gospodarczej na innowacje, transport,</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jego zrównoważony charakter, na infrastrukturę energetyczną</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rową, opiekę zdrowotną oraz czystszą energię,</w:t>
      </w:r>
      <w:r w:rsidR="00A33B9F" w:rsidRPr="00A33B9F">
        <w:rPr>
          <w:rFonts w:ascii="Times New Roman" w:hAnsi="Times New Roman"/>
          <w:noProof/>
          <w:color w:val="000000" w:themeColor="text1"/>
          <w:sz w:val="24"/>
        </w:rPr>
        <w:t xml:space="preserve"> z uwz</w:t>
      </w:r>
      <w:r w:rsidRPr="00A33B9F">
        <w:rPr>
          <w:rFonts w:ascii="Times New Roman" w:hAnsi="Times New Roman"/>
          <w:noProof/>
          <w:color w:val="000000" w:themeColor="text1"/>
          <w:sz w:val="24"/>
        </w:rPr>
        <w:t>ględnieniem różnic regionalnych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019</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oraz ukierunkowania inwestycji na transformację zieloną</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rową,</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na infrastrukturę cyfrową, czyste</w:t>
      </w:r>
      <w:r w:rsidR="00A33B9F" w:rsidRPr="00A33B9F">
        <w:rPr>
          <w:rFonts w:ascii="Times New Roman" w:hAnsi="Times New Roman"/>
          <w:noProof/>
          <w:color w:val="000000" w:themeColor="text1"/>
          <w:sz w:val="24"/>
        </w:rPr>
        <w:t xml:space="preserve"> i wyd</w:t>
      </w:r>
      <w:r w:rsidRPr="00A33B9F">
        <w:rPr>
          <w:rFonts w:ascii="Times New Roman" w:hAnsi="Times New Roman"/>
          <w:noProof/>
          <w:color w:val="000000" w:themeColor="text1"/>
          <w:sz w:val="24"/>
        </w:rPr>
        <w:t>ajne wytwarzanie</w:t>
      </w:r>
      <w:r w:rsidR="00A33B9F" w:rsidRPr="00A33B9F">
        <w:rPr>
          <w:rFonts w:ascii="Times New Roman" w:hAnsi="Times New Roman"/>
          <w:noProof/>
          <w:color w:val="000000" w:themeColor="text1"/>
          <w:sz w:val="24"/>
        </w:rPr>
        <w:t xml:space="preserve"> i wyk</w:t>
      </w:r>
      <w:r w:rsidRPr="00A33B9F">
        <w:rPr>
          <w:rFonts w:ascii="Times New Roman" w:hAnsi="Times New Roman"/>
          <w:noProof/>
          <w:color w:val="000000" w:themeColor="text1"/>
          <w:sz w:val="24"/>
        </w:rPr>
        <w:t>orzystanie energii oraz zrównoważony transport, co będzie przyczyniać się do stopniowej dekarbonizacji gospodarki, m.in.</w:t>
      </w:r>
      <w:r w:rsidR="00A33B9F" w:rsidRPr="00A33B9F">
        <w:rPr>
          <w:rFonts w:ascii="Times New Roman" w:hAnsi="Times New Roman"/>
          <w:noProof/>
          <w:color w:val="000000" w:themeColor="text1"/>
          <w:sz w:val="24"/>
        </w:rPr>
        <w:t xml:space="preserve"> w reg</w:t>
      </w:r>
      <w:r w:rsidRPr="00A33B9F">
        <w:rPr>
          <w:rFonts w:ascii="Times New Roman" w:hAnsi="Times New Roman"/>
          <w:noProof/>
          <w:color w:val="000000" w:themeColor="text1"/>
          <w:sz w:val="24"/>
        </w:rPr>
        <w:t>ionach górniczych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020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146126AB" w14:textId="6072F46F" w:rsidR="007C4506" w:rsidRPr="00A33B9F" w:rsidRDefault="003C24AC" w:rsidP="426A45D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Oczekuje się, że żaden ze środków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komponencie nie spowoduje poważnych szkód dla celów środowiskowych</w:t>
      </w:r>
      <w:r w:rsidR="00A33B9F" w:rsidRPr="00A33B9F">
        <w:rPr>
          <w:rFonts w:ascii="Times New Roman" w:hAnsi="Times New Roman"/>
          <w:noProof/>
          <w:color w:val="000000" w:themeColor="text1"/>
          <w:sz w:val="24"/>
        </w:rPr>
        <w:t xml:space="preserve"> w roz</w:t>
      </w:r>
      <w:r w:rsidRPr="00A33B9F">
        <w:rPr>
          <w:rFonts w:ascii="Times New Roman" w:hAnsi="Times New Roman"/>
          <w:noProof/>
          <w:color w:val="000000" w:themeColor="text1"/>
          <w:sz w:val="24"/>
        </w:rPr>
        <w:t>umieniu art.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17 rozporządzenia Parlamentu Europejskiego</w:t>
      </w:r>
      <w:r w:rsidR="00A33B9F" w:rsidRPr="00A33B9F">
        <w:rPr>
          <w:rFonts w:ascii="Times New Roman" w:hAnsi="Times New Roman"/>
          <w:noProof/>
          <w:color w:val="000000" w:themeColor="text1"/>
          <w:sz w:val="24"/>
        </w:rPr>
        <w:t xml:space="preserve"> i Rad</w:t>
      </w:r>
      <w:r w:rsidRPr="00A33B9F">
        <w:rPr>
          <w:rFonts w:ascii="Times New Roman" w:hAnsi="Times New Roman"/>
          <w:noProof/>
          <w:color w:val="000000" w:themeColor="text1"/>
          <w:sz w:val="24"/>
        </w:rPr>
        <w:t>y (UE) 2020/852, biorąc pod uwagę opis środków</w:t>
      </w:r>
      <w:r w:rsidR="00A33B9F" w:rsidRPr="00A33B9F">
        <w:rPr>
          <w:rFonts w:ascii="Times New Roman" w:hAnsi="Times New Roman"/>
          <w:noProof/>
          <w:color w:val="000000" w:themeColor="text1"/>
          <w:sz w:val="24"/>
        </w:rPr>
        <w:t xml:space="preserve"> i dzi</w:t>
      </w:r>
      <w:r w:rsidRPr="00A33B9F">
        <w:rPr>
          <w:rFonts w:ascii="Times New Roman" w:hAnsi="Times New Roman"/>
          <w:noProof/>
          <w:color w:val="000000" w:themeColor="text1"/>
          <w:sz w:val="24"/>
        </w:rPr>
        <w:t>ałań ograniczających ryzyko</w:t>
      </w:r>
      <w:r w:rsidR="00A33B9F" w:rsidRPr="00A33B9F">
        <w:rPr>
          <w:rFonts w:ascii="Times New Roman" w:hAnsi="Times New Roman"/>
          <w:noProof/>
          <w:color w:val="000000" w:themeColor="text1"/>
          <w:sz w:val="24"/>
        </w:rPr>
        <w:t xml:space="preserve"> w pla</w:t>
      </w:r>
      <w:r w:rsidRPr="00A33B9F">
        <w:rPr>
          <w:rFonts w:ascii="Times New Roman" w:hAnsi="Times New Roman"/>
          <w:noProof/>
          <w:color w:val="000000" w:themeColor="text1"/>
          <w:sz w:val="24"/>
        </w:rPr>
        <w:t>nie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zgodnie</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(2021/C 58/01)</w:t>
      </w:r>
      <w:r w:rsidR="00A33B9F" w:rsidRPr="00A33B9F">
        <w:rPr>
          <w:rFonts w:ascii="Times New Roman" w:hAnsi="Times New Roman"/>
          <w:noProof/>
          <w:color w:val="000000" w:themeColor="text1"/>
          <w:sz w:val="24"/>
        </w:rPr>
        <w:t>. W prz</w:t>
      </w:r>
      <w:r w:rsidRPr="00A33B9F">
        <w:rPr>
          <w:rFonts w:ascii="Times New Roman" w:hAnsi="Times New Roman"/>
          <w:noProof/>
          <w:color w:val="000000" w:themeColor="text1"/>
          <w:sz w:val="24"/>
        </w:rPr>
        <w:t>ypadku wszystkich działań</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tego komponentu obejmujących rozwój infrastruktury wymagana jest zgodność</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episami UE</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uniknięcia szkód</w:t>
      </w:r>
      <w:r w:rsidR="00A33B9F" w:rsidRPr="00A33B9F">
        <w:rPr>
          <w:rFonts w:ascii="Times New Roman" w:hAnsi="Times New Roman"/>
          <w:noProof/>
          <w:color w:val="000000" w:themeColor="text1"/>
          <w:sz w:val="24"/>
        </w:rPr>
        <w:t xml:space="preserve"> w osi</w:t>
      </w:r>
      <w:r w:rsidRPr="00A33B9F">
        <w:rPr>
          <w:rFonts w:ascii="Times New Roman" w:hAnsi="Times New Roman"/>
          <w:noProof/>
          <w:color w:val="000000" w:themeColor="text1"/>
          <w:sz w:val="24"/>
        </w:rPr>
        <w:t>ąganiu celu</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różnorodności biologicznej. Chodzi tu</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w:t>
      </w:r>
      <w:r w:rsidR="00A33B9F" w:rsidRPr="00A33B9F">
        <w:rPr>
          <w:rFonts w:ascii="Times New Roman" w:hAnsi="Times New Roman"/>
          <w:noProof/>
          <w:color w:val="000000" w:themeColor="text1"/>
          <w:sz w:val="24"/>
        </w:rPr>
        <w:t xml:space="preserve"> o dyr</w:t>
      </w:r>
      <w:r w:rsidRPr="00A33B9F">
        <w:rPr>
          <w:rFonts w:ascii="Times New Roman" w:hAnsi="Times New Roman"/>
          <w:noProof/>
          <w:color w:val="000000" w:themeColor="text1"/>
          <w:sz w:val="24"/>
        </w:rPr>
        <w:t>ektywę</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oceny skutków wywieranych na środowisko (2011/92/UE),</w:t>
      </w:r>
      <w:r w:rsidR="00A33B9F" w:rsidRPr="00A33B9F">
        <w:rPr>
          <w:rFonts w:ascii="Times New Roman" w:hAnsi="Times New Roman"/>
          <w:noProof/>
          <w:color w:val="000000" w:themeColor="text1"/>
          <w:sz w:val="24"/>
        </w:rPr>
        <w:t xml:space="preserve"> a w prz</w:t>
      </w:r>
      <w:r w:rsidRPr="00A33B9F">
        <w:rPr>
          <w:rFonts w:ascii="Times New Roman" w:hAnsi="Times New Roman"/>
          <w:noProof/>
          <w:color w:val="000000" w:themeColor="text1"/>
          <w:sz w:val="24"/>
        </w:rPr>
        <w:t>ypadku terenów/działań zlokalizowanych na obszarach wrażliwych pod względem różnorodności biologicznej lub</w:t>
      </w:r>
      <w:r w:rsidR="00A33B9F" w:rsidRPr="00A33B9F">
        <w:rPr>
          <w:rFonts w:ascii="Times New Roman" w:hAnsi="Times New Roman"/>
          <w:noProof/>
          <w:color w:val="000000" w:themeColor="text1"/>
          <w:sz w:val="24"/>
        </w:rPr>
        <w:t xml:space="preserve"> w ich</w:t>
      </w:r>
      <w:r w:rsidRPr="00A33B9F">
        <w:rPr>
          <w:rFonts w:ascii="Times New Roman" w:hAnsi="Times New Roman"/>
          <w:noProof/>
          <w:color w:val="000000" w:themeColor="text1"/>
          <w:sz w:val="24"/>
        </w:rPr>
        <w:t xml:space="preserve"> pobliżu – art.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6 ust.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i art</w:t>
      </w:r>
      <w:r w:rsidRPr="00A33B9F">
        <w:rPr>
          <w:rFonts w:ascii="Times New Roman" w:hAnsi="Times New Roman"/>
          <w:noProof/>
          <w:color w:val="000000" w:themeColor="text1"/>
          <w:sz w:val="24"/>
        </w:rPr>
        <w: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12 dyrektywy siedliskowej (92/43/EWG) oraz art.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5 dyrektywy ptasiej (2009/147/WE). </w:t>
      </w:r>
    </w:p>
    <w:p w14:paraId="74869460" w14:textId="77777777" w:rsidR="007C4506" w:rsidRPr="00A33B9F"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noProof/>
          <w:color w:val="000000"/>
          <w:sz w:val="24"/>
          <w:szCs w:val="24"/>
        </w:rPr>
      </w:pPr>
    </w:p>
    <w:p w14:paraId="75BBD2A7" w14:textId="4F6F8283" w:rsidR="00A2142E" w:rsidRPr="00A33B9F" w:rsidRDefault="522DEB2C" w:rsidP="426A45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rPr>
      </w:pPr>
      <w:r w:rsidRPr="00A33B9F">
        <w:rPr>
          <w:rFonts w:ascii="Times New Roman" w:hAnsi="Times New Roman"/>
          <w:b/>
          <w:noProof/>
          <w:color w:val="000000" w:themeColor="text1"/>
          <w:sz w:val="24"/>
        </w:rPr>
        <w:t xml:space="preserve">B.1. </w:t>
      </w:r>
      <w:r w:rsidRPr="00A33B9F">
        <w:rPr>
          <w:noProof/>
        </w:rPr>
        <w:tab/>
      </w:r>
      <w:r w:rsidRPr="00A33B9F">
        <w:rPr>
          <w:rFonts w:ascii="Times New Roman" w:hAnsi="Times New Roman"/>
          <w:b/>
          <w:noProof/>
          <w:color w:val="000000" w:themeColor="text1"/>
          <w:sz w:val="24"/>
        </w:rPr>
        <w:t>Opis reform</w:t>
      </w:r>
      <w:r w:rsidR="00A33B9F" w:rsidRPr="00A33B9F">
        <w:rPr>
          <w:rFonts w:ascii="Times New Roman" w:hAnsi="Times New Roman"/>
          <w:b/>
          <w:noProof/>
          <w:color w:val="000000" w:themeColor="text1"/>
          <w:sz w:val="24"/>
        </w:rPr>
        <w:t xml:space="preserve"> i inw</w:t>
      </w:r>
      <w:r w:rsidRPr="00A33B9F">
        <w:rPr>
          <w:rFonts w:ascii="Times New Roman" w:hAnsi="Times New Roman"/>
          <w:b/>
          <w:noProof/>
          <w:color w:val="000000" w:themeColor="text1"/>
          <w:sz w:val="24"/>
        </w:rPr>
        <w:t>estycji, które mają być finansowane</w:t>
      </w:r>
      <w:r w:rsidR="00A33B9F" w:rsidRPr="00A33B9F">
        <w:rPr>
          <w:rFonts w:ascii="Times New Roman" w:hAnsi="Times New Roman"/>
          <w:b/>
          <w:noProof/>
          <w:color w:val="000000" w:themeColor="text1"/>
          <w:sz w:val="24"/>
        </w:rPr>
        <w:t xml:space="preserve"> z bez</w:t>
      </w:r>
      <w:r w:rsidRPr="00A33B9F">
        <w:rPr>
          <w:rFonts w:ascii="Times New Roman" w:hAnsi="Times New Roman"/>
          <w:b/>
          <w:noProof/>
          <w:color w:val="000000" w:themeColor="text1"/>
          <w:sz w:val="24"/>
        </w:rPr>
        <w:t>zwrotnego wsparcia finansowego</w:t>
      </w:r>
    </w:p>
    <w:p w14:paraId="2CED5D07" w14:textId="77777777" w:rsidR="0002330F" w:rsidRPr="00A33B9F" w:rsidRDefault="0002330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szCs w:val="24"/>
        </w:rPr>
      </w:pPr>
    </w:p>
    <w:p w14:paraId="37FBD4D0" w14:textId="0ECDA93E"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B1.1 Czyste powietrze</w:t>
      </w:r>
      <w:r w:rsidR="00A33B9F" w:rsidRPr="00A33B9F">
        <w:rPr>
          <w:rFonts w:ascii="Times New Roman" w:hAnsi="Times New Roman"/>
          <w:b/>
          <w:noProof/>
          <w:color w:val="000000"/>
          <w:sz w:val="24"/>
          <w:u w:val="single"/>
        </w:rPr>
        <w:t xml:space="preserve"> i efe</w:t>
      </w:r>
      <w:r w:rsidRPr="00A33B9F">
        <w:rPr>
          <w:rFonts w:ascii="Times New Roman" w:hAnsi="Times New Roman"/>
          <w:b/>
          <w:noProof/>
          <w:color w:val="000000"/>
          <w:sz w:val="24"/>
          <w:u w:val="single"/>
        </w:rPr>
        <w:t>ktywność energetyczna</w:t>
      </w:r>
    </w:p>
    <w:p w14:paraId="1125BE6B" w14:textId="675F70F0"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ograniczenie emisji gazów cieplarnianych</w:t>
      </w:r>
      <w:r w:rsidR="00A33B9F" w:rsidRPr="00A33B9F">
        <w:rPr>
          <w:rFonts w:ascii="Times New Roman" w:hAnsi="Times New Roman"/>
          <w:noProof/>
          <w:color w:val="000000" w:themeColor="text1"/>
          <w:sz w:val="24"/>
        </w:rPr>
        <w:t xml:space="preserve"> z wyb</w:t>
      </w:r>
      <w:r w:rsidRPr="00A33B9F">
        <w:rPr>
          <w:rFonts w:ascii="Times New Roman" w:hAnsi="Times New Roman"/>
          <w:noProof/>
          <w:color w:val="000000" w:themeColor="text1"/>
          <w:sz w:val="24"/>
        </w:rPr>
        <w:t>ranych sektorów gospodarki oraz zwiększenie ich efektywności energetycznej. Jest ona również ukierunkowana na poprawę jakości powietrza dzięki przyspieszeniu procesu zastępowania zanieczyszczających źródeł produkcji ciepła</w:t>
      </w:r>
      <w:r w:rsidR="00A33B9F" w:rsidRPr="00A33B9F">
        <w:rPr>
          <w:rFonts w:ascii="Times New Roman" w:hAnsi="Times New Roman"/>
          <w:noProof/>
          <w:color w:val="000000" w:themeColor="text1"/>
          <w:sz w:val="24"/>
        </w:rPr>
        <w:t xml:space="preserve"> i ene</w:t>
      </w:r>
      <w:r w:rsidRPr="00A33B9F">
        <w:rPr>
          <w:rFonts w:ascii="Times New Roman" w:hAnsi="Times New Roman"/>
          <w:noProof/>
          <w:color w:val="000000" w:themeColor="text1"/>
          <w:sz w:val="24"/>
        </w:rPr>
        <w:t xml:space="preserve">rgii elektrycznej. </w:t>
      </w:r>
    </w:p>
    <w:p w14:paraId="321723D8" w14:textId="6046DD9E" w:rsidR="007C4506" w:rsidRPr="00A33B9F"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color w:val="000000" w:themeColor="text1"/>
          <w:sz w:val="24"/>
        </w:rPr>
        <w:t>Po pierwsze, cele te zostaną osiągnięte za pomocą zestawu działań optymalizujących wsparcie inwestycji</w:t>
      </w:r>
      <w:r w:rsidR="00A33B9F" w:rsidRPr="00A33B9F">
        <w:rPr>
          <w:rFonts w:ascii="Times New Roman" w:hAnsi="Times New Roman"/>
          <w:noProof/>
          <w:color w:val="000000" w:themeColor="text1"/>
          <w:sz w:val="24"/>
        </w:rPr>
        <w:t xml:space="preserve"> w efe</w:t>
      </w:r>
      <w:r w:rsidRPr="00A33B9F">
        <w:rPr>
          <w:rFonts w:ascii="Times New Roman" w:hAnsi="Times New Roman"/>
          <w:noProof/>
          <w:color w:val="000000" w:themeColor="text1"/>
          <w:sz w:val="24"/>
        </w:rPr>
        <w:t>ktywność energetyczną, głównie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systemu zobowiązującego do efektywności energetycznej. Będą one obejmować ułatwienie stosowania umów</w:t>
      </w:r>
      <w:r w:rsidR="00A33B9F" w:rsidRPr="00A33B9F">
        <w:rPr>
          <w:rFonts w:ascii="Times New Roman" w:hAnsi="Times New Roman"/>
          <w:noProof/>
          <w:color w:val="000000" w:themeColor="text1"/>
          <w:sz w:val="24"/>
        </w:rPr>
        <w:t xml:space="preserve"> o pop</w:t>
      </w:r>
      <w:r w:rsidRPr="00A33B9F">
        <w:rPr>
          <w:rFonts w:ascii="Times New Roman" w:hAnsi="Times New Roman"/>
          <w:noProof/>
          <w:color w:val="000000" w:themeColor="text1"/>
          <w:sz w:val="24"/>
        </w:rPr>
        <w:t>rawę efektywności energetycznej</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publicznym, umożliwienie podmiotom objętym systemem zobowiązującym do efektywności energetycznej wypełnianie zobowiązań dotyczących oszczędności energii</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tzw. programów subsydiowania oraz umożliwienie przedsiębiorstwom usług energetycznych udziału</w:t>
      </w:r>
      <w:r w:rsidR="00A33B9F" w:rsidRPr="00A33B9F">
        <w:rPr>
          <w:rFonts w:ascii="Times New Roman" w:hAnsi="Times New Roman"/>
          <w:noProof/>
          <w:color w:val="000000" w:themeColor="text1"/>
          <w:sz w:val="24"/>
        </w:rPr>
        <w:t xml:space="preserve"> w sys</w:t>
      </w:r>
      <w:r w:rsidRPr="00A33B9F">
        <w:rPr>
          <w:rFonts w:ascii="Times New Roman" w:hAnsi="Times New Roman"/>
          <w:noProof/>
          <w:color w:val="000000" w:themeColor="text1"/>
          <w:sz w:val="24"/>
        </w:rPr>
        <w:t>temie zobowiązującym do efektywności energetycznej. Zostanie to osiągnięte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zmienionej ustawy</w:t>
      </w:r>
      <w:r w:rsidR="00A33B9F" w:rsidRPr="00A33B9F">
        <w:rPr>
          <w:rFonts w:ascii="Times New Roman" w:hAnsi="Times New Roman"/>
          <w:noProof/>
          <w:color w:val="000000" w:themeColor="text1"/>
          <w:sz w:val="24"/>
        </w:rPr>
        <w:t xml:space="preserve"> o efe</w:t>
      </w:r>
      <w:r w:rsidRPr="00A33B9F">
        <w:rPr>
          <w:rFonts w:ascii="Times New Roman" w:hAnsi="Times New Roman"/>
          <w:noProof/>
          <w:color w:val="000000" w:themeColor="text1"/>
          <w:sz w:val="24"/>
        </w:rPr>
        <w:t>ktywności energetycznej</w:t>
      </w:r>
      <w:r w:rsidR="00A33B9F" w:rsidRPr="00A33B9F">
        <w:rPr>
          <w:rFonts w:ascii="Times New Roman" w:hAnsi="Times New Roman"/>
          <w:noProof/>
          <w:color w:val="000000" w:themeColor="text1"/>
          <w:sz w:val="24"/>
        </w:rPr>
        <w:t xml:space="preserve"> w poł</w:t>
      </w:r>
      <w:r w:rsidRPr="00A33B9F">
        <w:rPr>
          <w:rFonts w:ascii="Times New Roman" w:hAnsi="Times New Roman"/>
          <w:noProof/>
          <w:color w:val="000000" w:themeColor="text1"/>
          <w:sz w:val="24"/>
        </w:rPr>
        <w:t>ączeniu ze zmienioną ustawą</w:t>
      </w:r>
      <w:r w:rsidR="00A33B9F" w:rsidRPr="00A33B9F">
        <w:rPr>
          <w:rFonts w:ascii="Times New Roman" w:hAnsi="Times New Roman"/>
          <w:noProof/>
          <w:color w:val="000000" w:themeColor="text1"/>
          <w:sz w:val="24"/>
        </w:rPr>
        <w:t xml:space="preserve"> o wsp</w:t>
      </w:r>
      <w:r w:rsidRPr="00A33B9F">
        <w:rPr>
          <w:rFonts w:ascii="Times New Roman" w:hAnsi="Times New Roman"/>
          <w:noProof/>
          <w:color w:val="000000" w:themeColor="text1"/>
          <w:sz w:val="24"/>
        </w:rPr>
        <w:t>ieraniu termomodernizacji</w:t>
      </w:r>
      <w:r w:rsidR="00A33B9F" w:rsidRPr="00A33B9F">
        <w:rPr>
          <w:rFonts w:ascii="Times New Roman" w:hAnsi="Times New Roman"/>
          <w:noProof/>
          <w:color w:val="000000" w:themeColor="text1"/>
          <w:sz w:val="24"/>
        </w:rPr>
        <w:t xml:space="preserve"> i rem</w:t>
      </w:r>
      <w:r w:rsidRPr="00A33B9F">
        <w:rPr>
          <w:rFonts w:ascii="Times New Roman" w:hAnsi="Times New Roman"/>
          <w:noProof/>
          <w:color w:val="000000" w:themeColor="text1"/>
          <w:sz w:val="24"/>
        </w:rPr>
        <w:t>ontów oraz</w:t>
      </w:r>
      <w:r w:rsidR="00A33B9F" w:rsidRPr="00A33B9F">
        <w:rPr>
          <w:rFonts w:ascii="Times New Roman" w:hAnsi="Times New Roman"/>
          <w:noProof/>
          <w:color w:val="000000" w:themeColor="text1"/>
          <w:sz w:val="24"/>
        </w:rPr>
        <w:t xml:space="preserve"> o cen</w:t>
      </w:r>
      <w:r w:rsidRPr="00A33B9F">
        <w:rPr>
          <w:rFonts w:ascii="Times New Roman" w:hAnsi="Times New Roman"/>
          <w:noProof/>
          <w:color w:val="000000" w:themeColor="text1"/>
          <w:sz w:val="24"/>
        </w:rPr>
        <w:t>tralnej ewidencji emisyjności budynków; ustawy</w:t>
      </w:r>
      <w:r w:rsidR="00A33B9F" w:rsidRPr="00A33B9F">
        <w:rPr>
          <w:rFonts w:ascii="Times New Roman" w:hAnsi="Times New Roman"/>
          <w:noProof/>
          <w:color w:val="000000" w:themeColor="text1"/>
          <w:sz w:val="24"/>
        </w:rPr>
        <w:t xml:space="preserve"> o fin</w:t>
      </w:r>
      <w:r w:rsidRPr="00A33B9F">
        <w:rPr>
          <w:rFonts w:ascii="Times New Roman" w:hAnsi="Times New Roman"/>
          <w:noProof/>
          <w:color w:val="000000" w:themeColor="text1"/>
          <w:sz w:val="24"/>
        </w:rPr>
        <w:t>ansowym wsparciu tworzenia lokali mieszkalnych na wynajem; ustawy</w:t>
      </w:r>
      <w:r w:rsidR="00A33B9F" w:rsidRPr="00A33B9F">
        <w:rPr>
          <w:rFonts w:ascii="Times New Roman" w:hAnsi="Times New Roman"/>
          <w:noProof/>
          <w:color w:val="000000" w:themeColor="text1"/>
          <w:sz w:val="24"/>
        </w:rPr>
        <w:t xml:space="preserve"> o nie</w:t>
      </w:r>
      <w:r w:rsidRPr="00A33B9F">
        <w:rPr>
          <w:rFonts w:ascii="Times New Roman" w:hAnsi="Times New Roman"/>
          <w:noProof/>
          <w:color w:val="000000" w:themeColor="text1"/>
          <w:sz w:val="24"/>
        </w:rPr>
        <w:t xml:space="preserve">których formach </w:t>
      </w:r>
      <w:r w:rsidRPr="00A33B9F">
        <w:rPr>
          <w:rFonts w:ascii="Times New Roman" w:hAnsi="Times New Roman"/>
          <w:noProof/>
          <w:sz w:val="24"/>
        </w:rPr>
        <w:t>popierania budownictwa mieszkaniowego; oraz ustawy</w:t>
      </w:r>
      <w:r w:rsidR="00A33B9F" w:rsidRPr="00A33B9F">
        <w:rPr>
          <w:rFonts w:ascii="Times New Roman" w:hAnsi="Times New Roman"/>
          <w:noProof/>
          <w:sz w:val="24"/>
        </w:rPr>
        <w:t xml:space="preserve"> o odn</w:t>
      </w:r>
      <w:r w:rsidRPr="00A33B9F">
        <w:rPr>
          <w:rFonts w:ascii="Times New Roman" w:hAnsi="Times New Roman"/>
          <w:noProof/>
          <w:sz w:val="24"/>
        </w:rPr>
        <w:t>awialnych źródłach energii. Wspomniane akty prawne wejdą</w:t>
      </w:r>
      <w:r w:rsidR="00A33B9F" w:rsidRPr="00A33B9F">
        <w:rPr>
          <w:rFonts w:ascii="Times New Roman" w:hAnsi="Times New Roman"/>
          <w:noProof/>
          <w:sz w:val="24"/>
        </w:rPr>
        <w:t xml:space="preserve"> w życ</w:t>
      </w:r>
      <w:r w:rsidRPr="00A33B9F">
        <w:rPr>
          <w:rFonts w:ascii="Times New Roman" w:hAnsi="Times New Roman"/>
          <w:noProof/>
          <w:sz w:val="24"/>
        </w:rPr>
        <w:t>ie do dnia 31 marca 2022</w:t>
      </w:r>
      <w:r w:rsidR="00A33B9F" w:rsidRPr="00A33B9F">
        <w:rPr>
          <w:rFonts w:ascii="Times New Roman" w:hAnsi="Times New Roman"/>
          <w:noProof/>
          <w:sz w:val="24"/>
        </w:rPr>
        <w:t> </w:t>
      </w:r>
      <w:r w:rsidRPr="00A33B9F">
        <w:rPr>
          <w:rFonts w:ascii="Times New Roman" w:hAnsi="Times New Roman"/>
          <w:noProof/>
          <w:sz w:val="24"/>
        </w:rPr>
        <w:t>r.</w:t>
      </w:r>
    </w:p>
    <w:p w14:paraId="54738AF4" w14:textId="0B782EF6" w:rsidR="007C4506" w:rsidRPr="00A33B9F" w:rsidRDefault="54C32D14"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Po drugie, cele reformy „Czyste powietrze</w:t>
      </w:r>
      <w:r w:rsidR="00A33B9F" w:rsidRPr="00A33B9F">
        <w:rPr>
          <w:rFonts w:ascii="Times New Roman" w:hAnsi="Times New Roman"/>
          <w:noProof/>
          <w:sz w:val="24"/>
        </w:rPr>
        <w:t xml:space="preserve"> i efe</w:t>
      </w:r>
      <w:r w:rsidRPr="00A33B9F">
        <w:rPr>
          <w:rFonts w:ascii="Times New Roman" w:hAnsi="Times New Roman"/>
          <w:noProof/>
          <w:sz w:val="24"/>
        </w:rPr>
        <w:t>ktywność energetyczna” zostaną osiągnięte dzięki opracowaniu Programu Priorytetowego „Czyste Powietrze” zgodnie</w:t>
      </w:r>
      <w:r w:rsidR="00A33B9F" w:rsidRPr="00A33B9F">
        <w:rPr>
          <w:rFonts w:ascii="Times New Roman" w:hAnsi="Times New Roman"/>
          <w:noProof/>
          <w:sz w:val="24"/>
        </w:rPr>
        <w:t xml:space="preserve"> z dłu</w:t>
      </w:r>
      <w:r w:rsidRPr="00A33B9F">
        <w:rPr>
          <w:rFonts w:ascii="Times New Roman" w:hAnsi="Times New Roman"/>
          <w:noProof/>
          <w:sz w:val="24"/>
        </w:rPr>
        <w:t>goterminową strategią renowacji na podstawie dyrektywy</w:t>
      </w:r>
      <w:r w:rsidR="00A33B9F" w:rsidRPr="00A33B9F">
        <w:rPr>
          <w:rFonts w:ascii="Times New Roman" w:hAnsi="Times New Roman"/>
          <w:noProof/>
          <w:sz w:val="24"/>
        </w:rPr>
        <w:t xml:space="preserve"> w spr</w:t>
      </w:r>
      <w:r w:rsidRPr="00A33B9F">
        <w:rPr>
          <w:rFonts w:ascii="Times New Roman" w:hAnsi="Times New Roman"/>
          <w:noProof/>
          <w:sz w:val="24"/>
        </w:rPr>
        <w:t>awie charakterystyki energetycznej budynków (2010/31/UE), który będzie głównym narzędziem działań na rzecz efektywności energetycznej budynków. Skuteczność wdrażania obecnego programu „Czyste Powietrze” zostanie zatem zwiększona poprzez usprawnienie procedur składania wniosków</w:t>
      </w:r>
      <w:r w:rsidR="00A33B9F" w:rsidRPr="00A33B9F">
        <w:rPr>
          <w:rFonts w:ascii="Times New Roman" w:hAnsi="Times New Roman"/>
          <w:noProof/>
          <w:sz w:val="24"/>
        </w:rPr>
        <w:t>. W ram</w:t>
      </w:r>
      <w:r w:rsidRPr="00A33B9F">
        <w:rPr>
          <w:rFonts w:ascii="Times New Roman" w:hAnsi="Times New Roman"/>
          <w:noProof/>
          <w:sz w:val="24"/>
        </w:rPr>
        <w:t>ach programu opracowane zostanie specjalne wsparcie ukierunkowane na gospodarstwa domowe</w:t>
      </w:r>
      <w:r w:rsidR="00A33B9F" w:rsidRPr="00A33B9F">
        <w:rPr>
          <w:rFonts w:ascii="Times New Roman" w:hAnsi="Times New Roman"/>
          <w:noProof/>
          <w:sz w:val="24"/>
        </w:rPr>
        <w:t xml:space="preserve"> o naj</w:t>
      </w:r>
      <w:r w:rsidRPr="00A33B9F">
        <w:rPr>
          <w:rFonts w:ascii="Times New Roman" w:hAnsi="Times New Roman"/>
          <w:noProof/>
          <w:sz w:val="24"/>
        </w:rPr>
        <w:t>niższych dochodach, niskich dochodach</w:t>
      </w:r>
      <w:r w:rsidR="00A33B9F" w:rsidRPr="00A33B9F">
        <w:rPr>
          <w:rFonts w:ascii="Times New Roman" w:hAnsi="Times New Roman"/>
          <w:noProof/>
          <w:sz w:val="24"/>
        </w:rPr>
        <w:t xml:space="preserve"> i gos</w:t>
      </w:r>
      <w:r w:rsidRPr="00A33B9F">
        <w:rPr>
          <w:rFonts w:ascii="Times New Roman" w:hAnsi="Times New Roman"/>
          <w:noProof/>
          <w:sz w:val="24"/>
        </w:rPr>
        <w:t>podarstwa domowe</w:t>
      </w:r>
      <w:r w:rsidR="00A33B9F" w:rsidRPr="00A33B9F">
        <w:rPr>
          <w:rFonts w:ascii="Times New Roman" w:hAnsi="Times New Roman"/>
          <w:noProof/>
          <w:sz w:val="24"/>
        </w:rPr>
        <w:t xml:space="preserve"> o wyż</w:t>
      </w:r>
      <w:r w:rsidRPr="00A33B9F">
        <w:rPr>
          <w:rFonts w:ascii="Times New Roman" w:hAnsi="Times New Roman"/>
          <w:noProof/>
          <w:sz w:val="24"/>
        </w:rPr>
        <w:t>szych dochodach,</w:t>
      </w:r>
      <w:r w:rsidR="00A33B9F" w:rsidRPr="00A33B9F">
        <w:rPr>
          <w:rFonts w:ascii="Times New Roman" w:hAnsi="Times New Roman"/>
          <w:noProof/>
          <w:sz w:val="24"/>
        </w:rPr>
        <w:t xml:space="preserve"> w prz</w:t>
      </w:r>
      <w:r w:rsidRPr="00A33B9F">
        <w:rPr>
          <w:rFonts w:ascii="Times New Roman" w:hAnsi="Times New Roman"/>
          <w:noProof/>
          <w:sz w:val="24"/>
        </w:rPr>
        <w:t>ypadku tego drugiego szczególnie</w:t>
      </w:r>
      <w:r w:rsidR="00A33B9F" w:rsidRPr="00A33B9F">
        <w:rPr>
          <w:rFonts w:ascii="Times New Roman" w:hAnsi="Times New Roman"/>
          <w:noProof/>
          <w:sz w:val="24"/>
        </w:rPr>
        <w:t xml:space="preserve"> z udz</w:t>
      </w:r>
      <w:r w:rsidRPr="00A33B9F">
        <w:rPr>
          <w:rFonts w:ascii="Times New Roman" w:hAnsi="Times New Roman"/>
          <w:noProof/>
          <w:sz w:val="24"/>
        </w:rPr>
        <w:t>iałem sektora bankowego udzielającego pożyczek połączonych</w:t>
      </w:r>
      <w:r w:rsidR="00A33B9F" w:rsidRPr="00A33B9F">
        <w:rPr>
          <w:rFonts w:ascii="Times New Roman" w:hAnsi="Times New Roman"/>
          <w:noProof/>
          <w:sz w:val="24"/>
        </w:rPr>
        <w:t xml:space="preserve"> z dot</w:t>
      </w:r>
      <w:r w:rsidRPr="00A33B9F">
        <w:rPr>
          <w:rFonts w:ascii="Times New Roman" w:hAnsi="Times New Roman"/>
          <w:noProof/>
          <w:sz w:val="24"/>
        </w:rPr>
        <w:t>acjami. Zmiany te posłużą jako podstawa do uruchomienia wsparcia</w:t>
      </w:r>
      <w:r w:rsidR="00A33B9F" w:rsidRPr="00A33B9F">
        <w:rPr>
          <w:rFonts w:ascii="Times New Roman" w:hAnsi="Times New Roman"/>
          <w:noProof/>
          <w:sz w:val="24"/>
        </w:rPr>
        <w:t xml:space="preserve"> w ram</w:t>
      </w:r>
      <w:r w:rsidRPr="00A33B9F">
        <w:rPr>
          <w:rFonts w:ascii="Times New Roman" w:hAnsi="Times New Roman"/>
          <w:noProof/>
          <w:sz w:val="24"/>
        </w:rPr>
        <w:t>ach inwestycji B1.1.2 „Wymiana źródeł ciepła</w:t>
      </w:r>
      <w:r w:rsidR="00A33B9F" w:rsidRPr="00A33B9F">
        <w:rPr>
          <w:rFonts w:ascii="Times New Roman" w:hAnsi="Times New Roman"/>
          <w:noProof/>
          <w:sz w:val="24"/>
        </w:rPr>
        <w:t xml:space="preserve"> i pop</w:t>
      </w:r>
      <w:r w:rsidRPr="00A33B9F">
        <w:rPr>
          <w:rFonts w:ascii="Times New Roman" w:hAnsi="Times New Roman"/>
          <w:noProof/>
          <w:sz w:val="24"/>
        </w:rPr>
        <w:t>rawa efektywności energetycznej</w:t>
      </w:r>
      <w:r w:rsidR="00A33B9F" w:rsidRPr="00A33B9F">
        <w:rPr>
          <w:rFonts w:ascii="Times New Roman" w:hAnsi="Times New Roman"/>
          <w:noProof/>
          <w:sz w:val="24"/>
        </w:rPr>
        <w:t xml:space="preserve"> w bud</w:t>
      </w:r>
      <w:r w:rsidRPr="00A33B9F">
        <w:rPr>
          <w:rFonts w:ascii="Times New Roman" w:hAnsi="Times New Roman"/>
          <w:noProof/>
          <w:sz w:val="24"/>
        </w:rPr>
        <w:t>ynkach mieszkalnych”, co umożliwia znaczące zwiększenie tempa remontów budynków</w:t>
      </w:r>
      <w:r w:rsidR="00A33B9F" w:rsidRPr="00A33B9F">
        <w:rPr>
          <w:rFonts w:ascii="Times New Roman" w:hAnsi="Times New Roman"/>
          <w:noProof/>
          <w:sz w:val="24"/>
        </w:rPr>
        <w:t xml:space="preserve"> i wym</w:t>
      </w:r>
      <w:r w:rsidRPr="00A33B9F">
        <w:rPr>
          <w:rFonts w:ascii="Times New Roman" w:hAnsi="Times New Roman"/>
          <w:noProof/>
          <w:sz w:val="24"/>
        </w:rPr>
        <w:t>iany grzejników</w:t>
      </w:r>
      <w:r w:rsidR="00A33B9F" w:rsidRPr="00A33B9F">
        <w:rPr>
          <w:rFonts w:ascii="Times New Roman" w:hAnsi="Times New Roman"/>
          <w:noProof/>
          <w:sz w:val="24"/>
        </w:rPr>
        <w:t xml:space="preserve"> z pom</w:t>
      </w:r>
      <w:r w:rsidRPr="00A33B9F">
        <w:rPr>
          <w:rFonts w:ascii="Times New Roman" w:hAnsi="Times New Roman"/>
          <w:noProof/>
          <w:sz w:val="24"/>
        </w:rPr>
        <w:t>ocą wsparcia</w:t>
      </w:r>
      <w:r w:rsidR="00A33B9F" w:rsidRPr="00A33B9F">
        <w:rPr>
          <w:rFonts w:ascii="Times New Roman" w:hAnsi="Times New Roman"/>
          <w:noProof/>
          <w:sz w:val="24"/>
        </w:rPr>
        <w:t xml:space="preserve"> w ram</w:t>
      </w:r>
      <w:r w:rsidRPr="00A33B9F">
        <w:rPr>
          <w:rFonts w:ascii="Times New Roman" w:hAnsi="Times New Roman"/>
          <w:noProof/>
          <w:sz w:val="24"/>
        </w:rPr>
        <w:t>ach tego programu. Zaktualizowany Program Priorytetowy „Czyste Powietrze” zostanie przyjęty do dnia 31 marca 2023</w:t>
      </w:r>
      <w:r w:rsidR="00A33B9F" w:rsidRPr="00A33B9F">
        <w:rPr>
          <w:rFonts w:ascii="Times New Roman" w:hAnsi="Times New Roman"/>
          <w:noProof/>
          <w:sz w:val="24"/>
        </w:rPr>
        <w:t> </w:t>
      </w:r>
      <w:r w:rsidRPr="00A33B9F">
        <w:rPr>
          <w:rFonts w:ascii="Times New Roman" w:hAnsi="Times New Roman"/>
          <w:noProof/>
          <w:sz w:val="24"/>
        </w:rPr>
        <w:t xml:space="preserve">r. </w:t>
      </w:r>
    </w:p>
    <w:p w14:paraId="77FBA49A" w14:textId="5DF5F99F" w:rsidR="00A2142E" w:rsidRPr="00A33B9F" w:rsidRDefault="00B31839"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Trzecim elementem stanowiącym podstawę tej reformy będzie aktualizacja Krajowego Programu Ochrony Powietrza</w:t>
      </w:r>
      <w:r w:rsidR="00A33B9F" w:rsidRPr="00A33B9F">
        <w:rPr>
          <w:rFonts w:ascii="Times New Roman" w:hAnsi="Times New Roman"/>
          <w:noProof/>
          <w:sz w:val="24"/>
        </w:rPr>
        <w:t>. W ram</w:t>
      </w:r>
      <w:r w:rsidRPr="00A33B9F">
        <w:rPr>
          <w:rFonts w:ascii="Times New Roman" w:hAnsi="Times New Roman"/>
          <w:noProof/>
          <w:sz w:val="24"/>
        </w:rPr>
        <w:t>ach programu zostanie zdefiniowany obszerny, długoterminowy zestaw wymogów</w:t>
      </w:r>
      <w:r w:rsidR="00A33B9F" w:rsidRPr="00A33B9F">
        <w:rPr>
          <w:rFonts w:ascii="Times New Roman" w:hAnsi="Times New Roman"/>
          <w:noProof/>
          <w:sz w:val="24"/>
        </w:rPr>
        <w:t xml:space="preserve"> i war</w:t>
      </w:r>
      <w:r w:rsidRPr="00A33B9F">
        <w:rPr>
          <w:rFonts w:ascii="Times New Roman" w:hAnsi="Times New Roman"/>
          <w:noProof/>
          <w:sz w:val="24"/>
        </w:rPr>
        <w:t>unków umożliwiających organom regionalnym</w:t>
      </w:r>
      <w:r w:rsidR="00A33B9F" w:rsidRPr="00A33B9F">
        <w:rPr>
          <w:rFonts w:ascii="Times New Roman" w:hAnsi="Times New Roman"/>
          <w:noProof/>
          <w:sz w:val="24"/>
        </w:rPr>
        <w:t xml:space="preserve"> i ter</w:t>
      </w:r>
      <w:r w:rsidRPr="00A33B9F">
        <w:rPr>
          <w:rFonts w:ascii="Times New Roman" w:hAnsi="Times New Roman"/>
          <w:noProof/>
          <w:sz w:val="24"/>
        </w:rPr>
        <w:t>ytorialnym zapewnienie poprawy jakości powietrza. Organy te zostaną upoważnione do wdrożenia szczególnych działań</w:t>
      </w:r>
      <w:r w:rsidR="00A33B9F" w:rsidRPr="00A33B9F">
        <w:rPr>
          <w:rFonts w:ascii="Times New Roman" w:hAnsi="Times New Roman"/>
          <w:noProof/>
          <w:sz w:val="24"/>
        </w:rPr>
        <w:t xml:space="preserve"> w cel</w:t>
      </w:r>
      <w:r w:rsidRPr="00A33B9F">
        <w:rPr>
          <w:rFonts w:ascii="Times New Roman" w:hAnsi="Times New Roman"/>
          <w:noProof/>
          <w:sz w:val="24"/>
        </w:rPr>
        <w:t>u obniżenia zanieczyszczeń powietrza emitowanych</w:t>
      </w:r>
      <w:r w:rsidR="00A33B9F" w:rsidRPr="00A33B9F">
        <w:rPr>
          <w:rFonts w:ascii="Times New Roman" w:hAnsi="Times New Roman"/>
          <w:noProof/>
          <w:sz w:val="24"/>
        </w:rPr>
        <w:t xml:space="preserve"> z ogr</w:t>
      </w:r>
      <w:r w:rsidRPr="00A33B9F">
        <w:rPr>
          <w:rFonts w:ascii="Times New Roman" w:hAnsi="Times New Roman"/>
          <w:noProof/>
          <w:sz w:val="24"/>
        </w:rPr>
        <w:t>zewania gospodarstw domowych</w:t>
      </w:r>
      <w:r w:rsidR="00A33B9F" w:rsidRPr="00A33B9F">
        <w:rPr>
          <w:rFonts w:ascii="Times New Roman" w:hAnsi="Times New Roman"/>
          <w:noProof/>
          <w:sz w:val="24"/>
        </w:rPr>
        <w:t xml:space="preserve"> i tra</w:t>
      </w:r>
      <w:r w:rsidRPr="00A33B9F">
        <w:rPr>
          <w:rFonts w:ascii="Times New Roman" w:hAnsi="Times New Roman"/>
          <w:noProof/>
          <w:sz w:val="24"/>
        </w:rPr>
        <w:t>nsportu</w:t>
      </w:r>
      <w:r w:rsidR="00A33B9F" w:rsidRPr="00A33B9F">
        <w:rPr>
          <w:rFonts w:ascii="Times New Roman" w:hAnsi="Times New Roman"/>
          <w:noProof/>
          <w:sz w:val="24"/>
        </w:rPr>
        <w:t xml:space="preserve"> w prz</w:t>
      </w:r>
      <w:r w:rsidRPr="00A33B9F">
        <w:rPr>
          <w:rFonts w:ascii="Times New Roman" w:hAnsi="Times New Roman"/>
          <w:noProof/>
          <w:sz w:val="24"/>
        </w:rPr>
        <w:t>ypadku, gdy przekroczony zostanie dany próg zanieczyszczenia powietrza. Władze lokalne</w:t>
      </w:r>
      <w:r w:rsidR="00A33B9F" w:rsidRPr="00A33B9F">
        <w:rPr>
          <w:rFonts w:ascii="Times New Roman" w:hAnsi="Times New Roman"/>
          <w:noProof/>
          <w:sz w:val="24"/>
        </w:rPr>
        <w:t xml:space="preserve"> i reg</w:t>
      </w:r>
      <w:r w:rsidRPr="00A33B9F">
        <w:rPr>
          <w:rFonts w:ascii="Times New Roman" w:hAnsi="Times New Roman"/>
          <w:noProof/>
          <w:sz w:val="24"/>
        </w:rPr>
        <w:t>ionalne otrzymają również specjalny budżet na egzekwowanie przepisów dotyczących ochrony powietrza,</w:t>
      </w:r>
      <w:r w:rsidR="00A33B9F" w:rsidRPr="00A33B9F">
        <w:rPr>
          <w:rFonts w:ascii="Times New Roman" w:hAnsi="Times New Roman"/>
          <w:noProof/>
          <w:sz w:val="24"/>
        </w:rPr>
        <w:t xml:space="preserve"> w szc</w:t>
      </w:r>
      <w:r w:rsidRPr="00A33B9F">
        <w:rPr>
          <w:rFonts w:ascii="Times New Roman" w:hAnsi="Times New Roman"/>
          <w:noProof/>
          <w:sz w:val="24"/>
        </w:rPr>
        <w:t>zególności ustalonych</w:t>
      </w:r>
      <w:r w:rsidR="00A33B9F" w:rsidRPr="00A33B9F">
        <w:rPr>
          <w:rFonts w:ascii="Times New Roman" w:hAnsi="Times New Roman"/>
          <w:noProof/>
          <w:sz w:val="24"/>
        </w:rPr>
        <w:t xml:space="preserve"> w ram</w:t>
      </w:r>
      <w:r w:rsidRPr="00A33B9F">
        <w:rPr>
          <w:rFonts w:ascii="Times New Roman" w:hAnsi="Times New Roman"/>
          <w:noProof/>
          <w:sz w:val="24"/>
        </w:rPr>
        <w:t>ach tzw. „uchwał antysmogowych”. Zaktualizowany Krajowy Program Ochrony Powietrza będzie uprawniać do zakończenia udzielania publicznego wsparcia inwestycji</w:t>
      </w:r>
      <w:r w:rsidR="00A33B9F" w:rsidRPr="00A33B9F">
        <w:rPr>
          <w:rFonts w:ascii="Times New Roman" w:hAnsi="Times New Roman"/>
          <w:noProof/>
          <w:sz w:val="24"/>
        </w:rPr>
        <w:t xml:space="preserve"> w now</w:t>
      </w:r>
      <w:r w:rsidRPr="00A33B9F">
        <w:rPr>
          <w:rFonts w:ascii="Times New Roman" w:hAnsi="Times New Roman"/>
          <w:noProof/>
          <w:sz w:val="24"/>
        </w:rPr>
        <w:t>e węglowe instalacje grzewcze do dnia 31 grudnia 2021</w:t>
      </w:r>
      <w:r w:rsidR="00A33B9F" w:rsidRPr="00A33B9F">
        <w:rPr>
          <w:rFonts w:ascii="Times New Roman" w:hAnsi="Times New Roman"/>
          <w:noProof/>
          <w:sz w:val="24"/>
        </w:rPr>
        <w:t> </w:t>
      </w:r>
      <w:r w:rsidRPr="00A33B9F">
        <w:rPr>
          <w:rFonts w:ascii="Times New Roman" w:hAnsi="Times New Roman"/>
          <w:noProof/>
          <w:sz w:val="24"/>
        </w:rPr>
        <w:t>r.</w:t>
      </w:r>
    </w:p>
    <w:p w14:paraId="6E81314A" w14:textId="5BEE7558" w:rsidR="007C4506" w:rsidRPr="00A33B9F" w:rsidRDefault="28CF86CE" w:rsidP="28D0ECD1">
      <w:pPr>
        <w:pStyle w:val="Normal0"/>
        <w:pBdr>
          <w:top w:val="nil"/>
          <w:left w:val="nil"/>
          <w:bottom w:val="nil"/>
          <w:right w:val="nil"/>
          <w:between w:val="nil"/>
        </w:pBdr>
        <w:spacing w:after="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Czwartym elementem reformy będzie zmienione rozporządzenie Ministra Klimatu</w:t>
      </w:r>
      <w:r w:rsidR="00A33B9F" w:rsidRPr="00A33B9F">
        <w:rPr>
          <w:rFonts w:ascii="Times New Roman" w:hAnsi="Times New Roman"/>
          <w:noProof/>
          <w:sz w:val="24"/>
        </w:rPr>
        <w:t xml:space="preserve"> i Śro</w:t>
      </w:r>
      <w:r w:rsidRPr="00A33B9F">
        <w:rPr>
          <w:rFonts w:ascii="Times New Roman" w:hAnsi="Times New Roman"/>
          <w:noProof/>
          <w:sz w:val="24"/>
        </w:rPr>
        <w:t>dowiska określające normy dla paliw stałych</w:t>
      </w:r>
      <w:r w:rsidR="00A33B9F" w:rsidRPr="00A33B9F">
        <w:rPr>
          <w:rFonts w:ascii="Times New Roman" w:hAnsi="Times New Roman"/>
          <w:noProof/>
          <w:sz w:val="24"/>
        </w:rPr>
        <w:t>. W zwi</w:t>
      </w:r>
      <w:r w:rsidRPr="00A33B9F">
        <w:rPr>
          <w:rFonts w:ascii="Times New Roman" w:hAnsi="Times New Roman"/>
          <w:noProof/>
          <w:sz w:val="24"/>
        </w:rPr>
        <w:t>ązku</w:t>
      </w:r>
      <w:r w:rsidR="00A33B9F" w:rsidRPr="00A33B9F">
        <w:rPr>
          <w:rFonts w:ascii="Times New Roman" w:hAnsi="Times New Roman"/>
          <w:noProof/>
          <w:sz w:val="24"/>
        </w:rPr>
        <w:t xml:space="preserve"> z wpr</w:t>
      </w:r>
      <w:r w:rsidRPr="00A33B9F">
        <w:rPr>
          <w:rFonts w:ascii="Times New Roman" w:hAnsi="Times New Roman"/>
          <w:noProof/>
          <w:sz w:val="24"/>
        </w:rPr>
        <w:t>owadzonym</w:t>
      </w:r>
      <w:r w:rsidR="00A33B9F" w:rsidRPr="00A33B9F">
        <w:rPr>
          <w:rFonts w:ascii="Times New Roman" w:hAnsi="Times New Roman"/>
          <w:noProof/>
          <w:sz w:val="24"/>
        </w:rPr>
        <w:t xml:space="preserve"> w 2</w:t>
      </w:r>
      <w:r w:rsidRPr="00A33B9F">
        <w:rPr>
          <w:rFonts w:ascii="Times New Roman" w:hAnsi="Times New Roman"/>
          <w:noProof/>
          <w:sz w:val="24"/>
        </w:rPr>
        <w:t>018</w:t>
      </w:r>
      <w:r w:rsidR="00A33B9F" w:rsidRPr="00A33B9F">
        <w:rPr>
          <w:rFonts w:ascii="Times New Roman" w:hAnsi="Times New Roman"/>
          <w:noProof/>
          <w:sz w:val="24"/>
        </w:rPr>
        <w:t> </w:t>
      </w:r>
      <w:r w:rsidRPr="00A33B9F">
        <w:rPr>
          <w:rFonts w:ascii="Times New Roman" w:hAnsi="Times New Roman"/>
          <w:noProof/>
          <w:sz w:val="24"/>
        </w:rPr>
        <w:t>r. zakazem wykorzystywania niskiej jakości węgla do ogrzewania gospodarstw domowych wspomniana zmiana będzie również polegać na określeniu minimalnych norm dla paliw stałych oraz zakazie stosowania przez producentów oznaczeń handlowych wprowadzających</w:t>
      </w:r>
      <w:r w:rsidR="00A33B9F" w:rsidRPr="00A33B9F">
        <w:rPr>
          <w:rFonts w:ascii="Times New Roman" w:hAnsi="Times New Roman"/>
          <w:noProof/>
          <w:sz w:val="24"/>
        </w:rPr>
        <w:t xml:space="preserve"> w błą</w:t>
      </w:r>
      <w:r w:rsidRPr="00A33B9F">
        <w:rPr>
          <w:rFonts w:ascii="Times New Roman" w:hAnsi="Times New Roman"/>
          <w:noProof/>
          <w:sz w:val="24"/>
        </w:rPr>
        <w:t>d. Środek ten wejdzie</w:t>
      </w:r>
      <w:r w:rsidR="00A33B9F" w:rsidRPr="00A33B9F">
        <w:rPr>
          <w:rFonts w:ascii="Times New Roman" w:hAnsi="Times New Roman"/>
          <w:noProof/>
          <w:sz w:val="24"/>
        </w:rPr>
        <w:t xml:space="preserve"> w życ</w:t>
      </w:r>
      <w:r w:rsidRPr="00A33B9F">
        <w:rPr>
          <w:rFonts w:ascii="Times New Roman" w:hAnsi="Times New Roman"/>
          <w:noProof/>
          <w:sz w:val="24"/>
        </w:rPr>
        <w:t>ie do dnia 31 grudnia 2022</w:t>
      </w:r>
      <w:r w:rsidR="00A33B9F" w:rsidRPr="00A33B9F">
        <w:rPr>
          <w:rFonts w:ascii="Times New Roman" w:hAnsi="Times New Roman"/>
          <w:noProof/>
          <w:sz w:val="24"/>
        </w:rPr>
        <w:t> </w:t>
      </w:r>
      <w:r w:rsidRPr="00A33B9F">
        <w:rPr>
          <w:rFonts w:ascii="Times New Roman" w:hAnsi="Times New Roman"/>
          <w:noProof/>
          <w:sz w:val="24"/>
        </w:rPr>
        <w:t xml:space="preserve">r. </w:t>
      </w:r>
    </w:p>
    <w:p w14:paraId="06BBA33E" w14:textId="77777777" w:rsidR="007C4506" w:rsidRPr="00A33B9F" w:rsidRDefault="007C4506"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p>
    <w:p w14:paraId="1B677B3C" w14:textId="3B0D45D9" w:rsidR="007C4506" w:rsidRPr="00A33B9F"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sz w:val="24"/>
          <w:szCs w:val="24"/>
        </w:rPr>
      </w:pPr>
      <w:r w:rsidRPr="00A33B9F">
        <w:rPr>
          <w:rFonts w:ascii="Times New Roman" w:hAnsi="Times New Roman"/>
          <w:b/>
          <w:noProof/>
          <w:sz w:val="24"/>
          <w:u w:val="single"/>
        </w:rPr>
        <w:t>B1.1.1 Inwestycje</w:t>
      </w:r>
      <w:r w:rsidR="00A33B9F" w:rsidRPr="00A33B9F">
        <w:rPr>
          <w:rFonts w:ascii="Times New Roman" w:hAnsi="Times New Roman"/>
          <w:b/>
          <w:noProof/>
          <w:sz w:val="24"/>
          <w:u w:val="single"/>
        </w:rPr>
        <w:t xml:space="preserve"> w źró</w:t>
      </w:r>
      <w:r w:rsidRPr="00A33B9F">
        <w:rPr>
          <w:rFonts w:ascii="Times New Roman" w:hAnsi="Times New Roman"/>
          <w:b/>
          <w:noProof/>
          <w:sz w:val="24"/>
          <w:u w:val="single"/>
        </w:rPr>
        <w:t>dła ciepła</w:t>
      </w:r>
      <w:r w:rsidR="00A33B9F" w:rsidRPr="00A33B9F">
        <w:rPr>
          <w:rFonts w:ascii="Times New Roman" w:hAnsi="Times New Roman"/>
          <w:b/>
          <w:noProof/>
          <w:sz w:val="24"/>
          <w:u w:val="single"/>
        </w:rPr>
        <w:t xml:space="preserve"> w sys</w:t>
      </w:r>
      <w:r w:rsidRPr="00A33B9F">
        <w:rPr>
          <w:rFonts w:ascii="Times New Roman" w:hAnsi="Times New Roman"/>
          <w:b/>
          <w:noProof/>
          <w:sz w:val="24"/>
          <w:u w:val="single"/>
        </w:rPr>
        <w:t>temach ciepłowniczych</w:t>
      </w:r>
    </w:p>
    <w:p w14:paraId="0189DED1" w14:textId="73FA2E28" w:rsidR="007C4506" w:rsidRPr="00A33B9F" w:rsidRDefault="74D6598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sz w:val="24"/>
        </w:rPr>
        <w:t>Celem tej inwestycji jest modernizacja systemu ciepłowniczego</w:t>
      </w:r>
      <w:r w:rsidR="00A33B9F" w:rsidRPr="00A33B9F">
        <w:rPr>
          <w:rFonts w:ascii="Times New Roman" w:hAnsi="Times New Roman"/>
          <w:noProof/>
          <w:sz w:val="24"/>
        </w:rPr>
        <w:t xml:space="preserve"> i ogr</w:t>
      </w:r>
      <w:r w:rsidRPr="00A33B9F">
        <w:rPr>
          <w:rFonts w:ascii="Times New Roman" w:hAnsi="Times New Roman"/>
          <w:noProof/>
          <w:sz w:val="24"/>
        </w:rPr>
        <w:t>aniczenie emisji gazów cieplarnianych. Znacząca część podmiotów ciepłowniczych</w:t>
      </w:r>
      <w:r w:rsidR="00A33B9F" w:rsidRPr="00A33B9F">
        <w:rPr>
          <w:rFonts w:ascii="Times New Roman" w:hAnsi="Times New Roman"/>
          <w:noProof/>
          <w:sz w:val="24"/>
        </w:rPr>
        <w:t xml:space="preserve"> w Pol</w:t>
      </w:r>
      <w:r w:rsidRPr="00A33B9F">
        <w:rPr>
          <w:rFonts w:ascii="Times New Roman" w:hAnsi="Times New Roman"/>
          <w:noProof/>
          <w:sz w:val="24"/>
        </w:rPr>
        <w:t>sce wymaga modernizacji poprzez wymianę źródeł,</w:t>
      </w:r>
      <w:r w:rsidR="00A33B9F" w:rsidRPr="00A33B9F">
        <w:rPr>
          <w:rFonts w:ascii="Times New Roman" w:hAnsi="Times New Roman"/>
          <w:noProof/>
          <w:sz w:val="24"/>
        </w:rPr>
        <w:t xml:space="preserve"> z uwa</w:t>
      </w:r>
      <w:r w:rsidRPr="00A33B9F">
        <w:rPr>
          <w:rFonts w:ascii="Times New Roman" w:hAnsi="Times New Roman"/>
          <w:noProof/>
          <w:sz w:val="24"/>
        </w:rPr>
        <w:t>gi na zły stan techniczny</w:t>
      </w:r>
      <w:r w:rsidR="00A33B9F" w:rsidRPr="00A33B9F">
        <w:rPr>
          <w:rFonts w:ascii="Times New Roman" w:hAnsi="Times New Roman"/>
          <w:noProof/>
          <w:sz w:val="24"/>
        </w:rPr>
        <w:t xml:space="preserve"> i nie</w:t>
      </w:r>
      <w:r w:rsidRPr="00A33B9F">
        <w:rPr>
          <w:rFonts w:ascii="Times New Roman" w:hAnsi="Times New Roman"/>
          <w:noProof/>
          <w:sz w:val="24"/>
        </w:rPr>
        <w:t>dostosowanie się do definicji efektywnego systemu ciepłowniczego. Konieczność wymiany źródeł ciepła jest również związana</w:t>
      </w:r>
      <w:r w:rsidR="00A33B9F" w:rsidRPr="00A33B9F">
        <w:rPr>
          <w:rFonts w:ascii="Times New Roman" w:hAnsi="Times New Roman"/>
          <w:noProof/>
          <w:sz w:val="24"/>
        </w:rPr>
        <w:t xml:space="preserve"> z nis</w:t>
      </w:r>
      <w:r w:rsidRPr="00A33B9F">
        <w:rPr>
          <w:rFonts w:ascii="Times New Roman" w:hAnsi="Times New Roman"/>
          <w:noProof/>
          <w:sz w:val="24"/>
        </w:rPr>
        <w:t>kim udziałem odnawialnych źródeł energii</w:t>
      </w:r>
      <w:r w:rsidR="00A33B9F" w:rsidRPr="00A33B9F">
        <w:rPr>
          <w:rFonts w:ascii="Times New Roman" w:hAnsi="Times New Roman"/>
          <w:noProof/>
          <w:sz w:val="24"/>
        </w:rPr>
        <w:t xml:space="preserve"> w sys</w:t>
      </w:r>
      <w:r w:rsidRPr="00A33B9F">
        <w:rPr>
          <w:rFonts w:ascii="Times New Roman" w:hAnsi="Times New Roman"/>
          <w:noProof/>
          <w:sz w:val="24"/>
        </w:rPr>
        <w:t>temie ciepłowniczym, który obecnie wynosi ok.</w:t>
      </w:r>
      <w:r w:rsidR="00A33B9F" w:rsidRPr="00A33B9F">
        <w:rPr>
          <w:rFonts w:ascii="Times New Roman" w:hAnsi="Times New Roman"/>
          <w:noProof/>
          <w:sz w:val="24"/>
        </w:rPr>
        <w:t> </w:t>
      </w:r>
      <w:r w:rsidRPr="00A33B9F">
        <w:rPr>
          <w:rFonts w:ascii="Times New Roman" w:hAnsi="Times New Roman"/>
          <w:noProof/>
          <w:sz w:val="24"/>
        </w:rPr>
        <w:t>9,5</w:t>
      </w:r>
      <w:r w:rsidR="00A33B9F" w:rsidRPr="00A33B9F">
        <w:rPr>
          <w:rFonts w:ascii="Times New Roman" w:hAnsi="Times New Roman"/>
          <w:noProof/>
          <w:sz w:val="24"/>
        </w:rPr>
        <w:t> </w:t>
      </w:r>
      <w:r w:rsidRPr="00A33B9F">
        <w:rPr>
          <w:rFonts w:ascii="Times New Roman" w:hAnsi="Times New Roman"/>
          <w:noProof/>
          <w:sz w:val="24"/>
        </w:rPr>
        <w:t>%. Celem jest zatem zmniejszenie energochłonności</w:t>
      </w:r>
      <w:r w:rsidR="00A33B9F" w:rsidRPr="00A33B9F">
        <w:rPr>
          <w:rFonts w:ascii="Times New Roman" w:hAnsi="Times New Roman"/>
          <w:noProof/>
          <w:sz w:val="24"/>
        </w:rPr>
        <w:t xml:space="preserve"> i emi</w:t>
      </w:r>
      <w:r w:rsidRPr="00A33B9F">
        <w:rPr>
          <w:rFonts w:ascii="Times New Roman" w:hAnsi="Times New Roman"/>
          <w:noProof/>
          <w:sz w:val="24"/>
        </w:rPr>
        <w:t>sji związanych</w:t>
      </w:r>
      <w:r w:rsidR="00A33B9F" w:rsidRPr="00A33B9F">
        <w:rPr>
          <w:rFonts w:ascii="Times New Roman" w:hAnsi="Times New Roman"/>
          <w:noProof/>
          <w:sz w:val="24"/>
        </w:rPr>
        <w:t xml:space="preserve"> z wyt</w:t>
      </w:r>
      <w:r w:rsidRPr="00A33B9F">
        <w:rPr>
          <w:rFonts w:ascii="Times New Roman" w:hAnsi="Times New Roman"/>
          <w:noProof/>
          <w:sz w:val="24"/>
        </w:rPr>
        <w:t>warzaniem ciepła</w:t>
      </w:r>
      <w:r w:rsidR="00A33B9F" w:rsidRPr="00A33B9F">
        <w:rPr>
          <w:rFonts w:ascii="Times New Roman" w:hAnsi="Times New Roman"/>
          <w:noProof/>
          <w:sz w:val="24"/>
        </w:rPr>
        <w:t>. W ram</w:t>
      </w:r>
      <w:r w:rsidRPr="00A33B9F">
        <w:rPr>
          <w:rFonts w:ascii="Times New Roman" w:hAnsi="Times New Roman"/>
          <w:noProof/>
          <w:sz w:val="24"/>
        </w:rPr>
        <w:t>ach tego działania realizowane będą wyłącznie inwestycje</w:t>
      </w:r>
      <w:r w:rsidR="00A33B9F" w:rsidRPr="00A33B9F">
        <w:rPr>
          <w:rFonts w:ascii="Times New Roman" w:hAnsi="Times New Roman"/>
          <w:noProof/>
          <w:sz w:val="24"/>
        </w:rPr>
        <w:t xml:space="preserve"> w ins</w:t>
      </w:r>
      <w:r w:rsidRPr="00A33B9F">
        <w:rPr>
          <w:rFonts w:ascii="Times New Roman" w:hAnsi="Times New Roman"/>
          <w:noProof/>
          <w:sz w:val="24"/>
        </w:rPr>
        <w:t>talacje niskoemisyjne</w:t>
      </w:r>
      <w:r w:rsidR="00A33B9F" w:rsidRPr="00A33B9F">
        <w:rPr>
          <w:rFonts w:ascii="Times New Roman" w:hAnsi="Times New Roman"/>
          <w:noProof/>
          <w:sz w:val="24"/>
        </w:rPr>
        <w:t xml:space="preserve"> i odn</w:t>
      </w:r>
      <w:r w:rsidRPr="00A33B9F">
        <w:rPr>
          <w:rFonts w:ascii="Times New Roman" w:hAnsi="Times New Roman"/>
          <w:noProof/>
          <w:sz w:val="24"/>
        </w:rPr>
        <w:t>awialne źródła energii. Wspierane będą instalacje wykorzystujące do produkcji ciepła: energię ze źródeł odnawialnych; paliwa gazowe</w:t>
      </w:r>
      <w:r w:rsidR="00A33B9F" w:rsidRPr="00A33B9F">
        <w:rPr>
          <w:rFonts w:ascii="Times New Roman" w:hAnsi="Times New Roman"/>
          <w:noProof/>
          <w:sz w:val="24"/>
        </w:rPr>
        <w:t xml:space="preserve"> w kog</w:t>
      </w:r>
      <w:r w:rsidRPr="00A33B9F">
        <w:rPr>
          <w:rFonts w:ascii="Times New Roman" w:hAnsi="Times New Roman"/>
          <w:noProof/>
          <w:sz w:val="24"/>
        </w:rPr>
        <w:t>eneracji</w:t>
      </w:r>
      <w:r w:rsidR="00A33B9F" w:rsidRPr="00A33B9F">
        <w:rPr>
          <w:rFonts w:ascii="Times New Roman" w:hAnsi="Times New Roman"/>
          <w:noProof/>
          <w:sz w:val="24"/>
        </w:rPr>
        <w:t xml:space="preserve"> z wył</w:t>
      </w:r>
      <w:r w:rsidRPr="00A33B9F">
        <w:rPr>
          <w:rFonts w:ascii="Times New Roman" w:hAnsi="Times New Roman"/>
          <w:noProof/>
          <w:sz w:val="24"/>
        </w:rPr>
        <w:t>ączeniem paliw węglowych; pompy ciepła</w:t>
      </w:r>
      <w:r w:rsidR="00A33B9F" w:rsidRPr="00A33B9F">
        <w:rPr>
          <w:rFonts w:ascii="Times New Roman" w:hAnsi="Times New Roman"/>
          <w:noProof/>
          <w:sz w:val="24"/>
        </w:rPr>
        <w:t xml:space="preserve"> i źró</w:t>
      </w:r>
      <w:r w:rsidRPr="00A33B9F">
        <w:rPr>
          <w:rFonts w:ascii="Times New Roman" w:hAnsi="Times New Roman"/>
          <w:noProof/>
          <w:sz w:val="24"/>
        </w:rPr>
        <w:t>dła geotermalne oraz inne technologie spełniające wymogi określone</w:t>
      </w:r>
      <w:r w:rsidR="00A33B9F" w:rsidRPr="00A33B9F">
        <w:rPr>
          <w:rFonts w:ascii="Times New Roman" w:hAnsi="Times New Roman"/>
          <w:noProof/>
          <w:sz w:val="24"/>
        </w:rPr>
        <w:t xml:space="preserve"> w zas</w:t>
      </w:r>
      <w:r w:rsidRPr="00A33B9F">
        <w:rPr>
          <w:rFonts w:ascii="Times New Roman" w:hAnsi="Times New Roman"/>
          <w:noProof/>
          <w:sz w:val="24"/>
        </w:rPr>
        <w:t>adzie „nie czyń poważnych szkód”, pozwalające na zastępowanie węgla</w:t>
      </w:r>
      <w:r w:rsidR="00A33B9F" w:rsidRPr="00A33B9F">
        <w:rPr>
          <w:rFonts w:ascii="Times New Roman" w:hAnsi="Times New Roman"/>
          <w:noProof/>
          <w:sz w:val="24"/>
        </w:rPr>
        <w:t xml:space="preserve"> w cie</w:t>
      </w:r>
      <w:r w:rsidRPr="00A33B9F">
        <w:rPr>
          <w:rFonts w:ascii="Times New Roman" w:hAnsi="Times New Roman"/>
          <w:noProof/>
          <w:sz w:val="24"/>
        </w:rPr>
        <w:t>płownictwie systemowym. Stosowanie paliwa pochodzącego</w:t>
      </w:r>
      <w:r w:rsidR="00A33B9F" w:rsidRPr="00A33B9F">
        <w:rPr>
          <w:rFonts w:ascii="Times New Roman" w:hAnsi="Times New Roman"/>
          <w:noProof/>
          <w:sz w:val="24"/>
        </w:rPr>
        <w:t xml:space="preserve"> z odp</w:t>
      </w:r>
      <w:r w:rsidRPr="00A33B9F">
        <w:rPr>
          <w:rFonts w:ascii="Times New Roman" w:hAnsi="Times New Roman"/>
          <w:noProof/>
          <w:sz w:val="24"/>
        </w:rPr>
        <w:t>adów nie będzie dozwolone. Nie wolno będzie przekraczać progu 250 g CO</w:t>
      </w:r>
      <w:r w:rsidRPr="00A33B9F">
        <w:rPr>
          <w:rFonts w:ascii="Times New Roman" w:hAnsi="Times New Roman"/>
          <w:noProof/>
          <w:sz w:val="24"/>
          <w:vertAlign w:val="subscript"/>
        </w:rPr>
        <w:t>2</w:t>
      </w:r>
      <w:r w:rsidRPr="00A33B9F">
        <w:rPr>
          <w:rFonts w:ascii="Times New Roman" w:hAnsi="Times New Roman"/>
          <w:noProof/>
          <w:sz w:val="24"/>
        </w:rPr>
        <w:t>/kWh wytworzonej energii</w:t>
      </w:r>
      <w:r w:rsidR="00A33B9F" w:rsidRPr="00A33B9F">
        <w:rPr>
          <w:rFonts w:ascii="Times New Roman" w:hAnsi="Times New Roman"/>
          <w:noProof/>
          <w:sz w:val="24"/>
        </w:rPr>
        <w:t xml:space="preserve"> w prz</w:t>
      </w:r>
      <w:r w:rsidRPr="00A33B9F">
        <w:rPr>
          <w:rFonts w:ascii="Times New Roman" w:hAnsi="Times New Roman"/>
          <w:noProof/>
          <w:sz w:val="24"/>
        </w:rPr>
        <w:t>ypadku każdej instalacji zasilanej gazem ziemnym.</w:t>
      </w:r>
      <w:r w:rsidRPr="00A33B9F">
        <w:rPr>
          <w:rFonts w:ascii="Times New Roman" w:hAnsi="Times New Roman"/>
          <w:noProof/>
          <w:color w:val="000000" w:themeColor="text1"/>
          <w:sz w:val="24"/>
        </w:rPr>
        <w:t xml:space="preserve"> Beneficjentami będą podmioty, które zajmują się wytwarzaniem ciepła do celów komunalnych</w:t>
      </w:r>
      <w:r w:rsidR="00A33B9F" w:rsidRPr="00A33B9F">
        <w:rPr>
          <w:rFonts w:ascii="Times New Roman" w:hAnsi="Times New Roman"/>
          <w:noProof/>
          <w:color w:val="000000" w:themeColor="text1"/>
          <w:sz w:val="24"/>
        </w:rPr>
        <w:t xml:space="preserve"> i gos</w:t>
      </w:r>
      <w:r w:rsidRPr="00A33B9F">
        <w:rPr>
          <w:rFonts w:ascii="Times New Roman" w:hAnsi="Times New Roman"/>
          <w:noProof/>
          <w:color w:val="000000" w:themeColor="text1"/>
          <w:sz w:val="24"/>
        </w:rPr>
        <w:t>podarstw domowych. Projekty wybierane będą</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konkursu otwartego</w:t>
      </w:r>
      <w:r w:rsidR="00A33B9F" w:rsidRPr="00A33B9F">
        <w:rPr>
          <w:rFonts w:ascii="Times New Roman" w:hAnsi="Times New Roman"/>
          <w:noProof/>
          <w:color w:val="000000" w:themeColor="text1"/>
          <w:sz w:val="24"/>
        </w:rPr>
        <w:t xml:space="preserve"> z uwz</w:t>
      </w:r>
      <w:r w:rsidRPr="00A33B9F">
        <w:rPr>
          <w:rFonts w:ascii="Times New Roman" w:hAnsi="Times New Roman"/>
          <w:noProof/>
          <w:color w:val="000000" w:themeColor="text1"/>
          <w:sz w:val="24"/>
        </w:rPr>
        <w:t>ględnieniem następujących kryteriów: (i) gotowość</w:t>
      </w:r>
      <w:r w:rsidR="00A33B9F" w:rsidRPr="00A33B9F">
        <w:rPr>
          <w:rFonts w:ascii="Times New Roman" w:hAnsi="Times New Roman"/>
          <w:noProof/>
          <w:color w:val="000000" w:themeColor="text1"/>
          <w:sz w:val="24"/>
        </w:rPr>
        <w:t xml:space="preserve"> i sto</w:t>
      </w:r>
      <w:r w:rsidRPr="00A33B9F">
        <w:rPr>
          <w:rFonts w:ascii="Times New Roman" w:hAnsi="Times New Roman"/>
          <w:noProof/>
          <w:color w:val="000000" w:themeColor="text1"/>
          <w:sz w:val="24"/>
        </w:rPr>
        <w:t>pień przygotowania projektu do realizacji; (ii) stopień ograniczenia emisji CO</w:t>
      </w:r>
      <w:r w:rsidRPr="00A33B9F">
        <w:rPr>
          <w:rFonts w:ascii="Times New Roman" w:hAnsi="Times New Roman"/>
          <w:noProof/>
          <w:color w:val="000000" w:themeColor="text1"/>
          <w:sz w:val="24"/>
          <w:vertAlign w:val="subscript"/>
        </w:rPr>
        <w:t>2</w:t>
      </w:r>
      <w:r w:rsidRPr="00A33B9F">
        <w:rPr>
          <w:rFonts w:ascii="Times New Roman" w:hAnsi="Times New Roman"/>
          <w:noProof/>
          <w:color w:val="000000" w:themeColor="text1"/>
          <w:sz w:val="24"/>
        </w:rPr>
        <w:t xml:space="preserve"> lub pyłów PM</w:t>
      </w:r>
      <w:r w:rsidRPr="00A33B9F">
        <w:rPr>
          <w:rFonts w:ascii="Times New Roman" w:hAnsi="Times New Roman"/>
          <w:noProof/>
          <w:color w:val="000000" w:themeColor="text1"/>
          <w:sz w:val="24"/>
          <w:vertAlign w:val="subscript"/>
        </w:rPr>
        <w:t>2,5</w:t>
      </w:r>
      <w:r w:rsidRPr="00A33B9F">
        <w:rPr>
          <w:rFonts w:ascii="Times New Roman" w:hAnsi="Times New Roman"/>
          <w:noProof/>
          <w:color w:val="000000" w:themeColor="text1"/>
          <w:sz w:val="24"/>
        </w:rPr>
        <w:t xml:space="preserve"> i PM</w:t>
      </w:r>
      <w:r w:rsidRPr="00A33B9F">
        <w:rPr>
          <w:rFonts w:ascii="Times New Roman" w:hAnsi="Times New Roman"/>
          <w:noProof/>
          <w:color w:val="000000" w:themeColor="text1"/>
          <w:sz w:val="24"/>
          <w:vertAlign w:val="subscript"/>
        </w:rPr>
        <w:t>10</w:t>
      </w:r>
      <w:r w:rsidRPr="00A33B9F">
        <w:rPr>
          <w:rFonts w:ascii="Times New Roman" w:hAnsi="Times New Roman"/>
          <w:noProof/>
          <w:color w:val="000000" w:themeColor="text1"/>
          <w:sz w:val="24"/>
        </w:rPr>
        <w:t>; (iii) wykorzystanie odnawialnych źródeł energii; (iv) zlokalizowanie na obszarach</w:t>
      </w:r>
      <w:r w:rsidR="00A33B9F" w:rsidRPr="00A33B9F">
        <w:rPr>
          <w:rFonts w:ascii="Times New Roman" w:hAnsi="Times New Roman"/>
          <w:noProof/>
          <w:color w:val="000000" w:themeColor="text1"/>
          <w:sz w:val="24"/>
        </w:rPr>
        <w:t xml:space="preserve"> o naj</w:t>
      </w:r>
      <w:r w:rsidRPr="00A33B9F">
        <w:rPr>
          <w:rFonts w:ascii="Times New Roman" w:hAnsi="Times New Roman"/>
          <w:noProof/>
          <w:color w:val="000000" w:themeColor="text1"/>
          <w:sz w:val="24"/>
        </w:rPr>
        <w:t>wyższych rocznych emisjach PM</w:t>
      </w:r>
      <w:r w:rsidRPr="00A33B9F">
        <w:rPr>
          <w:rFonts w:ascii="Times New Roman" w:hAnsi="Times New Roman"/>
          <w:noProof/>
          <w:color w:val="000000" w:themeColor="text1"/>
          <w:sz w:val="24"/>
          <w:vertAlign w:val="subscript"/>
        </w:rPr>
        <w:t>2,5</w:t>
      </w:r>
      <w:r w:rsidRPr="00A33B9F">
        <w:rPr>
          <w:rFonts w:ascii="Times New Roman" w:hAnsi="Times New Roman"/>
          <w:noProof/>
          <w:color w:val="000000" w:themeColor="text1"/>
          <w:sz w:val="24"/>
        </w:rPr>
        <w:t xml:space="preserve"> i PM</w:t>
      </w:r>
      <w:r w:rsidRPr="00A33B9F">
        <w:rPr>
          <w:rFonts w:ascii="Times New Roman" w:hAnsi="Times New Roman"/>
          <w:noProof/>
          <w:color w:val="000000" w:themeColor="text1"/>
          <w:sz w:val="24"/>
          <w:vertAlign w:val="subscript"/>
        </w:rPr>
        <w:t>10</w:t>
      </w:r>
      <w:r w:rsidRPr="00A33B9F">
        <w:rPr>
          <w:rFonts w:ascii="Times New Roman" w:hAnsi="Times New Roman"/>
          <w:noProof/>
          <w:color w:val="000000" w:themeColor="text1"/>
          <w:sz w:val="24"/>
        </w:rPr>
        <w:t>.</w:t>
      </w:r>
    </w:p>
    <w:p w14:paraId="20F6D375" w14:textId="60109F3A" w:rsidR="007C4506" w:rsidRPr="00A33B9F" w:rsidRDefault="00B31839" w:rsidP="426A45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464FCBC1"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0F4FDF66" w14:textId="5288AABF"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themeColor="text1"/>
          <w:sz w:val="24"/>
          <w:u w:val="single"/>
        </w:rPr>
        <w:t>B1.1.2 Wymiana źródeł ciepła</w:t>
      </w:r>
      <w:r w:rsidR="00A33B9F" w:rsidRPr="00A33B9F">
        <w:rPr>
          <w:rFonts w:ascii="Times New Roman" w:hAnsi="Times New Roman"/>
          <w:b/>
          <w:noProof/>
          <w:color w:val="000000" w:themeColor="text1"/>
          <w:sz w:val="24"/>
          <w:u w:val="single"/>
        </w:rPr>
        <w:t xml:space="preserve"> i pop</w:t>
      </w:r>
      <w:r w:rsidRPr="00A33B9F">
        <w:rPr>
          <w:rFonts w:ascii="Times New Roman" w:hAnsi="Times New Roman"/>
          <w:b/>
          <w:noProof/>
          <w:color w:val="000000" w:themeColor="text1"/>
          <w:sz w:val="24"/>
          <w:u w:val="single"/>
        </w:rPr>
        <w:t>rawa efektywności energetycznej</w:t>
      </w:r>
      <w:r w:rsidR="00A33B9F" w:rsidRPr="00A33B9F">
        <w:rPr>
          <w:rFonts w:ascii="Times New Roman" w:hAnsi="Times New Roman"/>
          <w:b/>
          <w:noProof/>
          <w:color w:val="000000" w:themeColor="text1"/>
          <w:sz w:val="24"/>
          <w:u w:val="single"/>
        </w:rPr>
        <w:t xml:space="preserve"> w bud</w:t>
      </w:r>
      <w:r w:rsidRPr="00A33B9F">
        <w:rPr>
          <w:rFonts w:ascii="Times New Roman" w:hAnsi="Times New Roman"/>
          <w:b/>
          <w:noProof/>
          <w:color w:val="000000" w:themeColor="text1"/>
          <w:sz w:val="24"/>
          <w:u w:val="single"/>
        </w:rPr>
        <w:t>ynkach mieszkalnych</w:t>
      </w:r>
    </w:p>
    <w:p w14:paraId="5A7CE041" w14:textId="01F07F4D" w:rsidR="00B976D4" w:rsidRPr="00A33B9F" w:rsidRDefault="4314195D" w:rsidP="69196C35">
      <w:pPr>
        <w:pStyle w:val="Normal0"/>
        <w:spacing w:before="120" w:after="120" w:line="240" w:lineRule="auto"/>
        <w:jc w:val="both"/>
        <w:rPr>
          <w:rFonts w:ascii="Times New Roman" w:hAnsi="Times New Roman"/>
          <w:noProof/>
          <w:sz w:val="24"/>
          <w:szCs w:val="24"/>
        </w:rPr>
      </w:pPr>
      <w:r w:rsidRPr="00A33B9F">
        <w:rPr>
          <w:rFonts w:ascii="Times New Roman" w:hAnsi="Times New Roman"/>
          <w:noProof/>
          <w:color w:val="000000" w:themeColor="text1"/>
          <w:sz w:val="24"/>
        </w:rPr>
        <w:t>Celem tej inwestycji będzie poprawa jakości powietrza,</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zmniejszenie emisji cząstek stałych poprzez wymianę wysokoemisyjnych źródeł ciepła</w:t>
      </w:r>
      <w:r w:rsidR="00A33B9F" w:rsidRPr="00A33B9F">
        <w:rPr>
          <w:rFonts w:ascii="Times New Roman" w:hAnsi="Times New Roman"/>
          <w:noProof/>
          <w:color w:val="000000" w:themeColor="text1"/>
          <w:sz w:val="24"/>
        </w:rPr>
        <w:t xml:space="preserve"> i pop</w:t>
      </w:r>
      <w:r w:rsidRPr="00A33B9F">
        <w:rPr>
          <w:rFonts w:ascii="Times New Roman" w:hAnsi="Times New Roman"/>
          <w:noProof/>
          <w:color w:val="000000" w:themeColor="text1"/>
          <w:sz w:val="24"/>
        </w:rPr>
        <w:t>rawę efektywności energetycznej budynków mieszkalnych jedno-</w:t>
      </w:r>
      <w:r w:rsidR="00A33B9F" w:rsidRPr="00A33B9F">
        <w:rPr>
          <w:rFonts w:ascii="Times New Roman" w:hAnsi="Times New Roman"/>
          <w:noProof/>
          <w:color w:val="000000" w:themeColor="text1"/>
          <w:sz w:val="24"/>
        </w:rPr>
        <w:t xml:space="preserve"> i wie</w:t>
      </w:r>
      <w:r w:rsidRPr="00A33B9F">
        <w:rPr>
          <w:rFonts w:ascii="Times New Roman" w:hAnsi="Times New Roman"/>
          <w:noProof/>
          <w:color w:val="000000" w:themeColor="text1"/>
          <w:sz w:val="24"/>
        </w:rPr>
        <w:t xml:space="preserve">lorodzinnych. Inwestycja będzie prowadzona za pośrednictwem Programu Priorytetowego „Czyste Powietrze”, </w:t>
      </w:r>
      <w:r w:rsidRPr="00A33B9F">
        <w:rPr>
          <w:rFonts w:ascii="Times New Roman" w:hAnsi="Times New Roman"/>
          <w:noProof/>
          <w:sz w:val="24"/>
        </w:rPr>
        <w:t>którego modernizacja zgodnie</w:t>
      </w:r>
      <w:r w:rsidR="00A33B9F" w:rsidRPr="00A33B9F">
        <w:rPr>
          <w:rFonts w:ascii="Times New Roman" w:hAnsi="Times New Roman"/>
          <w:noProof/>
          <w:sz w:val="24"/>
        </w:rPr>
        <w:t xml:space="preserve"> z dłu</w:t>
      </w:r>
      <w:r w:rsidRPr="00A33B9F">
        <w:rPr>
          <w:rFonts w:ascii="Times New Roman" w:hAnsi="Times New Roman"/>
          <w:noProof/>
          <w:sz w:val="24"/>
        </w:rPr>
        <w:t>goterminową strategią renowacji na podstawie dyrektywy</w:t>
      </w:r>
      <w:r w:rsidR="00A33B9F" w:rsidRPr="00A33B9F">
        <w:rPr>
          <w:rFonts w:ascii="Times New Roman" w:hAnsi="Times New Roman"/>
          <w:noProof/>
          <w:sz w:val="24"/>
        </w:rPr>
        <w:t xml:space="preserve"> w spr</w:t>
      </w:r>
      <w:r w:rsidRPr="00A33B9F">
        <w:rPr>
          <w:rFonts w:ascii="Times New Roman" w:hAnsi="Times New Roman"/>
          <w:noProof/>
          <w:sz w:val="24"/>
        </w:rPr>
        <w:t>awie charakterystyki energetycznej budynków jest, jak opisano powyżej, jednym</w:t>
      </w:r>
      <w:r w:rsidR="00A33B9F" w:rsidRPr="00A33B9F">
        <w:rPr>
          <w:rFonts w:ascii="Times New Roman" w:hAnsi="Times New Roman"/>
          <w:noProof/>
          <w:sz w:val="24"/>
        </w:rPr>
        <w:t xml:space="preserve"> z klu</w:t>
      </w:r>
      <w:r w:rsidRPr="00A33B9F">
        <w:rPr>
          <w:rFonts w:ascii="Times New Roman" w:hAnsi="Times New Roman"/>
          <w:noProof/>
          <w:sz w:val="24"/>
        </w:rPr>
        <w:t>czowych działań</w:t>
      </w:r>
      <w:r w:rsidR="00A33B9F" w:rsidRPr="00A33B9F">
        <w:rPr>
          <w:rFonts w:ascii="Times New Roman" w:hAnsi="Times New Roman"/>
          <w:noProof/>
          <w:sz w:val="24"/>
        </w:rPr>
        <w:t xml:space="preserve"> w ram</w:t>
      </w:r>
      <w:r w:rsidRPr="00A33B9F">
        <w:rPr>
          <w:rFonts w:ascii="Times New Roman" w:hAnsi="Times New Roman"/>
          <w:noProof/>
          <w:sz w:val="24"/>
        </w:rPr>
        <w:t>ach reformy B1.1 (oraz Funduszu Termomodernizacji</w:t>
      </w:r>
      <w:r w:rsidR="00A33B9F" w:rsidRPr="00A33B9F">
        <w:rPr>
          <w:rFonts w:ascii="Times New Roman" w:hAnsi="Times New Roman"/>
          <w:noProof/>
          <w:sz w:val="24"/>
        </w:rPr>
        <w:t xml:space="preserve"> i Rem</w:t>
      </w:r>
      <w:r w:rsidRPr="00A33B9F">
        <w:rPr>
          <w:rFonts w:ascii="Times New Roman" w:hAnsi="Times New Roman"/>
          <w:noProof/>
          <w:sz w:val="24"/>
        </w:rPr>
        <w:t>ontów</w:t>
      </w:r>
      <w:r w:rsidR="00A33B9F" w:rsidRPr="00A33B9F">
        <w:rPr>
          <w:rFonts w:ascii="Times New Roman" w:hAnsi="Times New Roman"/>
          <w:noProof/>
          <w:sz w:val="24"/>
        </w:rPr>
        <w:t xml:space="preserve"> w odn</w:t>
      </w:r>
      <w:r w:rsidRPr="00A33B9F">
        <w:rPr>
          <w:rFonts w:ascii="Times New Roman" w:hAnsi="Times New Roman"/>
          <w:noProof/>
          <w:sz w:val="24"/>
        </w:rPr>
        <w:t>iesieniu do budownictwa wielorodzinnego). Program będzie realizowany przy wykorzystaniu dotychczasowych doświadczeń Programu Priorytetowego „Czyste Powietrze”. Inwestycje będą obejmowały (i) wymianę nieefektywnych źródeł ogrzewania pomieszczeń</w:t>
      </w:r>
      <w:r w:rsidR="00A33B9F" w:rsidRPr="00A33B9F">
        <w:rPr>
          <w:rFonts w:ascii="Times New Roman" w:hAnsi="Times New Roman"/>
          <w:noProof/>
          <w:sz w:val="24"/>
        </w:rPr>
        <w:t xml:space="preserve"> i wod</w:t>
      </w:r>
      <w:r w:rsidRPr="00A33B9F">
        <w:rPr>
          <w:rFonts w:ascii="Times New Roman" w:hAnsi="Times New Roman"/>
          <w:noProof/>
          <w:sz w:val="24"/>
        </w:rPr>
        <w:t xml:space="preserve">y lub (ii) termomodernizację budynków mieszkalnych lub (iii) instalacje energii ze źródeł odnawialnych (w tym przede wszystkim panele fotowoltaiczne, kolektory słoneczne). Poziom wsparcia zostanie dostosowany do siły nabywczej odbiorców końcowych. </w:t>
      </w:r>
    </w:p>
    <w:p w14:paraId="01552555" w14:textId="44B975BD" w:rsidR="001011F2" w:rsidRPr="00A33B9F" w:rsidRDefault="4314195D" w:rsidP="22896D13">
      <w:pPr>
        <w:pStyle w:val="Normal0"/>
        <w:pBdr>
          <w:top w:val="nil"/>
          <w:left w:val="nil"/>
          <w:bottom w:val="nil"/>
          <w:right w:val="nil"/>
          <w:between w:val="nil"/>
        </w:pBdr>
        <w:spacing w:before="120" w:after="120" w:line="240" w:lineRule="auto"/>
        <w:jc w:val="both"/>
        <w:rPr>
          <w:rFonts w:ascii="Times New Roman" w:hAnsi="Times New Roman"/>
          <w:noProof/>
          <w:sz w:val="24"/>
          <w:szCs w:val="24"/>
        </w:rPr>
      </w:pPr>
      <w:r w:rsidRPr="00A33B9F">
        <w:rPr>
          <w:rFonts w:ascii="Times New Roman" w:hAnsi="Times New Roman"/>
          <w:noProof/>
          <w:sz w:val="24"/>
        </w:rPr>
        <w:t>Wsparcie zostanie udzielone zgodnie</w:t>
      </w:r>
      <w:r w:rsidR="00A33B9F" w:rsidRPr="00A33B9F">
        <w:rPr>
          <w:rFonts w:ascii="Times New Roman" w:hAnsi="Times New Roman"/>
          <w:noProof/>
          <w:sz w:val="24"/>
        </w:rPr>
        <w:t xml:space="preserve"> z zas</w:t>
      </w:r>
      <w:r w:rsidRPr="00A33B9F">
        <w:rPr>
          <w:rFonts w:ascii="Times New Roman" w:hAnsi="Times New Roman"/>
          <w:noProof/>
          <w:sz w:val="24"/>
        </w:rPr>
        <w:t>adą „nie czyń poważnych szkód”. Działania</w:t>
      </w:r>
      <w:r w:rsidR="00A33B9F" w:rsidRPr="00A33B9F">
        <w:rPr>
          <w:rFonts w:ascii="Times New Roman" w:hAnsi="Times New Roman"/>
          <w:noProof/>
          <w:sz w:val="24"/>
        </w:rPr>
        <w:t xml:space="preserve"> w ram</w:t>
      </w:r>
      <w:r w:rsidRPr="00A33B9F">
        <w:rPr>
          <w:rFonts w:ascii="Times New Roman" w:hAnsi="Times New Roman"/>
          <w:noProof/>
          <w:sz w:val="24"/>
        </w:rPr>
        <w:t>ach tych inwestycji doprowadzą średnio do co najmniej 30</w:t>
      </w:r>
      <w:r w:rsidR="00A33B9F" w:rsidRPr="00A33B9F">
        <w:rPr>
          <w:rFonts w:ascii="Times New Roman" w:hAnsi="Times New Roman"/>
          <w:noProof/>
          <w:sz w:val="24"/>
        </w:rPr>
        <w:t> </w:t>
      </w:r>
      <w:r w:rsidRPr="00A33B9F">
        <w:rPr>
          <w:rFonts w:ascii="Times New Roman" w:hAnsi="Times New Roman"/>
          <w:noProof/>
          <w:sz w:val="24"/>
        </w:rPr>
        <w:t>% oszczędności energii pierwotnej,</w:t>
      </w:r>
      <w:r w:rsidR="00A33B9F" w:rsidRPr="00A33B9F">
        <w:rPr>
          <w:rFonts w:ascii="Times New Roman" w:hAnsi="Times New Roman"/>
          <w:noProof/>
          <w:sz w:val="24"/>
        </w:rPr>
        <w:t xml:space="preserve"> a tak</w:t>
      </w:r>
      <w:r w:rsidRPr="00A33B9F">
        <w:rPr>
          <w:rFonts w:ascii="Times New Roman" w:hAnsi="Times New Roman"/>
          <w:noProof/>
          <w:sz w:val="24"/>
        </w:rPr>
        <w:t>że do znacznego zmniejszenia emisji gazów cieplarnianych. Powinny one również przynieść znaczne korzyści dla środowiska</w:t>
      </w:r>
      <w:r w:rsidR="00A33B9F" w:rsidRPr="00A33B9F">
        <w:rPr>
          <w:rFonts w:ascii="Times New Roman" w:hAnsi="Times New Roman"/>
          <w:noProof/>
          <w:sz w:val="24"/>
        </w:rPr>
        <w:t xml:space="preserve"> i zdr</w:t>
      </w:r>
      <w:r w:rsidRPr="00A33B9F">
        <w:rPr>
          <w:rFonts w:ascii="Times New Roman" w:hAnsi="Times New Roman"/>
          <w:noProof/>
          <w:sz w:val="24"/>
        </w:rPr>
        <w:t>owia publicznego, głównie ze względu na ograniczenie zanieczyszczeń,</w:t>
      </w:r>
      <w:r w:rsidR="00A33B9F" w:rsidRPr="00A33B9F">
        <w:rPr>
          <w:rFonts w:ascii="Times New Roman" w:hAnsi="Times New Roman"/>
          <w:noProof/>
          <w:sz w:val="24"/>
        </w:rPr>
        <w:t xml:space="preserve"> a w szc</w:t>
      </w:r>
      <w:r w:rsidRPr="00A33B9F">
        <w:rPr>
          <w:rFonts w:ascii="Times New Roman" w:hAnsi="Times New Roman"/>
          <w:noProof/>
          <w:sz w:val="24"/>
        </w:rPr>
        <w:t>zególności na obszarach, na których unijne normy jakości powietrza określone</w:t>
      </w:r>
      <w:r w:rsidR="00A33B9F" w:rsidRPr="00A33B9F">
        <w:rPr>
          <w:rFonts w:ascii="Times New Roman" w:hAnsi="Times New Roman"/>
          <w:noProof/>
          <w:sz w:val="24"/>
        </w:rPr>
        <w:t xml:space="preserve"> w dyr</w:t>
      </w:r>
      <w:r w:rsidRPr="00A33B9F">
        <w:rPr>
          <w:rFonts w:ascii="Times New Roman" w:hAnsi="Times New Roman"/>
          <w:noProof/>
          <w:sz w:val="24"/>
        </w:rPr>
        <w:t>ektywie 2008/50/UE są przekroczone lub mogą zostać przekroczone. Jeżeli chodzi</w:t>
      </w:r>
      <w:r w:rsidR="00A33B9F" w:rsidRPr="00A33B9F">
        <w:rPr>
          <w:rFonts w:ascii="Times New Roman" w:hAnsi="Times New Roman"/>
          <w:noProof/>
          <w:sz w:val="24"/>
        </w:rPr>
        <w:t xml:space="preserve"> o wsp</w:t>
      </w:r>
      <w:r w:rsidRPr="00A33B9F">
        <w:rPr>
          <w:rFonts w:ascii="Times New Roman" w:hAnsi="Times New Roman"/>
          <w:noProof/>
          <w:sz w:val="24"/>
        </w:rPr>
        <w:t>arcie na rzecz kotłów gazowych, kotły te będą instalowane zgodnie</w:t>
      </w:r>
      <w:r w:rsidR="00A33B9F" w:rsidRPr="00A33B9F">
        <w:rPr>
          <w:rFonts w:ascii="Times New Roman" w:hAnsi="Times New Roman"/>
          <w:noProof/>
          <w:sz w:val="24"/>
        </w:rPr>
        <w:t xml:space="preserve"> z wyt</w:t>
      </w:r>
      <w:r w:rsidRPr="00A33B9F">
        <w:rPr>
          <w:rFonts w:ascii="Times New Roman" w:hAnsi="Times New Roman"/>
          <w:noProof/>
          <w:sz w:val="24"/>
        </w:rPr>
        <w:t>ycznymi technicznymi Komisji dotyczącymi stosowania zasady „nie czyń poważnych szkód” (2021/C 58/021), co doprowadzi do znacznego zmniejszenia emisji gazów cieplarnianych oraz do znacznej poprawy stanu środowiska (głównie ze względu na ograniczenie zanieczyszczeń)</w:t>
      </w:r>
      <w:r w:rsidR="00A33B9F" w:rsidRPr="00A33B9F">
        <w:rPr>
          <w:rFonts w:ascii="Times New Roman" w:hAnsi="Times New Roman"/>
          <w:noProof/>
          <w:sz w:val="24"/>
        </w:rPr>
        <w:t xml:space="preserve"> i zdr</w:t>
      </w:r>
      <w:r w:rsidRPr="00A33B9F">
        <w:rPr>
          <w:rFonts w:ascii="Times New Roman" w:hAnsi="Times New Roman"/>
          <w:noProof/>
          <w:sz w:val="24"/>
        </w:rPr>
        <w:t>owia publicznego,</w:t>
      </w:r>
      <w:r w:rsidR="00A33B9F" w:rsidRPr="00A33B9F">
        <w:rPr>
          <w:rFonts w:ascii="Times New Roman" w:hAnsi="Times New Roman"/>
          <w:noProof/>
          <w:sz w:val="24"/>
        </w:rPr>
        <w:t xml:space="preserve"> w szc</w:t>
      </w:r>
      <w:r w:rsidRPr="00A33B9F">
        <w:rPr>
          <w:rFonts w:ascii="Times New Roman" w:hAnsi="Times New Roman"/>
          <w:noProof/>
          <w:sz w:val="24"/>
        </w:rPr>
        <w:t>zególności na obszarach, na których doszło do przekroczenia unijnych norm jakości powietrza wyznaczonych</w:t>
      </w:r>
      <w:r w:rsidR="00A33B9F" w:rsidRPr="00A33B9F">
        <w:rPr>
          <w:rFonts w:ascii="Times New Roman" w:hAnsi="Times New Roman"/>
          <w:noProof/>
          <w:sz w:val="24"/>
        </w:rPr>
        <w:t xml:space="preserve"> w dyr</w:t>
      </w:r>
      <w:r w:rsidRPr="00A33B9F">
        <w:rPr>
          <w:rFonts w:ascii="Times New Roman" w:hAnsi="Times New Roman"/>
          <w:noProof/>
          <w:sz w:val="24"/>
        </w:rPr>
        <w:t>ektywie 2008/50/WE lub na których istnieje ryzyko przekroczenia tych norm. Ponadto zapewni się, aby kotły gazowe stanowiły nie więcej niż 40</w:t>
      </w:r>
      <w:r w:rsidR="00A33B9F" w:rsidRPr="00A33B9F">
        <w:rPr>
          <w:rFonts w:ascii="Times New Roman" w:hAnsi="Times New Roman"/>
          <w:noProof/>
          <w:sz w:val="24"/>
        </w:rPr>
        <w:t> </w:t>
      </w:r>
      <w:r w:rsidRPr="00A33B9F">
        <w:rPr>
          <w:rFonts w:ascii="Times New Roman" w:hAnsi="Times New Roman"/>
          <w:noProof/>
          <w:sz w:val="24"/>
        </w:rPr>
        <w:t>% wszystkich źródeł ciepła podlegających wymianie</w:t>
      </w:r>
      <w:r w:rsidR="00A33B9F" w:rsidRPr="00A33B9F">
        <w:rPr>
          <w:rFonts w:ascii="Times New Roman" w:hAnsi="Times New Roman"/>
          <w:noProof/>
          <w:sz w:val="24"/>
        </w:rPr>
        <w:t xml:space="preserve"> w ram</w:t>
      </w:r>
      <w:r w:rsidRPr="00A33B9F">
        <w:rPr>
          <w:rFonts w:ascii="Times New Roman" w:hAnsi="Times New Roman"/>
          <w:noProof/>
          <w:sz w:val="24"/>
        </w:rPr>
        <w:t xml:space="preserve">ach tego działania. </w:t>
      </w:r>
    </w:p>
    <w:p w14:paraId="08E0D1DD" w14:textId="51DD52F1" w:rsidR="007C4506" w:rsidRPr="00A33B9F"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5C8C6B09" w14:textId="77777777" w:rsidR="007C4506" w:rsidRPr="00A33B9F" w:rsidRDefault="007C4506"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1F1AD0AF" w14:textId="77777777" w:rsidR="007C4506" w:rsidRPr="00A33B9F"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B1.1.3 Termomodernizacja szkół</w:t>
      </w:r>
    </w:p>
    <w:p w14:paraId="4FBBBD08" w14:textId="78B18DFD" w:rsidR="007C4506" w:rsidRPr="00A33B9F" w:rsidRDefault="0AD6B531"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tej inwestycji będzie poprawa efektywności energetycznej szkół oraz zastąpienie wysokoemisyjnych źródeł ciepła bardziej ekologicznymi alternatywami. Działania realizowane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inwestycji mogą obejmować m.in. energię ze źródeł odnawialnych oraz dostosowanie funkcji, instalacji</w:t>
      </w:r>
      <w:r w:rsidR="00A33B9F" w:rsidRPr="00A33B9F">
        <w:rPr>
          <w:rFonts w:ascii="Times New Roman" w:hAnsi="Times New Roman"/>
          <w:noProof/>
          <w:color w:val="000000" w:themeColor="text1"/>
          <w:sz w:val="24"/>
        </w:rPr>
        <w:t xml:space="preserve"> i sys</w:t>
      </w:r>
      <w:r w:rsidRPr="00A33B9F">
        <w:rPr>
          <w:rFonts w:ascii="Times New Roman" w:hAnsi="Times New Roman"/>
          <w:noProof/>
          <w:color w:val="000000" w:themeColor="text1"/>
          <w:sz w:val="24"/>
        </w:rPr>
        <w:t>temów technicznych budynków do aktualnych wymogów zawartych</w:t>
      </w:r>
      <w:r w:rsidR="00A33B9F" w:rsidRPr="00A33B9F">
        <w:rPr>
          <w:rFonts w:ascii="Times New Roman" w:hAnsi="Times New Roman"/>
          <w:noProof/>
          <w:color w:val="000000" w:themeColor="text1"/>
          <w:sz w:val="24"/>
        </w:rPr>
        <w:t xml:space="preserve"> w obo</w:t>
      </w:r>
      <w:r w:rsidRPr="00A33B9F">
        <w:rPr>
          <w:rFonts w:ascii="Times New Roman" w:hAnsi="Times New Roman"/>
          <w:noProof/>
          <w:color w:val="000000" w:themeColor="text1"/>
          <w:sz w:val="24"/>
        </w:rPr>
        <w:t>wiązujących przepisach; gruntowne renowacje; modernizację systemów ogrzewania pomieszczeń</w:t>
      </w:r>
      <w:r w:rsidR="00A33B9F" w:rsidRPr="00A33B9F">
        <w:rPr>
          <w:rFonts w:ascii="Times New Roman" w:hAnsi="Times New Roman"/>
          <w:noProof/>
          <w:color w:val="000000" w:themeColor="text1"/>
          <w:sz w:val="24"/>
        </w:rPr>
        <w:t xml:space="preserve"> i wod</w:t>
      </w:r>
      <w:r w:rsidRPr="00A33B9F">
        <w:rPr>
          <w:rFonts w:ascii="Times New Roman" w:hAnsi="Times New Roman"/>
          <w:noProof/>
          <w:color w:val="000000" w:themeColor="text1"/>
          <w:sz w:val="24"/>
        </w:rPr>
        <w:t>y; instalację energooszczędnego oświetlenia. Inwestycje objęte wsparciem</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RRF doprowadzą średnio do co najmniej 30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oszczędności energii pierwotnej. Projekty wybierane będą</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konkursu otwartego</w:t>
      </w:r>
      <w:r w:rsidR="00A33B9F" w:rsidRPr="00A33B9F">
        <w:rPr>
          <w:rFonts w:ascii="Times New Roman" w:hAnsi="Times New Roman"/>
          <w:noProof/>
          <w:color w:val="000000" w:themeColor="text1"/>
          <w:sz w:val="24"/>
        </w:rPr>
        <w:t xml:space="preserve"> z uwz</w:t>
      </w:r>
      <w:r w:rsidRPr="00A33B9F">
        <w:rPr>
          <w:rFonts w:ascii="Times New Roman" w:hAnsi="Times New Roman"/>
          <w:noProof/>
          <w:color w:val="000000" w:themeColor="text1"/>
          <w:sz w:val="24"/>
        </w:rPr>
        <w:t>ględnieniem następujących kryteriów: (i) gotowość – stopień przygotowania projektu do realizacji; (ii) stopień ograniczenia emisji CO</w:t>
      </w:r>
      <w:r w:rsidRPr="00A33B9F">
        <w:rPr>
          <w:rFonts w:ascii="Times New Roman" w:hAnsi="Times New Roman"/>
          <w:noProof/>
          <w:color w:val="000000" w:themeColor="text1"/>
          <w:sz w:val="24"/>
          <w:vertAlign w:val="subscript"/>
        </w:rPr>
        <w:t>2</w:t>
      </w:r>
      <w:r w:rsidRPr="00A33B9F">
        <w:rPr>
          <w:rFonts w:ascii="Times New Roman" w:hAnsi="Times New Roman"/>
          <w:noProof/>
          <w:color w:val="000000" w:themeColor="text1"/>
          <w:sz w:val="24"/>
        </w:rPr>
        <w:t xml:space="preserve"> lub pyłów PM</w:t>
      </w:r>
      <w:r w:rsidRPr="00A33B9F">
        <w:rPr>
          <w:rFonts w:ascii="Times New Roman" w:hAnsi="Times New Roman"/>
          <w:noProof/>
          <w:color w:val="000000" w:themeColor="text1"/>
          <w:sz w:val="24"/>
          <w:vertAlign w:val="subscript"/>
        </w:rPr>
        <w:t>2,5</w:t>
      </w:r>
      <w:r w:rsidRPr="00A33B9F">
        <w:rPr>
          <w:rFonts w:ascii="Times New Roman" w:hAnsi="Times New Roman"/>
          <w:noProof/>
          <w:color w:val="000000" w:themeColor="text1"/>
          <w:sz w:val="24"/>
        </w:rPr>
        <w:t xml:space="preserve"> i PM</w:t>
      </w:r>
      <w:r w:rsidRPr="00A33B9F">
        <w:rPr>
          <w:rFonts w:ascii="Times New Roman" w:hAnsi="Times New Roman"/>
          <w:noProof/>
          <w:color w:val="000000" w:themeColor="text1"/>
          <w:sz w:val="24"/>
          <w:vertAlign w:val="subscript"/>
        </w:rPr>
        <w:t>10</w:t>
      </w:r>
      <w:r w:rsidRPr="00A33B9F">
        <w:rPr>
          <w:rFonts w:ascii="Times New Roman" w:hAnsi="Times New Roman"/>
          <w:noProof/>
          <w:color w:val="000000" w:themeColor="text1"/>
          <w:sz w:val="24"/>
        </w:rPr>
        <w:t>; (iii) stopień ograniczenia zużycia energii pierwotnej. (iv) wykorzystanie odnawialnych źródeł energii.</w:t>
      </w:r>
    </w:p>
    <w:p w14:paraId="7AD77D6E" w14:textId="0A3461B8" w:rsidR="00F45022" w:rsidRPr="00A33B9F"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Działania uzupełniające mogą również obejmować działania edukacyjne podnoszące świadomość wśród nauczycieli, uczniów</w:t>
      </w:r>
      <w:r w:rsidR="00A33B9F" w:rsidRPr="00A33B9F">
        <w:rPr>
          <w:rFonts w:ascii="Times New Roman" w:hAnsi="Times New Roman"/>
          <w:noProof/>
          <w:color w:val="000000" w:themeColor="text1"/>
          <w:sz w:val="24"/>
        </w:rPr>
        <w:t xml:space="preserve"> i spo</w:t>
      </w:r>
      <w:r w:rsidRPr="00A33B9F">
        <w:rPr>
          <w:rFonts w:ascii="Times New Roman" w:hAnsi="Times New Roman"/>
          <w:noProof/>
          <w:color w:val="000000" w:themeColor="text1"/>
          <w:sz w:val="24"/>
        </w:rPr>
        <w:t>łeczności lokalnych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zanieczyszczenia powietrza</w:t>
      </w:r>
      <w:r w:rsidR="00A33B9F" w:rsidRPr="00A33B9F">
        <w:rPr>
          <w:rFonts w:ascii="Times New Roman" w:hAnsi="Times New Roman"/>
          <w:noProof/>
          <w:color w:val="000000" w:themeColor="text1"/>
          <w:sz w:val="24"/>
        </w:rPr>
        <w:t xml:space="preserve"> i łag</w:t>
      </w:r>
      <w:r w:rsidRPr="00A33B9F">
        <w:rPr>
          <w:rFonts w:ascii="Times New Roman" w:hAnsi="Times New Roman"/>
          <w:noProof/>
          <w:color w:val="000000" w:themeColor="text1"/>
          <w:sz w:val="24"/>
        </w:rPr>
        <w:t xml:space="preserve">odzenia skutków zmiany klimatu oraz wykorzystania odnawialnych źródeł energii. </w:t>
      </w:r>
    </w:p>
    <w:p w14:paraId="5E653E8F" w14:textId="340F77A9" w:rsidR="007C4506" w:rsidRPr="00A33B9F"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183ACC09" w14:textId="502D4112" w:rsidR="007C4506" w:rsidRPr="00A33B9F" w:rsidRDefault="1D998142"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 xml:space="preserve">B1.1.4 Wzmocnienie efektywności energetycznej obiektów lokalnej aktywności społecznej </w:t>
      </w:r>
    </w:p>
    <w:p w14:paraId="676A96B1" w14:textId="0DE24581" w:rsidR="007C4506" w:rsidRPr="00A33B9F" w:rsidRDefault="294B0EBF" w:rsidP="22896D1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tej inwestycji będzie poprawa efektywności energetycznej obiektów lokalnej aktywności społecznej oraz zastąpienie wysokoemisyjnych źródeł ciepła bardziej ekologicznymi alternatywami. Działania realizowane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inwestycji mogą obejmować m.in. energię ze źródeł odnawialnych oraz dostosowanie funkcji, instalacji</w:t>
      </w:r>
      <w:r w:rsidR="00A33B9F" w:rsidRPr="00A33B9F">
        <w:rPr>
          <w:rFonts w:ascii="Times New Roman" w:hAnsi="Times New Roman"/>
          <w:noProof/>
          <w:color w:val="000000" w:themeColor="text1"/>
          <w:sz w:val="24"/>
        </w:rPr>
        <w:t xml:space="preserve"> i sys</w:t>
      </w:r>
      <w:r w:rsidRPr="00A33B9F">
        <w:rPr>
          <w:rFonts w:ascii="Times New Roman" w:hAnsi="Times New Roman"/>
          <w:noProof/>
          <w:color w:val="000000" w:themeColor="text1"/>
          <w:sz w:val="24"/>
        </w:rPr>
        <w:t>temów technicznych budynków do aktualnych wymogów zawartych</w:t>
      </w:r>
      <w:r w:rsidR="00A33B9F" w:rsidRPr="00A33B9F">
        <w:rPr>
          <w:rFonts w:ascii="Times New Roman" w:hAnsi="Times New Roman"/>
          <w:noProof/>
          <w:color w:val="000000" w:themeColor="text1"/>
          <w:sz w:val="24"/>
        </w:rPr>
        <w:t xml:space="preserve"> w obo</w:t>
      </w:r>
      <w:r w:rsidRPr="00A33B9F">
        <w:rPr>
          <w:rFonts w:ascii="Times New Roman" w:hAnsi="Times New Roman"/>
          <w:noProof/>
          <w:color w:val="000000" w:themeColor="text1"/>
          <w:sz w:val="24"/>
        </w:rPr>
        <w:t>wiązujących przepisach; gruntowne renowacje; modernizację systemów ogrzewania pomieszczeń</w:t>
      </w:r>
      <w:r w:rsidR="00A33B9F" w:rsidRPr="00A33B9F">
        <w:rPr>
          <w:rFonts w:ascii="Times New Roman" w:hAnsi="Times New Roman"/>
          <w:noProof/>
          <w:color w:val="000000" w:themeColor="text1"/>
          <w:sz w:val="24"/>
        </w:rPr>
        <w:t xml:space="preserve"> i wod</w:t>
      </w:r>
      <w:r w:rsidRPr="00A33B9F">
        <w:rPr>
          <w:rFonts w:ascii="Times New Roman" w:hAnsi="Times New Roman"/>
          <w:noProof/>
          <w:color w:val="000000" w:themeColor="text1"/>
          <w:sz w:val="24"/>
        </w:rPr>
        <w:t>y; instalację energooszczędnego oświetlenia. Inwestycje powinny przyczyniać się do oszczędności na średnim poziomie minimalnym 30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energii pierwotnej</w:t>
      </w:r>
      <w:r w:rsidR="00A33B9F" w:rsidRPr="00A33B9F">
        <w:rPr>
          <w:rFonts w:ascii="Times New Roman" w:hAnsi="Times New Roman"/>
          <w:noProof/>
          <w:color w:val="000000" w:themeColor="text1"/>
          <w:sz w:val="24"/>
        </w:rPr>
        <w:t xml:space="preserve"> w bud</w:t>
      </w:r>
      <w:r w:rsidRPr="00A33B9F">
        <w:rPr>
          <w:rFonts w:ascii="Times New Roman" w:hAnsi="Times New Roman"/>
          <w:noProof/>
          <w:color w:val="000000" w:themeColor="text1"/>
          <w:sz w:val="24"/>
        </w:rPr>
        <w:t>ynkach docelowych. Projekty wybierane będą</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konkursu otwartego</w:t>
      </w:r>
      <w:r w:rsidR="00A33B9F" w:rsidRPr="00A33B9F">
        <w:rPr>
          <w:rFonts w:ascii="Times New Roman" w:hAnsi="Times New Roman"/>
          <w:noProof/>
          <w:color w:val="000000" w:themeColor="text1"/>
          <w:sz w:val="24"/>
        </w:rPr>
        <w:t xml:space="preserve"> z uwz</w:t>
      </w:r>
      <w:r w:rsidRPr="00A33B9F">
        <w:rPr>
          <w:rFonts w:ascii="Times New Roman" w:hAnsi="Times New Roman"/>
          <w:noProof/>
          <w:color w:val="000000" w:themeColor="text1"/>
          <w:sz w:val="24"/>
        </w:rPr>
        <w:t>ględnieniem następujących kryteriów: (i) gotowość – stopień przygotowania projektu do realizacji; (ii) stopień ograniczenia emisji CO</w:t>
      </w:r>
      <w:r w:rsidRPr="00A33B9F">
        <w:rPr>
          <w:rFonts w:ascii="Times New Roman" w:hAnsi="Times New Roman"/>
          <w:noProof/>
          <w:color w:val="000000" w:themeColor="text1"/>
          <w:sz w:val="24"/>
          <w:vertAlign w:val="subscript"/>
        </w:rPr>
        <w:t>2</w:t>
      </w:r>
      <w:r w:rsidRPr="00A33B9F">
        <w:rPr>
          <w:rFonts w:ascii="Times New Roman" w:hAnsi="Times New Roman"/>
          <w:noProof/>
          <w:color w:val="000000" w:themeColor="text1"/>
          <w:sz w:val="24"/>
        </w:rPr>
        <w:t xml:space="preserve"> lub pyłów PM</w:t>
      </w:r>
      <w:r w:rsidRPr="00A33B9F">
        <w:rPr>
          <w:rFonts w:ascii="Times New Roman" w:hAnsi="Times New Roman"/>
          <w:noProof/>
          <w:color w:val="000000" w:themeColor="text1"/>
          <w:sz w:val="24"/>
          <w:vertAlign w:val="subscript"/>
        </w:rPr>
        <w:t>2,5</w:t>
      </w:r>
      <w:r w:rsidRPr="00A33B9F">
        <w:rPr>
          <w:rFonts w:ascii="Times New Roman" w:hAnsi="Times New Roman"/>
          <w:noProof/>
          <w:color w:val="000000" w:themeColor="text1"/>
          <w:sz w:val="24"/>
        </w:rPr>
        <w:t xml:space="preserve"> lub PM</w:t>
      </w:r>
      <w:r w:rsidRPr="00A33B9F">
        <w:rPr>
          <w:rFonts w:ascii="Times New Roman" w:hAnsi="Times New Roman"/>
          <w:noProof/>
          <w:color w:val="000000" w:themeColor="text1"/>
          <w:sz w:val="24"/>
          <w:vertAlign w:val="subscript"/>
        </w:rPr>
        <w:t>10</w:t>
      </w:r>
      <w:r w:rsidRPr="00A33B9F">
        <w:rPr>
          <w:rFonts w:ascii="Times New Roman" w:hAnsi="Times New Roman"/>
          <w:noProof/>
          <w:color w:val="000000" w:themeColor="text1"/>
          <w:sz w:val="24"/>
        </w:rPr>
        <w:t>; (iii) stopień ograniczenia zużycia energii pierwotnej. (iv) wykorzystanie odnawialnych źródeł energii.</w:t>
      </w:r>
    </w:p>
    <w:p w14:paraId="07BE4ACA" w14:textId="4AE18389"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inwestycji zostanie zakończona do dnia 30 czerwca 2026</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5C71F136"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u w:val="single"/>
        </w:rPr>
      </w:pPr>
    </w:p>
    <w:p w14:paraId="4EBF4C09"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B2.1 Poprawa warunków dla rozwoju technologii wodorowych oraz innych gazów zdekarbonizowanych</w:t>
      </w:r>
    </w:p>
    <w:p w14:paraId="37404AA0" w14:textId="0BB05790"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rozwój rynku odnawialnego</w:t>
      </w:r>
      <w:r w:rsidR="00A33B9F" w:rsidRPr="00A33B9F">
        <w:rPr>
          <w:rFonts w:ascii="Times New Roman" w:hAnsi="Times New Roman"/>
          <w:noProof/>
          <w:color w:val="000000"/>
          <w:sz w:val="24"/>
        </w:rPr>
        <w:t xml:space="preserve"> i nis</w:t>
      </w:r>
      <w:r w:rsidRPr="00A33B9F">
        <w:rPr>
          <w:rFonts w:ascii="Times New Roman" w:hAnsi="Times New Roman"/>
          <w:noProof/>
          <w:color w:val="000000"/>
          <w:sz w:val="24"/>
        </w:rPr>
        <w:t>koemisyjnego wodoru oraz innych paliw alternatywnych.</w:t>
      </w:r>
    </w:p>
    <w:p w14:paraId="48D21A91" w14:textId="28D5897D"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Środek ten obejmuje dwa działania. Celem pierwszego działania jest stworzenie ram regulacyjnych funkcjonowania wodoru jako paliwa alternatywnego</w:t>
      </w:r>
      <w:r w:rsidR="00A33B9F" w:rsidRPr="00A33B9F">
        <w:rPr>
          <w:rFonts w:ascii="Times New Roman" w:hAnsi="Times New Roman"/>
          <w:noProof/>
          <w:color w:val="000000" w:themeColor="text1"/>
          <w:sz w:val="24"/>
        </w:rPr>
        <w:t xml:space="preserve"> w tra</w:t>
      </w:r>
      <w:r w:rsidRPr="00A33B9F">
        <w:rPr>
          <w:rFonts w:ascii="Times New Roman" w:hAnsi="Times New Roman"/>
          <w:noProof/>
          <w:color w:val="000000" w:themeColor="text1"/>
          <w:sz w:val="24"/>
        </w:rPr>
        <w:t>nsporcie poprzez wprowadzenie przepisów dotyczących budowy, bezpiecznej eksploatacji</w:t>
      </w:r>
      <w:r w:rsidR="00A33B9F" w:rsidRPr="00A33B9F">
        <w:rPr>
          <w:rFonts w:ascii="Times New Roman" w:hAnsi="Times New Roman"/>
          <w:noProof/>
          <w:color w:val="000000" w:themeColor="text1"/>
          <w:sz w:val="24"/>
        </w:rPr>
        <w:t xml:space="preserve"> i mod</w:t>
      </w:r>
      <w:r w:rsidRPr="00A33B9F">
        <w:rPr>
          <w:rFonts w:ascii="Times New Roman" w:hAnsi="Times New Roman"/>
          <w:noProof/>
          <w:color w:val="000000" w:themeColor="text1"/>
          <w:sz w:val="24"/>
        </w:rPr>
        <w:t>ernizacji stacji wodoru,</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organów odpowiedzialnych za dopuszczanie do użytku stacji wodoru</w:t>
      </w:r>
      <w:r w:rsidR="00A33B9F" w:rsidRPr="00A33B9F">
        <w:rPr>
          <w:rFonts w:ascii="Times New Roman" w:hAnsi="Times New Roman"/>
          <w:noProof/>
          <w:color w:val="000000" w:themeColor="text1"/>
          <w:sz w:val="24"/>
        </w:rPr>
        <w:t xml:space="preserve"> i ich</w:t>
      </w:r>
      <w:r w:rsidRPr="00A33B9F">
        <w:rPr>
          <w:rFonts w:ascii="Times New Roman" w:hAnsi="Times New Roman"/>
          <w:noProof/>
          <w:color w:val="000000" w:themeColor="text1"/>
          <w:sz w:val="24"/>
        </w:rPr>
        <w:t xml:space="preserve"> niezbędną kontrolę techniczną</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działania ustanowiony zostanie również system monitorowania</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trolowania jakości paliw wodoru wykorzystywanego do napędu pojazdów. Realizacja działania miała zostać zakończona do</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30 grudnia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A8551D9" w14:textId="540D471D" w:rsidR="007C4506" w:rsidRPr="00A33B9F" w:rsidRDefault="2DB31829" w:rsidP="6F62575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drugiego działania jest stworzenie projektu infrastruktury wodorowej</w:t>
      </w:r>
      <w:r w:rsidR="00A33B9F" w:rsidRPr="00A33B9F">
        <w:rPr>
          <w:rFonts w:ascii="Times New Roman" w:hAnsi="Times New Roman"/>
          <w:noProof/>
          <w:color w:val="000000" w:themeColor="text1"/>
          <w:sz w:val="24"/>
        </w:rPr>
        <w:t xml:space="preserve"> i ryn</w:t>
      </w:r>
      <w:r w:rsidRPr="00A33B9F">
        <w:rPr>
          <w:rFonts w:ascii="Times New Roman" w:hAnsi="Times New Roman"/>
          <w:noProof/>
          <w:color w:val="000000" w:themeColor="text1"/>
          <w:sz w:val="24"/>
        </w:rPr>
        <w:t>ków wodoru, co pozwoli wesprzeć wprowadzanie do obrotu odnawialnego</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koemisyjnego wodoru, integrację produkcji wodoru</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ymi rynkami energii,</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istniejącą</w:t>
      </w:r>
      <w:r w:rsidR="00A33B9F" w:rsidRPr="00A33B9F">
        <w:rPr>
          <w:rFonts w:ascii="Times New Roman" w:hAnsi="Times New Roman"/>
          <w:noProof/>
          <w:color w:val="000000" w:themeColor="text1"/>
          <w:sz w:val="24"/>
        </w:rPr>
        <w:t xml:space="preserve"> i spe</w:t>
      </w:r>
      <w:r w:rsidRPr="00A33B9F">
        <w:rPr>
          <w:rFonts w:ascii="Times New Roman" w:hAnsi="Times New Roman"/>
          <w:noProof/>
          <w:color w:val="000000" w:themeColor="text1"/>
          <w:sz w:val="24"/>
        </w:rPr>
        <w:t>cjalną infrastrukturę mającą na celu stworzenie przewidywalności regulacyjnej dla inwestorów oraz wspieranie rozpowszechniania odnawialnego</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koemisyjnego wodoru. Reformy są zgodne</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(2021/C 58/01), gwarantują jednocześnie, że reforma nie przyczyni się do utrudnienia stosowania</w:t>
      </w:r>
      <w:r w:rsidR="00A33B9F" w:rsidRPr="00A33B9F">
        <w:rPr>
          <w:rFonts w:ascii="Times New Roman" w:hAnsi="Times New Roman"/>
          <w:noProof/>
          <w:color w:val="000000" w:themeColor="text1"/>
          <w:sz w:val="24"/>
        </w:rPr>
        <w:t xml:space="preserve"> i wpr</w:t>
      </w:r>
      <w:r w:rsidRPr="00A33B9F">
        <w:rPr>
          <w:rFonts w:ascii="Times New Roman" w:hAnsi="Times New Roman"/>
          <w:noProof/>
          <w:color w:val="000000" w:themeColor="text1"/>
          <w:sz w:val="24"/>
        </w:rPr>
        <w:t>owadzania do obrotu wodoru odnawialnego</w:t>
      </w:r>
      <w:r w:rsidR="00A33B9F" w:rsidRPr="00A33B9F">
        <w:rPr>
          <w:rFonts w:ascii="Times New Roman" w:hAnsi="Times New Roman"/>
          <w:noProof/>
          <w:color w:val="000000" w:themeColor="text1"/>
          <w:sz w:val="24"/>
        </w:rPr>
        <w:t xml:space="preserve"> w por</w:t>
      </w:r>
      <w:r w:rsidRPr="00A33B9F">
        <w:rPr>
          <w:rFonts w:ascii="Times New Roman" w:hAnsi="Times New Roman"/>
          <w:noProof/>
          <w:color w:val="000000" w:themeColor="text1"/>
          <w:sz w:val="24"/>
        </w:rPr>
        <w:t>ównaniu</w:t>
      </w:r>
      <w:r w:rsidR="00A33B9F" w:rsidRPr="00A33B9F">
        <w:rPr>
          <w:rFonts w:ascii="Times New Roman" w:hAnsi="Times New Roman"/>
          <w:noProof/>
          <w:color w:val="000000" w:themeColor="text1"/>
          <w:sz w:val="24"/>
        </w:rPr>
        <w:t xml:space="preserve"> z wod</w:t>
      </w:r>
      <w:r w:rsidRPr="00A33B9F">
        <w:rPr>
          <w:rFonts w:ascii="Times New Roman" w:hAnsi="Times New Roman"/>
          <w:noProof/>
          <w:color w:val="000000" w:themeColor="text1"/>
          <w:sz w:val="24"/>
        </w:rPr>
        <w:t>orem</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ych źródeł. Celem reformy jest przede wszystkim rozwój wodoru odnawialnego lub wodoru produkowanego przez elektrolizery oraz propagowanie wodoru niskoemisyjnego zgodnego</w:t>
      </w:r>
      <w:r w:rsidR="00A33B9F" w:rsidRPr="00A33B9F">
        <w:rPr>
          <w:rFonts w:ascii="Times New Roman" w:hAnsi="Times New Roman"/>
          <w:noProof/>
          <w:color w:val="000000" w:themeColor="text1"/>
          <w:sz w:val="24"/>
        </w:rPr>
        <w:t xml:space="preserve"> z uni</w:t>
      </w:r>
      <w:r w:rsidRPr="00A33B9F">
        <w:rPr>
          <w:rFonts w:ascii="Times New Roman" w:hAnsi="Times New Roman"/>
          <w:noProof/>
          <w:color w:val="000000" w:themeColor="text1"/>
          <w:sz w:val="24"/>
        </w:rPr>
        <w:t>jną strategią</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wodoru.</w:t>
      </w:r>
    </w:p>
    <w:p w14:paraId="5765CF63" w14:textId="1D83F591" w:rsidR="66E7BAD6" w:rsidRPr="00A33B9F" w:rsidRDefault="66E7BAD6" w:rsidP="48DECEA6">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tego działania zostanie zakończona do dnia 31 grudnia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62199465"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F464A0C" w14:textId="3F4C982A" w:rsidR="007C4506" w:rsidRPr="00A33B9F" w:rsidRDefault="4E19AB1A" w:rsidP="426A45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B2.1.1. Inwestycje</w:t>
      </w:r>
      <w:r w:rsidR="00A33B9F" w:rsidRPr="00A33B9F">
        <w:rPr>
          <w:rFonts w:ascii="Times New Roman" w:hAnsi="Times New Roman"/>
          <w:b/>
          <w:noProof/>
          <w:color w:val="000000" w:themeColor="text1"/>
          <w:sz w:val="24"/>
          <w:u w:val="single"/>
        </w:rPr>
        <w:t xml:space="preserve"> w tec</w:t>
      </w:r>
      <w:r w:rsidRPr="00A33B9F">
        <w:rPr>
          <w:rFonts w:ascii="Times New Roman" w:hAnsi="Times New Roman"/>
          <w:b/>
          <w:noProof/>
          <w:color w:val="000000" w:themeColor="text1"/>
          <w:sz w:val="24"/>
          <w:u w:val="single"/>
        </w:rPr>
        <w:t>hnologie wodorowe, wytwarzanie, magazynowanie</w:t>
      </w:r>
      <w:r w:rsidR="00A33B9F" w:rsidRPr="00A33B9F">
        <w:rPr>
          <w:rFonts w:ascii="Times New Roman" w:hAnsi="Times New Roman"/>
          <w:b/>
          <w:noProof/>
          <w:color w:val="000000" w:themeColor="text1"/>
          <w:sz w:val="24"/>
          <w:u w:val="single"/>
        </w:rPr>
        <w:t xml:space="preserve"> i tra</w:t>
      </w:r>
      <w:r w:rsidRPr="00A33B9F">
        <w:rPr>
          <w:rFonts w:ascii="Times New Roman" w:hAnsi="Times New Roman"/>
          <w:b/>
          <w:noProof/>
          <w:color w:val="000000" w:themeColor="text1"/>
          <w:sz w:val="24"/>
          <w:u w:val="single"/>
        </w:rPr>
        <w:t>nsport wodoru</w:t>
      </w:r>
    </w:p>
    <w:p w14:paraId="3100A003" w14:textId="6B8BA12D" w:rsidR="00117569" w:rsidRPr="00A33B9F" w:rsidRDefault="360203B3" w:rsidP="70CE17A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Celem inwestycji jest stworzenie polskiej gałęzi gospodarki wodorowej oraz zwiększenie wykorzystania odnawialnego</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koemisyjnego wodoru.</w:t>
      </w:r>
      <w:r w:rsidRPr="00A33B9F">
        <w:rPr>
          <w:rFonts w:ascii="Times New Roman" w:hAnsi="Times New Roman"/>
          <w:noProof/>
        </w:rPr>
        <w:t xml:space="preserve"> </w:t>
      </w:r>
      <w:r w:rsidRPr="00A33B9F">
        <w:rPr>
          <w:rFonts w:ascii="Times New Roman" w:hAnsi="Times New Roman"/>
          <w:noProof/>
          <w:color w:val="000000" w:themeColor="text1"/>
          <w:sz w:val="24"/>
        </w:rPr>
        <w:t>Projekt będzie częścią zintegrowanego podejścia strategicznego,</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którego nadaje się priorytet wodorowi odnawialnemu. Inwestycja będzie składać się</w:t>
      </w:r>
      <w:r w:rsidR="00A33B9F" w:rsidRPr="00A33B9F">
        <w:rPr>
          <w:rFonts w:ascii="Times New Roman" w:hAnsi="Times New Roman"/>
          <w:noProof/>
          <w:color w:val="000000" w:themeColor="text1"/>
          <w:sz w:val="24"/>
        </w:rPr>
        <w:t xml:space="preserve"> z sze</w:t>
      </w:r>
      <w:r w:rsidRPr="00A33B9F">
        <w:rPr>
          <w:rFonts w:ascii="Times New Roman" w:hAnsi="Times New Roman"/>
          <w:noProof/>
          <w:color w:val="000000" w:themeColor="text1"/>
          <w:sz w:val="24"/>
        </w:rPr>
        <w:t>regu projektów. Wszystkie projekty są zgodne</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((2023) 6454 final).</w:t>
      </w:r>
    </w:p>
    <w:p w14:paraId="5B76D9DC" w14:textId="26FA78A1" w:rsidR="007C4506" w:rsidRPr="00A33B9F" w:rsidRDefault="29EF3B28" w:rsidP="70CE17A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Pierwszy projekt będzie obejmował inwestycje</w:t>
      </w:r>
      <w:r w:rsidR="00A33B9F" w:rsidRPr="00A33B9F">
        <w:rPr>
          <w:rFonts w:ascii="Times New Roman" w:hAnsi="Times New Roman"/>
          <w:noProof/>
          <w:color w:val="000000" w:themeColor="text1"/>
          <w:sz w:val="24"/>
        </w:rPr>
        <w:t xml:space="preserve"> w sta</w:t>
      </w:r>
      <w:r w:rsidRPr="00A33B9F">
        <w:rPr>
          <w:rFonts w:ascii="Times New Roman" w:hAnsi="Times New Roman"/>
          <w:noProof/>
          <w:color w:val="000000" w:themeColor="text1"/>
          <w:sz w:val="24"/>
        </w:rPr>
        <w:t>cje tankowania wodoru,</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bunkrowania wodoru. Obiekty do bunkrowania będzie można stosować względem wszystkich źródeł wodoru, lecz ilość bunkrowanego szarego wodoru</w:t>
      </w:r>
      <w:r w:rsidR="00A33B9F" w:rsidRPr="00A33B9F">
        <w:rPr>
          <w:rFonts w:ascii="Times New Roman" w:hAnsi="Times New Roman"/>
          <w:noProof/>
          <w:color w:val="000000" w:themeColor="text1"/>
          <w:sz w:val="24"/>
        </w:rPr>
        <w:t xml:space="preserve"> w mia</w:t>
      </w:r>
      <w:r w:rsidRPr="00A33B9F">
        <w:rPr>
          <w:rFonts w:ascii="Times New Roman" w:hAnsi="Times New Roman"/>
          <w:noProof/>
          <w:color w:val="000000" w:themeColor="text1"/>
          <w:sz w:val="24"/>
        </w:rPr>
        <w:t xml:space="preserve">rę upływu czasu zostaje ograniczona. </w:t>
      </w:r>
    </w:p>
    <w:p w14:paraId="5F46DD70" w14:textId="604DC83D" w:rsidR="007C4506" w:rsidRPr="00A33B9F" w:rsidRDefault="00B31839" w:rsidP="70CE17A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ramach drugiej części projektu wspierać będzie się przynajmniej rozwój, budowę</w:t>
      </w:r>
      <w:r w:rsidR="00A33B9F" w:rsidRPr="00A33B9F">
        <w:rPr>
          <w:rFonts w:ascii="Times New Roman" w:hAnsi="Times New Roman"/>
          <w:noProof/>
          <w:color w:val="000000" w:themeColor="text1"/>
          <w:sz w:val="24"/>
        </w:rPr>
        <w:t xml:space="preserve"> i rea</w:t>
      </w:r>
      <w:r w:rsidRPr="00A33B9F">
        <w:rPr>
          <w:rFonts w:ascii="Times New Roman" w:hAnsi="Times New Roman"/>
          <w:noProof/>
          <w:color w:val="000000" w:themeColor="text1"/>
          <w:sz w:val="24"/>
        </w:rPr>
        <w:t>lizację innowacyjnych jednostek transportowych napędzanych wodorem. Inwestycja będzie koncentrować się na rozwoju, testowaniu</w:t>
      </w:r>
      <w:r w:rsidR="00A33B9F" w:rsidRPr="00A33B9F">
        <w:rPr>
          <w:rFonts w:ascii="Times New Roman" w:hAnsi="Times New Roman"/>
          <w:noProof/>
          <w:color w:val="000000" w:themeColor="text1"/>
          <w:sz w:val="24"/>
        </w:rPr>
        <w:t xml:space="preserve"> i dem</w:t>
      </w:r>
      <w:r w:rsidRPr="00A33B9F">
        <w:rPr>
          <w:rFonts w:ascii="Times New Roman" w:hAnsi="Times New Roman"/>
          <w:noProof/>
          <w:color w:val="000000" w:themeColor="text1"/>
          <w:sz w:val="24"/>
        </w:rPr>
        <w:t>onstrowaniu różnych rodzajów jednostek transportowych napędzanych wodorowymi ogniwami paliwowymi, które mają stanowić wsparcie dla podejmowanych przez Polskę działań na rzecz dekarbonizacji mobilności. Innowacyjne typy jednostek transportowych napędzanych wodorem przyczynią się do dekarbonizacji transportu,</w:t>
      </w:r>
      <w:r w:rsidR="00A33B9F" w:rsidRPr="00A33B9F">
        <w:rPr>
          <w:rFonts w:ascii="Times New Roman" w:hAnsi="Times New Roman"/>
          <w:noProof/>
          <w:color w:val="000000" w:themeColor="text1"/>
          <w:sz w:val="24"/>
        </w:rPr>
        <w:t xml:space="preserve"> w któ</w:t>
      </w:r>
      <w:r w:rsidRPr="00A33B9F">
        <w:rPr>
          <w:rFonts w:ascii="Times New Roman" w:hAnsi="Times New Roman"/>
          <w:noProof/>
          <w:color w:val="000000" w:themeColor="text1"/>
          <w:sz w:val="24"/>
        </w:rPr>
        <w:t>rym trudno osiągnąć redukcję emisji. Obejmuje ona zarówno budowę nowych jednostek, jak</w:t>
      </w:r>
      <w:r w:rsidR="00A33B9F" w:rsidRPr="00A33B9F">
        <w:rPr>
          <w:rFonts w:ascii="Times New Roman" w:hAnsi="Times New Roman"/>
          <w:noProof/>
          <w:color w:val="000000" w:themeColor="text1"/>
          <w:sz w:val="24"/>
        </w:rPr>
        <w:t xml:space="preserve"> i mod</w:t>
      </w:r>
      <w:r w:rsidRPr="00A33B9F">
        <w:rPr>
          <w:rFonts w:ascii="Times New Roman" w:hAnsi="Times New Roman"/>
          <w:noProof/>
          <w:color w:val="000000" w:themeColor="text1"/>
          <w:sz w:val="24"/>
        </w:rPr>
        <w:t>ernizację jednostek, które już istnieją. Jednostki transportowe nie będą mogły być przeznaczone do transportu paliw kopalnych.</w:t>
      </w:r>
    </w:p>
    <w:p w14:paraId="68015EDB" w14:textId="4A6CFA4B" w:rsidR="00D03B54" w:rsidRPr="00A33B9F" w:rsidRDefault="00394B30" w:rsidP="426A45D9">
      <w:pPr>
        <w:pStyle w:val="paragraph"/>
        <w:spacing w:before="0" w:beforeAutospacing="0" w:after="0" w:afterAutospacing="0"/>
        <w:jc w:val="both"/>
        <w:textAlignment w:val="baseline"/>
        <w:rPr>
          <w:noProof/>
        </w:rPr>
      </w:pPr>
      <w:r w:rsidRPr="00A33B9F">
        <w:rPr>
          <w:rStyle w:val="normaltextrun"/>
          <w:noProof/>
        </w:rPr>
        <w:t>T</w:t>
      </w:r>
      <w:r w:rsidRPr="00A33B9F">
        <w:rPr>
          <w:rStyle w:val="normaltextrun"/>
          <w:rFonts w:ascii="Times" w:hAnsi="Times"/>
          <w:noProof/>
        </w:rPr>
        <w:t>rzecia część działania obejmuje inwestycje</w:t>
      </w:r>
      <w:r w:rsidRPr="00A33B9F">
        <w:rPr>
          <w:noProof/>
        </w:rPr>
        <w:t xml:space="preserve"> publiczne</w:t>
      </w:r>
      <w:r w:rsidR="00A33B9F" w:rsidRPr="00A33B9F">
        <w:rPr>
          <w:noProof/>
        </w:rPr>
        <w:t xml:space="preserve"> w pro</w:t>
      </w:r>
      <w:r w:rsidRPr="00A33B9F">
        <w:rPr>
          <w:noProof/>
        </w:rPr>
        <w:t>gram dotacji</w:t>
      </w:r>
      <w:r w:rsidR="00A33B9F" w:rsidRPr="00A33B9F">
        <w:rPr>
          <w:noProof/>
        </w:rPr>
        <w:t xml:space="preserve"> w cel</w:t>
      </w:r>
      <w:r w:rsidRPr="00A33B9F">
        <w:rPr>
          <w:noProof/>
        </w:rPr>
        <w:t>u zachęcenia do realizacji inwestycji prywatnych oraz poprawy dostępu do finansowania</w:t>
      </w:r>
      <w:r w:rsidR="00A33B9F" w:rsidRPr="00A33B9F">
        <w:rPr>
          <w:noProof/>
        </w:rPr>
        <w:t xml:space="preserve"> w pol</w:t>
      </w:r>
      <w:r w:rsidRPr="00A33B9F">
        <w:rPr>
          <w:noProof/>
        </w:rPr>
        <w:t>skim sektorze produkcji wodoru odnawialnego</w:t>
      </w:r>
      <w:r w:rsidR="00A33B9F" w:rsidRPr="00A33B9F">
        <w:rPr>
          <w:noProof/>
        </w:rPr>
        <w:t xml:space="preserve"> i nis</w:t>
      </w:r>
      <w:r w:rsidRPr="00A33B9F">
        <w:rPr>
          <w:noProof/>
        </w:rPr>
        <w:t>koemisyjnego. Umowy</w:t>
      </w:r>
      <w:r w:rsidR="00A33B9F" w:rsidRPr="00A33B9F">
        <w:rPr>
          <w:noProof/>
        </w:rPr>
        <w:t xml:space="preserve"> o udz</w:t>
      </w:r>
      <w:r w:rsidRPr="00A33B9F">
        <w:rPr>
          <w:noProof/>
        </w:rPr>
        <w:t>ielenie dotacji zawarte między Instrumentem</w:t>
      </w:r>
      <w:r w:rsidR="00A33B9F" w:rsidRPr="00A33B9F">
        <w:rPr>
          <w:noProof/>
        </w:rPr>
        <w:t xml:space="preserve"> a ben</w:t>
      </w:r>
      <w:r w:rsidRPr="00A33B9F">
        <w:rPr>
          <w:noProof/>
        </w:rPr>
        <w:t>eficjentami końcowymi zapewniają łączne zdolności produkcyjne</w:t>
      </w:r>
      <w:r w:rsidR="00A33B9F" w:rsidRPr="00A33B9F">
        <w:rPr>
          <w:noProof/>
        </w:rPr>
        <w:t xml:space="preserve"> w zak</w:t>
      </w:r>
      <w:r w:rsidRPr="00A33B9F">
        <w:rPr>
          <w:noProof/>
        </w:rPr>
        <w:t>resie wodoru odnawialnego</w:t>
      </w:r>
      <w:r w:rsidR="00A33B9F" w:rsidRPr="00A33B9F">
        <w:rPr>
          <w:noProof/>
        </w:rPr>
        <w:t xml:space="preserve"> i nis</w:t>
      </w:r>
      <w:r w:rsidRPr="00A33B9F">
        <w:rPr>
          <w:noProof/>
        </w:rPr>
        <w:t>koemisyjnego na poziomie co najmniej 315 MW</w:t>
      </w:r>
      <w:r w:rsidR="00A33B9F" w:rsidRPr="00A33B9F">
        <w:rPr>
          <w:noProof/>
        </w:rPr>
        <w:t>. W ram</w:t>
      </w:r>
      <w:r w:rsidRPr="00A33B9F">
        <w:rPr>
          <w:noProof/>
        </w:rPr>
        <w:t>ach programu udziela się dotacji bezpośrednio podmiotom działającym</w:t>
      </w:r>
      <w:r w:rsidR="00A33B9F" w:rsidRPr="00A33B9F">
        <w:rPr>
          <w:noProof/>
        </w:rPr>
        <w:t xml:space="preserve"> w sek</w:t>
      </w:r>
      <w:r w:rsidRPr="00A33B9F">
        <w:rPr>
          <w:noProof/>
        </w:rPr>
        <w:t>torze prywatnym. Na podstawie inwestycji</w:t>
      </w:r>
      <w:r w:rsidR="00A33B9F" w:rsidRPr="00A33B9F">
        <w:rPr>
          <w:noProof/>
        </w:rPr>
        <w:t xml:space="preserve"> w ram</w:t>
      </w:r>
      <w:r w:rsidRPr="00A33B9F">
        <w:rPr>
          <w:noProof/>
        </w:rPr>
        <w:t>ach RRF celem programu na początkowym etapie jest wypłacenie dotacji opiewających na kwotę co najmniej [640 mln] EUR (pomniejszonych</w:t>
      </w:r>
      <w:r w:rsidR="00A33B9F" w:rsidRPr="00A33B9F">
        <w:rPr>
          <w:noProof/>
        </w:rPr>
        <w:t xml:space="preserve"> o wsz</w:t>
      </w:r>
      <w:r w:rsidRPr="00A33B9F">
        <w:rPr>
          <w:noProof/>
        </w:rPr>
        <w:t>elkie naliczone koszty</w:t>
      </w:r>
      <w:r w:rsidR="00A33B9F" w:rsidRPr="00A33B9F">
        <w:rPr>
          <w:noProof/>
        </w:rPr>
        <w:t xml:space="preserve"> i opł</w:t>
      </w:r>
      <w:r w:rsidRPr="00A33B9F">
        <w:rPr>
          <w:noProof/>
        </w:rPr>
        <w:t>aty).</w:t>
      </w:r>
    </w:p>
    <w:p w14:paraId="717F28E5" w14:textId="77777777" w:rsidR="00D03B54" w:rsidRPr="00A33B9F" w:rsidRDefault="00D03B54" w:rsidP="00AC7C31">
      <w:pPr>
        <w:spacing w:after="160" w:line="257" w:lineRule="auto"/>
        <w:jc w:val="both"/>
        <w:rPr>
          <w:noProof/>
        </w:rPr>
      </w:pPr>
    </w:p>
    <w:p w14:paraId="554715A3" w14:textId="77777777" w:rsidR="00457D17" w:rsidRPr="00A33B9F" w:rsidRDefault="00394B30" w:rsidP="00457D17">
      <w:pPr>
        <w:pStyle w:val="paragraph"/>
        <w:spacing w:before="0" w:beforeAutospacing="0" w:after="0" w:afterAutospacing="0"/>
        <w:jc w:val="both"/>
        <w:textAlignment w:val="baseline"/>
        <w:rPr>
          <w:rStyle w:val="normaltextrun"/>
          <w:rFonts w:ascii="Times" w:eastAsia="Times" w:hAnsi="Times" w:cs="Times"/>
          <w:noProof/>
        </w:rPr>
      </w:pPr>
      <w:r w:rsidRPr="00A33B9F">
        <w:rPr>
          <w:rStyle w:val="normaltextrun"/>
          <w:rFonts w:ascii="Times" w:hAnsi="Times"/>
          <w:noProof/>
        </w:rPr>
        <w:t xml:space="preserve">Programem zarządza Bank Gospodarstwa Krajowego (BGK) pełniący funkcję partnera wykonawczego. </w:t>
      </w:r>
    </w:p>
    <w:p w14:paraId="1514330D" w14:textId="77777777" w:rsidR="00457D17" w:rsidRPr="00A33B9F" w:rsidRDefault="00457D17" w:rsidP="00457D17">
      <w:pPr>
        <w:pStyle w:val="paragraph"/>
        <w:spacing w:before="0" w:beforeAutospacing="0" w:after="0" w:afterAutospacing="0"/>
        <w:jc w:val="both"/>
        <w:textAlignment w:val="baseline"/>
        <w:rPr>
          <w:rStyle w:val="normaltextrun"/>
          <w:rFonts w:ascii="Times" w:eastAsia="Times" w:hAnsi="Times" w:cs="Times"/>
          <w:noProof/>
        </w:rPr>
      </w:pPr>
    </w:p>
    <w:p w14:paraId="764EA793" w14:textId="463E0482" w:rsidR="00457D17" w:rsidRPr="00A33B9F" w:rsidRDefault="00457D17" w:rsidP="00457D17">
      <w:pPr>
        <w:pStyle w:val="paragraph"/>
        <w:spacing w:before="0" w:beforeAutospacing="0" w:after="0" w:afterAutospacing="0"/>
        <w:jc w:val="both"/>
        <w:textAlignment w:val="baseline"/>
        <w:rPr>
          <w:rStyle w:val="normaltextrun"/>
          <w:rFonts w:ascii="Times" w:eastAsia="Times" w:hAnsi="Times" w:cs="Times"/>
          <w:noProof/>
        </w:rPr>
      </w:pPr>
      <w:r w:rsidRPr="00A33B9F">
        <w:rPr>
          <w:rStyle w:val="normaltextrun"/>
          <w:rFonts w:ascii="Times" w:hAnsi="Times"/>
          <w:noProof/>
        </w:rPr>
        <w:t xml:space="preserve">Program obejmuje następującą linię produktową: </w:t>
      </w:r>
    </w:p>
    <w:p w14:paraId="2BC79F2C" w14:textId="69C7E3DE" w:rsidR="00457D17" w:rsidRPr="00A33B9F" w:rsidRDefault="00457D17" w:rsidP="00394B30">
      <w:pPr>
        <w:pStyle w:val="paragraph"/>
        <w:numPr>
          <w:ilvl w:val="0"/>
          <w:numId w:val="92"/>
        </w:numPr>
        <w:spacing w:before="0" w:beforeAutospacing="0" w:after="0" w:afterAutospacing="0"/>
        <w:jc w:val="both"/>
        <w:textAlignment w:val="baseline"/>
        <w:rPr>
          <w:rStyle w:val="normaltextrun"/>
          <w:rFonts w:ascii="Times" w:eastAsia="Times" w:hAnsi="Times" w:cs="Times"/>
          <w:noProof/>
        </w:rPr>
      </w:pPr>
      <w:r w:rsidRPr="00A33B9F">
        <w:rPr>
          <w:rStyle w:val="normaltextrun"/>
          <w:rFonts w:ascii="Times" w:hAnsi="Times"/>
          <w:noProof/>
          <w:shd w:val="clear" w:color="auto" w:fill="FFFFFF" w:themeFill="background1"/>
        </w:rPr>
        <w:t xml:space="preserve">Dotacje bezpośrednie na rzecz podmiotów prywatnych </w:t>
      </w:r>
      <w:r w:rsidRPr="00A33B9F">
        <w:rPr>
          <w:noProof/>
          <w:shd w:val="clear" w:color="auto" w:fill="FFFFFF" w:themeFill="background1"/>
        </w:rPr>
        <w:t xml:space="preserve">lub podmiotów sektora publicznego prowadzących zbliżoną działalność </w:t>
      </w:r>
      <w:r w:rsidRPr="00A33B9F">
        <w:rPr>
          <w:rStyle w:val="normaltextrun"/>
          <w:rFonts w:ascii="Times" w:hAnsi="Times"/>
          <w:noProof/>
          <w:shd w:val="clear" w:color="auto" w:fill="FFFFFF" w:themeFill="background1"/>
        </w:rPr>
        <w:t>służące sfinansowaniu</w:t>
      </w:r>
      <w:r w:rsidRPr="00A33B9F">
        <w:rPr>
          <w:rStyle w:val="normaltextrun"/>
          <w:rFonts w:ascii="Times" w:hAnsi="Times"/>
          <w:noProof/>
        </w:rPr>
        <w:t xml:space="preserve"> inwestycji</w:t>
      </w:r>
      <w:r w:rsidR="00A33B9F" w:rsidRPr="00A33B9F">
        <w:rPr>
          <w:rStyle w:val="normaltextrun"/>
          <w:rFonts w:ascii="Times" w:hAnsi="Times"/>
          <w:noProof/>
        </w:rPr>
        <w:t xml:space="preserve"> w zwi</w:t>
      </w:r>
      <w:r w:rsidRPr="00A33B9F">
        <w:rPr>
          <w:rStyle w:val="normaltextrun"/>
          <w:rFonts w:ascii="Times" w:hAnsi="Times"/>
          <w:noProof/>
        </w:rPr>
        <w:t>ększanie zdolności</w:t>
      </w:r>
      <w:r w:rsidR="00A33B9F" w:rsidRPr="00A33B9F">
        <w:rPr>
          <w:rStyle w:val="normaltextrun"/>
          <w:rFonts w:ascii="Times" w:hAnsi="Times"/>
          <w:noProof/>
        </w:rPr>
        <w:t xml:space="preserve"> w zak</w:t>
      </w:r>
      <w:r w:rsidRPr="00A33B9F">
        <w:rPr>
          <w:rStyle w:val="normaltextrun"/>
          <w:rFonts w:ascii="Times" w:hAnsi="Times"/>
          <w:noProof/>
        </w:rPr>
        <w:t>resie produkcji wodoru odnawialnego</w:t>
      </w:r>
      <w:r w:rsidR="00A33B9F" w:rsidRPr="00A33B9F">
        <w:rPr>
          <w:rStyle w:val="normaltextrun"/>
          <w:rFonts w:ascii="Times" w:hAnsi="Times"/>
          <w:noProof/>
        </w:rPr>
        <w:t xml:space="preserve"> i nis</w:t>
      </w:r>
      <w:r w:rsidRPr="00A33B9F">
        <w:rPr>
          <w:rStyle w:val="normaltextrun"/>
          <w:rFonts w:ascii="Times" w:hAnsi="Times"/>
          <w:noProof/>
        </w:rPr>
        <w:t>koemisyjnego, uwzględniając elektrolizery,</w:t>
      </w:r>
      <w:r w:rsidR="00A33B9F" w:rsidRPr="00A33B9F">
        <w:rPr>
          <w:rStyle w:val="normaltextrun"/>
          <w:rFonts w:ascii="Times" w:hAnsi="Times"/>
          <w:noProof/>
        </w:rPr>
        <w:t xml:space="preserve"> i roz</w:t>
      </w:r>
      <w:r w:rsidRPr="00A33B9F">
        <w:rPr>
          <w:rStyle w:val="normaltextrun"/>
          <w:rFonts w:ascii="Times" w:hAnsi="Times"/>
          <w:noProof/>
        </w:rPr>
        <w:t>budowę powiązanej infrastruktury.</w:t>
      </w:r>
      <w:r w:rsidR="00C3621A" w:rsidRPr="00A33B9F">
        <w:rPr>
          <w:rStyle w:val="normaltextrun"/>
          <w:rFonts w:ascii="Times" w:hAnsi="Times"/>
          <w:noProof/>
        </w:rPr>
        <w:t xml:space="preserve"> </w:t>
      </w:r>
    </w:p>
    <w:p w14:paraId="023F4616" w14:textId="77777777" w:rsidR="00457D17" w:rsidRPr="00A33B9F" w:rsidRDefault="00457D17" w:rsidP="00457D17">
      <w:pPr>
        <w:pStyle w:val="paragraph"/>
        <w:spacing w:before="0" w:beforeAutospacing="0" w:after="0" w:afterAutospacing="0"/>
        <w:jc w:val="both"/>
        <w:textAlignment w:val="baseline"/>
        <w:rPr>
          <w:rStyle w:val="normaltextrun"/>
          <w:rFonts w:ascii="Times" w:eastAsia="Times" w:hAnsi="Times" w:cs="Times"/>
          <w:noProof/>
        </w:rPr>
      </w:pPr>
    </w:p>
    <w:p w14:paraId="41A89CEF" w14:textId="65AAA591" w:rsidR="00394B30" w:rsidRPr="00A33B9F" w:rsidRDefault="00394B30" w:rsidP="00457D17">
      <w:pPr>
        <w:pStyle w:val="paragraph"/>
        <w:spacing w:before="0" w:beforeAutospacing="0" w:after="0" w:afterAutospacing="0"/>
        <w:jc w:val="both"/>
        <w:textAlignment w:val="baseline"/>
        <w:rPr>
          <w:rStyle w:val="eop"/>
          <w:rFonts w:ascii="Times" w:eastAsia="Times" w:hAnsi="Times" w:cs="Times"/>
          <w:noProof/>
        </w:rPr>
      </w:pPr>
      <w:r w:rsidRPr="00A33B9F">
        <w:rPr>
          <w:rStyle w:val="normaltextrun"/>
          <w:rFonts w:ascii="Times" w:hAnsi="Times"/>
          <w:noProof/>
        </w:rPr>
        <w:t>Aby objąć inwestycję programem, Polska i BGK podpisują umowę wykonawczą zawierającą:</w:t>
      </w:r>
      <w:r w:rsidRPr="00A33B9F">
        <w:rPr>
          <w:rStyle w:val="eop"/>
          <w:rFonts w:ascii="Times" w:hAnsi="Times"/>
          <w:noProof/>
        </w:rPr>
        <w:t xml:space="preserve"> </w:t>
      </w:r>
    </w:p>
    <w:p w14:paraId="03EA99D1" w14:textId="77777777" w:rsidR="00394B30" w:rsidRPr="00A33B9F" w:rsidRDefault="00394B30" w:rsidP="00394B30">
      <w:pPr>
        <w:pStyle w:val="paragraph"/>
        <w:spacing w:before="0" w:beforeAutospacing="0" w:after="0" w:afterAutospacing="0"/>
        <w:jc w:val="both"/>
        <w:textAlignment w:val="baseline"/>
        <w:rPr>
          <w:rStyle w:val="normaltextrun"/>
          <w:rFonts w:ascii="Times" w:eastAsia="Times" w:hAnsi="Times" w:cs="Times"/>
          <w:noProof/>
        </w:rPr>
      </w:pPr>
    </w:p>
    <w:p w14:paraId="08E88368" w14:textId="589E46FC" w:rsidR="00394B30" w:rsidRPr="00A33B9F" w:rsidRDefault="00394B30" w:rsidP="00D03B54">
      <w:pPr>
        <w:pStyle w:val="paragraph"/>
        <w:numPr>
          <w:ilvl w:val="0"/>
          <w:numId w:val="41"/>
        </w:numPr>
        <w:spacing w:before="0" w:beforeAutospacing="0" w:after="0" w:afterAutospacing="0"/>
        <w:jc w:val="both"/>
        <w:textAlignment w:val="baseline"/>
        <w:rPr>
          <w:rFonts w:ascii="Times" w:eastAsia="Times" w:hAnsi="Times" w:cs="Times"/>
          <w:noProof/>
        </w:rPr>
      </w:pPr>
      <w:r w:rsidRPr="00A33B9F">
        <w:rPr>
          <w:rStyle w:val="normaltextrun"/>
          <w:rFonts w:ascii="Times" w:hAnsi="Times"/>
          <w:noProof/>
        </w:rPr>
        <w:t>Opis procesu decyzyjnego</w:t>
      </w:r>
      <w:r w:rsidR="00A33B9F" w:rsidRPr="00A33B9F">
        <w:rPr>
          <w:rStyle w:val="normaltextrun"/>
          <w:rFonts w:ascii="Times" w:hAnsi="Times"/>
          <w:noProof/>
        </w:rPr>
        <w:t xml:space="preserve"> w ram</w:t>
      </w:r>
      <w:r w:rsidRPr="00A33B9F">
        <w:rPr>
          <w:rStyle w:val="normaltextrun"/>
          <w:rFonts w:ascii="Times" w:hAnsi="Times"/>
          <w:noProof/>
        </w:rPr>
        <w:t>ach programu:</w:t>
      </w:r>
      <w:r w:rsidR="00C3621A" w:rsidRPr="00A33B9F">
        <w:rPr>
          <w:rStyle w:val="normaltextrun"/>
          <w:rFonts w:ascii="Times" w:hAnsi="Times"/>
          <w:noProof/>
        </w:rPr>
        <w:t xml:space="preserve"> </w:t>
      </w:r>
      <w:r w:rsidRPr="00A33B9F">
        <w:rPr>
          <w:rFonts w:ascii="Times" w:hAnsi="Times"/>
          <w:noProof/>
        </w:rPr>
        <w:t>Ostateczną decyzję</w:t>
      </w:r>
      <w:r w:rsidR="00A33B9F" w:rsidRPr="00A33B9F">
        <w:rPr>
          <w:rFonts w:ascii="Times" w:hAnsi="Times"/>
          <w:noProof/>
        </w:rPr>
        <w:t xml:space="preserve"> o prz</w:t>
      </w:r>
      <w:r w:rsidRPr="00A33B9F">
        <w:rPr>
          <w:rFonts w:ascii="Times" w:hAnsi="Times"/>
          <w:noProof/>
        </w:rPr>
        <w:t>yznaniu dotacji</w:t>
      </w:r>
      <w:r w:rsidR="00A33B9F" w:rsidRPr="00A33B9F">
        <w:rPr>
          <w:rFonts w:ascii="Times" w:hAnsi="Times"/>
          <w:noProof/>
        </w:rPr>
        <w:t xml:space="preserve"> w ram</w:t>
      </w:r>
      <w:r w:rsidRPr="00A33B9F">
        <w:rPr>
          <w:rFonts w:ascii="Times" w:hAnsi="Times"/>
          <w:noProof/>
        </w:rPr>
        <w:t>ach programu podejmuje komitet inwestycyjny lub inny odpowiedni równoważny organ zarządzający – musi ona zostać następnie zatwierdzona większością głosów członków niezależnych od rządu.</w:t>
      </w:r>
    </w:p>
    <w:p w14:paraId="425D4BCD" w14:textId="77777777" w:rsidR="00D03B54" w:rsidRPr="00A33B9F" w:rsidRDefault="00D03B54" w:rsidP="00D03B54">
      <w:pPr>
        <w:pStyle w:val="paragraph"/>
        <w:spacing w:before="0" w:beforeAutospacing="0" w:after="0" w:afterAutospacing="0"/>
        <w:ind w:left="360"/>
        <w:jc w:val="both"/>
        <w:textAlignment w:val="baseline"/>
        <w:rPr>
          <w:noProof/>
        </w:rPr>
      </w:pPr>
    </w:p>
    <w:p w14:paraId="45238222" w14:textId="50706A5E" w:rsidR="0025216E" w:rsidRPr="00A33B9F" w:rsidRDefault="1107A368" w:rsidP="7CB5A6C3">
      <w:pPr>
        <w:pStyle w:val="paragraph"/>
        <w:numPr>
          <w:ilvl w:val="0"/>
          <w:numId w:val="41"/>
        </w:numPr>
        <w:spacing w:before="0" w:beforeAutospacing="0" w:after="0" w:afterAutospacing="0"/>
        <w:jc w:val="both"/>
        <w:textAlignment w:val="baseline"/>
        <w:rPr>
          <w:rFonts w:ascii="Times" w:eastAsia="Times" w:hAnsi="Times" w:cs="Times"/>
          <w:noProof/>
        </w:rPr>
      </w:pPr>
      <w:r w:rsidRPr="00A33B9F">
        <w:rPr>
          <w:rFonts w:ascii="Times" w:hAnsi="Times"/>
          <w:noProof/>
        </w:rPr>
        <w:t>Najważniejsze wymogi ustanowione</w:t>
      </w:r>
      <w:r w:rsidR="00A33B9F" w:rsidRPr="00A33B9F">
        <w:rPr>
          <w:rFonts w:ascii="Times" w:hAnsi="Times"/>
          <w:noProof/>
        </w:rPr>
        <w:t xml:space="preserve"> w pow</w:t>
      </w:r>
      <w:r w:rsidRPr="00A33B9F">
        <w:rPr>
          <w:rFonts w:ascii="Times" w:hAnsi="Times"/>
          <w:noProof/>
        </w:rPr>
        <w:t>iązanej polityce</w:t>
      </w:r>
      <w:r w:rsidR="00A33B9F" w:rsidRPr="00A33B9F">
        <w:rPr>
          <w:rFonts w:ascii="Times" w:hAnsi="Times"/>
          <w:noProof/>
        </w:rPr>
        <w:t xml:space="preserve"> w zak</w:t>
      </w:r>
      <w:r w:rsidRPr="00A33B9F">
        <w:rPr>
          <w:rFonts w:ascii="Times" w:hAnsi="Times"/>
          <w:noProof/>
        </w:rPr>
        <w:t>resie dotacji,</w:t>
      </w:r>
      <w:r w:rsidRPr="00A33B9F">
        <w:rPr>
          <w:rFonts w:ascii="Times" w:hAnsi="Times"/>
          <w:b/>
          <w:noProof/>
        </w:rPr>
        <w:t xml:space="preserve"> </w:t>
      </w:r>
      <w:r w:rsidRPr="00A33B9F">
        <w:rPr>
          <w:rFonts w:ascii="Times" w:hAnsi="Times"/>
          <w:noProof/>
        </w:rPr>
        <w:t>które obejmują:</w:t>
      </w:r>
    </w:p>
    <w:p w14:paraId="60F4035D" w14:textId="47F35636" w:rsidR="00D03B54" w:rsidRPr="00A33B9F" w:rsidRDefault="1107A368" w:rsidP="00D03B54">
      <w:pPr>
        <w:pStyle w:val="ListParagraph"/>
        <w:numPr>
          <w:ilvl w:val="0"/>
          <w:numId w:val="42"/>
        </w:numPr>
        <w:spacing w:after="0" w:line="257" w:lineRule="auto"/>
        <w:ind w:hanging="360"/>
        <w:jc w:val="both"/>
        <w:textAlignment w:val="baseline"/>
        <w:rPr>
          <w:rFonts w:ascii="Times" w:eastAsia="Times" w:hAnsi="Times" w:cs="Times"/>
          <w:noProof/>
          <w:sz w:val="24"/>
          <w:szCs w:val="24"/>
        </w:rPr>
      </w:pPr>
      <w:r w:rsidRPr="00A33B9F">
        <w:rPr>
          <w:rFonts w:ascii="Times" w:hAnsi="Times"/>
          <w:noProof/>
          <w:sz w:val="24"/>
        </w:rPr>
        <w:t>Opis udzielonych dotacji</w:t>
      </w:r>
      <w:r w:rsidR="00A33B9F" w:rsidRPr="00A33B9F">
        <w:rPr>
          <w:rFonts w:ascii="Times" w:hAnsi="Times"/>
          <w:noProof/>
          <w:sz w:val="24"/>
        </w:rPr>
        <w:t xml:space="preserve"> i kwa</w:t>
      </w:r>
      <w:r w:rsidRPr="00A33B9F">
        <w:rPr>
          <w:rFonts w:ascii="Times" w:hAnsi="Times"/>
          <w:noProof/>
          <w:sz w:val="24"/>
        </w:rPr>
        <w:t>lifikujących się beneficjentów końcowych uwzględniający cel umów</w:t>
      </w:r>
      <w:r w:rsidR="00A33B9F" w:rsidRPr="00A33B9F">
        <w:rPr>
          <w:rFonts w:ascii="Times" w:hAnsi="Times"/>
          <w:noProof/>
          <w:sz w:val="24"/>
        </w:rPr>
        <w:t xml:space="preserve"> o udz</w:t>
      </w:r>
      <w:r w:rsidRPr="00A33B9F">
        <w:rPr>
          <w:rFonts w:ascii="Times" w:hAnsi="Times"/>
          <w:noProof/>
          <w:sz w:val="24"/>
        </w:rPr>
        <w:t>ielenie dotacji zawartych między programem</w:t>
      </w:r>
      <w:r w:rsidR="00A33B9F" w:rsidRPr="00A33B9F">
        <w:rPr>
          <w:rFonts w:ascii="Times" w:hAnsi="Times"/>
          <w:noProof/>
          <w:sz w:val="24"/>
        </w:rPr>
        <w:t xml:space="preserve"> a ben</w:t>
      </w:r>
      <w:r w:rsidRPr="00A33B9F">
        <w:rPr>
          <w:rFonts w:ascii="Times" w:hAnsi="Times"/>
          <w:noProof/>
          <w:sz w:val="24"/>
        </w:rPr>
        <w:t>eficjentami końcowymi zakładający zapewnienie zdolności produkcyjnych</w:t>
      </w:r>
      <w:r w:rsidR="00A33B9F" w:rsidRPr="00A33B9F">
        <w:rPr>
          <w:rFonts w:ascii="Times" w:hAnsi="Times"/>
          <w:noProof/>
          <w:sz w:val="24"/>
        </w:rPr>
        <w:t xml:space="preserve"> w zak</w:t>
      </w:r>
      <w:r w:rsidRPr="00A33B9F">
        <w:rPr>
          <w:rFonts w:ascii="Times" w:hAnsi="Times"/>
          <w:noProof/>
          <w:sz w:val="24"/>
        </w:rPr>
        <w:t>resie wodoru odnawialnego</w:t>
      </w:r>
      <w:r w:rsidR="00A33B9F" w:rsidRPr="00A33B9F">
        <w:rPr>
          <w:rFonts w:ascii="Times" w:hAnsi="Times"/>
          <w:noProof/>
          <w:sz w:val="24"/>
        </w:rPr>
        <w:t xml:space="preserve"> i nis</w:t>
      </w:r>
      <w:r w:rsidRPr="00A33B9F">
        <w:rPr>
          <w:rFonts w:ascii="Times" w:hAnsi="Times"/>
          <w:noProof/>
          <w:sz w:val="24"/>
        </w:rPr>
        <w:t>koemisyjnego na poziomie co najmniej 320 MW.</w:t>
      </w:r>
    </w:p>
    <w:p w14:paraId="6BD98B82" w14:textId="308A72F3" w:rsidR="00D03B54" w:rsidRPr="00A33B9F" w:rsidRDefault="1107A368" w:rsidP="79FD39D9">
      <w:pPr>
        <w:spacing w:after="0" w:line="257" w:lineRule="auto"/>
        <w:jc w:val="both"/>
        <w:textAlignment w:val="baseline"/>
        <w:rPr>
          <w:rFonts w:ascii="Times" w:eastAsia="Times" w:hAnsi="Times" w:cs="Times"/>
          <w:noProof/>
          <w:sz w:val="24"/>
          <w:szCs w:val="24"/>
        </w:rPr>
      </w:pPr>
      <w:r w:rsidRPr="00A33B9F">
        <w:rPr>
          <w:rFonts w:ascii="Times" w:hAnsi="Times"/>
          <w:noProof/>
          <w:sz w:val="24"/>
        </w:rPr>
        <w:t xml:space="preserve"> </w:t>
      </w:r>
    </w:p>
    <w:p w14:paraId="0D833F27" w14:textId="4B29D4F1" w:rsidR="00457D17" w:rsidRPr="00A33B9F" w:rsidRDefault="61AADB3D" w:rsidP="00457D17">
      <w:pPr>
        <w:pStyle w:val="ListParagraph"/>
        <w:numPr>
          <w:ilvl w:val="0"/>
          <w:numId w:val="42"/>
        </w:numPr>
        <w:spacing w:after="0" w:line="257" w:lineRule="auto"/>
        <w:ind w:hanging="360"/>
        <w:jc w:val="both"/>
        <w:textAlignment w:val="baseline"/>
        <w:rPr>
          <w:rFonts w:ascii="Times New Roman" w:eastAsia="Times New Roman" w:hAnsi="Times New Roman" w:cs="Times New Roman"/>
          <w:noProof/>
          <w:sz w:val="24"/>
          <w:szCs w:val="24"/>
        </w:rPr>
      </w:pPr>
      <w:r w:rsidRPr="00A33B9F">
        <w:rPr>
          <w:rFonts w:ascii="Times" w:hAnsi="Times"/>
          <w:noProof/>
          <w:sz w:val="24"/>
        </w:rPr>
        <w:t>Wymóg, zgodnie</w:t>
      </w:r>
      <w:r w:rsidR="00A33B9F" w:rsidRPr="00A33B9F">
        <w:rPr>
          <w:rFonts w:ascii="Times" w:hAnsi="Times"/>
          <w:noProof/>
          <w:sz w:val="24"/>
        </w:rPr>
        <w:t xml:space="preserve"> z któ</w:t>
      </w:r>
      <w:r w:rsidRPr="00A33B9F">
        <w:rPr>
          <w:rFonts w:ascii="Times" w:hAnsi="Times"/>
          <w:noProof/>
          <w:sz w:val="24"/>
        </w:rPr>
        <w:t>rym wszystkie inwestycje objęte wsparciem muszą być opłacalne</w:t>
      </w:r>
      <w:r w:rsidR="00A33B9F" w:rsidRPr="00A33B9F">
        <w:rPr>
          <w:rFonts w:ascii="Times" w:hAnsi="Times"/>
          <w:noProof/>
          <w:sz w:val="24"/>
        </w:rPr>
        <w:t xml:space="preserve"> z eko</w:t>
      </w:r>
      <w:r w:rsidRPr="00A33B9F">
        <w:rPr>
          <w:rFonts w:ascii="Times" w:hAnsi="Times"/>
          <w:noProof/>
          <w:sz w:val="24"/>
        </w:rPr>
        <w:t>nomicznego punktu widzenia</w:t>
      </w:r>
      <w:r w:rsidRPr="00A33B9F">
        <w:rPr>
          <w:rFonts w:ascii="Times" w:hAnsi="Times"/>
          <w:b/>
          <w:noProof/>
          <w:sz w:val="24"/>
        </w:rPr>
        <w:t>.</w:t>
      </w:r>
    </w:p>
    <w:p w14:paraId="10992257" w14:textId="47BF34A1" w:rsidR="79FD39D9" w:rsidRPr="00A33B9F" w:rsidRDefault="79FD39D9" w:rsidP="79FD39D9">
      <w:pPr>
        <w:spacing w:after="0" w:line="257" w:lineRule="auto"/>
        <w:jc w:val="both"/>
        <w:rPr>
          <w:rFonts w:ascii="Times New Roman" w:eastAsia="Times New Roman" w:hAnsi="Times New Roman" w:cs="Times New Roman"/>
          <w:noProof/>
          <w:sz w:val="24"/>
          <w:szCs w:val="24"/>
        </w:rPr>
      </w:pPr>
    </w:p>
    <w:p w14:paraId="55406806" w14:textId="74464214" w:rsidR="00457D17" w:rsidRPr="00A33B9F" w:rsidRDefault="00394B30" w:rsidP="722873C2">
      <w:pPr>
        <w:pStyle w:val="ListParagraph"/>
        <w:numPr>
          <w:ilvl w:val="0"/>
          <w:numId w:val="42"/>
        </w:numPr>
        <w:spacing w:after="0" w:line="240" w:lineRule="auto"/>
        <w:ind w:hanging="360"/>
        <w:jc w:val="both"/>
        <w:textAlignment w:val="baseline"/>
        <w:rPr>
          <w:rStyle w:val="normaltextrun"/>
          <w:rFonts w:ascii="Times New Roman" w:eastAsia="Times New Roman" w:hAnsi="Times New Roman" w:cs="Times New Roman"/>
          <w:noProof/>
          <w:sz w:val="24"/>
          <w:szCs w:val="24"/>
        </w:rPr>
      </w:pPr>
      <w:r w:rsidRPr="00A33B9F">
        <w:rPr>
          <w:rStyle w:val="normaltextrun"/>
          <w:rFonts w:ascii="Times New Roman" w:hAnsi="Times New Roman"/>
          <w:noProof/>
          <w:sz w:val="24"/>
        </w:rPr>
        <w:t>Wymóg poszanowania zasady „nie czyń poważnych szkód” ustanowionej</w:t>
      </w:r>
      <w:r w:rsidR="00A33B9F" w:rsidRPr="00A33B9F">
        <w:rPr>
          <w:rStyle w:val="normaltextrun"/>
          <w:rFonts w:ascii="Times New Roman" w:hAnsi="Times New Roman"/>
          <w:noProof/>
          <w:sz w:val="24"/>
        </w:rPr>
        <w:t xml:space="preserve"> w wyt</w:t>
      </w:r>
      <w:r w:rsidRPr="00A33B9F">
        <w:rPr>
          <w:rStyle w:val="normaltextrun"/>
          <w:rFonts w:ascii="Times New Roman" w:hAnsi="Times New Roman"/>
          <w:noProof/>
          <w:sz w:val="24"/>
        </w:rPr>
        <w:t>ycznych technicznych dotyczących stosowania zasady „nie czyń poważnych szkód” (</w:t>
      </w:r>
      <w:r w:rsidRPr="00A33B9F">
        <w:rPr>
          <w:rStyle w:val="normaltextrun"/>
          <w:rFonts w:ascii="Times New Roman" w:hAnsi="Times New Roman"/>
          <w:noProof/>
          <w:color w:val="000000"/>
          <w:sz w:val="24"/>
          <w:shd w:val="clear" w:color="auto" w:fill="FFFFFF"/>
        </w:rPr>
        <w:t>C(2023) 6454 final</w:t>
      </w:r>
      <w:r w:rsidRPr="00A33B9F">
        <w:rPr>
          <w:rStyle w:val="normaltextrun"/>
          <w:rFonts w:ascii="Times New Roman" w:hAnsi="Times New Roman"/>
          <w:noProof/>
          <w:sz w:val="24"/>
        </w:rPr>
        <w:t>)</w:t>
      </w:r>
      <w:r w:rsidR="00A33B9F" w:rsidRPr="00A33B9F">
        <w:rPr>
          <w:rStyle w:val="normaltextrun"/>
          <w:rFonts w:ascii="Times New Roman" w:hAnsi="Times New Roman"/>
          <w:noProof/>
          <w:sz w:val="24"/>
        </w:rPr>
        <w:t>. W szc</w:t>
      </w:r>
      <w:r w:rsidRPr="00A33B9F">
        <w:rPr>
          <w:rStyle w:val="normaltextrun"/>
          <w:rFonts w:ascii="Times New Roman" w:hAnsi="Times New Roman"/>
          <w:noProof/>
          <w:sz w:val="24"/>
        </w:rPr>
        <w:t>zególności polityka inwestycyjna wyklucza możliwość uznania za kwalifikowalne następujących działań</w:t>
      </w:r>
      <w:r w:rsidR="00A33B9F" w:rsidRPr="00A33B9F">
        <w:rPr>
          <w:rStyle w:val="normaltextrun"/>
          <w:rFonts w:ascii="Times New Roman" w:hAnsi="Times New Roman"/>
          <w:noProof/>
          <w:sz w:val="24"/>
        </w:rPr>
        <w:t xml:space="preserve"> i akt</w:t>
      </w:r>
      <w:r w:rsidRPr="00A33B9F">
        <w:rPr>
          <w:rStyle w:val="normaltextrun"/>
          <w:rFonts w:ascii="Times New Roman" w:hAnsi="Times New Roman"/>
          <w:noProof/>
          <w:sz w:val="24"/>
        </w:rPr>
        <w:t>ywów: (i) działania</w:t>
      </w:r>
      <w:r w:rsidR="00A33B9F" w:rsidRPr="00A33B9F">
        <w:rPr>
          <w:rStyle w:val="normaltextrun"/>
          <w:rFonts w:ascii="Times New Roman" w:hAnsi="Times New Roman"/>
          <w:noProof/>
          <w:sz w:val="24"/>
        </w:rPr>
        <w:t xml:space="preserve"> i akt</w:t>
      </w:r>
      <w:r w:rsidRPr="00A33B9F">
        <w:rPr>
          <w:rStyle w:val="normaltextrun"/>
          <w:rFonts w:ascii="Times New Roman" w:hAnsi="Times New Roman"/>
          <w:noProof/>
          <w:sz w:val="24"/>
        </w:rPr>
        <w:t>ywa związane</w:t>
      </w:r>
      <w:r w:rsidR="00A33B9F" w:rsidRPr="00A33B9F">
        <w:rPr>
          <w:rStyle w:val="normaltextrun"/>
          <w:rFonts w:ascii="Times New Roman" w:hAnsi="Times New Roman"/>
          <w:noProof/>
          <w:sz w:val="24"/>
        </w:rPr>
        <w:t xml:space="preserve"> z pal</w:t>
      </w:r>
      <w:r w:rsidRPr="00A33B9F">
        <w:rPr>
          <w:rStyle w:val="normaltextrun"/>
          <w:rFonts w:ascii="Times New Roman" w:hAnsi="Times New Roman"/>
          <w:noProof/>
          <w:sz w:val="24"/>
        </w:rPr>
        <w:t>iwami kopalnymi,</w:t>
      </w:r>
      <w:r w:rsidR="00A33B9F" w:rsidRPr="00A33B9F">
        <w:rPr>
          <w:rStyle w:val="normaltextrun"/>
          <w:rFonts w:ascii="Times New Roman" w:hAnsi="Times New Roman"/>
          <w:noProof/>
          <w:sz w:val="24"/>
        </w:rPr>
        <w:t xml:space="preserve"> w tym</w:t>
      </w:r>
      <w:r w:rsidRPr="00A33B9F">
        <w:rPr>
          <w:rStyle w:val="normaltextrun"/>
          <w:rFonts w:ascii="Times New Roman" w:hAnsi="Times New Roman"/>
          <w:noProof/>
          <w:sz w:val="24"/>
        </w:rPr>
        <w:t xml:space="preserve"> zastosowania niższego szczebla</w:t>
      </w:r>
      <w:r w:rsidRPr="00A33B9F">
        <w:rPr>
          <w:rStyle w:val="FootnoteReference"/>
          <w:rFonts w:ascii="Times New Roman" w:hAnsi="Times New Roman" w:cs="Times New Roman"/>
          <w:noProof/>
          <w:sz w:val="24"/>
          <w:szCs w:val="24"/>
        </w:rPr>
        <w:footnoteReference w:id="12"/>
      </w:r>
      <w:r w:rsidRPr="00A33B9F">
        <w:rPr>
          <w:rStyle w:val="normaltextrun"/>
          <w:rFonts w:ascii="Times New Roman" w:hAnsi="Times New Roman"/>
          <w:noProof/>
          <w:sz w:val="24"/>
        </w:rPr>
        <w:t>; (ii) działania</w:t>
      </w:r>
      <w:r w:rsidR="00A33B9F" w:rsidRPr="00A33B9F">
        <w:rPr>
          <w:rStyle w:val="normaltextrun"/>
          <w:rFonts w:ascii="Times New Roman" w:hAnsi="Times New Roman"/>
          <w:noProof/>
          <w:sz w:val="24"/>
        </w:rPr>
        <w:t xml:space="preserve"> i akt</w:t>
      </w:r>
      <w:r w:rsidRPr="00A33B9F">
        <w:rPr>
          <w:rStyle w:val="normaltextrun"/>
          <w:rFonts w:ascii="Times New Roman" w:hAnsi="Times New Roman"/>
          <w:noProof/>
          <w:sz w:val="24"/>
        </w:rPr>
        <w:t>ywa</w:t>
      </w:r>
      <w:r w:rsidR="00A33B9F" w:rsidRPr="00A33B9F">
        <w:rPr>
          <w:rStyle w:val="normaltextrun"/>
          <w:rFonts w:ascii="Times New Roman" w:hAnsi="Times New Roman"/>
          <w:noProof/>
          <w:sz w:val="24"/>
        </w:rPr>
        <w:t xml:space="preserve"> w ram</w:t>
      </w:r>
      <w:r w:rsidRPr="00A33B9F">
        <w:rPr>
          <w:rStyle w:val="normaltextrun"/>
          <w:rFonts w:ascii="Times New Roman" w:hAnsi="Times New Roman"/>
          <w:noProof/>
          <w:sz w:val="24"/>
        </w:rPr>
        <w:t>ach unijnego systemu handlu uprawnieniami do emisji (ETS) prowadzące do osiągnięcia prognozowanych emisji gazów cieplarnianych nie niższych niż odpowiednie wskaźniki emisyjności</w:t>
      </w:r>
      <w:r w:rsidRPr="00A33B9F">
        <w:rPr>
          <w:rStyle w:val="FootnoteReference"/>
          <w:rFonts w:ascii="Times New Roman" w:hAnsi="Times New Roman" w:cs="Times New Roman"/>
          <w:noProof/>
          <w:sz w:val="24"/>
          <w:szCs w:val="24"/>
        </w:rPr>
        <w:footnoteReference w:id="13"/>
      </w:r>
      <w:r w:rsidRPr="00A33B9F">
        <w:rPr>
          <w:rStyle w:val="normaltextrun"/>
          <w:rFonts w:ascii="Times New Roman" w:hAnsi="Times New Roman"/>
          <w:noProof/>
          <w:sz w:val="24"/>
        </w:rPr>
        <w:t>; (iii) działania</w:t>
      </w:r>
      <w:r w:rsidR="00A33B9F" w:rsidRPr="00A33B9F">
        <w:rPr>
          <w:rStyle w:val="normaltextrun"/>
          <w:rFonts w:ascii="Times New Roman" w:hAnsi="Times New Roman"/>
          <w:noProof/>
          <w:sz w:val="24"/>
        </w:rPr>
        <w:t xml:space="preserve"> i akt</w:t>
      </w:r>
      <w:r w:rsidRPr="00A33B9F">
        <w:rPr>
          <w:rStyle w:val="normaltextrun"/>
          <w:rFonts w:ascii="Times New Roman" w:hAnsi="Times New Roman"/>
          <w:noProof/>
          <w:sz w:val="24"/>
        </w:rPr>
        <w:t>ywa związane ze składowiskami odpadów, spalarniami</w:t>
      </w:r>
      <w:r w:rsidRPr="00A33B9F">
        <w:rPr>
          <w:rStyle w:val="FootnoteReference"/>
          <w:rFonts w:ascii="Times New Roman" w:hAnsi="Times New Roman" w:cs="Times New Roman"/>
          <w:noProof/>
          <w:sz w:val="24"/>
          <w:szCs w:val="24"/>
        </w:rPr>
        <w:footnoteReference w:id="14"/>
      </w:r>
      <w:r w:rsidR="00A33B9F" w:rsidRPr="00A33B9F">
        <w:rPr>
          <w:rStyle w:val="normaltextrun"/>
          <w:rFonts w:ascii="Times New Roman" w:hAnsi="Times New Roman"/>
          <w:noProof/>
          <w:sz w:val="24"/>
        </w:rPr>
        <w:t xml:space="preserve"> i zak</w:t>
      </w:r>
      <w:r w:rsidRPr="00A33B9F">
        <w:rPr>
          <w:rStyle w:val="normaltextrun"/>
          <w:rFonts w:ascii="Times New Roman" w:hAnsi="Times New Roman"/>
          <w:noProof/>
          <w:sz w:val="24"/>
        </w:rPr>
        <w:t>ładami mechaniczno-biologicznego przetwarzania odpadów</w:t>
      </w:r>
      <w:r w:rsidRPr="00A33B9F">
        <w:rPr>
          <w:rStyle w:val="FootnoteReference"/>
          <w:rFonts w:ascii="Times New Roman" w:hAnsi="Times New Roman" w:cs="Times New Roman"/>
          <w:noProof/>
          <w:sz w:val="24"/>
          <w:szCs w:val="24"/>
        </w:rPr>
        <w:footnoteReference w:id="15"/>
      </w:r>
      <w:r w:rsidRPr="00A33B9F">
        <w:rPr>
          <w:rStyle w:val="normaltextrun"/>
          <w:rFonts w:ascii="Times New Roman" w:hAnsi="Times New Roman"/>
          <w:noProof/>
          <w:sz w:val="24"/>
        </w:rPr>
        <w:t xml:space="preserve"> oraz (iv) działania</w:t>
      </w:r>
      <w:r w:rsidR="00A33B9F" w:rsidRPr="00A33B9F">
        <w:rPr>
          <w:rStyle w:val="normaltextrun"/>
          <w:rFonts w:ascii="Times New Roman" w:hAnsi="Times New Roman"/>
          <w:noProof/>
          <w:sz w:val="24"/>
        </w:rPr>
        <w:t xml:space="preserve"> i akt</w:t>
      </w:r>
      <w:r w:rsidRPr="00A33B9F">
        <w:rPr>
          <w:rStyle w:val="normaltextrun"/>
          <w:rFonts w:ascii="Times New Roman" w:hAnsi="Times New Roman"/>
          <w:noProof/>
          <w:sz w:val="24"/>
        </w:rPr>
        <w:t>ywa związane</w:t>
      </w:r>
      <w:r w:rsidR="00A33B9F" w:rsidRPr="00A33B9F">
        <w:rPr>
          <w:rStyle w:val="normaltextrun"/>
          <w:rFonts w:ascii="Times New Roman" w:hAnsi="Times New Roman"/>
          <w:noProof/>
          <w:sz w:val="24"/>
        </w:rPr>
        <w:t xml:space="preserve"> z gór</w:t>
      </w:r>
      <w:r w:rsidRPr="00A33B9F">
        <w:rPr>
          <w:rStyle w:val="normaltextrun"/>
          <w:rFonts w:ascii="Times New Roman" w:hAnsi="Times New Roman"/>
          <w:noProof/>
          <w:sz w:val="24"/>
        </w:rPr>
        <w:t xml:space="preserve">nictwem. </w:t>
      </w:r>
    </w:p>
    <w:p w14:paraId="7B031BBC" w14:textId="218F59AF" w:rsidR="00457D17" w:rsidRPr="00A33B9F" w:rsidRDefault="00457D17" w:rsidP="79FD39D9">
      <w:pPr>
        <w:spacing w:after="0" w:line="257" w:lineRule="auto"/>
        <w:jc w:val="both"/>
        <w:textAlignment w:val="baseline"/>
        <w:rPr>
          <w:rStyle w:val="normaltextrun"/>
          <w:rFonts w:ascii="Times New Roman" w:eastAsia="Times New Roman" w:hAnsi="Times New Roman" w:cs="Times New Roman"/>
          <w:noProof/>
          <w:sz w:val="24"/>
          <w:szCs w:val="24"/>
        </w:rPr>
      </w:pPr>
      <w:r w:rsidRPr="00A33B9F">
        <w:rPr>
          <w:rStyle w:val="normaltextrun"/>
          <w:rFonts w:ascii="Times New Roman" w:hAnsi="Times New Roman"/>
          <w:noProof/>
          <w:sz w:val="24"/>
        </w:rPr>
        <w:t xml:space="preserve"> </w:t>
      </w:r>
    </w:p>
    <w:p w14:paraId="083AEA8F" w14:textId="6AC73ED4" w:rsidR="00457D17" w:rsidRPr="00A33B9F" w:rsidRDefault="00457D17" w:rsidP="00457D17">
      <w:pPr>
        <w:pStyle w:val="ListParagraph"/>
        <w:numPr>
          <w:ilvl w:val="0"/>
          <w:numId w:val="42"/>
        </w:numPr>
        <w:spacing w:after="0" w:line="257" w:lineRule="auto"/>
        <w:ind w:hanging="360"/>
        <w:jc w:val="both"/>
        <w:textAlignment w:val="baseline"/>
        <w:rPr>
          <w:rStyle w:val="normaltextrun"/>
          <w:rFonts w:ascii="Times New Roman" w:eastAsia="Times New Roman" w:hAnsi="Times New Roman" w:cs="Times New Roman"/>
          <w:noProof/>
          <w:sz w:val="24"/>
          <w:szCs w:val="24"/>
        </w:rPr>
      </w:pPr>
      <w:r w:rsidRPr="00A33B9F">
        <w:rPr>
          <w:rStyle w:val="normaltextrun"/>
          <w:rFonts w:ascii="Times New Roman" w:hAnsi="Times New Roman"/>
          <w:noProof/>
          <w:sz w:val="24"/>
        </w:rPr>
        <w:t>Wymóg odnoszący się do instalacji wodoru niskoemisyjnego musi być zgodny</w:t>
      </w:r>
      <w:r w:rsidR="00A33B9F" w:rsidRPr="00A33B9F">
        <w:rPr>
          <w:rStyle w:val="normaltextrun"/>
          <w:rFonts w:ascii="Times New Roman" w:hAnsi="Times New Roman"/>
          <w:noProof/>
          <w:sz w:val="24"/>
        </w:rPr>
        <w:t xml:space="preserve"> z wym</w:t>
      </w:r>
      <w:r w:rsidRPr="00A33B9F">
        <w:rPr>
          <w:rStyle w:val="normaltextrun"/>
          <w:rFonts w:ascii="Times New Roman" w:hAnsi="Times New Roman"/>
          <w:noProof/>
          <w:sz w:val="24"/>
        </w:rPr>
        <w:t>ogiem redukcji emisji gazów cieplarnianych</w:t>
      </w:r>
      <w:r w:rsidR="00A33B9F" w:rsidRPr="00A33B9F">
        <w:rPr>
          <w:rStyle w:val="normaltextrun"/>
          <w:rFonts w:ascii="Times New Roman" w:hAnsi="Times New Roman"/>
          <w:noProof/>
          <w:sz w:val="24"/>
        </w:rPr>
        <w:t xml:space="preserve"> w cał</w:t>
      </w:r>
      <w:r w:rsidRPr="00A33B9F">
        <w:rPr>
          <w:rStyle w:val="normaltextrun"/>
          <w:rFonts w:ascii="Times New Roman" w:hAnsi="Times New Roman"/>
          <w:noProof/>
          <w:sz w:val="24"/>
        </w:rPr>
        <w:t>ym cyklu życia wynoszącym 73,4</w:t>
      </w:r>
      <w:r w:rsidR="00A33B9F" w:rsidRPr="00A33B9F">
        <w:rPr>
          <w:rStyle w:val="normaltextrun"/>
          <w:rFonts w:ascii="Times New Roman" w:hAnsi="Times New Roman"/>
          <w:noProof/>
          <w:sz w:val="24"/>
        </w:rPr>
        <w:t> </w:t>
      </w:r>
      <w:r w:rsidRPr="00A33B9F">
        <w:rPr>
          <w:rStyle w:val="normaltextrun"/>
          <w:rFonts w:ascii="Times New Roman" w:hAnsi="Times New Roman"/>
          <w:noProof/>
          <w:sz w:val="24"/>
        </w:rPr>
        <w:t>%</w:t>
      </w:r>
      <w:r w:rsidR="00A33B9F" w:rsidRPr="00A33B9F">
        <w:rPr>
          <w:rStyle w:val="normaltextrun"/>
          <w:rFonts w:ascii="Times New Roman" w:hAnsi="Times New Roman"/>
          <w:noProof/>
          <w:sz w:val="24"/>
        </w:rPr>
        <w:t xml:space="preserve"> w prz</w:t>
      </w:r>
      <w:r w:rsidRPr="00A33B9F">
        <w:rPr>
          <w:rStyle w:val="normaltextrun"/>
          <w:rFonts w:ascii="Times New Roman" w:hAnsi="Times New Roman"/>
          <w:noProof/>
          <w:sz w:val="24"/>
        </w:rPr>
        <w:t>ypadku wodoru, co będzie skutkowało emisją gazów cieplarnianych</w:t>
      </w:r>
      <w:r w:rsidR="00A33B9F" w:rsidRPr="00A33B9F">
        <w:rPr>
          <w:rStyle w:val="normaltextrun"/>
          <w:rFonts w:ascii="Times New Roman" w:hAnsi="Times New Roman"/>
          <w:noProof/>
          <w:sz w:val="24"/>
        </w:rPr>
        <w:t xml:space="preserve"> w cał</w:t>
      </w:r>
      <w:r w:rsidRPr="00A33B9F">
        <w:rPr>
          <w:rStyle w:val="normaltextrun"/>
          <w:rFonts w:ascii="Times New Roman" w:hAnsi="Times New Roman"/>
          <w:noProof/>
          <w:sz w:val="24"/>
        </w:rPr>
        <w:t>ym cyklu życia na poziomie niższym niż 3 t ekwiwalentu CO</w:t>
      </w:r>
      <w:r w:rsidRPr="00A33B9F">
        <w:rPr>
          <w:rStyle w:val="normaltextrun"/>
          <w:rFonts w:ascii="Times New Roman" w:hAnsi="Times New Roman"/>
          <w:noProof/>
          <w:sz w:val="24"/>
          <w:vertAlign w:val="subscript"/>
        </w:rPr>
        <w:t>2</w:t>
      </w:r>
      <w:r w:rsidRPr="00A33B9F">
        <w:rPr>
          <w:rStyle w:val="normaltextrun"/>
          <w:rFonts w:ascii="Times New Roman" w:hAnsi="Times New Roman"/>
          <w:noProof/>
          <w:sz w:val="24"/>
        </w:rPr>
        <w:t>/t H2 oraz 70</w:t>
      </w:r>
      <w:r w:rsidR="00A33B9F" w:rsidRPr="00A33B9F">
        <w:rPr>
          <w:rStyle w:val="normaltextrun"/>
          <w:rFonts w:ascii="Times New Roman" w:hAnsi="Times New Roman"/>
          <w:noProof/>
          <w:sz w:val="24"/>
        </w:rPr>
        <w:t> </w:t>
      </w:r>
      <w:r w:rsidRPr="00A33B9F">
        <w:rPr>
          <w:rStyle w:val="normaltextrun"/>
          <w:rFonts w:ascii="Times New Roman" w:hAnsi="Times New Roman"/>
          <w:noProof/>
          <w:sz w:val="24"/>
        </w:rPr>
        <w:t>%</w:t>
      </w:r>
      <w:r w:rsidR="00A33B9F" w:rsidRPr="00A33B9F">
        <w:rPr>
          <w:rStyle w:val="normaltextrun"/>
          <w:rFonts w:ascii="Times New Roman" w:hAnsi="Times New Roman"/>
          <w:noProof/>
          <w:sz w:val="24"/>
        </w:rPr>
        <w:t xml:space="preserve"> w prz</w:t>
      </w:r>
      <w:r w:rsidRPr="00A33B9F">
        <w:rPr>
          <w:rStyle w:val="normaltextrun"/>
          <w:rFonts w:ascii="Times New Roman" w:hAnsi="Times New Roman"/>
          <w:noProof/>
          <w:sz w:val="24"/>
        </w:rPr>
        <w:t>ypadku syntetycznych paliw wodoropochodnych,</w:t>
      </w:r>
      <w:r w:rsidR="00A33B9F" w:rsidRPr="00A33B9F">
        <w:rPr>
          <w:rStyle w:val="normaltextrun"/>
          <w:rFonts w:ascii="Times New Roman" w:hAnsi="Times New Roman"/>
          <w:noProof/>
          <w:sz w:val="24"/>
        </w:rPr>
        <w:t xml:space="preserve"> w sto</w:t>
      </w:r>
      <w:r w:rsidRPr="00A33B9F">
        <w:rPr>
          <w:rStyle w:val="normaltextrun"/>
          <w:rFonts w:ascii="Times New Roman" w:hAnsi="Times New Roman"/>
          <w:noProof/>
          <w:sz w:val="24"/>
        </w:rPr>
        <w:t>sunku do odpowiednika kopalnego wynoszącego 94 g równoważnika CO</w:t>
      </w:r>
      <w:r w:rsidRPr="00A33B9F">
        <w:rPr>
          <w:rStyle w:val="normaltextrun"/>
          <w:rFonts w:ascii="Times New Roman" w:hAnsi="Times New Roman"/>
          <w:noProof/>
          <w:sz w:val="24"/>
          <w:vertAlign w:val="subscript"/>
        </w:rPr>
        <w:t>2</w:t>
      </w:r>
      <w:r w:rsidRPr="00A33B9F">
        <w:rPr>
          <w:rStyle w:val="normaltextrun"/>
          <w:rFonts w:ascii="Times New Roman" w:hAnsi="Times New Roman"/>
          <w:noProof/>
          <w:sz w:val="24"/>
        </w:rPr>
        <w:t>/MJ, co skutkuje emisją 2,256 t równoważnika CO</w:t>
      </w:r>
      <w:r w:rsidRPr="00A33B9F">
        <w:rPr>
          <w:rStyle w:val="normaltextrun"/>
          <w:rFonts w:ascii="Times New Roman" w:hAnsi="Times New Roman"/>
          <w:noProof/>
          <w:sz w:val="24"/>
          <w:vertAlign w:val="subscript"/>
        </w:rPr>
        <w:t>2</w:t>
      </w:r>
      <w:r w:rsidRPr="00A33B9F">
        <w:rPr>
          <w:rStyle w:val="normaltextrun"/>
          <w:rFonts w:ascii="Times New Roman" w:hAnsi="Times New Roman"/>
          <w:noProof/>
          <w:sz w:val="24"/>
        </w:rPr>
        <w:t>/t H2, analogicznie do podejścia określonego</w:t>
      </w:r>
      <w:r w:rsidR="00A33B9F" w:rsidRPr="00A33B9F">
        <w:rPr>
          <w:rStyle w:val="normaltextrun"/>
          <w:rFonts w:ascii="Times New Roman" w:hAnsi="Times New Roman"/>
          <w:noProof/>
          <w:sz w:val="24"/>
        </w:rPr>
        <w:t xml:space="preserve"> w art</w:t>
      </w:r>
      <w:r w:rsidRPr="00A33B9F">
        <w:rPr>
          <w:rStyle w:val="normaltextrun"/>
          <w:rFonts w:ascii="Times New Roman" w:hAnsi="Times New Roman"/>
          <w:noProof/>
          <w:sz w:val="24"/>
        </w:rPr>
        <w:t>.</w:t>
      </w:r>
      <w:r w:rsidR="00A33B9F" w:rsidRPr="00A33B9F">
        <w:rPr>
          <w:rStyle w:val="normaltextrun"/>
          <w:rFonts w:ascii="Times New Roman" w:hAnsi="Times New Roman"/>
          <w:noProof/>
          <w:sz w:val="24"/>
        </w:rPr>
        <w:t> </w:t>
      </w:r>
      <w:r w:rsidRPr="00A33B9F">
        <w:rPr>
          <w:rStyle w:val="normaltextrun"/>
          <w:rFonts w:ascii="Times New Roman" w:hAnsi="Times New Roman"/>
          <w:noProof/>
          <w:sz w:val="24"/>
        </w:rPr>
        <w:t>25 ust.</w:t>
      </w:r>
      <w:r w:rsidR="00A33B9F" w:rsidRPr="00A33B9F">
        <w:rPr>
          <w:rStyle w:val="normaltextrun"/>
          <w:rFonts w:ascii="Times New Roman" w:hAnsi="Times New Roman"/>
          <w:noProof/>
          <w:sz w:val="24"/>
        </w:rPr>
        <w:t> </w:t>
      </w:r>
      <w:r w:rsidRPr="00A33B9F">
        <w:rPr>
          <w:rStyle w:val="normaltextrun"/>
          <w:rFonts w:ascii="Times New Roman" w:hAnsi="Times New Roman"/>
          <w:noProof/>
          <w:sz w:val="24"/>
        </w:rPr>
        <w:t>2</w:t>
      </w:r>
      <w:r w:rsidR="00A33B9F" w:rsidRPr="00A33B9F">
        <w:rPr>
          <w:rStyle w:val="normaltextrun"/>
          <w:rFonts w:ascii="Times New Roman" w:hAnsi="Times New Roman"/>
          <w:noProof/>
          <w:sz w:val="24"/>
        </w:rPr>
        <w:t xml:space="preserve"> i zał</w:t>
      </w:r>
      <w:r w:rsidRPr="00A33B9F">
        <w:rPr>
          <w:rStyle w:val="normaltextrun"/>
          <w:rFonts w:ascii="Times New Roman" w:hAnsi="Times New Roman"/>
          <w:noProof/>
          <w:sz w:val="24"/>
        </w:rPr>
        <w:t>ączniku V do dyrektywy (UE) 2018/2001. Ograniczenie emisji gazów cieplarnianych</w:t>
      </w:r>
      <w:r w:rsidR="00A33B9F" w:rsidRPr="00A33B9F">
        <w:rPr>
          <w:rStyle w:val="normaltextrun"/>
          <w:rFonts w:ascii="Times New Roman" w:hAnsi="Times New Roman"/>
          <w:noProof/>
          <w:sz w:val="24"/>
        </w:rPr>
        <w:t xml:space="preserve"> w cyk</w:t>
      </w:r>
      <w:r w:rsidRPr="00A33B9F">
        <w:rPr>
          <w:rStyle w:val="normaltextrun"/>
          <w:rFonts w:ascii="Times New Roman" w:hAnsi="Times New Roman"/>
          <w:noProof/>
          <w:sz w:val="24"/>
        </w:rPr>
        <w:t>lu życia oblicza się zgodnie</w:t>
      </w:r>
      <w:r w:rsidR="00A33B9F" w:rsidRPr="00A33B9F">
        <w:rPr>
          <w:rStyle w:val="normaltextrun"/>
          <w:rFonts w:ascii="Times New Roman" w:hAnsi="Times New Roman"/>
          <w:noProof/>
          <w:sz w:val="24"/>
        </w:rPr>
        <w:t xml:space="preserve"> z met</w:t>
      </w:r>
      <w:r w:rsidRPr="00A33B9F">
        <w:rPr>
          <w:rStyle w:val="normaltextrun"/>
          <w:rFonts w:ascii="Times New Roman" w:hAnsi="Times New Roman"/>
          <w:noProof/>
          <w:sz w:val="24"/>
        </w:rPr>
        <w:t>odologią określoną</w:t>
      </w:r>
      <w:r w:rsidR="00A33B9F" w:rsidRPr="00A33B9F">
        <w:rPr>
          <w:rStyle w:val="normaltextrun"/>
          <w:rFonts w:ascii="Times New Roman" w:hAnsi="Times New Roman"/>
          <w:noProof/>
          <w:sz w:val="24"/>
        </w:rPr>
        <w:t xml:space="preserve"> w art</w:t>
      </w:r>
      <w:r w:rsidRPr="00A33B9F">
        <w:rPr>
          <w:rStyle w:val="normaltextrun"/>
          <w:rFonts w:ascii="Times New Roman" w:hAnsi="Times New Roman"/>
          <w:noProof/>
          <w:sz w:val="24"/>
        </w:rPr>
        <w:t>.</w:t>
      </w:r>
      <w:r w:rsidR="00A33B9F" w:rsidRPr="00A33B9F">
        <w:rPr>
          <w:rStyle w:val="normaltextrun"/>
          <w:rFonts w:ascii="Times New Roman" w:hAnsi="Times New Roman"/>
          <w:noProof/>
          <w:sz w:val="24"/>
        </w:rPr>
        <w:t> </w:t>
      </w:r>
      <w:r w:rsidRPr="00A33B9F">
        <w:rPr>
          <w:rStyle w:val="normaltextrun"/>
          <w:rFonts w:ascii="Times New Roman" w:hAnsi="Times New Roman"/>
          <w:noProof/>
          <w:sz w:val="24"/>
        </w:rPr>
        <w:t>28 ust.</w:t>
      </w:r>
      <w:r w:rsidR="00A33B9F" w:rsidRPr="00A33B9F">
        <w:rPr>
          <w:rStyle w:val="normaltextrun"/>
          <w:rFonts w:ascii="Times New Roman" w:hAnsi="Times New Roman"/>
          <w:noProof/>
          <w:sz w:val="24"/>
        </w:rPr>
        <w:t> </w:t>
      </w:r>
      <w:r w:rsidRPr="00A33B9F">
        <w:rPr>
          <w:rStyle w:val="normaltextrun"/>
          <w:rFonts w:ascii="Times New Roman" w:hAnsi="Times New Roman"/>
          <w:noProof/>
          <w:sz w:val="24"/>
        </w:rPr>
        <w:t>5 dyrektywy (UE) 2018/2001 lub na podstawie ISO 14067:2018 lub ISO 14064-1:2018.</w:t>
      </w:r>
      <w:r w:rsidR="00C3621A" w:rsidRPr="00A33B9F">
        <w:rPr>
          <w:rStyle w:val="normaltextrun"/>
          <w:rFonts w:ascii="Times New Roman" w:hAnsi="Times New Roman"/>
          <w:noProof/>
          <w:sz w:val="24"/>
        </w:rPr>
        <w:t xml:space="preserve"> </w:t>
      </w:r>
    </w:p>
    <w:p w14:paraId="3DB16234" w14:textId="1EAD8B21" w:rsidR="6139F3B9" w:rsidRPr="00A33B9F" w:rsidRDefault="6139F3B9" w:rsidP="00457D17">
      <w:pPr>
        <w:pStyle w:val="ListParagraph"/>
        <w:numPr>
          <w:ilvl w:val="0"/>
          <w:numId w:val="42"/>
        </w:numPr>
        <w:spacing w:after="0" w:line="257" w:lineRule="auto"/>
        <w:ind w:hanging="360"/>
        <w:jc w:val="both"/>
        <w:textAlignment w:val="baseline"/>
        <w:rPr>
          <w:rFonts w:ascii="Times New Roman" w:eastAsia="Times New Roman" w:hAnsi="Times New Roman" w:cs="Times New Roman"/>
          <w:noProof/>
          <w:sz w:val="24"/>
          <w:szCs w:val="24"/>
        </w:rPr>
      </w:pPr>
      <w:r w:rsidRPr="00A33B9F">
        <w:rPr>
          <w:rFonts w:ascii="Times" w:hAnsi="Times"/>
          <w:noProof/>
          <w:sz w:val="24"/>
        </w:rPr>
        <w:t>Wymóg, zgodnie</w:t>
      </w:r>
      <w:r w:rsidR="00A33B9F" w:rsidRPr="00A33B9F">
        <w:rPr>
          <w:rFonts w:ascii="Times" w:hAnsi="Times"/>
          <w:noProof/>
          <w:sz w:val="24"/>
        </w:rPr>
        <w:t xml:space="preserve"> z któ</w:t>
      </w:r>
      <w:r w:rsidRPr="00A33B9F">
        <w:rPr>
          <w:rFonts w:ascii="Times" w:hAnsi="Times"/>
          <w:noProof/>
          <w:sz w:val="24"/>
        </w:rPr>
        <w:t>rym beneficjenci końcowi programu nie mogą otrzymywać wsparcia</w:t>
      </w:r>
      <w:r w:rsidR="00A33B9F" w:rsidRPr="00A33B9F">
        <w:rPr>
          <w:rFonts w:ascii="Times" w:hAnsi="Times"/>
          <w:noProof/>
          <w:sz w:val="24"/>
        </w:rPr>
        <w:t xml:space="preserve"> w ram</w:t>
      </w:r>
      <w:r w:rsidRPr="00A33B9F">
        <w:rPr>
          <w:rFonts w:ascii="Times" w:hAnsi="Times"/>
          <w:noProof/>
          <w:sz w:val="24"/>
        </w:rPr>
        <w:t>ach innych instrumentów Unii na pokrycie tych samych kosztów.</w:t>
      </w:r>
    </w:p>
    <w:p w14:paraId="6AFD3F0A" w14:textId="77777777" w:rsidR="00FA337F" w:rsidRPr="00A33B9F" w:rsidRDefault="00FA337F" w:rsidP="00FA337F">
      <w:pPr>
        <w:spacing w:after="0" w:line="257" w:lineRule="auto"/>
        <w:jc w:val="both"/>
        <w:textAlignment w:val="baseline"/>
        <w:rPr>
          <w:rFonts w:ascii="Times New Roman" w:eastAsia="Times New Roman" w:hAnsi="Times New Roman" w:cs="Times New Roman"/>
          <w:noProof/>
          <w:sz w:val="24"/>
          <w:szCs w:val="24"/>
        </w:rPr>
      </w:pPr>
    </w:p>
    <w:p w14:paraId="29703B83" w14:textId="5890381D" w:rsidR="6139F3B9" w:rsidRPr="00A33B9F" w:rsidRDefault="6139F3B9" w:rsidP="00FA337F">
      <w:pPr>
        <w:pStyle w:val="ListParagraph"/>
        <w:numPr>
          <w:ilvl w:val="0"/>
          <w:numId w:val="41"/>
        </w:numPr>
        <w:spacing w:after="0" w:line="257" w:lineRule="auto"/>
        <w:jc w:val="both"/>
        <w:rPr>
          <w:rFonts w:ascii="Times" w:eastAsia="Times" w:hAnsi="Times" w:cs="Times"/>
          <w:noProof/>
          <w:sz w:val="24"/>
          <w:szCs w:val="24"/>
        </w:rPr>
      </w:pPr>
      <w:r w:rsidRPr="00A33B9F">
        <w:rPr>
          <w:rFonts w:ascii="Times" w:hAnsi="Times"/>
          <w:noProof/>
          <w:sz w:val="24"/>
        </w:rPr>
        <w:t>Kwotę objętą umową wykonawczą, strukturę opłat dla partnera wykonawczego oraz wymóg wykorzystania wszelkich niewykorzystanych zysków</w:t>
      </w:r>
      <w:r w:rsidR="00A33B9F" w:rsidRPr="00A33B9F">
        <w:rPr>
          <w:rFonts w:ascii="Times" w:hAnsi="Times"/>
          <w:noProof/>
          <w:sz w:val="24"/>
        </w:rPr>
        <w:t xml:space="preserve"> z tyt</w:t>
      </w:r>
      <w:r w:rsidRPr="00A33B9F">
        <w:rPr>
          <w:rFonts w:ascii="Times" w:hAnsi="Times"/>
          <w:noProof/>
          <w:sz w:val="24"/>
        </w:rPr>
        <w:t>ułu programu –</w:t>
      </w:r>
      <w:r w:rsidR="00A33B9F" w:rsidRPr="00A33B9F">
        <w:rPr>
          <w:rFonts w:ascii="Times" w:hAnsi="Times"/>
          <w:noProof/>
          <w:sz w:val="24"/>
        </w:rPr>
        <w:t xml:space="preserve"> w tym</w:t>
      </w:r>
      <w:r w:rsidRPr="00A33B9F">
        <w:rPr>
          <w:rFonts w:ascii="Times" w:hAnsi="Times"/>
          <w:noProof/>
          <w:sz w:val="24"/>
        </w:rPr>
        <w:t xml:space="preserve"> zysków uzyskanych po</w:t>
      </w:r>
      <w:r w:rsidR="00A33B9F" w:rsidRPr="00A33B9F">
        <w:rPr>
          <w:rFonts w:ascii="Times" w:hAnsi="Times"/>
          <w:noProof/>
          <w:sz w:val="24"/>
        </w:rPr>
        <w:t> </w:t>
      </w:r>
      <w:r w:rsidRPr="00A33B9F">
        <w:rPr>
          <w:rFonts w:ascii="Times" w:hAnsi="Times"/>
          <w:noProof/>
          <w:sz w:val="24"/>
        </w:rPr>
        <w:t>2026</w:t>
      </w:r>
      <w:r w:rsidR="00A33B9F" w:rsidRPr="00A33B9F">
        <w:rPr>
          <w:rFonts w:ascii="Times" w:hAnsi="Times"/>
          <w:noProof/>
          <w:sz w:val="24"/>
        </w:rPr>
        <w:t> </w:t>
      </w:r>
      <w:r w:rsidRPr="00A33B9F">
        <w:rPr>
          <w:rFonts w:ascii="Times" w:hAnsi="Times"/>
          <w:noProof/>
          <w:sz w:val="24"/>
        </w:rPr>
        <w:t>r. – na realizację tych samych celów politycznych.</w:t>
      </w:r>
    </w:p>
    <w:p w14:paraId="7BEAD9C6" w14:textId="77777777" w:rsidR="00FA337F" w:rsidRPr="00A33B9F" w:rsidRDefault="00FA337F" w:rsidP="00FA337F">
      <w:pPr>
        <w:pStyle w:val="ListParagraph"/>
        <w:spacing w:after="0" w:line="257" w:lineRule="auto"/>
        <w:ind w:left="360"/>
        <w:jc w:val="both"/>
        <w:rPr>
          <w:rFonts w:ascii="Times" w:eastAsia="Times" w:hAnsi="Times" w:cs="Times"/>
          <w:noProof/>
          <w:sz w:val="24"/>
          <w:szCs w:val="24"/>
        </w:rPr>
      </w:pPr>
    </w:p>
    <w:p w14:paraId="7628C77B" w14:textId="6A038DEF" w:rsidR="6139F3B9" w:rsidRPr="00A33B9F" w:rsidRDefault="6139F3B9" w:rsidP="00FA337F">
      <w:pPr>
        <w:pStyle w:val="ListParagraph"/>
        <w:numPr>
          <w:ilvl w:val="0"/>
          <w:numId w:val="41"/>
        </w:numPr>
        <w:spacing w:after="0" w:line="257" w:lineRule="auto"/>
        <w:jc w:val="both"/>
        <w:rPr>
          <w:rFonts w:ascii="Times" w:eastAsia="Times" w:hAnsi="Times" w:cs="Times"/>
          <w:noProof/>
          <w:sz w:val="24"/>
          <w:szCs w:val="24"/>
        </w:rPr>
      </w:pPr>
      <w:r w:rsidRPr="00A33B9F">
        <w:rPr>
          <w:rFonts w:ascii="Times" w:hAnsi="Times"/>
          <w:noProof/>
          <w:sz w:val="24"/>
        </w:rPr>
        <w:t>Wymogi</w:t>
      </w:r>
      <w:r w:rsidR="00A33B9F" w:rsidRPr="00A33B9F">
        <w:rPr>
          <w:rFonts w:ascii="Times" w:hAnsi="Times"/>
          <w:noProof/>
          <w:sz w:val="24"/>
        </w:rPr>
        <w:t xml:space="preserve"> w zak</w:t>
      </w:r>
      <w:r w:rsidRPr="00A33B9F">
        <w:rPr>
          <w:rFonts w:ascii="Times" w:hAnsi="Times"/>
          <w:noProof/>
          <w:sz w:val="24"/>
        </w:rPr>
        <w:t>resie monitorowania, audytu</w:t>
      </w:r>
      <w:r w:rsidR="00A33B9F" w:rsidRPr="00A33B9F">
        <w:rPr>
          <w:rFonts w:ascii="Times" w:hAnsi="Times"/>
          <w:noProof/>
          <w:sz w:val="24"/>
        </w:rPr>
        <w:t xml:space="preserve"> i kon</w:t>
      </w:r>
      <w:r w:rsidRPr="00A33B9F">
        <w:rPr>
          <w:rFonts w:ascii="Times" w:hAnsi="Times"/>
          <w:noProof/>
          <w:sz w:val="24"/>
        </w:rPr>
        <w:t>troli,</w:t>
      </w:r>
      <w:r w:rsidR="00A33B9F" w:rsidRPr="00A33B9F">
        <w:rPr>
          <w:rFonts w:ascii="Times" w:hAnsi="Times"/>
          <w:noProof/>
          <w:sz w:val="24"/>
        </w:rPr>
        <w:t xml:space="preserve"> w tym</w:t>
      </w:r>
      <w:r w:rsidRPr="00A33B9F">
        <w:rPr>
          <w:rFonts w:ascii="Times" w:hAnsi="Times"/>
          <w:noProof/>
          <w:sz w:val="24"/>
        </w:rPr>
        <w:t>:</w:t>
      </w:r>
    </w:p>
    <w:p w14:paraId="5BE2197D" w14:textId="40E4A35B" w:rsidR="0048283B" w:rsidRPr="00A33B9F" w:rsidRDefault="0048283B" w:rsidP="0048283B">
      <w:pPr>
        <w:numPr>
          <w:ilvl w:val="1"/>
          <w:numId w:val="41"/>
        </w:numPr>
        <w:spacing w:after="160" w:line="240" w:lineRule="auto"/>
        <w:jc w:val="both"/>
        <w:rPr>
          <w:rFonts w:ascii="Times New Roman" w:hAnsi="Times New Roman" w:cs="Times New Roman"/>
          <w:noProof/>
          <w:sz w:val="24"/>
          <w:szCs w:val="24"/>
        </w:rPr>
      </w:pPr>
      <w:r w:rsidRPr="00A33B9F">
        <w:rPr>
          <w:rFonts w:ascii="Times New Roman" w:hAnsi="Times New Roman"/>
          <w:noProof/>
          <w:sz w:val="24"/>
        </w:rPr>
        <w:t>Opis systemu monitorowania partnera wykonawczego ustanowionego na potrzeby przekazywania informacji na temat pozyskanych dotacji.</w:t>
      </w:r>
    </w:p>
    <w:p w14:paraId="7B0EA09E" w14:textId="759E44AB" w:rsidR="0048283B" w:rsidRPr="00A33B9F" w:rsidRDefault="0048283B" w:rsidP="0048283B">
      <w:pPr>
        <w:numPr>
          <w:ilvl w:val="1"/>
          <w:numId w:val="41"/>
        </w:numPr>
        <w:spacing w:after="160" w:line="256" w:lineRule="auto"/>
        <w:jc w:val="both"/>
        <w:rPr>
          <w:rFonts w:ascii="Times New Roman" w:hAnsi="Times New Roman" w:cs="Times New Roman"/>
          <w:noProof/>
          <w:sz w:val="24"/>
          <w:szCs w:val="24"/>
        </w:rPr>
      </w:pPr>
      <w:r w:rsidRPr="00A33B9F">
        <w:rPr>
          <w:rFonts w:ascii="Times New Roman" w:hAnsi="Times New Roman"/>
          <w:noProof/>
          <w:sz w:val="24"/>
        </w:rPr>
        <w:t>Opis stosowanych przez partnera wykonawczego procedur zapewniających zapobieganie nadużyciom finansowym, korupcji</w:t>
      </w:r>
      <w:r w:rsidR="00A33B9F" w:rsidRPr="00A33B9F">
        <w:rPr>
          <w:rFonts w:ascii="Times New Roman" w:hAnsi="Times New Roman"/>
          <w:noProof/>
          <w:sz w:val="24"/>
        </w:rPr>
        <w:t xml:space="preserve"> i kon</w:t>
      </w:r>
      <w:r w:rsidRPr="00A33B9F">
        <w:rPr>
          <w:rFonts w:ascii="Times New Roman" w:hAnsi="Times New Roman"/>
          <w:noProof/>
          <w:sz w:val="24"/>
        </w:rPr>
        <w:t xml:space="preserve">fliktom interesów, ich wykrywanie oraz eliminowanie. </w:t>
      </w:r>
    </w:p>
    <w:p w14:paraId="068DDB3F" w14:textId="2E4FEE2C" w:rsidR="0048283B" w:rsidRPr="00A33B9F" w:rsidRDefault="0048283B" w:rsidP="0048283B">
      <w:pPr>
        <w:numPr>
          <w:ilvl w:val="1"/>
          <w:numId w:val="41"/>
        </w:numPr>
        <w:spacing w:after="160" w:line="256" w:lineRule="auto"/>
        <w:jc w:val="both"/>
        <w:rPr>
          <w:rFonts w:ascii="Times New Roman" w:hAnsi="Times New Roman" w:cs="Times New Roman"/>
          <w:noProof/>
          <w:sz w:val="24"/>
          <w:szCs w:val="24"/>
        </w:rPr>
      </w:pPr>
      <w:r w:rsidRPr="00A33B9F">
        <w:rPr>
          <w:rFonts w:ascii="Times New Roman" w:hAnsi="Times New Roman"/>
          <w:noProof/>
          <w:sz w:val="24"/>
        </w:rPr>
        <w:t>Obowiązek weryfikowania kwalifikowalności każdej operacji zgodnie</w:t>
      </w:r>
      <w:r w:rsidR="00A33B9F" w:rsidRPr="00A33B9F">
        <w:rPr>
          <w:rFonts w:ascii="Times New Roman" w:hAnsi="Times New Roman"/>
          <w:noProof/>
          <w:sz w:val="24"/>
        </w:rPr>
        <w:t xml:space="preserve"> z wym</w:t>
      </w:r>
      <w:r w:rsidRPr="00A33B9F">
        <w:rPr>
          <w:rFonts w:ascii="Times New Roman" w:hAnsi="Times New Roman"/>
          <w:noProof/>
          <w:sz w:val="24"/>
        </w:rPr>
        <w:t>ogami przewidzianymi</w:t>
      </w:r>
      <w:r w:rsidR="00A33B9F" w:rsidRPr="00A33B9F">
        <w:rPr>
          <w:rFonts w:ascii="Times New Roman" w:hAnsi="Times New Roman"/>
          <w:noProof/>
          <w:sz w:val="24"/>
        </w:rPr>
        <w:t xml:space="preserve"> w umo</w:t>
      </w:r>
      <w:r w:rsidRPr="00A33B9F">
        <w:rPr>
          <w:rFonts w:ascii="Times New Roman" w:hAnsi="Times New Roman"/>
          <w:noProof/>
          <w:sz w:val="24"/>
        </w:rPr>
        <w:t>wie wykonawczej przed przyznaniem dotacji na realizację tej operacji.</w:t>
      </w:r>
    </w:p>
    <w:p w14:paraId="44462EDA" w14:textId="2A4A870D" w:rsidR="0048283B" w:rsidRPr="00A33B9F" w:rsidRDefault="0048283B" w:rsidP="0048283B">
      <w:pPr>
        <w:numPr>
          <w:ilvl w:val="1"/>
          <w:numId w:val="41"/>
        </w:numPr>
        <w:spacing w:after="160" w:line="240" w:lineRule="auto"/>
        <w:jc w:val="both"/>
        <w:rPr>
          <w:rFonts w:ascii="Times New Roman" w:hAnsi="Times New Roman" w:cs="Times New Roman"/>
          <w:noProof/>
          <w:sz w:val="24"/>
          <w:szCs w:val="24"/>
        </w:rPr>
      </w:pPr>
      <w:r w:rsidRPr="00A33B9F">
        <w:rPr>
          <w:rFonts w:ascii="Times New Roman" w:hAnsi="Times New Roman"/>
          <w:noProof/>
          <w:sz w:val="24"/>
        </w:rPr>
        <w:t xml:space="preserve">Obowiązek przeprowadzania audytów </w:t>
      </w:r>
      <w:r w:rsidRPr="00A33B9F">
        <w:rPr>
          <w:rFonts w:ascii="Times New Roman" w:hAnsi="Times New Roman"/>
          <w:i/>
          <w:iCs/>
          <w:noProof/>
          <w:sz w:val="24"/>
        </w:rPr>
        <w:t>ex post</w:t>
      </w:r>
      <w:r w:rsidRPr="00A33B9F">
        <w:rPr>
          <w:rFonts w:ascii="Times New Roman" w:hAnsi="Times New Roman"/>
          <w:noProof/>
          <w:sz w:val="24"/>
        </w:rPr>
        <w:t xml:space="preserve"> opartych na analizie ryzyka zgodnie</w:t>
      </w:r>
      <w:r w:rsidR="00A33B9F" w:rsidRPr="00A33B9F">
        <w:rPr>
          <w:rFonts w:ascii="Times New Roman" w:hAnsi="Times New Roman"/>
          <w:noProof/>
          <w:sz w:val="24"/>
        </w:rPr>
        <w:t xml:space="preserve"> z pla</w:t>
      </w:r>
      <w:r w:rsidRPr="00A33B9F">
        <w:rPr>
          <w:rFonts w:ascii="Times New Roman" w:hAnsi="Times New Roman"/>
          <w:noProof/>
          <w:sz w:val="24"/>
        </w:rPr>
        <w:t>nem audytów BGK. Wspomniane audyty mają na celu potwierdzenie (i) skuteczności systemów kontroli,</w:t>
      </w:r>
      <w:r w:rsidR="00A33B9F" w:rsidRPr="00A33B9F">
        <w:rPr>
          <w:rFonts w:ascii="Times New Roman" w:hAnsi="Times New Roman"/>
          <w:noProof/>
          <w:sz w:val="24"/>
        </w:rPr>
        <w:t xml:space="preserve"> w tym</w:t>
      </w:r>
      <w:r w:rsidRPr="00A33B9F">
        <w:rPr>
          <w:rFonts w:ascii="Times New Roman" w:hAnsi="Times New Roman"/>
          <w:noProof/>
          <w:sz w:val="24"/>
        </w:rPr>
        <w:t xml:space="preserve"> również</w:t>
      </w:r>
      <w:r w:rsidR="00A33B9F" w:rsidRPr="00A33B9F">
        <w:rPr>
          <w:rFonts w:ascii="Times New Roman" w:hAnsi="Times New Roman"/>
          <w:noProof/>
          <w:sz w:val="24"/>
        </w:rPr>
        <w:t xml:space="preserve"> w zak</w:t>
      </w:r>
      <w:r w:rsidRPr="00A33B9F">
        <w:rPr>
          <w:rFonts w:ascii="Times New Roman" w:hAnsi="Times New Roman"/>
          <w:noProof/>
          <w:sz w:val="24"/>
        </w:rPr>
        <w:t>resie wykrywania nadużyć finansowych, korupcji</w:t>
      </w:r>
      <w:r w:rsidR="00A33B9F" w:rsidRPr="00A33B9F">
        <w:rPr>
          <w:rFonts w:ascii="Times New Roman" w:hAnsi="Times New Roman"/>
          <w:noProof/>
          <w:sz w:val="24"/>
        </w:rPr>
        <w:t xml:space="preserve"> i kon</w:t>
      </w:r>
      <w:r w:rsidRPr="00A33B9F">
        <w:rPr>
          <w:rFonts w:ascii="Times New Roman" w:hAnsi="Times New Roman"/>
          <w:noProof/>
          <w:sz w:val="24"/>
        </w:rPr>
        <w:t>fliktów interesów; (ii) zgodności</w:t>
      </w:r>
      <w:r w:rsidR="00A33B9F" w:rsidRPr="00A33B9F">
        <w:rPr>
          <w:rFonts w:ascii="Times New Roman" w:hAnsi="Times New Roman"/>
          <w:noProof/>
          <w:sz w:val="24"/>
        </w:rPr>
        <w:t xml:space="preserve"> z zas</w:t>
      </w:r>
      <w:r w:rsidRPr="00A33B9F">
        <w:rPr>
          <w:rFonts w:ascii="Times New Roman" w:hAnsi="Times New Roman"/>
          <w:noProof/>
          <w:sz w:val="24"/>
        </w:rPr>
        <w:t>adą „nie czyń poważnych szkód”</w:t>
      </w:r>
      <w:r w:rsidR="00A33B9F" w:rsidRPr="00A33B9F">
        <w:rPr>
          <w:rFonts w:ascii="Times New Roman" w:hAnsi="Times New Roman"/>
          <w:noProof/>
          <w:sz w:val="24"/>
        </w:rPr>
        <w:t xml:space="preserve"> i z zas</w:t>
      </w:r>
      <w:r w:rsidRPr="00A33B9F">
        <w:rPr>
          <w:rFonts w:ascii="Times New Roman" w:hAnsi="Times New Roman"/>
          <w:noProof/>
          <w:sz w:val="24"/>
        </w:rPr>
        <w:t>adami pomocy państwa oraz (iii) spełnienia wymogu, zgodnie</w:t>
      </w:r>
      <w:r w:rsidR="00A33B9F" w:rsidRPr="00A33B9F">
        <w:rPr>
          <w:rFonts w:ascii="Times New Roman" w:hAnsi="Times New Roman"/>
          <w:noProof/>
          <w:sz w:val="24"/>
        </w:rPr>
        <w:t xml:space="preserve"> z któ</w:t>
      </w:r>
      <w:r w:rsidRPr="00A33B9F">
        <w:rPr>
          <w:rFonts w:ascii="Times New Roman" w:hAnsi="Times New Roman"/>
          <w:noProof/>
          <w:sz w:val="24"/>
        </w:rPr>
        <w:t>rym beneficjenci końcowi programu nie mogą otrzymywać wsparcia</w:t>
      </w:r>
      <w:r w:rsidR="00A33B9F" w:rsidRPr="00A33B9F">
        <w:rPr>
          <w:rFonts w:ascii="Times New Roman" w:hAnsi="Times New Roman"/>
          <w:noProof/>
          <w:sz w:val="24"/>
        </w:rPr>
        <w:t xml:space="preserve"> w ram</w:t>
      </w:r>
      <w:r w:rsidRPr="00A33B9F">
        <w:rPr>
          <w:rFonts w:ascii="Times New Roman" w:hAnsi="Times New Roman"/>
          <w:noProof/>
          <w:sz w:val="24"/>
        </w:rPr>
        <w:t>ach innych instrumentów Unii na pokrycie tych samych kosztów. Audyty służą również zweryfikowaniu legalności przeprowadzanych transakcji oraz sprawdzeniu zgodności</w:t>
      </w:r>
      <w:r w:rsidR="00A33B9F" w:rsidRPr="00A33B9F">
        <w:rPr>
          <w:rFonts w:ascii="Times New Roman" w:hAnsi="Times New Roman"/>
          <w:noProof/>
          <w:sz w:val="24"/>
        </w:rPr>
        <w:t xml:space="preserve"> z war</w:t>
      </w:r>
      <w:r w:rsidRPr="00A33B9F">
        <w:rPr>
          <w:rFonts w:ascii="Times New Roman" w:hAnsi="Times New Roman"/>
          <w:noProof/>
          <w:sz w:val="24"/>
        </w:rPr>
        <w:t>unkami określonymi</w:t>
      </w:r>
      <w:r w:rsidR="00A33B9F" w:rsidRPr="00A33B9F">
        <w:rPr>
          <w:rFonts w:ascii="Times New Roman" w:hAnsi="Times New Roman"/>
          <w:noProof/>
          <w:sz w:val="24"/>
        </w:rPr>
        <w:t xml:space="preserve"> w maj</w:t>
      </w:r>
      <w:r w:rsidRPr="00A33B9F">
        <w:rPr>
          <w:rFonts w:ascii="Times New Roman" w:hAnsi="Times New Roman"/>
          <w:noProof/>
          <w:sz w:val="24"/>
        </w:rPr>
        <w:t>ących zastosowanie umowie wykonawczej</w:t>
      </w:r>
      <w:r w:rsidR="00A33B9F" w:rsidRPr="00A33B9F">
        <w:rPr>
          <w:rFonts w:ascii="Times New Roman" w:hAnsi="Times New Roman"/>
          <w:noProof/>
          <w:sz w:val="24"/>
        </w:rPr>
        <w:t xml:space="preserve"> i umo</w:t>
      </w:r>
      <w:r w:rsidRPr="00A33B9F">
        <w:rPr>
          <w:rFonts w:ascii="Times New Roman" w:hAnsi="Times New Roman"/>
          <w:noProof/>
          <w:sz w:val="24"/>
        </w:rPr>
        <w:t>wach</w:t>
      </w:r>
      <w:r w:rsidR="00A33B9F" w:rsidRPr="00A33B9F">
        <w:rPr>
          <w:rFonts w:ascii="Times New Roman" w:hAnsi="Times New Roman"/>
          <w:noProof/>
          <w:sz w:val="24"/>
        </w:rPr>
        <w:t xml:space="preserve"> o udz</w:t>
      </w:r>
      <w:r w:rsidRPr="00A33B9F">
        <w:rPr>
          <w:rFonts w:ascii="Times New Roman" w:hAnsi="Times New Roman"/>
          <w:noProof/>
          <w:sz w:val="24"/>
        </w:rPr>
        <w:t xml:space="preserve">ielenie dotacji. </w:t>
      </w:r>
    </w:p>
    <w:p w14:paraId="45BEB7AE" w14:textId="15A095EE" w:rsidR="6139F3B9" w:rsidRPr="00A33B9F" w:rsidRDefault="6139F3B9" w:rsidP="0048283B">
      <w:pPr>
        <w:spacing w:before="120" w:after="120"/>
        <w:jc w:val="both"/>
        <w:rPr>
          <w:rFonts w:ascii="Times" w:eastAsia="Times" w:hAnsi="Times" w:cs="Times"/>
          <w:noProof/>
          <w:sz w:val="24"/>
          <w:szCs w:val="24"/>
        </w:rPr>
      </w:pPr>
      <w:r w:rsidRPr="00A33B9F">
        <w:rPr>
          <w:rFonts w:ascii="Times" w:hAnsi="Times"/>
          <w:noProof/>
          <w:sz w:val="24"/>
        </w:rPr>
        <w:t>Wdrażanie tego działania zostanie zakończone do dnia 31 sierpnia 2026</w:t>
      </w:r>
      <w:r w:rsidR="00A33B9F" w:rsidRPr="00A33B9F">
        <w:rPr>
          <w:rFonts w:ascii="Times" w:hAnsi="Times"/>
          <w:noProof/>
          <w:sz w:val="24"/>
        </w:rPr>
        <w:t> </w:t>
      </w:r>
      <w:r w:rsidRPr="00A33B9F">
        <w:rPr>
          <w:rFonts w:ascii="Times" w:hAnsi="Times"/>
          <w:noProof/>
          <w:sz w:val="24"/>
        </w:rPr>
        <w:t>r.</w:t>
      </w:r>
    </w:p>
    <w:p w14:paraId="14B3F00C" w14:textId="77777777" w:rsidR="003C6497" w:rsidRPr="00A33B9F" w:rsidRDefault="003C6497" w:rsidP="0048283B">
      <w:pPr>
        <w:spacing w:before="120" w:after="120"/>
        <w:jc w:val="both"/>
        <w:rPr>
          <w:rFonts w:ascii="Times" w:eastAsia="Times" w:hAnsi="Times" w:cs="Times"/>
          <w:noProof/>
          <w:sz w:val="24"/>
          <w:szCs w:val="24"/>
        </w:rPr>
      </w:pPr>
    </w:p>
    <w:p w14:paraId="4C4CEA3D" w14:textId="4972CB45"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651B4A62" w14:textId="5F7E04D4"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themeColor="text1"/>
          <w:sz w:val="24"/>
          <w:u w:val="single"/>
        </w:rPr>
        <w:t xml:space="preserve">B2.2.3 Budowa infrastruktury terminalowej </w:t>
      </w:r>
      <w:r w:rsidRPr="00A33B9F">
        <w:rPr>
          <w:rFonts w:ascii="Times New Roman" w:hAnsi="Times New Roman"/>
          <w:b/>
          <w:i/>
          <w:noProof/>
          <w:color w:val="000000" w:themeColor="text1"/>
          <w:sz w:val="24"/>
          <w:u w:val="single"/>
        </w:rPr>
        <w:t>offshore</w:t>
      </w:r>
    </w:p>
    <w:p w14:paraId="5FA858D3" w14:textId="7F46A8E0"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tej inwestycji jest ograniczenie ryzyka związanego</w:t>
      </w:r>
      <w:r w:rsidR="00A33B9F" w:rsidRPr="00A33B9F">
        <w:rPr>
          <w:rFonts w:ascii="Times New Roman" w:hAnsi="Times New Roman"/>
          <w:noProof/>
          <w:color w:val="000000"/>
          <w:sz w:val="24"/>
        </w:rPr>
        <w:t xml:space="preserve"> z opó</w:t>
      </w:r>
      <w:r w:rsidRPr="00A33B9F">
        <w:rPr>
          <w:rFonts w:ascii="Times New Roman" w:hAnsi="Times New Roman"/>
          <w:noProof/>
          <w:color w:val="000000"/>
          <w:sz w:val="24"/>
        </w:rPr>
        <w:t>źnieniami</w:t>
      </w:r>
      <w:r w:rsidR="00A33B9F" w:rsidRPr="00A33B9F">
        <w:rPr>
          <w:rFonts w:ascii="Times New Roman" w:hAnsi="Times New Roman"/>
          <w:noProof/>
          <w:color w:val="000000"/>
          <w:sz w:val="24"/>
        </w:rPr>
        <w:t xml:space="preserve"> w rea</w:t>
      </w:r>
      <w:r w:rsidRPr="00A33B9F">
        <w:rPr>
          <w:rFonts w:ascii="Times New Roman" w:hAnsi="Times New Roman"/>
          <w:noProof/>
          <w:color w:val="000000"/>
          <w:sz w:val="24"/>
        </w:rPr>
        <w:t>lizacji projektów morskich farm wiatrowych oraz zapewnienie właściwej eksploatacji</w:t>
      </w:r>
      <w:r w:rsidR="00A33B9F" w:rsidRPr="00A33B9F">
        <w:rPr>
          <w:rFonts w:ascii="Times New Roman" w:hAnsi="Times New Roman"/>
          <w:noProof/>
          <w:color w:val="000000"/>
          <w:sz w:val="24"/>
        </w:rPr>
        <w:t xml:space="preserve"> i bez</w:t>
      </w:r>
      <w:r w:rsidRPr="00A33B9F">
        <w:rPr>
          <w:rFonts w:ascii="Times New Roman" w:hAnsi="Times New Roman"/>
          <w:noProof/>
          <w:color w:val="000000"/>
          <w:sz w:val="24"/>
        </w:rPr>
        <w:t>pieczeństwa tych farm.</w:t>
      </w:r>
    </w:p>
    <w:p w14:paraId="6F97E84C" w14:textId="1C0E17B1" w:rsidR="007C4506" w:rsidRPr="00A33B9F" w:rsidRDefault="6FF45033" w:rsidP="28AD0CF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Inwestycja składa się</w:t>
      </w:r>
      <w:r w:rsidR="00A33B9F" w:rsidRPr="00A33B9F">
        <w:rPr>
          <w:rFonts w:ascii="Times New Roman" w:hAnsi="Times New Roman"/>
          <w:noProof/>
          <w:color w:val="000000" w:themeColor="text1"/>
          <w:sz w:val="24"/>
        </w:rPr>
        <w:t xml:space="preserve"> z dwó</w:t>
      </w:r>
      <w:r w:rsidRPr="00A33B9F">
        <w:rPr>
          <w:rFonts w:ascii="Times New Roman" w:hAnsi="Times New Roman"/>
          <w:noProof/>
          <w:color w:val="000000" w:themeColor="text1"/>
          <w:sz w:val="24"/>
        </w:rPr>
        <w:t>ch projektów. Pierwszy</w:t>
      </w:r>
      <w:r w:rsidR="00A33B9F" w:rsidRPr="00A33B9F">
        <w:rPr>
          <w:rFonts w:ascii="Times New Roman" w:hAnsi="Times New Roman"/>
          <w:noProof/>
          <w:color w:val="000000" w:themeColor="text1"/>
          <w:sz w:val="24"/>
        </w:rPr>
        <w:t xml:space="preserve"> z nic</w:t>
      </w:r>
      <w:r w:rsidRPr="00A33B9F">
        <w:rPr>
          <w:rFonts w:ascii="Times New Roman" w:hAnsi="Times New Roman"/>
          <w:noProof/>
          <w:color w:val="000000" w:themeColor="text1"/>
          <w:sz w:val="24"/>
        </w:rPr>
        <w:t>h obejmuje budowę głębokowodnego terminalu instalacyjnego, który umożliwi jednoczesną eksploatację dwóch jednostek instalacyjnych. Drugi projekt obejmuje przebudowę portów oraz dostępu do nich od strony morza (w tym modernizację falochronów)</w:t>
      </w:r>
      <w:r w:rsidR="00A33B9F" w:rsidRPr="00A33B9F">
        <w:rPr>
          <w:rFonts w:ascii="Times New Roman" w:hAnsi="Times New Roman"/>
          <w:noProof/>
          <w:color w:val="000000" w:themeColor="text1"/>
          <w:sz w:val="24"/>
        </w:rPr>
        <w:t>. W por</w:t>
      </w:r>
      <w:r w:rsidRPr="00A33B9F">
        <w:rPr>
          <w:rFonts w:ascii="Times New Roman" w:hAnsi="Times New Roman"/>
          <w:noProof/>
          <w:color w:val="000000" w:themeColor="text1"/>
          <w:sz w:val="24"/>
        </w:rPr>
        <w:t>tach</w:t>
      </w:r>
      <w:r w:rsidR="00A33B9F" w:rsidRPr="00A33B9F">
        <w:rPr>
          <w:rFonts w:ascii="Times New Roman" w:hAnsi="Times New Roman"/>
          <w:noProof/>
          <w:color w:val="000000" w:themeColor="text1"/>
          <w:sz w:val="24"/>
        </w:rPr>
        <w:t xml:space="preserve"> w Łeb</w:t>
      </w:r>
      <w:r w:rsidRPr="00A33B9F">
        <w:rPr>
          <w:rFonts w:ascii="Times New Roman" w:hAnsi="Times New Roman"/>
          <w:noProof/>
          <w:color w:val="000000" w:themeColor="text1"/>
          <w:sz w:val="24"/>
        </w:rPr>
        <w:t>ie</w:t>
      </w:r>
      <w:r w:rsidR="00A33B9F" w:rsidRPr="00A33B9F">
        <w:rPr>
          <w:rFonts w:ascii="Times New Roman" w:hAnsi="Times New Roman"/>
          <w:noProof/>
          <w:color w:val="000000" w:themeColor="text1"/>
          <w:sz w:val="24"/>
        </w:rPr>
        <w:t xml:space="preserve"> i Ust</w:t>
      </w:r>
      <w:r w:rsidRPr="00A33B9F">
        <w:rPr>
          <w:rFonts w:ascii="Times New Roman" w:hAnsi="Times New Roman"/>
          <w:noProof/>
          <w:color w:val="000000" w:themeColor="text1"/>
          <w:sz w:val="24"/>
        </w:rPr>
        <w:t>ce powstaną dwa terminale serwisowe dla morskiej energetyki wiatrowej, które będą stanowić kluczową infrastrukturę obsługującą instalacje morskie.</w:t>
      </w:r>
    </w:p>
    <w:p w14:paraId="7775EF71" w14:textId="72BC8FE4" w:rsidR="007C4506" w:rsidRPr="00A33B9F" w:rsidRDefault="6FF45033" w:rsidP="06663D5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w:t>
      </w:r>
      <w:r w:rsidR="00A33B9F" w:rsidRPr="00A33B9F">
        <w:rPr>
          <w:rFonts w:ascii="Times New Roman" w:hAnsi="Times New Roman"/>
          <w:noProof/>
          <w:color w:val="000000" w:themeColor="text1"/>
          <w:sz w:val="24"/>
        </w:rPr>
        <w:t xml:space="preserve"> w mor</w:t>
      </w:r>
      <w:r w:rsidRPr="00A33B9F">
        <w:rPr>
          <w:rFonts w:ascii="Times New Roman" w:hAnsi="Times New Roman"/>
          <w:noProof/>
          <w:color w:val="000000" w:themeColor="text1"/>
          <w:sz w:val="24"/>
        </w:rPr>
        <w:t>ski terminal instalacyjny</w:t>
      </w:r>
      <w:r w:rsidR="00A33B9F" w:rsidRPr="00A33B9F">
        <w:rPr>
          <w:rFonts w:ascii="Times New Roman" w:hAnsi="Times New Roman"/>
          <w:noProof/>
          <w:color w:val="000000" w:themeColor="text1"/>
          <w:sz w:val="24"/>
        </w:rPr>
        <w:t xml:space="preserve"> i mor</w:t>
      </w:r>
      <w:r w:rsidRPr="00A33B9F">
        <w:rPr>
          <w:rFonts w:ascii="Times New Roman" w:hAnsi="Times New Roman"/>
          <w:noProof/>
          <w:color w:val="000000" w:themeColor="text1"/>
          <w:sz w:val="24"/>
        </w:rPr>
        <w:t>skie terminale serwisowe</w:t>
      </w:r>
      <w:r w:rsidR="00A33B9F" w:rsidRPr="00A33B9F">
        <w:rPr>
          <w:rFonts w:ascii="Times New Roman" w:hAnsi="Times New Roman"/>
          <w:noProof/>
          <w:color w:val="000000" w:themeColor="text1"/>
          <w:sz w:val="24"/>
        </w:rPr>
        <w:t xml:space="preserve"> w Łeb</w:t>
      </w:r>
      <w:r w:rsidRPr="00A33B9F">
        <w:rPr>
          <w:rFonts w:ascii="Times New Roman" w:hAnsi="Times New Roman"/>
          <w:noProof/>
          <w:color w:val="000000" w:themeColor="text1"/>
          <w:sz w:val="24"/>
        </w:rPr>
        <w:t>ie</w:t>
      </w:r>
      <w:r w:rsidR="00A33B9F" w:rsidRPr="00A33B9F">
        <w:rPr>
          <w:rFonts w:ascii="Times New Roman" w:hAnsi="Times New Roman"/>
          <w:noProof/>
          <w:color w:val="000000" w:themeColor="text1"/>
          <w:sz w:val="24"/>
        </w:rPr>
        <w:t xml:space="preserve"> i Ust</w:t>
      </w:r>
      <w:r w:rsidRPr="00A33B9F">
        <w:rPr>
          <w:rFonts w:ascii="Times New Roman" w:hAnsi="Times New Roman"/>
          <w:noProof/>
          <w:color w:val="000000" w:themeColor="text1"/>
          <w:sz w:val="24"/>
        </w:rPr>
        <w:t>ce zakończy się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8C1F859"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5C36445B" w14:textId="77777777" w:rsidR="007C4506" w:rsidRPr="00A33B9F" w:rsidRDefault="00B31839"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B3.1 Wsparcie zrównoważonej gospodarki wodno-ściekowej na terenach wiejskich</w:t>
      </w:r>
    </w:p>
    <w:p w14:paraId="7DFF3EF4" w14:textId="7A93CFEA" w:rsidR="007C4506" w:rsidRPr="00A33B9F" w:rsidRDefault="00B31839"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zapewnienie, aby alternatywne rozwiązania</w:t>
      </w:r>
      <w:r w:rsidR="00A33B9F" w:rsidRPr="00A33B9F">
        <w:rPr>
          <w:rFonts w:ascii="Times New Roman" w:hAnsi="Times New Roman"/>
          <w:noProof/>
          <w:color w:val="000000"/>
          <w:sz w:val="24"/>
        </w:rPr>
        <w:t xml:space="preserve"> w zak</w:t>
      </w:r>
      <w:r w:rsidRPr="00A33B9F">
        <w:rPr>
          <w:rFonts w:ascii="Times New Roman" w:hAnsi="Times New Roman"/>
          <w:noProof/>
          <w:color w:val="000000"/>
          <w:sz w:val="24"/>
        </w:rPr>
        <w:t>resie gospodarki wodno-ściekowej, takie jak indywidualne stacje uzdatniania wody lub zbiorniki septyczne, były odpowiednio monitorowane, utrzymywane</w:t>
      </w:r>
      <w:r w:rsidR="00A33B9F" w:rsidRPr="00A33B9F">
        <w:rPr>
          <w:rFonts w:ascii="Times New Roman" w:hAnsi="Times New Roman"/>
          <w:noProof/>
          <w:color w:val="000000"/>
          <w:sz w:val="24"/>
        </w:rPr>
        <w:t xml:space="preserve"> i kon</w:t>
      </w:r>
      <w:r w:rsidRPr="00A33B9F">
        <w:rPr>
          <w:rFonts w:ascii="Times New Roman" w:hAnsi="Times New Roman"/>
          <w:noProof/>
          <w:color w:val="000000"/>
          <w:sz w:val="24"/>
        </w:rPr>
        <w:t xml:space="preserve">trolowane, aby zapobiec pogorszeniu się ich stanu. </w:t>
      </w:r>
    </w:p>
    <w:p w14:paraId="4439983E" w14:textId="3B5C4B30" w:rsidR="007C4506" w:rsidRPr="00A33B9F" w:rsidRDefault="5135F4AF"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Reforma obejmuje wprowadzenie obowiązku stosowania przez gminy instrumentów zapobiegających niewłaściwemu odprowadzaniu ścieków oraz mechanizmu tzw. wykonania zastępczego, tj. organizowania przez gminę opróżniania szamb, stosowanego wobec właścicieli nieruchomości, którzy nie zawarli umów na opróżnianie zbiorników septycznych. Przewiduje ona również wprowadzenie obowiązku przeprowadzania regularnych kontroli</w:t>
      </w:r>
      <w:r w:rsidR="00A33B9F" w:rsidRPr="00A33B9F">
        <w:rPr>
          <w:rFonts w:ascii="Times New Roman" w:hAnsi="Times New Roman"/>
          <w:noProof/>
          <w:color w:val="000000" w:themeColor="text1"/>
          <w:sz w:val="24"/>
        </w:rPr>
        <w:t xml:space="preserve"> i wpr</w:t>
      </w:r>
      <w:r w:rsidRPr="00A33B9F">
        <w:rPr>
          <w:rFonts w:ascii="Times New Roman" w:hAnsi="Times New Roman"/>
          <w:noProof/>
          <w:color w:val="000000" w:themeColor="text1"/>
          <w:sz w:val="24"/>
        </w:rPr>
        <w:t>owadzenie skutecznego mechanizmu egzekwowania.</w:t>
      </w:r>
    </w:p>
    <w:p w14:paraId="1606FD51" w14:textId="46D0E6EA" w:rsidR="007C4506" w:rsidRPr="00A33B9F" w:rsidRDefault="114E8E89" w:rsidP="00A146FB">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tego działania zostanie zakończona do dnia 30 czerwca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090EE4F2" w14:textId="59041407" w:rsidR="007C4506" w:rsidRPr="00A33B9F" w:rsidRDefault="00B31839" w:rsidP="00A146FB">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ramach reformy ustanowione zostaną również kryteria terytorialne wyboru beneficjentów wsparcia</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inwestycji wodociągowych lub kanalizacyjnych na obszarach wiejskich</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kryteriów kwalifikacji pierwszeństwo będą miały gminy</w:t>
      </w:r>
      <w:r w:rsidR="00A33B9F" w:rsidRPr="00A33B9F">
        <w:rPr>
          <w:rFonts w:ascii="Times New Roman" w:hAnsi="Times New Roman"/>
          <w:noProof/>
          <w:color w:val="000000" w:themeColor="text1"/>
          <w:sz w:val="24"/>
        </w:rPr>
        <w:t xml:space="preserve"> o naj</w:t>
      </w:r>
      <w:r w:rsidRPr="00A33B9F">
        <w:rPr>
          <w:rFonts w:ascii="Times New Roman" w:hAnsi="Times New Roman"/>
          <w:noProof/>
          <w:color w:val="000000" w:themeColor="text1"/>
          <w:sz w:val="24"/>
        </w:rPr>
        <w:t>mniejszej zdolności do finansowania inwestycji</w:t>
      </w:r>
      <w:r w:rsidR="00A33B9F" w:rsidRPr="00A33B9F">
        <w:rPr>
          <w:rFonts w:ascii="Times New Roman" w:hAnsi="Times New Roman"/>
          <w:noProof/>
          <w:color w:val="000000" w:themeColor="text1"/>
          <w:sz w:val="24"/>
        </w:rPr>
        <w:t xml:space="preserve"> z zas</w:t>
      </w:r>
      <w:r w:rsidRPr="00A33B9F">
        <w:rPr>
          <w:rFonts w:ascii="Times New Roman" w:hAnsi="Times New Roman"/>
          <w:noProof/>
          <w:color w:val="000000" w:themeColor="text1"/>
          <w:sz w:val="24"/>
        </w:rPr>
        <w:t>obów własnych oraz projekty, które</w:t>
      </w:r>
      <w:r w:rsidR="00A33B9F" w:rsidRPr="00A33B9F">
        <w:rPr>
          <w:rFonts w:ascii="Times New Roman" w:hAnsi="Times New Roman"/>
          <w:noProof/>
          <w:color w:val="000000" w:themeColor="text1"/>
          <w:sz w:val="24"/>
        </w:rPr>
        <w:t xml:space="preserve"> w naj</w:t>
      </w:r>
      <w:r w:rsidRPr="00A33B9F">
        <w:rPr>
          <w:rFonts w:ascii="Times New Roman" w:hAnsi="Times New Roman"/>
          <w:noProof/>
          <w:color w:val="000000" w:themeColor="text1"/>
          <w:sz w:val="24"/>
        </w:rPr>
        <w:t xml:space="preserve">większym stopniu mogą się przyczynić do łagodzenia istniejącego negatywnego wpływu na środowisko. </w:t>
      </w:r>
    </w:p>
    <w:p w14:paraId="56225A1A" w14:textId="59A00AC9" w:rsidR="007C4506" w:rsidRPr="00A33B9F" w:rsidRDefault="00B31839" w:rsidP="00A146F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tego działania miała zostać zakończona do</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31 grudnia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0C8FE7CE"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339AD8CD" w14:textId="079FBB7C"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B3.1.1 Inwestycje</w:t>
      </w:r>
      <w:r w:rsidR="00A33B9F" w:rsidRPr="00A33B9F">
        <w:rPr>
          <w:rFonts w:ascii="Times New Roman" w:hAnsi="Times New Roman"/>
          <w:b/>
          <w:noProof/>
          <w:color w:val="000000"/>
          <w:sz w:val="24"/>
          <w:u w:val="single"/>
        </w:rPr>
        <w:t xml:space="preserve"> w zró</w:t>
      </w:r>
      <w:r w:rsidRPr="00A33B9F">
        <w:rPr>
          <w:rFonts w:ascii="Times New Roman" w:hAnsi="Times New Roman"/>
          <w:b/>
          <w:noProof/>
          <w:color w:val="000000"/>
          <w:sz w:val="24"/>
          <w:u w:val="single"/>
        </w:rPr>
        <w:t>wnoważoną gospodarkę wodno-ściekową na terenach wiejskich</w:t>
      </w:r>
    </w:p>
    <w:p w14:paraId="2D04966D"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 xml:space="preserve">Celem tej inwestycji jest zwiększenie dostępności do infrastruktury wodno-kanalizacyjnej na obszarach, gdzie odnotowuje się jej największe deficyty oraz podniesienie standardu jakości życia na obszarach wiejskich dzięki rozwojowi infrastruktury wodno-kanalizacyjnej. Celem inwestycji jest również zwiększenie potencjału inwestycyjnego obszarów wiejskich. </w:t>
      </w:r>
    </w:p>
    <w:p w14:paraId="0C56EA90" w14:textId="22495E2A" w:rsidR="00A2142E" w:rsidRPr="00A33B9F" w:rsidRDefault="78FD86D7" w:rsidP="5AAB71A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obejmuje wspieranie budowy, rozbudowy lub modernizacji systemów zaopatrzenia</w:t>
      </w:r>
      <w:r w:rsidR="00A33B9F" w:rsidRPr="00A33B9F">
        <w:rPr>
          <w:rFonts w:ascii="Times New Roman" w:hAnsi="Times New Roman"/>
          <w:noProof/>
          <w:color w:val="000000" w:themeColor="text1"/>
          <w:sz w:val="24"/>
        </w:rPr>
        <w:t xml:space="preserve"> w wod</w:t>
      </w:r>
      <w:r w:rsidRPr="00A33B9F">
        <w:rPr>
          <w:rFonts w:ascii="Times New Roman" w:hAnsi="Times New Roman"/>
          <w:noProof/>
          <w:color w:val="000000" w:themeColor="text1"/>
          <w:sz w:val="24"/>
        </w:rPr>
        <w:t>ę lub odprowadzania ścieków na obszarach wiejskich, i ma doprowadzić do wzrostu liczby ludności wiejskiej korzystającej</w:t>
      </w:r>
      <w:r w:rsidR="00A33B9F" w:rsidRPr="00A33B9F">
        <w:rPr>
          <w:rFonts w:ascii="Times New Roman" w:hAnsi="Times New Roman"/>
          <w:noProof/>
          <w:color w:val="000000" w:themeColor="text1"/>
          <w:sz w:val="24"/>
        </w:rPr>
        <w:t xml:space="preserve"> z inf</w:t>
      </w:r>
      <w:r w:rsidRPr="00A33B9F">
        <w:rPr>
          <w:rFonts w:ascii="Times New Roman" w:hAnsi="Times New Roman"/>
          <w:noProof/>
          <w:color w:val="000000" w:themeColor="text1"/>
          <w:sz w:val="24"/>
        </w:rPr>
        <w:t>rastruktury wodociągowej</w:t>
      </w:r>
      <w:r w:rsidR="00A33B9F" w:rsidRPr="00A33B9F">
        <w:rPr>
          <w:rFonts w:ascii="Times New Roman" w:hAnsi="Times New Roman"/>
          <w:noProof/>
          <w:color w:val="000000" w:themeColor="text1"/>
          <w:sz w:val="24"/>
        </w:rPr>
        <w:t xml:space="preserve"> i kan</w:t>
      </w:r>
      <w:r w:rsidRPr="00A33B9F">
        <w:rPr>
          <w:rFonts w:ascii="Times New Roman" w:hAnsi="Times New Roman"/>
          <w:noProof/>
          <w:color w:val="000000" w:themeColor="text1"/>
          <w:sz w:val="24"/>
        </w:rPr>
        <w:t>alizacyjnej. Wsparcie uzyskają również działania związane</w:t>
      </w:r>
      <w:r w:rsidR="00A33B9F" w:rsidRPr="00A33B9F">
        <w:rPr>
          <w:rFonts w:ascii="Times New Roman" w:hAnsi="Times New Roman"/>
          <w:noProof/>
          <w:color w:val="000000" w:themeColor="text1"/>
          <w:sz w:val="24"/>
        </w:rPr>
        <w:t xml:space="preserve"> z pro</w:t>
      </w:r>
      <w:r w:rsidRPr="00A33B9F">
        <w:rPr>
          <w:rFonts w:ascii="Times New Roman" w:hAnsi="Times New Roman"/>
          <w:noProof/>
          <w:color w:val="000000" w:themeColor="text1"/>
          <w:sz w:val="24"/>
        </w:rPr>
        <w:t>mocją racjonalnej gospodarki wodą</w:t>
      </w:r>
      <w:r w:rsidR="00A33B9F" w:rsidRPr="00A33B9F">
        <w:rPr>
          <w:rFonts w:ascii="Times New Roman" w:hAnsi="Times New Roman"/>
          <w:noProof/>
          <w:color w:val="000000" w:themeColor="text1"/>
          <w:sz w:val="24"/>
        </w:rPr>
        <w:t xml:space="preserve"> i ści</w:t>
      </w:r>
      <w:r w:rsidRPr="00A33B9F">
        <w:rPr>
          <w:rFonts w:ascii="Times New Roman" w:hAnsi="Times New Roman"/>
          <w:noProof/>
          <w:color w:val="000000" w:themeColor="text1"/>
          <w:sz w:val="24"/>
        </w:rPr>
        <w:t>ekami</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inwestycji możliwe będzie objęcie dofinansowaniem również infrastruktury wykorzystującej rozwiązania cyfrowe jak np. montaż/wymiana wodomierzy na urządzenia pozwalające na zdalne odczyty oraz tworzenie systemów teleinformatycznych do zarządzania gospodarką wodno-kanalizacyjną. Rozważone zostaną alternatywne rozwiązania</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infrastruktury wodociągowej</w:t>
      </w:r>
      <w:r w:rsidR="00A33B9F" w:rsidRPr="00A33B9F">
        <w:rPr>
          <w:rFonts w:ascii="Times New Roman" w:hAnsi="Times New Roman"/>
          <w:noProof/>
          <w:color w:val="000000" w:themeColor="text1"/>
          <w:sz w:val="24"/>
        </w:rPr>
        <w:t xml:space="preserve"> i kan</w:t>
      </w:r>
      <w:r w:rsidRPr="00A33B9F">
        <w:rPr>
          <w:rFonts w:ascii="Times New Roman" w:hAnsi="Times New Roman"/>
          <w:noProof/>
          <w:color w:val="000000" w:themeColor="text1"/>
          <w:sz w:val="24"/>
        </w:rPr>
        <w:t xml:space="preserve">alizacyjnej na obszarach wiejskich (takie jak łączenie systemu zbiorowego ze zbiornikami septycznymi lub indywidualnymi stacjami uzdatniania wody). </w:t>
      </w:r>
    </w:p>
    <w:p w14:paraId="5FAB60C8" w14:textId="5A8C0E96" w:rsidR="007C4506" w:rsidRPr="00A33B9F"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31 grudnia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55D4CE2A" w14:textId="77777777" w:rsidR="00B54E14" w:rsidRPr="00A33B9F" w:rsidRDefault="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B54E14" w:rsidRPr="00A33B9F" w:rsidSect="00B54E14">
          <w:headerReference w:type="even" r:id="rId55"/>
          <w:headerReference w:type="default" r:id="rId56"/>
          <w:footerReference w:type="even" r:id="rId57"/>
          <w:footerReference w:type="default" r:id="rId58"/>
          <w:headerReference w:type="first" r:id="rId59"/>
          <w:footerReference w:type="first" r:id="rId60"/>
          <w:pgSz w:w="11907" w:h="16839"/>
          <w:pgMar w:top="1134" w:right="1418" w:bottom="1134" w:left="1418" w:header="709" w:footer="709" w:gutter="0"/>
          <w:cols w:space="720"/>
        </w:sectPr>
      </w:pPr>
    </w:p>
    <w:p w14:paraId="41004F19" w14:textId="2CA43B19" w:rsidR="00212550" w:rsidRPr="00A33B9F" w:rsidRDefault="00B54E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 xml:space="preserve">B.2.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na potrzeby bezzwrotnego wsparcia finansowego</w:t>
      </w:r>
    </w:p>
    <w:tbl>
      <w:tblPr>
        <w:tblW w:w="15027"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30"/>
        <w:gridCol w:w="1763"/>
        <w:gridCol w:w="1093"/>
        <w:gridCol w:w="1895"/>
        <w:gridCol w:w="1628"/>
        <w:gridCol w:w="1125"/>
        <w:gridCol w:w="958"/>
        <w:gridCol w:w="885"/>
        <w:gridCol w:w="898"/>
        <w:gridCol w:w="691"/>
        <w:gridCol w:w="3261"/>
      </w:tblGrid>
      <w:tr w:rsidR="008C116B" w:rsidRPr="00A33B9F" w14:paraId="3F7835F8" w14:textId="77777777" w:rsidTr="00301C62">
        <w:trPr>
          <w:trHeight w:val="939"/>
          <w:tblHeader/>
        </w:trPr>
        <w:tc>
          <w:tcPr>
            <w:tcW w:w="830" w:type="dxa"/>
            <w:vMerge w:val="restart"/>
            <w:shd w:val="clear" w:color="auto" w:fill="BDD7EE"/>
            <w:vAlign w:val="center"/>
          </w:tcPr>
          <w:p w14:paraId="29A4853F" w14:textId="0AF968B9" w:rsidR="007C4506" w:rsidRPr="00A33B9F" w:rsidRDefault="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763" w:type="dxa"/>
            <w:vMerge w:val="restart"/>
            <w:shd w:val="clear" w:color="auto" w:fill="BDD7EE"/>
            <w:vAlign w:val="center"/>
          </w:tcPr>
          <w:p w14:paraId="2B943291"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093" w:type="dxa"/>
            <w:vMerge w:val="restart"/>
            <w:shd w:val="clear" w:color="auto" w:fill="BDD7EE"/>
            <w:vAlign w:val="center"/>
          </w:tcPr>
          <w:p w14:paraId="7CC8C155"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895" w:type="dxa"/>
            <w:vMerge w:val="restart"/>
            <w:shd w:val="clear" w:color="auto" w:fill="BDD7EE"/>
            <w:vAlign w:val="center"/>
          </w:tcPr>
          <w:p w14:paraId="69C41B3B"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628" w:type="dxa"/>
            <w:vMerge w:val="restart"/>
            <w:shd w:val="clear" w:color="auto" w:fill="BDD7EE"/>
            <w:vAlign w:val="center"/>
          </w:tcPr>
          <w:p w14:paraId="455F9133"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968" w:type="dxa"/>
            <w:gridSpan w:val="3"/>
            <w:shd w:val="clear" w:color="auto" w:fill="BDD7EE"/>
            <w:vAlign w:val="center"/>
          </w:tcPr>
          <w:p w14:paraId="781DE8B5"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589" w:type="dxa"/>
            <w:gridSpan w:val="2"/>
            <w:shd w:val="clear" w:color="auto" w:fill="BDD7EE"/>
            <w:vAlign w:val="center"/>
          </w:tcPr>
          <w:p w14:paraId="6B203C72"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261" w:type="dxa"/>
            <w:vMerge w:val="restart"/>
            <w:shd w:val="clear" w:color="auto" w:fill="BDD7EE"/>
            <w:vAlign w:val="center"/>
          </w:tcPr>
          <w:p w14:paraId="5AC1046A" w14:textId="5BCC1786"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CA5542" w:rsidRPr="00A33B9F" w14:paraId="2D99E2F5" w14:textId="77777777" w:rsidTr="00301C62">
        <w:trPr>
          <w:trHeight w:val="1027"/>
        </w:trPr>
        <w:tc>
          <w:tcPr>
            <w:tcW w:w="830" w:type="dxa"/>
            <w:vMerge/>
            <w:vAlign w:val="center"/>
          </w:tcPr>
          <w:p w14:paraId="67C0C651"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63" w:type="dxa"/>
            <w:vMerge/>
            <w:vAlign w:val="center"/>
          </w:tcPr>
          <w:p w14:paraId="308D56CC"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093" w:type="dxa"/>
            <w:vMerge/>
            <w:vAlign w:val="center"/>
          </w:tcPr>
          <w:p w14:paraId="797E50C6"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95" w:type="dxa"/>
            <w:vMerge/>
            <w:vAlign w:val="center"/>
          </w:tcPr>
          <w:p w14:paraId="7B04FA47"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628" w:type="dxa"/>
            <w:vMerge/>
            <w:vAlign w:val="center"/>
          </w:tcPr>
          <w:p w14:paraId="568C698B"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25" w:type="dxa"/>
            <w:shd w:val="clear" w:color="auto" w:fill="BDD7EE"/>
            <w:vAlign w:val="center"/>
          </w:tcPr>
          <w:p w14:paraId="067DD0AB"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58" w:type="dxa"/>
            <w:shd w:val="clear" w:color="auto" w:fill="BDD7EE"/>
            <w:vAlign w:val="center"/>
          </w:tcPr>
          <w:p w14:paraId="43F43E50"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885" w:type="dxa"/>
            <w:shd w:val="clear" w:color="auto" w:fill="BDD7EE"/>
            <w:vAlign w:val="center"/>
          </w:tcPr>
          <w:p w14:paraId="21A36EB4"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898" w:type="dxa"/>
            <w:shd w:val="clear" w:color="auto" w:fill="BDD7EE"/>
            <w:vAlign w:val="center"/>
          </w:tcPr>
          <w:p w14:paraId="4A95BF68"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691" w:type="dxa"/>
            <w:shd w:val="clear" w:color="auto" w:fill="BDD7EE"/>
            <w:vAlign w:val="center"/>
          </w:tcPr>
          <w:p w14:paraId="2F79DAA1"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261" w:type="dxa"/>
            <w:vMerge/>
            <w:vAlign w:val="center"/>
          </w:tcPr>
          <w:p w14:paraId="1A939487"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29E0A413"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B2963F" w14:textId="39867EE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A2816D" w14:textId="0CC4A82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 Czyste powietrze</w:t>
            </w:r>
            <w:r w:rsidR="00A33B9F" w:rsidRPr="00A33B9F">
              <w:rPr>
                <w:rFonts w:ascii="Times New Roman" w:hAnsi="Times New Roman"/>
                <w:noProof/>
                <w:color w:val="000000"/>
                <w:sz w:val="18"/>
              </w:rPr>
              <w:t xml:space="preserve"> i efe</w:t>
            </w:r>
            <w:r w:rsidRPr="00A33B9F">
              <w:rPr>
                <w:rFonts w:ascii="Times New Roman" w:hAnsi="Times New Roman"/>
                <w:noProof/>
                <w:color w:val="000000"/>
                <w:sz w:val="18"/>
              </w:rPr>
              <w:t>ktywność energetyczna</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FD43E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16F312" w14:textId="11480A50" w:rsidR="00BE1B25" w:rsidRPr="00A33B9F" w:rsidRDefault="73B865F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efe</w:t>
            </w:r>
            <w:r w:rsidRPr="00A33B9F">
              <w:rPr>
                <w:rFonts w:ascii="Times New Roman" w:hAnsi="Times New Roman"/>
                <w:noProof/>
                <w:color w:val="000000" w:themeColor="text1"/>
                <w:sz w:val="18"/>
              </w:rPr>
              <w:t>ktywności energetycznej</w:t>
            </w:r>
            <w:r w:rsidR="00A33B9F" w:rsidRPr="00A33B9F">
              <w:rPr>
                <w:rFonts w:ascii="Times New Roman" w:hAnsi="Times New Roman"/>
                <w:noProof/>
                <w:color w:val="000000" w:themeColor="text1"/>
                <w:sz w:val="18"/>
              </w:rPr>
              <w:t xml:space="preserve"> i pow</w:t>
            </w:r>
            <w:r w:rsidRPr="00A33B9F">
              <w:rPr>
                <w:rFonts w:ascii="Times New Roman" w:hAnsi="Times New Roman"/>
                <w:noProof/>
                <w:color w:val="000000" w:themeColor="text1"/>
                <w:sz w:val="18"/>
              </w:rPr>
              <w:t>iązanych aktów ustawodawczych</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F5D5ED" w14:textId="5BA8CEDC" w:rsidR="00BE1B25" w:rsidRPr="00A33B9F" w:rsidRDefault="0BD9B4A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efe</w:t>
            </w:r>
            <w:r w:rsidRPr="00A33B9F">
              <w:rPr>
                <w:rFonts w:ascii="Times New Roman" w:hAnsi="Times New Roman"/>
                <w:noProof/>
                <w:color w:val="000000" w:themeColor="text1"/>
                <w:sz w:val="18"/>
              </w:rPr>
              <w:t>ktywności energetycznej</w:t>
            </w:r>
            <w:r w:rsidR="00A33B9F" w:rsidRPr="00A33B9F">
              <w:rPr>
                <w:rFonts w:ascii="Times New Roman" w:hAnsi="Times New Roman"/>
                <w:noProof/>
                <w:color w:val="000000" w:themeColor="text1"/>
                <w:sz w:val="18"/>
              </w:rPr>
              <w:t xml:space="preserve"> i pow</w:t>
            </w:r>
            <w:r w:rsidRPr="00A33B9F">
              <w:rPr>
                <w:rFonts w:ascii="Times New Roman" w:hAnsi="Times New Roman"/>
                <w:noProof/>
                <w:color w:val="000000" w:themeColor="text1"/>
                <w:sz w:val="18"/>
              </w:rPr>
              <w:t>iązanych aktów ustawodawczych wskazujący na wejście ustawy</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9BCD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69F1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C72755"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E8EBA0"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A1ECB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DE24E" w14:textId="5A9A7AD8" w:rsidR="00BE1B25" w:rsidRPr="00A33B9F" w:rsidRDefault="34ED7E6D"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efe</w:t>
            </w:r>
            <w:r w:rsidRPr="00A33B9F">
              <w:rPr>
                <w:rFonts w:ascii="Times New Roman" w:hAnsi="Times New Roman"/>
                <w:noProof/>
                <w:color w:val="000000" w:themeColor="text1"/>
                <w:sz w:val="18"/>
              </w:rPr>
              <w:t>ktywności energetycznej</w:t>
            </w:r>
            <w:r w:rsidR="00A33B9F" w:rsidRPr="00A33B9F">
              <w:rPr>
                <w:rFonts w:ascii="Times New Roman" w:hAnsi="Times New Roman"/>
                <w:noProof/>
                <w:color w:val="000000" w:themeColor="text1"/>
                <w:sz w:val="18"/>
              </w:rPr>
              <w:t xml:space="preserve"> i pow</w:t>
            </w:r>
            <w:r w:rsidRPr="00A33B9F">
              <w:rPr>
                <w:rFonts w:ascii="Times New Roman" w:hAnsi="Times New Roman"/>
                <w:noProof/>
                <w:color w:val="000000" w:themeColor="text1"/>
                <w:sz w:val="18"/>
              </w:rPr>
              <w:t>iązanych</w:t>
            </w:r>
            <w:r w:rsidR="00A33B9F" w:rsidRPr="00A33B9F">
              <w:rPr>
                <w:rFonts w:ascii="Times New Roman" w:hAnsi="Times New Roman"/>
                <w:noProof/>
                <w:color w:val="000000" w:themeColor="text1"/>
                <w:sz w:val="18"/>
              </w:rPr>
              <w:t xml:space="preserve"> z nią</w:t>
            </w:r>
            <w:r w:rsidRPr="00A33B9F">
              <w:rPr>
                <w:rFonts w:ascii="Times New Roman" w:hAnsi="Times New Roman"/>
                <w:noProof/>
                <w:color w:val="000000" w:themeColor="text1"/>
                <w:sz w:val="18"/>
              </w:rPr>
              <w:t xml:space="preserve"> aktów ustawodawczych (ustawy</w:t>
            </w:r>
            <w:r w:rsidR="00A33B9F" w:rsidRPr="00A33B9F">
              <w:rPr>
                <w:rFonts w:ascii="Times New Roman" w:hAnsi="Times New Roman"/>
                <w:noProof/>
                <w:color w:val="000000" w:themeColor="text1"/>
                <w:sz w:val="18"/>
              </w:rPr>
              <w:t xml:space="preserve"> o wsp</w:t>
            </w:r>
            <w:r w:rsidRPr="00A33B9F">
              <w:rPr>
                <w:rFonts w:ascii="Times New Roman" w:hAnsi="Times New Roman"/>
                <w:noProof/>
                <w:color w:val="000000" w:themeColor="text1"/>
                <w:sz w:val="18"/>
              </w:rPr>
              <w:t>ieraniu termomodernizacji</w:t>
            </w:r>
            <w:r w:rsidR="00A33B9F" w:rsidRPr="00A33B9F">
              <w:rPr>
                <w:rFonts w:ascii="Times New Roman" w:hAnsi="Times New Roman"/>
                <w:noProof/>
                <w:color w:val="000000" w:themeColor="text1"/>
                <w:sz w:val="18"/>
              </w:rPr>
              <w:t xml:space="preserve"> i rem</w:t>
            </w:r>
            <w:r w:rsidRPr="00A33B9F">
              <w:rPr>
                <w:rFonts w:ascii="Times New Roman" w:hAnsi="Times New Roman"/>
                <w:noProof/>
                <w:color w:val="000000" w:themeColor="text1"/>
                <w:sz w:val="18"/>
              </w:rPr>
              <w:t>ontów oraz</w:t>
            </w:r>
            <w:r w:rsidR="00A33B9F" w:rsidRPr="00A33B9F">
              <w:rPr>
                <w:rFonts w:ascii="Times New Roman" w:hAnsi="Times New Roman"/>
                <w:noProof/>
                <w:color w:val="000000" w:themeColor="text1"/>
                <w:sz w:val="18"/>
              </w:rPr>
              <w:t xml:space="preserve"> o cen</w:t>
            </w:r>
            <w:r w:rsidRPr="00A33B9F">
              <w:rPr>
                <w:rFonts w:ascii="Times New Roman" w:hAnsi="Times New Roman"/>
                <w:noProof/>
                <w:color w:val="000000" w:themeColor="text1"/>
                <w:sz w:val="18"/>
              </w:rPr>
              <w:t>tralnej ewidencji emisyjności budynków; ustawy</w:t>
            </w:r>
            <w:r w:rsidR="00A33B9F" w:rsidRPr="00A33B9F">
              <w:rPr>
                <w:rFonts w:ascii="Times New Roman" w:hAnsi="Times New Roman"/>
                <w:noProof/>
                <w:color w:val="000000" w:themeColor="text1"/>
                <w:sz w:val="18"/>
              </w:rPr>
              <w:t xml:space="preserve"> o fin</w:t>
            </w:r>
            <w:r w:rsidRPr="00A33B9F">
              <w:rPr>
                <w:rFonts w:ascii="Times New Roman" w:hAnsi="Times New Roman"/>
                <w:noProof/>
                <w:color w:val="000000" w:themeColor="text1"/>
                <w:sz w:val="18"/>
              </w:rPr>
              <w:t>ansowym wsparciu tworzenia lokali mieszkalnych na wynajem; ustawy</w:t>
            </w:r>
            <w:r w:rsidR="00A33B9F" w:rsidRPr="00A33B9F">
              <w:rPr>
                <w:rFonts w:ascii="Times New Roman" w:hAnsi="Times New Roman"/>
                <w:noProof/>
                <w:color w:val="000000" w:themeColor="text1"/>
                <w:sz w:val="18"/>
              </w:rPr>
              <w:t xml:space="preserve"> o nie</w:t>
            </w:r>
            <w:r w:rsidRPr="00A33B9F">
              <w:rPr>
                <w:rFonts w:ascii="Times New Roman" w:hAnsi="Times New Roman"/>
                <w:noProof/>
                <w:color w:val="000000" w:themeColor="text1"/>
                <w:sz w:val="18"/>
              </w:rPr>
              <w:t>których formach popierania budownictwa mieszkaniowego; oraz ustawy</w:t>
            </w:r>
            <w:r w:rsidR="00A33B9F" w:rsidRPr="00A33B9F">
              <w:rPr>
                <w:rFonts w:ascii="Times New Roman" w:hAnsi="Times New Roman"/>
                <w:noProof/>
                <w:color w:val="000000" w:themeColor="text1"/>
                <w:sz w:val="18"/>
              </w:rPr>
              <w:t xml:space="preserve"> o odn</w:t>
            </w:r>
            <w:r w:rsidRPr="00A33B9F">
              <w:rPr>
                <w:rFonts w:ascii="Times New Roman" w:hAnsi="Times New Roman"/>
                <w:noProof/>
                <w:color w:val="000000" w:themeColor="text1"/>
                <w:sz w:val="18"/>
              </w:rPr>
              <w:t>awialnych źródłach energii), która umożliwi podmiotom objętym systemem zobowiązującym do efektywności energetycznej wypełnianie zobowiązań dotyczących oszczędności energii</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tzw. programów subsydiowania. Sprecyzowane zostaną możliwości wykorzystania umów</w:t>
            </w:r>
            <w:r w:rsidR="00A33B9F" w:rsidRPr="00A33B9F">
              <w:rPr>
                <w:rFonts w:ascii="Times New Roman" w:hAnsi="Times New Roman"/>
                <w:noProof/>
                <w:color w:val="000000" w:themeColor="text1"/>
                <w:sz w:val="18"/>
              </w:rPr>
              <w:t xml:space="preserve"> o pop</w:t>
            </w:r>
            <w:r w:rsidRPr="00A33B9F">
              <w:rPr>
                <w:rFonts w:ascii="Times New Roman" w:hAnsi="Times New Roman"/>
                <w:noProof/>
                <w:color w:val="000000" w:themeColor="text1"/>
                <w:sz w:val="18"/>
              </w:rPr>
              <w:t>rawę efektywności energetycznej</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publicznym. Umożliwi to przedsiębiorstwom usług energetycznych udział</w:t>
            </w:r>
            <w:r w:rsidR="00A33B9F" w:rsidRPr="00A33B9F">
              <w:rPr>
                <w:rFonts w:ascii="Times New Roman" w:hAnsi="Times New Roman"/>
                <w:noProof/>
                <w:color w:val="000000" w:themeColor="text1"/>
                <w:sz w:val="18"/>
              </w:rPr>
              <w:t xml:space="preserve"> w sys</w:t>
            </w:r>
            <w:r w:rsidRPr="00A33B9F">
              <w:rPr>
                <w:rFonts w:ascii="Times New Roman" w:hAnsi="Times New Roman"/>
                <w:noProof/>
                <w:color w:val="000000" w:themeColor="text1"/>
                <w:sz w:val="18"/>
              </w:rPr>
              <w:t xml:space="preserve">temach zobowiązujących do efektywności energetycznej. </w:t>
            </w:r>
          </w:p>
        </w:tc>
      </w:tr>
      <w:tr w:rsidR="008C116B" w:rsidRPr="00A33B9F" w14:paraId="699BBC21"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2650BD" w14:textId="77BF494B"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B2G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DEEB97" w14:textId="546F1C5D"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 Czyste powietrze</w:t>
            </w:r>
            <w:r w:rsidR="00A33B9F" w:rsidRPr="00A33B9F">
              <w:rPr>
                <w:rFonts w:ascii="Times New Roman" w:hAnsi="Times New Roman"/>
                <w:noProof/>
                <w:color w:val="000000"/>
                <w:sz w:val="18"/>
              </w:rPr>
              <w:t xml:space="preserve"> i efe</w:t>
            </w:r>
            <w:r w:rsidRPr="00A33B9F">
              <w:rPr>
                <w:rFonts w:ascii="Times New Roman" w:hAnsi="Times New Roman"/>
                <w:noProof/>
                <w:color w:val="000000"/>
                <w:sz w:val="18"/>
              </w:rPr>
              <w:t>ktywność energetyczna</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A89A8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E2AE4D" w14:textId="038075B6"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Aktualizacja Programu Priorytetowego „Czyste Powietrze”</w:t>
            </w:r>
            <w:r w:rsidR="00C3621A" w:rsidRPr="00A33B9F">
              <w:rPr>
                <w:rFonts w:ascii="Times New Roman" w:hAnsi="Times New Roman"/>
                <w:noProof/>
                <w:color w:val="000000"/>
                <w:sz w:val="18"/>
              </w:rPr>
              <w:t xml:space="preserve">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E22B2" w14:textId="3312E67D"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Przyjęcie zaktualizowanego Programu Priorytetowego „Czyste Powietrze”, przez Narodowy Fundusz Ochrony Środowiska</w:t>
            </w:r>
            <w:r w:rsidR="00A33B9F" w:rsidRPr="00A33B9F">
              <w:rPr>
                <w:rFonts w:ascii="Times New Roman" w:hAnsi="Times New Roman"/>
                <w:noProof/>
                <w:color w:val="000000"/>
                <w:sz w:val="18"/>
              </w:rPr>
              <w:t xml:space="preserve"> i Gos</w:t>
            </w:r>
            <w:r w:rsidRPr="00A33B9F">
              <w:rPr>
                <w:rFonts w:ascii="Times New Roman" w:hAnsi="Times New Roman"/>
                <w:noProof/>
                <w:color w:val="000000"/>
                <w:sz w:val="18"/>
              </w:rPr>
              <w:t>podarki Wodnej,</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xml:space="preserve"> przepisów dotyczących wsparcia ukierunkowanego na a) gospodarstwa domowe</w:t>
            </w:r>
            <w:r w:rsidR="00A33B9F" w:rsidRPr="00A33B9F">
              <w:rPr>
                <w:rFonts w:ascii="Times New Roman" w:hAnsi="Times New Roman"/>
                <w:noProof/>
                <w:color w:val="000000"/>
                <w:sz w:val="18"/>
              </w:rPr>
              <w:t xml:space="preserve"> o wyż</w:t>
            </w:r>
            <w:r w:rsidRPr="00A33B9F">
              <w:rPr>
                <w:rFonts w:ascii="Times New Roman" w:hAnsi="Times New Roman"/>
                <w:noProof/>
                <w:color w:val="000000"/>
                <w:sz w:val="18"/>
              </w:rPr>
              <w:t>szych dochodach, szczególnie</w:t>
            </w:r>
            <w:r w:rsidR="00A33B9F" w:rsidRPr="00A33B9F">
              <w:rPr>
                <w:rFonts w:ascii="Times New Roman" w:hAnsi="Times New Roman"/>
                <w:noProof/>
                <w:color w:val="000000"/>
                <w:sz w:val="18"/>
              </w:rPr>
              <w:t xml:space="preserve"> z udz</w:t>
            </w:r>
            <w:r w:rsidRPr="00A33B9F">
              <w:rPr>
                <w:rFonts w:ascii="Times New Roman" w:hAnsi="Times New Roman"/>
                <w:noProof/>
                <w:color w:val="000000"/>
                <w:sz w:val="18"/>
              </w:rPr>
              <w:t>iałem sektora bankowego udzielającego pożyczek połączonych</w:t>
            </w:r>
            <w:r w:rsidR="00A33B9F" w:rsidRPr="00A33B9F">
              <w:rPr>
                <w:rFonts w:ascii="Times New Roman" w:hAnsi="Times New Roman"/>
                <w:noProof/>
                <w:color w:val="000000"/>
                <w:sz w:val="18"/>
              </w:rPr>
              <w:t xml:space="preserve"> z dot</w:t>
            </w:r>
            <w:r w:rsidRPr="00A33B9F">
              <w:rPr>
                <w:rFonts w:ascii="Times New Roman" w:hAnsi="Times New Roman"/>
                <w:noProof/>
                <w:color w:val="000000"/>
                <w:sz w:val="18"/>
              </w:rPr>
              <w:t>acjami; b) gospodarstwa domowe</w:t>
            </w:r>
            <w:r w:rsidR="00A33B9F" w:rsidRPr="00A33B9F">
              <w:rPr>
                <w:rFonts w:ascii="Times New Roman" w:hAnsi="Times New Roman"/>
                <w:noProof/>
                <w:color w:val="000000"/>
                <w:sz w:val="18"/>
              </w:rPr>
              <w:t xml:space="preserve"> o nis</w:t>
            </w:r>
            <w:r w:rsidRPr="00A33B9F">
              <w:rPr>
                <w:rFonts w:ascii="Times New Roman" w:hAnsi="Times New Roman"/>
                <w:noProof/>
                <w:color w:val="000000"/>
                <w:sz w:val="18"/>
              </w:rPr>
              <w:t>kich dochodach; c) gospodarstwa domowe</w:t>
            </w:r>
            <w:r w:rsidR="00A33B9F" w:rsidRPr="00A33B9F">
              <w:rPr>
                <w:rFonts w:ascii="Times New Roman" w:hAnsi="Times New Roman"/>
                <w:noProof/>
                <w:color w:val="000000"/>
                <w:sz w:val="18"/>
              </w:rPr>
              <w:t xml:space="preserve"> o naj</w:t>
            </w:r>
            <w:r w:rsidRPr="00A33B9F">
              <w:rPr>
                <w:rFonts w:ascii="Times New Roman" w:hAnsi="Times New Roman"/>
                <w:noProof/>
                <w:color w:val="000000"/>
                <w:sz w:val="18"/>
              </w:rPr>
              <w:t>niższych dochodach.</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DF03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B14421"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694584"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DE392A"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A5C52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9F6FE9" w14:textId="7315ACF5" w:rsidR="00BE1B25" w:rsidRPr="00A33B9F" w:rsidRDefault="66F51FA2"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Narodowy Fundusz Ochrony Środowiska</w:t>
            </w:r>
            <w:r w:rsidR="00A33B9F" w:rsidRPr="00A33B9F">
              <w:rPr>
                <w:rFonts w:ascii="Times New Roman" w:hAnsi="Times New Roman"/>
                <w:noProof/>
                <w:color w:val="000000" w:themeColor="text1"/>
                <w:sz w:val="18"/>
              </w:rPr>
              <w:t xml:space="preserve"> i Gos</w:t>
            </w:r>
            <w:r w:rsidRPr="00A33B9F">
              <w:rPr>
                <w:rFonts w:ascii="Times New Roman" w:hAnsi="Times New Roman"/>
                <w:noProof/>
                <w:color w:val="000000" w:themeColor="text1"/>
                <w:sz w:val="18"/>
              </w:rPr>
              <w:t>podarki Wodnej przyjmie zmiany</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gramie Priorytetowym „Czyste Powietrze” zgodnie</w:t>
            </w:r>
            <w:r w:rsidR="00A33B9F" w:rsidRPr="00A33B9F">
              <w:rPr>
                <w:rFonts w:ascii="Times New Roman" w:hAnsi="Times New Roman"/>
                <w:noProof/>
                <w:color w:val="000000" w:themeColor="text1"/>
                <w:sz w:val="18"/>
              </w:rPr>
              <w:t xml:space="preserve"> z dłu</w:t>
            </w:r>
            <w:r w:rsidRPr="00A33B9F">
              <w:rPr>
                <w:rFonts w:ascii="Times New Roman" w:hAnsi="Times New Roman"/>
                <w:noProof/>
                <w:color w:val="000000" w:themeColor="text1"/>
                <w:sz w:val="18"/>
              </w:rPr>
              <w:t>goterminową strategią renowacji na podstawie dyrektywy</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charakterystyki energetycznej budynków,</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specjalne wsparcie ukierunkowane na a) gospodarstwa domowe</w:t>
            </w:r>
            <w:r w:rsidR="00A33B9F" w:rsidRPr="00A33B9F">
              <w:rPr>
                <w:rFonts w:ascii="Times New Roman" w:hAnsi="Times New Roman"/>
                <w:noProof/>
                <w:color w:val="000000" w:themeColor="text1"/>
                <w:sz w:val="18"/>
              </w:rPr>
              <w:t xml:space="preserve"> o wyż</w:t>
            </w:r>
            <w:r w:rsidRPr="00A33B9F">
              <w:rPr>
                <w:rFonts w:ascii="Times New Roman" w:hAnsi="Times New Roman"/>
                <w:noProof/>
                <w:color w:val="000000" w:themeColor="text1"/>
                <w:sz w:val="18"/>
              </w:rPr>
              <w:t>szych dochodach, szczególnie</w:t>
            </w:r>
            <w:r w:rsidR="00A33B9F" w:rsidRPr="00A33B9F">
              <w:rPr>
                <w:rFonts w:ascii="Times New Roman" w:hAnsi="Times New Roman"/>
                <w:noProof/>
                <w:color w:val="000000" w:themeColor="text1"/>
                <w:sz w:val="18"/>
              </w:rPr>
              <w:t xml:space="preserve"> z udz</w:t>
            </w:r>
            <w:r w:rsidRPr="00A33B9F">
              <w:rPr>
                <w:rFonts w:ascii="Times New Roman" w:hAnsi="Times New Roman"/>
                <w:noProof/>
                <w:color w:val="000000" w:themeColor="text1"/>
                <w:sz w:val="18"/>
              </w:rPr>
              <w:t>iałem sektora bankowego udzielającego pożyczek połączonych</w:t>
            </w:r>
            <w:r w:rsidR="00A33B9F" w:rsidRPr="00A33B9F">
              <w:rPr>
                <w:rFonts w:ascii="Times New Roman" w:hAnsi="Times New Roman"/>
                <w:noProof/>
                <w:color w:val="000000" w:themeColor="text1"/>
                <w:sz w:val="18"/>
              </w:rPr>
              <w:t xml:space="preserve"> z dot</w:t>
            </w:r>
            <w:r w:rsidRPr="00A33B9F">
              <w:rPr>
                <w:rFonts w:ascii="Times New Roman" w:hAnsi="Times New Roman"/>
                <w:noProof/>
                <w:color w:val="000000" w:themeColor="text1"/>
                <w:sz w:val="18"/>
              </w:rPr>
              <w:t>acjami; b) gospodarstwa domowe</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 dochodach; c) gospodarstwa domowe</w:t>
            </w:r>
            <w:r w:rsidR="00A33B9F" w:rsidRPr="00A33B9F">
              <w:rPr>
                <w:rFonts w:ascii="Times New Roman" w:hAnsi="Times New Roman"/>
                <w:noProof/>
                <w:color w:val="000000" w:themeColor="text1"/>
                <w:sz w:val="18"/>
              </w:rPr>
              <w:t xml:space="preserve"> o naj</w:t>
            </w:r>
            <w:r w:rsidRPr="00A33B9F">
              <w:rPr>
                <w:rFonts w:ascii="Times New Roman" w:hAnsi="Times New Roman"/>
                <w:noProof/>
                <w:color w:val="000000" w:themeColor="text1"/>
                <w:sz w:val="18"/>
              </w:rPr>
              <w:t>niższych dochodach (zgodnie</w:t>
            </w:r>
            <w:r w:rsidR="00A33B9F" w:rsidRPr="00A33B9F">
              <w:rPr>
                <w:rFonts w:ascii="Times New Roman" w:hAnsi="Times New Roman"/>
                <w:noProof/>
                <w:color w:val="000000" w:themeColor="text1"/>
                <w:sz w:val="18"/>
              </w:rPr>
              <w:t xml:space="preserve"> z def</w:t>
            </w:r>
            <w:r w:rsidRPr="00A33B9F">
              <w:rPr>
                <w:rFonts w:ascii="Times New Roman" w:hAnsi="Times New Roman"/>
                <w:noProof/>
                <w:color w:val="000000" w:themeColor="text1"/>
                <w:sz w:val="18"/>
              </w:rPr>
              <w:t>inicjami mającymi zastosowanie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Programu Priorytetowego „Czyste powietrze”). </w:t>
            </w:r>
          </w:p>
          <w:p w14:paraId="61C247E7" w14:textId="2C36758D" w:rsidR="00BE1B25" w:rsidRPr="00A33B9F" w:rsidRDefault="1626BFD6"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Do dnia 31 marca 2023</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przepisy zapewniające ukierunkowane wsparcie wymienionym grupom będą</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ni operacyjne,</w:t>
            </w:r>
            <w:r w:rsidR="00A33B9F" w:rsidRPr="00A33B9F">
              <w:rPr>
                <w:rFonts w:ascii="Times New Roman" w:hAnsi="Times New Roman"/>
                <w:noProof/>
                <w:color w:val="000000" w:themeColor="text1"/>
                <w:sz w:val="18"/>
              </w:rPr>
              <w:t xml:space="preserve"> a odb</w:t>
            </w:r>
            <w:r w:rsidRPr="00A33B9F">
              <w:rPr>
                <w:rFonts w:ascii="Times New Roman" w:hAnsi="Times New Roman"/>
                <w:noProof/>
                <w:color w:val="000000" w:themeColor="text1"/>
                <w:sz w:val="18"/>
              </w:rPr>
              <w:t xml:space="preserve">iorcy uzyskają dostęp do tego wsparcia. </w:t>
            </w:r>
          </w:p>
        </w:tc>
      </w:tr>
      <w:tr w:rsidR="008C116B" w:rsidRPr="00A33B9F" w14:paraId="62BDEBB8"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4D1EF" w14:textId="006BB93D"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B3G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11F936" w14:textId="18776A1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 Czyste powietrze</w:t>
            </w:r>
            <w:r w:rsidR="00A33B9F" w:rsidRPr="00A33B9F">
              <w:rPr>
                <w:rFonts w:ascii="Times New Roman" w:hAnsi="Times New Roman"/>
                <w:noProof/>
                <w:color w:val="000000"/>
                <w:sz w:val="18"/>
              </w:rPr>
              <w:t xml:space="preserve"> i efe</w:t>
            </w:r>
            <w:r w:rsidRPr="00A33B9F">
              <w:rPr>
                <w:rFonts w:ascii="Times New Roman" w:hAnsi="Times New Roman"/>
                <w:noProof/>
                <w:color w:val="000000"/>
                <w:sz w:val="18"/>
              </w:rPr>
              <w:t>ktywność energetyczna</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5E829"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A7BB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Aktualizacja Krajowego Programu Ochrony Powietrza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81A001" w14:textId="13617B3E"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Przyjęcie przez Ministra Klimatu</w:t>
            </w:r>
            <w:r w:rsidR="00A33B9F" w:rsidRPr="00A33B9F">
              <w:rPr>
                <w:rFonts w:ascii="Times New Roman" w:hAnsi="Times New Roman"/>
                <w:noProof/>
                <w:color w:val="000000"/>
                <w:sz w:val="18"/>
              </w:rPr>
              <w:t xml:space="preserve"> i Śro</w:t>
            </w:r>
            <w:r w:rsidRPr="00A33B9F">
              <w:rPr>
                <w:rFonts w:ascii="Times New Roman" w:hAnsi="Times New Roman"/>
                <w:noProof/>
                <w:color w:val="000000"/>
                <w:sz w:val="18"/>
              </w:rPr>
              <w:t>dowiska zaktualizowanego Krajowego Programu Ochrony Powietrza</w:t>
            </w:r>
            <w:r w:rsidR="00C3621A"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DFE56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776A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2EDE1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D6490"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3756FA"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B670D7" w14:textId="2915AFA7" w:rsidR="00BE1B25" w:rsidRPr="00A33B9F" w:rsidRDefault="32DC7FE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 ramach Krajowego Programu Ochrony Powietrza wyznaczone zostaną nowe zadania, których realizacja ma nastąpić na poziomie krajowym, wojewódzkim</w:t>
            </w:r>
            <w:r w:rsidR="00A33B9F" w:rsidRPr="00A33B9F">
              <w:rPr>
                <w:rFonts w:ascii="Times New Roman" w:hAnsi="Times New Roman"/>
                <w:noProof/>
                <w:color w:val="000000" w:themeColor="text1"/>
                <w:sz w:val="18"/>
              </w:rPr>
              <w:t xml:space="preserve"> i gmi</w:t>
            </w:r>
            <w:r w:rsidRPr="00A33B9F">
              <w:rPr>
                <w:rFonts w:ascii="Times New Roman" w:hAnsi="Times New Roman"/>
                <w:noProof/>
                <w:color w:val="000000" w:themeColor="text1"/>
                <w:sz w:val="18"/>
              </w:rPr>
              <w:t>nnym do</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2030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i 2</w:t>
            </w:r>
            <w:r w:rsidRPr="00A33B9F">
              <w:rPr>
                <w:rFonts w:ascii="Times New Roman" w:hAnsi="Times New Roman"/>
                <w:noProof/>
                <w:color w:val="000000" w:themeColor="text1"/>
                <w:sz w:val="18"/>
              </w:rPr>
              <w:t>040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1) ustanowienie standardów dotyczących stref niskiej emisji</w:t>
            </w:r>
            <w:r w:rsidR="00A33B9F" w:rsidRPr="00A33B9F">
              <w:rPr>
                <w:rFonts w:ascii="Times New Roman" w:hAnsi="Times New Roman"/>
                <w:noProof/>
                <w:color w:val="000000" w:themeColor="text1"/>
                <w:sz w:val="18"/>
              </w:rPr>
              <w:t xml:space="preserve"> w gmi</w:t>
            </w:r>
            <w:r w:rsidRPr="00A33B9F">
              <w:rPr>
                <w:rFonts w:ascii="Times New Roman" w:hAnsi="Times New Roman"/>
                <w:noProof/>
                <w:color w:val="000000" w:themeColor="text1"/>
                <w:sz w:val="18"/>
              </w:rPr>
              <w:t>nach,</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przekroczone zostały dopuszczalne poziomy NO2; 2) zobowiązanie województw do przyjęcia uchwał antysmogowych</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 które nie przestrzegają określonych norm jakości powietrza; 3) wsparcie finansowe dla samorządów wojewódzkich</w:t>
            </w:r>
            <w:r w:rsidR="00A33B9F" w:rsidRPr="00A33B9F">
              <w:rPr>
                <w:rFonts w:ascii="Times New Roman" w:hAnsi="Times New Roman"/>
                <w:noProof/>
                <w:color w:val="000000" w:themeColor="text1"/>
                <w:sz w:val="18"/>
              </w:rPr>
              <w:t xml:space="preserve"> i ter</w:t>
            </w:r>
            <w:r w:rsidRPr="00A33B9F">
              <w:rPr>
                <w:rFonts w:ascii="Times New Roman" w:hAnsi="Times New Roman"/>
                <w:noProof/>
                <w:color w:val="000000" w:themeColor="text1"/>
                <w:sz w:val="18"/>
              </w:rPr>
              <w:t>ytorialnych na promocję realizacji działań określonych</w:t>
            </w:r>
            <w:r w:rsidR="00A33B9F" w:rsidRPr="00A33B9F">
              <w:rPr>
                <w:rFonts w:ascii="Times New Roman" w:hAnsi="Times New Roman"/>
                <w:noProof/>
                <w:color w:val="000000" w:themeColor="text1"/>
                <w:sz w:val="18"/>
              </w:rPr>
              <w:t xml:space="preserve"> w uch</w:t>
            </w:r>
            <w:r w:rsidRPr="00A33B9F">
              <w:rPr>
                <w:rFonts w:ascii="Times New Roman" w:hAnsi="Times New Roman"/>
                <w:noProof/>
                <w:color w:val="000000" w:themeColor="text1"/>
                <w:sz w:val="18"/>
              </w:rPr>
              <w:t>wałach antysmogowych oraz przygotowanie punktów informacyjnych dla mieszkańców ubiegających się</w:t>
            </w:r>
            <w:r w:rsidR="00A33B9F" w:rsidRPr="00A33B9F">
              <w:rPr>
                <w:rFonts w:ascii="Times New Roman" w:hAnsi="Times New Roman"/>
                <w:noProof/>
                <w:color w:val="000000" w:themeColor="text1"/>
                <w:sz w:val="18"/>
              </w:rPr>
              <w:t xml:space="preserve"> o dof</w:t>
            </w:r>
            <w:r w:rsidRPr="00A33B9F">
              <w:rPr>
                <w:rFonts w:ascii="Times New Roman" w:hAnsi="Times New Roman"/>
                <w:noProof/>
                <w:color w:val="000000" w:themeColor="text1"/>
                <w:sz w:val="18"/>
              </w:rPr>
              <w:t>inansowanie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Programu Priorytetowego „Czyste Powietrze”; 4) wprowadzenie zadania polegającego na wzmocnieniu przepisów dotyczących systemu kontroli egzekwowania realizacji zadań określonych</w:t>
            </w:r>
            <w:r w:rsidR="00A33B9F" w:rsidRPr="00A33B9F">
              <w:rPr>
                <w:rFonts w:ascii="Times New Roman" w:hAnsi="Times New Roman"/>
                <w:noProof/>
                <w:color w:val="000000" w:themeColor="text1"/>
                <w:sz w:val="18"/>
              </w:rPr>
              <w:t xml:space="preserve"> w uch</w:t>
            </w:r>
            <w:r w:rsidRPr="00A33B9F">
              <w:rPr>
                <w:rFonts w:ascii="Times New Roman" w:hAnsi="Times New Roman"/>
                <w:noProof/>
                <w:color w:val="000000" w:themeColor="text1"/>
                <w:sz w:val="18"/>
              </w:rPr>
              <w:t>wałach antysmogowych; 5) wyłączenie nowych węglowych instalacji grzewczych</w:t>
            </w:r>
            <w:r w:rsidR="00A33B9F" w:rsidRPr="00A33B9F">
              <w:rPr>
                <w:rFonts w:ascii="Times New Roman" w:hAnsi="Times New Roman"/>
                <w:noProof/>
                <w:color w:val="000000" w:themeColor="text1"/>
                <w:sz w:val="18"/>
              </w:rPr>
              <w:t xml:space="preserve"> z pro</w:t>
            </w:r>
            <w:r w:rsidRPr="00A33B9F">
              <w:rPr>
                <w:rFonts w:ascii="Times New Roman" w:hAnsi="Times New Roman"/>
                <w:noProof/>
                <w:color w:val="000000" w:themeColor="text1"/>
                <w:sz w:val="18"/>
              </w:rPr>
              <w:t>gramów wsparcia publicznego od dnia 1 stycznia 2022</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w:t>
            </w:r>
          </w:p>
        </w:tc>
      </w:tr>
      <w:tr w:rsidR="008C116B" w:rsidRPr="00A33B9F" w14:paraId="0043C7D6" w14:textId="77777777" w:rsidTr="00301C62">
        <w:trPr>
          <w:trHeight w:val="1701"/>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DDB69B" w14:textId="3FADF75B"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B4G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2F4EC8" w14:textId="167C9566"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 Czyste powietrze</w:t>
            </w:r>
            <w:r w:rsidR="00A33B9F" w:rsidRPr="00A33B9F">
              <w:rPr>
                <w:rFonts w:ascii="Times New Roman" w:hAnsi="Times New Roman"/>
                <w:noProof/>
                <w:color w:val="000000"/>
                <w:sz w:val="18"/>
              </w:rPr>
              <w:t xml:space="preserve"> i efe</w:t>
            </w:r>
            <w:r w:rsidRPr="00A33B9F">
              <w:rPr>
                <w:rFonts w:ascii="Times New Roman" w:hAnsi="Times New Roman"/>
                <w:noProof/>
                <w:color w:val="000000"/>
                <w:sz w:val="18"/>
              </w:rPr>
              <w:t>ktywność energetyczna</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92EB44" w14:textId="424B2FA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4FDD0" w14:textId="36F8B786" w:rsidR="00BE1B25" w:rsidRPr="00A33B9F" w:rsidRDefault="73B865FE"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zmiany rozporządzenia Ministra Klimatu</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dowiska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norm jakości dla paliw stałych</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356496" w14:textId="65E9A47E" w:rsidR="00BE1B25" w:rsidRPr="00A33B9F" w:rsidRDefault="65520F3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enionym rozporządzeniu</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norm jakości dla paliw stałych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968EE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A9B4E8"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1A4FA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90E796"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F1A91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0FA64" w14:textId="5CFE166B" w:rsidR="00BE1B25" w:rsidRPr="00A33B9F" w:rsidRDefault="76A47832"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Na podstawie zaleceń dotyczących koniecznych lub zalecanych zmian legislacyjnych sporządzonych przez zespół międzyresortowy,</w:t>
            </w:r>
            <w:r w:rsidR="00A33B9F" w:rsidRPr="00A33B9F">
              <w:rPr>
                <w:rFonts w:ascii="Times New Roman" w:hAnsi="Times New Roman"/>
                <w:noProof/>
                <w:color w:val="000000" w:themeColor="text1"/>
                <w:sz w:val="18"/>
              </w:rPr>
              <w:t xml:space="preserve"> a nas</w:t>
            </w:r>
            <w:r w:rsidRPr="00A33B9F">
              <w:rPr>
                <w:rFonts w:ascii="Times New Roman" w:hAnsi="Times New Roman"/>
                <w:noProof/>
                <w:color w:val="000000" w:themeColor="text1"/>
                <w:sz w:val="18"/>
              </w:rPr>
              <w:t>tępnie konsultacji</w:t>
            </w:r>
            <w:r w:rsidR="00A33B9F" w:rsidRPr="00A33B9F">
              <w:rPr>
                <w:rFonts w:ascii="Times New Roman" w:hAnsi="Times New Roman"/>
                <w:noProof/>
                <w:color w:val="000000" w:themeColor="text1"/>
                <w:sz w:val="18"/>
              </w:rPr>
              <w:t xml:space="preserve"> z org</w:t>
            </w:r>
            <w:r w:rsidRPr="00A33B9F">
              <w:rPr>
                <w:rFonts w:ascii="Times New Roman" w:hAnsi="Times New Roman"/>
                <w:noProof/>
                <w:color w:val="000000" w:themeColor="text1"/>
                <w:sz w:val="18"/>
              </w:rPr>
              <w:t>anizacjami pozarządowymi</w:t>
            </w:r>
            <w:r w:rsidR="00A33B9F" w:rsidRPr="00A33B9F">
              <w:rPr>
                <w:rFonts w:ascii="Times New Roman" w:hAnsi="Times New Roman"/>
                <w:noProof/>
                <w:color w:val="000000" w:themeColor="text1"/>
                <w:sz w:val="18"/>
              </w:rPr>
              <w:t xml:space="preserve"> i izb</w:t>
            </w:r>
            <w:r w:rsidRPr="00A33B9F">
              <w:rPr>
                <w:rFonts w:ascii="Times New Roman" w:hAnsi="Times New Roman"/>
                <w:noProof/>
                <w:color w:val="000000" w:themeColor="text1"/>
                <w:sz w:val="18"/>
              </w:rPr>
              <w:t>ami sektora węglowego</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wniosków, zmiana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węglowych paliw stałych wejdzie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do dnia 31 grudnia 2022</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Wprowadzi ona zakaz stosowania wprowadzających</w:t>
            </w:r>
            <w:r w:rsidR="00A33B9F" w:rsidRPr="00A33B9F">
              <w:rPr>
                <w:rFonts w:ascii="Times New Roman" w:hAnsi="Times New Roman"/>
                <w:noProof/>
                <w:color w:val="000000" w:themeColor="text1"/>
                <w:sz w:val="18"/>
              </w:rPr>
              <w:t xml:space="preserve"> w błą</w:t>
            </w:r>
            <w:r w:rsidRPr="00A33B9F">
              <w:rPr>
                <w:rFonts w:ascii="Times New Roman" w:hAnsi="Times New Roman"/>
                <w:noProof/>
                <w:color w:val="000000" w:themeColor="text1"/>
                <w:sz w:val="18"/>
              </w:rPr>
              <w:t>d oznaczeń przez producentów węglowych paliw stałych.</w:t>
            </w:r>
          </w:p>
        </w:tc>
      </w:tr>
      <w:tr w:rsidR="008C116B" w:rsidRPr="00A33B9F" w14:paraId="78514FBE" w14:textId="77777777" w:rsidTr="00301C62">
        <w:trPr>
          <w:trHeight w:val="964"/>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03278" w14:textId="33B6C52F" w:rsidR="4A9BBC99" w:rsidRPr="00A33B9F" w:rsidRDefault="4A9BBC99" w:rsidP="00F07CEA">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B5G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0B28CE" w14:textId="526C826B" w:rsidR="068B2CE5" w:rsidRPr="00A33B9F" w:rsidRDefault="068B2CE5" w:rsidP="4A9BBC99">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B1.1 Czyste powietrze</w:t>
            </w:r>
            <w:r w:rsidR="00A33B9F" w:rsidRPr="00A33B9F">
              <w:rPr>
                <w:rFonts w:ascii="Times New Roman" w:hAnsi="Times New Roman"/>
                <w:noProof/>
                <w:color w:val="000000" w:themeColor="text1"/>
                <w:sz w:val="18"/>
              </w:rPr>
              <w:t xml:space="preserve"> i efe</w:t>
            </w:r>
            <w:r w:rsidRPr="00A33B9F">
              <w:rPr>
                <w:rFonts w:ascii="Times New Roman" w:hAnsi="Times New Roman"/>
                <w:noProof/>
                <w:color w:val="000000" w:themeColor="text1"/>
                <w:sz w:val="18"/>
              </w:rPr>
              <w:t>ktywność energetyczna</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2F50AF" w14:textId="19D1FD94" w:rsidR="4A9BBC99" w:rsidRPr="00A33B9F" w:rsidRDefault="4A9BBC99" w:rsidP="00F07CEA">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19586E" w14:textId="16E37F15" w:rsidR="068B2CE5" w:rsidRPr="00A33B9F" w:rsidRDefault="7E131841" w:rsidP="4A9BBC99">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norm jakości dla paliw stałych</w:t>
            </w:r>
            <w:r w:rsidR="00A33B9F" w:rsidRPr="00A33B9F">
              <w:rPr>
                <w:rFonts w:ascii="Times New Roman" w:hAnsi="Times New Roman"/>
                <w:noProof/>
                <w:color w:val="000000" w:themeColor="text1"/>
                <w:sz w:val="18"/>
              </w:rPr>
              <w:t xml:space="preserve"> z bio</w:t>
            </w:r>
            <w:r w:rsidRPr="00A33B9F">
              <w:rPr>
                <w:rFonts w:ascii="Times New Roman" w:hAnsi="Times New Roman"/>
                <w:noProof/>
                <w:color w:val="000000" w:themeColor="text1"/>
                <w:sz w:val="18"/>
              </w:rPr>
              <w:t>masy</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D89614" w14:textId="77975217" w:rsidR="4A9BBC99" w:rsidRPr="00A33B9F" w:rsidRDefault="2DE495C4" w:rsidP="00F07CEA">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porządzeniu</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norm jakości dla paliw stałych</w:t>
            </w:r>
            <w:r w:rsidR="00A33B9F" w:rsidRPr="00A33B9F">
              <w:rPr>
                <w:rFonts w:ascii="Times New Roman" w:hAnsi="Times New Roman"/>
                <w:noProof/>
                <w:color w:val="000000" w:themeColor="text1"/>
                <w:sz w:val="18"/>
              </w:rPr>
              <w:t xml:space="preserve"> z bio</w:t>
            </w:r>
            <w:r w:rsidRPr="00A33B9F">
              <w:rPr>
                <w:rFonts w:ascii="Times New Roman" w:hAnsi="Times New Roman"/>
                <w:noProof/>
                <w:color w:val="000000" w:themeColor="text1"/>
                <w:sz w:val="18"/>
              </w:rPr>
              <w:t>masy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BDAAB5" w14:textId="11E92EFD" w:rsidR="4A9BBC99" w:rsidRPr="00A33B9F" w:rsidRDefault="4A9BBC99" w:rsidP="00F07CEA">
            <w:pPr>
              <w:pStyle w:val="Normal0"/>
              <w:spacing w:line="240" w:lineRule="auto"/>
              <w:rPr>
                <w:rFonts w:ascii="Times New Roman" w:eastAsia="Times New Roman" w:hAnsi="Times New Roman" w:cs="Times New Roman"/>
                <w:noProof/>
                <w:color w:val="000000" w:themeColor="text1"/>
                <w:sz w:val="18"/>
                <w:szCs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D87707" w14:textId="1710D60C" w:rsidR="4A9BBC99" w:rsidRPr="00A33B9F" w:rsidRDefault="4A9BBC99" w:rsidP="00F07CEA">
            <w:pPr>
              <w:pStyle w:val="Normal0"/>
              <w:spacing w:line="240" w:lineRule="auto"/>
              <w:jc w:val="right"/>
              <w:rPr>
                <w:rFonts w:ascii="Times New Roman" w:eastAsia="Times New Roman" w:hAnsi="Times New Roman" w:cs="Times New Roman"/>
                <w:noProof/>
                <w:color w:val="000000" w:themeColor="text1"/>
                <w:sz w:val="18"/>
                <w:szCs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C6C3D" w14:textId="6376F1D5" w:rsidR="4A9BBC99" w:rsidRPr="00A33B9F" w:rsidRDefault="4A9BBC99" w:rsidP="00F07CEA">
            <w:pPr>
              <w:pStyle w:val="Normal0"/>
              <w:spacing w:line="240" w:lineRule="auto"/>
              <w:jc w:val="right"/>
              <w:rPr>
                <w:rFonts w:ascii="Times New Roman" w:eastAsia="Times New Roman" w:hAnsi="Times New Roman" w:cs="Times New Roman"/>
                <w:noProof/>
                <w:color w:val="000000" w:themeColor="text1"/>
                <w:sz w:val="18"/>
                <w:szCs w:val="18"/>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79676" w14:textId="78395894" w:rsidR="4A9BBC99" w:rsidRPr="00A33B9F" w:rsidRDefault="4A9BBC99" w:rsidP="00F07CEA">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F59D66" w14:textId="1C76C695" w:rsidR="4A9BBC99" w:rsidRPr="00A33B9F" w:rsidRDefault="4A9BBC99" w:rsidP="00F07CEA">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2023</w:t>
            </w:r>
            <w:r w:rsidRPr="00A33B9F">
              <w:rPr>
                <w:noProof/>
              </w:rPr>
              <w:tab/>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A52289" w14:textId="53EA47A4" w:rsidR="4A9BBC99" w:rsidRPr="00A33B9F" w:rsidRDefault="065896FC" w:rsidP="00F07CEA">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rozporządzeniu ustanowione zostaną normy jakości dla paliw stałych</w:t>
            </w:r>
            <w:r w:rsidR="00A33B9F" w:rsidRPr="00A33B9F">
              <w:rPr>
                <w:rFonts w:ascii="Times New Roman" w:hAnsi="Times New Roman"/>
                <w:noProof/>
                <w:color w:val="000000" w:themeColor="text1"/>
                <w:sz w:val="18"/>
              </w:rPr>
              <w:t xml:space="preserve"> z bio</w:t>
            </w:r>
            <w:r w:rsidRPr="00A33B9F">
              <w:rPr>
                <w:rFonts w:ascii="Times New Roman" w:hAnsi="Times New Roman"/>
                <w:noProof/>
                <w:color w:val="000000" w:themeColor="text1"/>
                <w:sz w:val="18"/>
              </w:rPr>
              <w:t>masy,</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granulatu drzewnego. </w:t>
            </w:r>
          </w:p>
          <w:p w14:paraId="27E8B9C3" w14:textId="500AA9EA" w:rsidR="4A9BBC99" w:rsidRPr="00A33B9F" w:rsidRDefault="31B90AD7" w:rsidP="00F07CEA">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Wprowadzi ono zakaz stosowania wprowadzających</w:t>
            </w:r>
            <w:r w:rsidR="00A33B9F" w:rsidRPr="00A33B9F">
              <w:rPr>
                <w:rFonts w:ascii="Times New Roman" w:hAnsi="Times New Roman"/>
                <w:noProof/>
                <w:color w:val="000000" w:themeColor="text1"/>
                <w:sz w:val="18"/>
              </w:rPr>
              <w:t xml:space="preserve"> w błą</w:t>
            </w:r>
            <w:r w:rsidRPr="00A33B9F">
              <w:rPr>
                <w:rFonts w:ascii="Times New Roman" w:hAnsi="Times New Roman"/>
                <w:noProof/>
                <w:color w:val="000000" w:themeColor="text1"/>
                <w:sz w:val="18"/>
              </w:rPr>
              <w:t>d oznaczeń przez producentów paliw stałych</w:t>
            </w:r>
            <w:r w:rsidR="00A33B9F" w:rsidRPr="00A33B9F">
              <w:rPr>
                <w:rFonts w:ascii="Times New Roman" w:hAnsi="Times New Roman"/>
                <w:noProof/>
                <w:color w:val="000000" w:themeColor="text1"/>
                <w:sz w:val="18"/>
              </w:rPr>
              <w:t xml:space="preserve"> z bio</w:t>
            </w:r>
            <w:r w:rsidRPr="00A33B9F">
              <w:rPr>
                <w:rFonts w:ascii="Times New Roman" w:hAnsi="Times New Roman"/>
                <w:noProof/>
                <w:color w:val="000000" w:themeColor="text1"/>
                <w:sz w:val="18"/>
              </w:rPr>
              <w:t>masy.</w:t>
            </w:r>
          </w:p>
        </w:tc>
      </w:tr>
      <w:tr w:rsidR="008C116B" w:rsidRPr="00A33B9F" w14:paraId="28D094C4"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CB3458" w14:textId="070FF250"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B6G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0EEC7B" w14:textId="61B10A0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B1.1.1 Inwestycje</w:t>
            </w:r>
            <w:r w:rsidR="00A33B9F" w:rsidRPr="00A33B9F">
              <w:rPr>
                <w:rFonts w:ascii="Times New Roman" w:hAnsi="Times New Roman"/>
                <w:noProof/>
                <w:color w:val="000000" w:themeColor="text1"/>
                <w:sz w:val="18"/>
              </w:rPr>
              <w:t xml:space="preserve"> w źró</w:t>
            </w:r>
            <w:r w:rsidRPr="00A33B9F">
              <w:rPr>
                <w:rFonts w:ascii="Times New Roman" w:hAnsi="Times New Roman"/>
                <w:noProof/>
                <w:color w:val="000000" w:themeColor="text1"/>
                <w:sz w:val="18"/>
              </w:rPr>
              <w:t>dła ciepła</w:t>
            </w:r>
            <w:r w:rsidR="00A33B9F" w:rsidRPr="00A33B9F">
              <w:rPr>
                <w:rFonts w:ascii="Times New Roman" w:hAnsi="Times New Roman"/>
                <w:noProof/>
                <w:color w:val="000000" w:themeColor="text1"/>
                <w:sz w:val="18"/>
              </w:rPr>
              <w:t xml:space="preserve"> w sys</w:t>
            </w:r>
            <w:r w:rsidRPr="00A33B9F">
              <w:rPr>
                <w:rFonts w:ascii="Times New Roman" w:hAnsi="Times New Roman"/>
                <w:noProof/>
                <w:color w:val="000000" w:themeColor="text1"/>
                <w:sz w:val="18"/>
              </w:rPr>
              <w:t>temach ciepłowniczych</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BF9F5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9D0E8A" w14:textId="1910805D"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T1 – Źródła ciepła</w:t>
            </w:r>
            <w:r w:rsidR="00A33B9F" w:rsidRPr="00A33B9F">
              <w:rPr>
                <w:rFonts w:ascii="Times New Roman" w:hAnsi="Times New Roman"/>
                <w:noProof/>
                <w:color w:val="000000"/>
                <w:sz w:val="18"/>
              </w:rPr>
              <w:t xml:space="preserve"> w sys</w:t>
            </w:r>
            <w:r w:rsidRPr="00A33B9F">
              <w:rPr>
                <w:rFonts w:ascii="Times New Roman" w:hAnsi="Times New Roman"/>
                <w:noProof/>
                <w:color w:val="000000"/>
                <w:sz w:val="18"/>
              </w:rPr>
              <w:t>temach ciepłowniczych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D18C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E310A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64A453"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E91C80" w14:textId="77E236EC"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45</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DB9FF"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0AA31F"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A596CB" w14:textId="3A29D02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źródeł ciepła</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podpisanych umów spełniających wymogi dotyczące stosowania zasady „nie czyń poważnych szkód”. Wspierane technologie obejmują jednostki kogeneracyjne na gaz ziemny, odnawialne źródło energii (energia słoneczna, geotermalna, bioenergia) oraz pompy ciepła. Nie wolno będzie przekraczać progu 250 g CO</w:t>
            </w:r>
            <w:r w:rsidRPr="00A33B9F">
              <w:rPr>
                <w:rFonts w:ascii="Times New Roman" w:hAnsi="Times New Roman"/>
                <w:noProof/>
                <w:color w:val="000000" w:themeColor="text1"/>
                <w:sz w:val="18"/>
                <w:vertAlign w:val="subscript"/>
              </w:rPr>
              <w:t>2</w:t>
            </w:r>
            <w:r w:rsidRPr="00A33B9F">
              <w:rPr>
                <w:rFonts w:ascii="Times New Roman" w:hAnsi="Times New Roman"/>
                <w:noProof/>
                <w:color w:val="000000" w:themeColor="text1"/>
                <w:sz w:val="18"/>
              </w:rPr>
              <w:t>/kWh wytworzonej energii</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każdej objętej wsparciem instalacji</w:t>
            </w:r>
            <w:r w:rsidR="00A33B9F" w:rsidRPr="00A33B9F">
              <w:rPr>
                <w:rFonts w:ascii="Times New Roman" w:hAnsi="Times New Roman"/>
                <w:noProof/>
                <w:color w:val="000000" w:themeColor="text1"/>
                <w:sz w:val="18"/>
              </w:rPr>
              <w:t>. W prz</w:t>
            </w:r>
            <w:r w:rsidRPr="00A33B9F">
              <w:rPr>
                <w:rFonts w:ascii="Times New Roman" w:hAnsi="Times New Roman"/>
                <w:noProof/>
                <w:color w:val="000000" w:themeColor="text1"/>
                <w:sz w:val="18"/>
              </w:rPr>
              <w:t>ypadku instalacji wykorzystujących bioenergię musi zostać zapewniona zgodność</w:t>
            </w:r>
            <w:r w:rsidR="00A33B9F" w:rsidRPr="00A33B9F">
              <w:rPr>
                <w:rFonts w:ascii="Times New Roman" w:hAnsi="Times New Roman"/>
                <w:noProof/>
                <w:color w:val="000000" w:themeColor="text1"/>
                <w:sz w:val="18"/>
              </w:rPr>
              <w:t xml:space="preserve"> z dyr</w:t>
            </w:r>
            <w:r w:rsidRPr="00A33B9F">
              <w:rPr>
                <w:rFonts w:ascii="Times New Roman" w:hAnsi="Times New Roman"/>
                <w:noProof/>
                <w:color w:val="000000" w:themeColor="text1"/>
                <w:sz w:val="18"/>
              </w:rPr>
              <w:t>ektywą 2018/2001</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promowania stosowania energii ze źródeł odnawialnych. Należy również zapewnić, aby biogaz/biometan przesyłany gazociągiem spełniał kryteria zrównoważonego rozwoju</w:t>
            </w:r>
            <w:r w:rsidR="00A33B9F" w:rsidRPr="00A33B9F">
              <w:rPr>
                <w:rFonts w:ascii="Times New Roman" w:hAnsi="Times New Roman"/>
                <w:noProof/>
                <w:color w:val="000000" w:themeColor="text1"/>
                <w:sz w:val="18"/>
              </w:rPr>
              <w:t xml:space="preserve"> i red</w:t>
            </w:r>
            <w:r w:rsidRPr="00A33B9F">
              <w:rPr>
                <w:rFonts w:ascii="Times New Roman" w:hAnsi="Times New Roman"/>
                <w:noProof/>
                <w:color w:val="000000" w:themeColor="text1"/>
                <w:sz w:val="18"/>
              </w:rPr>
              <w:t>ukcji emisji gazów cieplarnianych (zgodnie</w:t>
            </w:r>
            <w:r w:rsidR="00A33B9F" w:rsidRPr="00A33B9F">
              <w:rPr>
                <w:rFonts w:ascii="Times New Roman" w:hAnsi="Times New Roman"/>
                <w:noProof/>
                <w:color w:val="000000" w:themeColor="text1"/>
                <w:sz w:val="18"/>
              </w:rPr>
              <w:t xml:space="preserve"> z dyr</w:t>
            </w:r>
            <w:r w:rsidRPr="00A33B9F">
              <w:rPr>
                <w:rFonts w:ascii="Times New Roman" w:hAnsi="Times New Roman"/>
                <w:noProof/>
                <w:color w:val="000000" w:themeColor="text1"/>
                <w:sz w:val="18"/>
              </w:rPr>
              <w:t>ektywą</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promowania stosowania energii ze źródeł odnawialnych).</w:t>
            </w:r>
          </w:p>
        </w:tc>
      </w:tr>
      <w:tr w:rsidR="008C116B" w:rsidRPr="00A33B9F" w14:paraId="1A8D8C09" w14:textId="77777777" w:rsidTr="00301C62">
        <w:trPr>
          <w:trHeight w:val="410"/>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F93A77" w14:textId="09CFAD59"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B7G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759C1A" w14:textId="64E713BC" w:rsidR="00BE1B25" w:rsidRPr="00A33B9F" w:rsidRDefault="00DA60C3"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B1.1.1 Inwestycje</w:t>
            </w:r>
            <w:r w:rsidR="00A33B9F" w:rsidRPr="00A33B9F">
              <w:rPr>
                <w:rFonts w:ascii="Times New Roman" w:hAnsi="Times New Roman"/>
                <w:noProof/>
                <w:color w:val="000000" w:themeColor="text1"/>
                <w:sz w:val="18"/>
              </w:rPr>
              <w:t xml:space="preserve"> w źró</w:t>
            </w:r>
            <w:r w:rsidRPr="00A33B9F">
              <w:rPr>
                <w:rFonts w:ascii="Times New Roman" w:hAnsi="Times New Roman"/>
                <w:noProof/>
                <w:color w:val="000000" w:themeColor="text1"/>
                <w:sz w:val="18"/>
              </w:rPr>
              <w:t>dła ciepła</w:t>
            </w:r>
            <w:r w:rsidR="00A33B9F" w:rsidRPr="00A33B9F">
              <w:rPr>
                <w:rFonts w:ascii="Times New Roman" w:hAnsi="Times New Roman"/>
                <w:noProof/>
                <w:color w:val="000000" w:themeColor="text1"/>
                <w:sz w:val="18"/>
              </w:rPr>
              <w:t xml:space="preserve"> w sys</w:t>
            </w:r>
            <w:r w:rsidRPr="00A33B9F">
              <w:rPr>
                <w:rFonts w:ascii="Times New Roman" w:hAnsi="Times New Roman"/>
                <w:noProof/>
                <w:color w:val="000000" w:themeColor="text1"/>
                <w:sz w:val="18"/>
              </w:rPr>
              <w:t>temach ciepłowniczych</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5AF96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C642D0" w14:textId="5D98487E"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T2 – Źródła ciepła</w:t>
            </w:r>
            <w:r w:rsidR="00A33B9F" w:rsidRPr="00A33B9F">
              <w:rPr>
                <w:rFonts w:ascii="Times New Roman" w:hAnsi="Times New Roman"/>
                <w:noProof/>
                <w:color w:val="000000"/>
                <w:sz w:val="18"/>
              </w:rPr>
              <w:t xml:space="preserve"> w sys</w:t>
            </w:r>
            <w:r w:rsidRPr="00A33B9F">
              <w:rPr>
                <w:rFonts w:ascii="Times New Roman" w:hAnsi="Times New Roman"/>
                <w:noProof/>
                <w:color w:val="000000"/>
                <w:sz w:val="18"/>
              </w:rPr>
              <w:t>temach ciepłowniczych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5C4DA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C6654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14DE9C" w14:textId="3C61FD70" w:rsidR="00BE1B25" w:rsidRPr="00A33B9F" w:rsidRDefault="00BE1B25" w:rsidP="00BE1B25">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45</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A05B6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90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1C868B"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8FD95"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FEDA9A" w14:textId="6B94D08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 odnosi się do liczby źródeł ciepła</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podpisanych umów spełniających wymagania określone dla pozycji B6G. </w:t>
            </w:r>
          </w:p>
        </w:tc>
      </w:tr>
      <w:tr w:rsidR="008C116B" w:rsidRPr="00A33B9F" w14:paraId="63207037"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50DD93" w14:textId="2FF2290E"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B8G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46B436" w14:textId="5F11C1EB"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B1.1.2 Wymiana źródeł ciepła</w:t>
            </w:r>
            <w:r w:rsidR="00A33B9F" w:rsidRPr="00A33B9F">
              <w:rPr>
                <w:rFonts w:ascii="Times New Roman" w:hAnsi="Times New Roman"/>
                <w:noProof/>
                <w:color w:val="000000"/>
                <w:sz w:val="18"/>
              </w:rPr>
              <w:t xml:space="preserve"> i pop</w:t>
            </w:r>
            <w:r w:rsidRPr="00A33B9F">
              <w:rPr>
                <w:rFonts w:ascii="Times New Roman" w:hAnsi="Times New Roman"/>
                <w:noProof/>
                <w:color w:val="000000"/>
                <w:sz w:val="18"/>
              </w:rPr>
              <w:t>rawa efektywności energetycznej</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 xml:space="preserve">ynkach mieszkalnych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4818F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50C5FF" w14:textId="7BF17C3F"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T1 – Wymiana źródeł ciepła</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ynkach jednorodzinnych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70F6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FFA88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81C80F"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76EAD" w14:textId="1E6EC559"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250 000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B9A22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C703BC" w14:textId="77777777" w:rsidR="00BE1B25" w:rsidRPr="00A33B9F" w:rsidRDefault="00BE1B25" w:rsidP="00AD2493">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D99B04" w14:textId="312391E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zainstalowanych źródeł ciepła zgodnie</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ogami dotyczącymi zgodności</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adą „nie czyń poważnych szkód” przedstawionymi</w:t>
            </w:r>
            <w:r w:rsidR="00A33B9F" w:rsidRPr="00A33B9F">
              <w:rPr>
                <w:rFonts w:ascii="Times New Roman" w:hAnsi="Times New Roman"/>
                <w:noProof/>
                <w:color w:val="000000" w:themeColor="text1"/>
                <w:sz w:val="18"/>
              </w:rPr>
              <w:t xml:space="preserve"> w opi</w:t>
            </w:r>
            <w:r w:rsidRPr="00A33B9F">
              <w:rPr>
                <w:rFonts w:ascii="Times New Roman" w:hAnsi="Times New Roman"/>
                <w:noProof/>
                <w:color w:val="000000" w:themeColor="text1"/>
                <w:sz w:val="18"/>
              </w:rPr>
              <w:t>sie działania. (w ramach podpisanych umów). Inwestycje otrzymają wsparcie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Programu Priorytetowego „Czyste powietrze”</w:t>
            </w:r>
            <w:r w:rsidR="00A33B9F" w:rsidRPr="00A33B9F">
              <w:rPr>
                <w:rFonts w:ascii="Times New Roman" w:hAnsi="Times New Roman"/>
                <w:noProof/>
                <w:color w:val="000000" w:themeColor="text1"/>
                <w:sz w:val="18"/>
              </w:rPr>
              <w:t xml:space="preserve"> i Fun</w:t>
            </w:r>
            <w:r w:rsidRPr="00A33B9F">
              <w:rPr>
                <w:rFonts w:ascii="Times New Roman" w:hAnsi="Times New Roman"/>
                <w:noProof/>
                <w:color w:val="000000" w:themeColor="text1"/>
                <w:sz w:val="18"/>
              </w:rPr>
              <w:t>duszu Termomodernizacji zgodnie</w:t>
            </w:r>
            <w:r w:rsidR="00A33B9F" w:rsidRPr="00A33B9F">
              <w:rPr>
                <w:rFonts w:ascii="Times New Roman" w:hAnsi="Times New Roman"/>
                <w:noProof/>
                <w:color w:val="000000" w:themeColor="text1"/>
                <w:sz w:val="18"/>
              </w:rPr>
              <w:t xml:space="preserve"> z dłu</w:t>
            </w:r>
            <w:r w:rsidRPr="00A33B9F">
              <w:rPr>
                <w:rFonts w:ascii="Times New Roman" w:hAnsi="Times New Roman"/>
                <w:noProof/>
                <w:color w:val="000000" w:themeColor="text1"/>
                <w:sz w:val="18"/>
              </w:rPr>
              <w:t>goterminową strategią renowacji na podstawie dyrektywy</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charakterystyki energetycznej budynków.</w:t>
            </w:r>
            <w:r w:rsidR="002C1665" w:rsidRPr="00A33B9F">
              <w:rPr>
                <w:rFonts w:ascii="Times New Roman" w:hAnsi="Times New Roman"/>
                <w:noProof/>
                <w:color w:val="000000" w:themeColor="text1"/>
                <w:sz w:val="18"/>
              </w:rPr>
              <w:t xml:space="preserve"> </w:t>
            </w:r>
            <w:r w:rsidRPr="00A33B9F">
              <w:rPr>
                <w:rFonts w:ascii="Times New Roman" w:hAnsi="Times New Roman"/>
                <w:noProof/>
                <w:color w:val="000000" w:themeColor="text1"/>
                <w:sz w:val="18"/>
              </w:rPr>
              <w:t>Należy zapewnić, aby poziom oszczędności energii pierwotnej na poziomie programu wynosił co najmniej 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r w:rsidRPr="00A33B9F">
              <w:rPr>
                <w:rFonts w:ascii="Times New Roman" w:hAnsi="Times New Roman"/>
                <w:noProof/>
                <w:sz w:val="18"/>
              </w:rPr>
              <w:t xml:space="preserve"> </w:t>
            </w:r>
          </w:p>
        </w:tc>
      </w:tr>
      <w:tr w:rsidR="008C116B" w:rsidRPr="00A33B9F" w14:paraId="2C78934F"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7E621" w14:textId="781DD826"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B9G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2DB91B" w14:textId="5F47784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B1.1.2 Wymiana źródeł ciepła</w:t>
            </w:r>
            <w:r w:rsidR="00A33B9F" w:rsidRPr="00A33B9F">
              <w:rPr>
                <w:rFonts w:ascii="Times New Roman" w:hAnsi="Times New Roman"/>
                <w:noProof/>
                <w:color w:val="000000"/>
                <w:sz w:val="18"/>
              </w:rPr>
              <w:t xml:space="preserve"> i pop</w:t>
            </w:r>
            <w:r w:rsidRPr="00A33B9F">
              <w:rPr>
                <w:rFonts w:ascii="Times New Roman" w:hAnsi="Times New Roman"/>
                <w:noProof/>
                <w:color w:val="000000"/>
                <w:sz w:val="18"/>
              </w:rPr>
              <w:t>rawa efektywności energetycznej</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 xml:space="preserve">ynkach mieszkalnych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6CB5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8695EA" w14:textId="1DFD6FC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T2 – Wymiana źródeł ciepła</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ynkach jednorodzinnych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DA337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1F1B0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C7A89D" w14:textId="6D5E9610"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250 000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CA0FE1" w14:textId="7E138725" w:rsidR="00BE1B25" w:rsidRPr="00A33B9F" w:rsidRDefault="2A6B2EB8" w:rsidP="28AD0CF8">
            <w:pPr>
              <w:pStyle w:val="Normal0"/>
              <w:pBdr>
                <w:top w:val="nil"/>
                <w:left w:val="nil"/>
                <w:bottom w:val="nil"/>
                <w:right w:val="nil"/>
                <w:between w:val="nil"/>
              </w:pBdr>
              <w:spacing w:after="0" w:line="240" w:lineRule="auto"/>
              <w:jc w:val="right"/>
              <w:rPr>
                <w:rFonts w:ascii="Times New Roman" w:eastAsia="Times New Roman" w:hAnsi="Times New Roman" w:cs="Times New Roman"/>
                <w:noProof/>
                <w:sz w:val="18"/>
                <w:szCs w:val="18"/>
              </w:rPr>
            </w:pPr>
            <w:r w:rsidRPr="00A33B9F">
              <w:rPr>
                <w:rFonts w:ascii="Times New Roman" w:hAnsi="Times New Roman"/>
                <w:noProof/>
                <w:sz w:val="18"/>
              </w:rPr>
              <w:t xml:space="preserve"> 513 000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302E4F"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1C6DD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09843F" w14:textId="74A05DE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8080"/>
                <w:sz w:val="18"/>
                <w:szCs w:val="18"/>
                <w:u w:val="single"/>
              </w:rPr>
            </w:pPr>
            <w:r w:rsidRPr="00A33B9F">
              <w:rPr>
                <w:rFonts w:ascii="Times New Roman" w:hAnsi="Times New Roman"/>
                <w:noProof/>
                <w:color w:val="000000" w:themeColor="text1"/>
                <w:sz w:val="18"/>
              </w:rPr>
              <w:t>Liczba zainstalowanych źródeł ciepła spełniających wymagania określone dla pozycji B8G.</w:t>
            </w:r>
            <w:r w:rsidR="00C3621A" w:rsidRPr="00A33B9F">
              <w:rPr>
                <w:rFonts w:ascii="Times New Roman" w:hAnsi="Times New Roman"/>
                <w:noProof/>
                <w:color w:val="000000" w:themeColor="text1"/>
                <w:sz w:val="18"/>
              </w:rPr>
              <w:t xml:space="preserve"> </w:t>
            </w:r>
          </w:p>
        </w:tc>
      </w:tr>
      <w:tr w:rsidR="008C116B" w:rsidRPr="00A33B9F" w14:paraId="799FF26E"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E323BA" w14:textId="1DB26BB6"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B10G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18D58" w14:textId="100871A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B1.1.2 Wymiana źródeł ciepła</w:t>
            </w:r>
            <w:r w:rsidR="00A33B9F" w:rsidRPr="00A33B9F">
              <w:rPr>
                <w:rFonts w:ascii="Times New Roman" w:hAnsi="Times New Roman"/>
                <w:noProof/>
                <w:color w:val="000000"/>
                <w:sz w:val="18"/>
              </w:rPr>
              <w:t xml:space="preserve"> i pop</w:t>
            </w:r>
            <w:r w:rsidRPr="00A33B9F">
              <w:rPr>
                <w:rFonts w:ascii="Times New Roman" w:hAnsi="Times New Roman"/>
                <w:noProof/>
                <w:color w:val="000000"/>
                <w:sz w:val="18"/>
              </w:rPr>
              <w:t>rawa efektywności energetycznej</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 xml:space="preserve">ynkach mieszkalnych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3DD53F"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D2F522" w14:textId="46390AF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T1 – Termomodernizacja</w:t>
            </w:r>
            <w:r w:rsidR="00A33B9F" w:rsidRPr="00A33B9F">
              <w:rPr>
                <w:rFonts w:ascii="Times New Roman" w:hAnsi="Times New Roman"/>
                <w:noProof/>
                <w:color w:val="000000"/>
                <w:sz w:val="18"/>
              </w:rPr>
              <w:t xml:space="preserve"> i ins</w:t>
            </w:r>
            <w:r w:rsidRPr="00A33B9F">
              <w:rPr>
                <w:rFonts w:ascii="Times New Roman" w:hAnsi="Times New Roman"/>
                <w:noProof/>
                <w:color w:val="000000"/>
                <w:sz w:val="18"/>
              </w:rPr>
              <w:t>talacja odnawialnych źródeł energii</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ynkach mieszkalnych (budynki jedno-</w:t>
            </w:r>
            <w:r w:rsidR="00A33B9F" w:rsidRPr="00A33B9F">
              <w:rPr>
                <w:rFonts w:ascii="Times New Roman" w:hAnsi="Times New Roman"/>
                <w:noProof/>
                <w:color w:val="000000"/>
                <w:sz w:val="18"/>
              </w:rPr>
              <w:t xml:space="preserve"> i wie</w:t>
            </w:r>
            <w:r w:rsidRPr="00A33B9F">
              <w:rPr>
                <w:rFonts w:ascii="Times New Roman" w:hAnsi="Times New Roman"/>
                <w:noProof/>
                <w:color w:val="000000"/>
                <w:sz w:val="18"/>
              </w:rPr>
              <w:t>lorodzinne)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7B7D1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81025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09E21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4C5019" w14:textId="3445A20C" w:rsidR="00BE1B25" w:rsidRPr="00A33B9F" w:rsidRDefault="55E70579" w:rsidP="28AD0CF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230 456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F4B02"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583B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11418B" w14:textId="65E67EA8" w:rsidR="00BE1B25" w:rsidRPr="00A33B9F"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termomodernizowanych domów jednorodzinnych</w:t>
            </w:r>
            <w:r w:rsidR="00A33B9F" w:rsidRPr="00A33B9F">
              <w:rPr>
                <w:rFonts w:ascii="Times New Roman" w:hAnsi="Times New Roman"/>
                <w:noProof/>
                <w:color w:val="000000" w:themeColor="text1"/>
                <w:sz w:val="18"/>
              </w:rPr>
              <w:t xml:space="preserve"> i mie</w:t>
            </w:r>
            <w:r w:rsidRPr="00A33B9F">
              <w:rPr>
                <w:rFonts w:ascii="Times New Roman" w:hAnsi="Times New Roman"/>
                <w:noProof/>
                <w:color w:val="000000" w:themeColor="text1"/>
                <w:sz w:val="18"/>
              </w:rPr>
              <w:t>szkań</w:t>
            </w:r>
            <w:r w:rsidR="00A33B9F" w:rsidRPr="00A33B9F">
              <w:rPr>
                <w:rFonts w:ascii="Times New Roman" w:hAnsi="Times New Roman"/>
                <w:noProof/>
                <w:color w:val="000000" w:themeColor="text1"/>
                <w:sz w:val="18"/>
              </w:rPr>
              <w:t xml:space="preserve"> w bud</w:t>
            </w:r>
            <w:r w:rsidRPr="00A33B9F">
              <w:rPr>
                <w:rFonts w:ascii="Times New Roman" w:hAnsi="Times New Roman"/>
                <w:noProof/>
                <w:color w:val="000000" w:themeColor="text1"/>
                <w:sz w:val="18"/>
              </w:rPr>
              <w:t>ynkach wielorodzinnych spełniających standardy efektywności energetycznej</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projektów objętych wsparciem. Inwestycje otrzymają wsparcie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Programu Priorytetowego „Czyste powietrze” oraz Funduszu Termomodernizacji</w:t>
            </w:r>
            <w:r w:rsidR="00A33B9F" w:rsidRPr="00A33B9F">
              <w:rPr>
                <w:rFonts w:ascii="Times New Roman" w:hAnsi="Times New Roman"/>
                <w:noProof/>
                <w:color w:val="000000" w:themeColor="text1"/>
                <w:sz w:val="18"/>
              </w:rPr>
              <w:t xml:space="preserve"> i Rem</w:t>
            </w:r>
            <w:r w:rsidRPr="00A33B9F">
              <w:rPr>
                <w:rFonts w:ascii="Times New Roman" w:hAnsi="Times New Roman"/>
                <w:noProof/>
                <w:color w:val="000000" w:themeColor="text1"/>
                <w:sz w:val="18"/>
              </w:rPr>
              <w:t>ontów. Należy zapewnić, aby poziom oszczędności energii pierwotnej na poziomie programu wynosił co najmniej 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Wsparcie zostanie udzielone zgodnie</w:t>
            </w:r>
            <w:r w:rsidR="00A33B9F" w:rsidRPr="00A33B9F">
              <w:rPr>
                <w:rFonts w:ascii="Times New Roman" w:hAnsi="Times New Roman"/>
                <w:noProof/>
                <w:color w:val="000000" w:themeColor="text1"/>
                <w:sz w:val="18"/>
              </w:rPr>
              <w:t xml:space="preserve"> z zaw</w:t>
            </w:r>
            <w:r w:rsidRPr="00A33B9F">
              <w:rPr>
                <w:rFonts w:ascii="Times New Roman" w:hAnsi="Times New Roman"/>
                <w:noProof/>
                <w:color w:val="000000" w:themeColor="text1"/>
                <w:sz w:val="18"/>
              </w:rPr>
              <w:t>artą</w:t>
            </w:r>
            <w:r w:rsidR="00A33B9F" w:rsidRPr="00A33B9F">
              <w:rPr>
                <w:rFonts w:ascii="Times New Roman" w:hAnsi="Times New Roman"/>
                <w:noProof/>
                <w:color w:val="000000" w:themeColor="text1"/>
                <w:sz w:val="18"/>
              </w:rPr>
              <w:t xml:space="preserve"> w wyt</w:t>
            </w:r>
            <w:r w:rsidRPr="00A33B9F">
              <w:rPr>
                <w:rFonts w:ascii="Times New Roman" w:hAnsi="Times New Roman"/>
                <w:noProof/>
                <w:color w:val="000000" w:themeColor="text1"/>
                <w:sz w:val="18"/>
              </w:rPr>
              <w:t>ycznych technicznych Komisji zasadą „nie czyń poważnych szkód” (2021/C58/021)</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zostanie zapewnione, aby co najmniej 70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odpadów budowlanych wytworzonych</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programu zostało ponownie wykorzystane lub poddane recyklingowi. </w:t>
            </w:r>
          </w:p>
        </w:tc>
      </w:tr>
      <w:tr w:rsidR="008C116B" w:rsidRPr="00A33B9F" w14:paraId="6D3810AA"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05903" w14:textId="60DAE22F"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B11G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2670CC" w14:textId="57F2CA4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B1.1.2 Wymiana źródeł ciepła</w:t>
            </w:r>
            <w:r w:rsidR="00A33B9F" w:rsidRPr="00A33B9F">
              <w:rPr>
                <w:rFonts w:ascii="Times New Roman" w:hAnsi="Times New Roman"/>
                <w:noProof/>
                <w:color w:val="000000"/>
                <w:sz w:val="18"/>
              </w:rPr>
              <w:t xml:space="preserve"> i pop</w:t>
            </w:r>
            <w:r w:rsidRPr="00A33B9F">
              <w:rPr>
                <w:rFonts w:ascii="Times New Roman" w:hAnsi="Times New Roman"/>
                <w:noProof/>
                <w:color w:val="000000"/>
                <w:sz w:val="18"/>
              </w:rPr>
              <w:t>rawa efektywności energetycznej</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ynkach mieszkalnych</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6F5A5"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F6B17B" w14:textId="00B4392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T2 – Termomodernizacja</w:t>
            </w:r>
            <w:r w:rsidR="00A33B9F" w:rsidRPr="00A33B9F">
              <w:rPr>
                <w:rFonts w:ascii="Times New Roman" w:hAnsi="Times New Roman"/>
                <w:noProof/>
                <w:color w:val="000000"/>
                <w:sz w:val="18"/>
              </w:rPr>
              <w:t xml:space="preserve"> i ins</w:t>
            </w:r>
            <w:r w:rsidRPr="00A33B9F">
              <w:rPr>
                <w:rFonts w:ascii="Times New Roman" w:hAnsi="Times New Roman"/>
                <w:noProof/>
                <w:color w:val="000000"/>
                <w:sz w:val="18"/>
              </w:rPr>
              <w:t>talacja odnawialnych źródeł energii</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ynkach mieszkalnych (budynki jedno-</w:t>
            </w:r>
            <w:r w:rsidR="00A33B9F" w:rsidRPr="00A33B9F">
              <w:rPr>
                <w:rFonts w:ascii="Times New Roman" w:hAnsi="Times New Roman"/>
                <w:noProof/>
                <w:color w:val="000000"/>
                <w:sz w:val="18"/>
              </w:rPr>
              <w:t xml:space="preserve"> i wie</w:t>
            </w:r>
            <w:r w:rsidRPr="00A33B9F">
              <w:rPr>
                <w:rFonts w:ascii="Times New Roman" w:hAnsi="Times New Roman"/>
                <w:noProof/>
                <w:color w:val="000000"/>
                <w:sz w:val="18"/>
              </w:rPr>
              <w:t>lorodzinne)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11B1C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D3D20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11801B" w14:textId="1C54BF03" w:rsidR="00BE1B25" w:rsidRPr="00A33B9F" w:rsidRDefault="3588080E" w:rsidP="28AD0CF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230 456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6BEECA" w14:textId="275E65C4" w:rsidR="00BE1B25" w:rsidRPr="00A33B9F" w:rsidRDefault="746613C3" w:rsidP="28AD0CF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494 590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627014"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5D523"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02C8DA" w14:textId="7D43B245"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termomodernizowanych domów jednorodzinnych</w:t>
            </w:r>
            <w:r w:rsidR="00A33B9F" w:rsidRPr="00A33B9F">
              <w:rPr>
                <w:rFonts w:ascii="Times New Roman" w:hAnsi="Times New Roman"/>
                <w:noProof/>
                <w:color w:val="000000" w:themeColor="text1"/>
                <w:sz w:val="18"/>
              </w:rPr>
              <w:t xml:space="preserve"> i mie</w:t>
            </w:r>
            <w:r w:rsidRPr="00A33B9F">
              <w:rPr>
                <w:rFonts w:ascii="Times New Roman" w:hAnsi="Times New Roman"/>
                <w:noProof/>
                <w:color w:val="000000" w:themeColor="text1"/>
                <w:sz w:val="18"/>
              </w:rPr>
              <w:t>szkań</w:t>
            </w:r>
            <w:r w:rsidR="00A33B9F" w:rsidRPr="00A33B9F">
              <w:rPr>
                <w:rFonts w:ascii="Times New Roman" w:hAnsi="Times New Roman"/>
                <w:noProof/>
                <w:color w:val="000000" w:themeColor="text1"/>
                <w:sz w:val="18"/>
              </w:rPr>
              <w:t xml:space="preserve"> w bud</w:t>
            </w:r>
            <w:r w:rsidRPr="00A33B9F">
              <w:rPr>
                <w:rFonts w:ascii="Times New Roman" w:hAnsi="Times New Roman"/>
                <w:noProof/>
                <w:color w:val="000000" w:themeColor="text1"/>
                <w:sz w:val="18"/>
              </w:rPr>
              <w:t xml:space="preserve">ynkach wielorodzinnych spełniających wymagania określone dla pozycji B10G. </w:t>
            </w:r>
          </w:p>
        </w:tc>
      </w:tr>
      <w:tr w:rsidR="008C116B" w:rsidRPr="00A33B9F" w14:paraId="6ED6D2A5"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2CABB4" w14:textId="7F1A5085"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B12G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9DC2D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B1.1.3 Termomodernizacja szkół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F4105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75F710" w14:textId="24FCBA42"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Zmodernizowane lub wymienione źródła ciepła spełniające wymogi dotyczące stosowania zasady „nie czyń poważnych szkód”</w:t>
            </w:r>
            <w:r w:rsidR="00A33B9F" w:rsidRPr="00A33B9F">
              <w:rPr>
                <w:rFonts w:ascii="Times New Roman" w:hAnsi="Times New Roman"/>
                <w:noProof/>
                <w:color w:val="000000"/>
                <w:sz w:val="18"/>
              </w:rPr>
              <w:t xml:space="preserve"> w bud</w:t>
            </w:r>
            <w:r w:rsidRPr="00A33B9F">
              <w:rPr>
                <w:rFonts w:ascii="Times New Roman" w:hAnsi="Times New Roman"/>
                <w:noProof/>
                <w:color w:val="000000"/>
                <w:sz w:val="18"/>
              </w:rPr>
              <w:t>ynkach instytucji edukacyjnych (w ramach podpisanych umów)</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197D9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3A5A00"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D7B3B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ACEE42" w14:textId="19D13EC1" w:rsidR="00BE1B25" w:rsidRPr="00A33B9F" w:rsidRDefault="1AB22A2D" w:rsidP="28AD0CF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70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F26E6F"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5F636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C93D59" w14:textId="0A841FC1"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wymienionych lub zmodernizowanych źródeł ciepła, które spełniają wymogi dotyczące stosowania zasady „nie czyń poważnych szkód”,</w:t>
            </w:r>
            <w:r w:rsidR="00A33B9F" w:rsidRPr="00A33B9F">
              <w:rPr>
                <w:rFonts w:ascii="Times New Roman" w:hAnsi="Times New Roman"/>
                <w:noProof/>
                <w:color w:val="000000" w:themeColor="text1"/>
                <w:sz w:val="18"/>
              </w:rPr>
              <w:t xml:space="preserve"> w bud</w:t>
            </w:r>
            <w:r w:rsidRPr="00A33B9F">
              <w:rPr>
                <w:rFonts w:ascii="Times New Roman" w:hAnsi="Times New Roman"/>
                <w:noProof/>
                <w:color w:val="000000" w:themeColor="text1"/>
                <w:sz w:val="18"/>
              </w:rPr>
              <w:t>ynkach instytucji edukacyjnych (w ramach podpisanych umów) Należy zapewnić, aby poziom oszczędności energii pierwotnej na poziomie programu wynosił co najmniej 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Wsparcie na rzecz kotłów gazowych udzielane zgodnie</w:t>
            </w:r>
            <w:r w:rsidR="00A33B9F" w:rsidRPr="00A33B9F">
              <w:rPr>
                <w:rFonts w:ascii="Times New Roman" w:hAnsi="Times New Roman"/>
                <w:noProof/>
                <w:color w:val="000000" w:themeColor="text1"/>
                <w:sz w:val="18"/>
              </w:rPr>
              <w:t xml:space="preserve"> z tec</w:t>
            </w:r>
            <w:r w:rsidRPr="00A33B9F">
              <w:rPr>
                <w:rFonts w:ascii="Times New Roman" w:hAnsi="Times New Roman"/>
                <w:noProof/>
                <w:color w:val="000000" w:themeColor="text1"/>
                <w:sz w:val="18"/>
              </w:rPr>
              <w:t>hnicznymi wytycznymi Komisji dotyczącymi stosowania zasady „nie czyń poważnych szkód” (2021/C58/021). Ponadto zapewni się, aby kotły gazowe stanowiły nie więcej niż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wszystkich źródeł ciepła podlegających wymianie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działania.</w:t>
            </w:r>
          </w:p>
        </w:tc>
      </w:tr>
      <w:tr w:rsidR="008C116B" w:rsidRPr="00A33B9F" w14:paraId="7770B4D0" w14:textId="77777777" w:rsidTr="00301C62">
        <w:trPr>
          <w:trHeight w:val="397"/>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9150B4" w14:textId="41778DD3"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B13G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A8DBE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B1.1.3 Termomodernizacja szkół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829011"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B7250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Poddane termomodernizacji budynki instytucji edukacyjnych (w ramach podpisanych umów)</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95EB65"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6FD2E5"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6EE343"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9237AB" w14:textId="1063F105" w:rsidR="00BE1B25" w:rsidRPr="00A33B9F" w:rsidRDefault="48D4D38A" w:rsidP="28AD0CF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250 </w:t>
            </w:r>
          </w:p>
          <w:p w14:paraId="70BD4DD7" w14:textId="6C532B6D" w:rsidR="00BE1B25" w:rsidRPr="00A33B9F" w:rsidRDefault="00BE1B25" w:rsidP="28AD0CF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92D72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E5F67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200DA" w14:textId="7CBB865D" w:rsidR="00BE1B25" w:rsidRPr="00A33B9F" w:rsidRDefault="00BE1B25" w:rsidP="00F07CEA">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 budynków instytucji edukacyjnych objętych wsparciem</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inwestycji</w:t>
            </w:r>
            <w:r w:rsidR="00A33B9F" w:rsidRPr="00A33B9F">
              <w:rPr>
                <w:rFonts w:ascii="Times New Roman" w:hAnsi="Times New Roman"/>
                <w:noProof/>
                <w:color w:val="000000"/>
                <w:sz w:val="18"/>
              </w:rPr>
              <w:t xml:space="preserve"> w mod</w:t>
            </w:r>
            <w:r w:rsidRPr="00A33B9F">
              <w:rPr>
                <w:rFonts w:ascii="Times New Roman" w:hAnsi="Times New Roman"/>
                <w:noProof/>
                <w:color w:val="000000"/>
                <w:sz w:val="18"/>
              </w:rPr>
              <w:t>ernizację energetyczną lub</w:t>
            </w:r>
            <w:r w:rsidR="00A33B9F" w:rsidRPr="00A33B9F">
              <w:rPr>
                <w:rFonts w:ascii="Times New Roman" w:hAnsi="Times New Roman"/>
                <w:noProof/>
                <w:color w:val="000000"/>
                <w:sz w:val="18"/>
              </w:rPr>
              <w:t xml:space="preserve"> z zas</w:t>
            </w:r>
            <w:r w:rsidRPr="00A33B9F">
              <w:rPr>
                <w:rFonts w:ascii="Times New Roman" w:hAnsi="Times New Roman"/>
                <w:noProof/>
                <w:color w:val="000000"/>
                <w:sz w:val="18"/>
              </w:rPr>
              <w:t>tosowaniem nowoczesnych rozwiązań instalacyjnych,</w:t>
            </w:r>
            <w:r w:rsidR="00A33B9F" w:rsidRPr="00A33B9F">
              <w:rPr>
                <w:rFonts w:ascii="Times New Roman" w:hAnsi="Times New Roman"/>
                <w:noProof/>
                <w:color w:val="000000"/>
                <w:sz w:val="18"/>
              </w:rPr>
              <w:t xml:space="preserve"> w tym</w:t>
            </w:r>
            <w:r w:rsidRPr="00A33B9F">
              <w:rPr>
                <w:rFonts w:ascii="Times New Roman" w:hAnsi="Times New Roman"/>
                <w:noProof/>
                <w:color w:val="000000"/>
                <w:sz w:val="18"/>
              </w:rPr>
              <w:t>: odnawialnych źródeł energii oraz dostosowania funkcji, instalacji</w:t>
            </w:r>
            <w:r w:rsidR="00A33B9F" w:rsidRPr="00A33B9F">
              <w:rPr>
                <w:rFonts w:ascii="Times New Roman" w:hAnsi="Times New Roman"/>
                <w:noProof/>
                <w:color w:val="000000"/>
                <w:sz w:val="18"/>
              </w:rPr>
              <w:t xml:space="preserve"> i sys</w:t>
            </w:r>
            <w:r w:rsidRPr="00A33B9F">
              <w:rPr>
                <w:rFonts w:ascii="Times New Roman" w:hAnsi="Times New Roman"/>
                <w:noProof/>
                <w:color w:val="000000"/>
                <w:sz w:val="18"/>
              </w:rPr>
              <w:t>temów technicznych budynków do aktualnych wymogów zawartych</w:t>
            </w:r>
            <w:r w:rsidR="00A33B9F" w:rsidRPr="00A33B9F">
              <w:rPr>
                <w:rFonts w:ascii="Times New Roman" w:hAnsi="Times New Roman"/>
                <w:noProof/>
                <w:color w:val="000000"/>
                <w:sz w:val="18"/>
              </w:rPr>
              <w:t xml:space="preserve"> w obo</w:t>
            </w:r>
            <w:r w:rsidRPr="00A33B9F">
              <w:rPr>
                <w:rFonts w:ascii="Times New Roman" w:hAnsi="Times New Roman"/>
                <w:noProof/>
                <w:color w:val="000000"/>
                <w:sz w:val="18"/>
              </w:rPr>
              <w:t>wiązujących przepisach. Zrealizowane inwestycje zapewnią oszczędność energii na poziomie co najmniej 30</w:t>
            </w:r>
            <w:r w:rsidR="00A33B9F" w:rsidRPr="00A33B9F">
              <w:rPr>
                <w:rFonts w:ascii="Times New Roman" w:hAnsi="Times New Roman"/>
                <w:noProof/>
                <w:color w:val="000000"/>
                <w:sz w:val="18"/>
              </w:rPr>
              <w:t> </w:t>
            </w:r>
            <w:r w:rsidRPr="00A33B9F">
              <w:rPr>
                <w:rFonts w:ascii="Times New Roman" w:hAnsi="Times New Roman"/>
                <w:noProof/>
                <w:color w:val="000000"/>
                <w:sz w:val="18"/>
              </w:rPr>
              <w:t>%</w:t>
            </w:r>
            <w:r w:rsidR="00A33B9F" w:rsidRPr="00A33B9F">
              <w:rPr>
                <w:rFonts w:ascii="Times New Roman" w:hAnsi="Times New Roman"/>
                <w:noProof/>
                <w:color w:val="000000"/>
                <w:sz w:val="18"/>
              </w:rPr>
              <w:t xml:space="preserve"> w ram</w:t>
            </w:r>
            <w:r w:rsidRPr="00A33B9F">
              <w:rPr>
                <w:rFonts w:ascii="Times New Roman" w:hAnsi="Times New Roman"/>
                <w:noProof/>
                <w:color w:val="000000"/>
                <w:sz w:val="18"/>
              </w:rPr>
              <w:t>ach całego programu inwestycyjnego.</w:t>
            </w:r>
          </w:p>
        </w:tc>
      </w:tr>
      <w:tr w:rsidR="008C116B" w:rsidRPr="00A33B9F" w14:paraId="1A60AA79" w14:textId="77777777" w:rsidTr="00301C62">
        <w:trPr>
          <w:trHeight w:val="836"/>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240B06" w14:textId="2288A2BC"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B14G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4C37C2" w14:textId="3075679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B1.1.4 Wzmocnienie efektywności energetycznej obiektów lokalnej aktywności społecznej</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828A4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2741C4" w14:textId="2D485C6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Obiekty aktywności społecznej,</w:t>
            </w:r>
            <w:r w:rsidR="00A33B9F" w:rsidRPr="00A33B9F">
              <w:rPr>
                <w:rFonts w:ascii="Times New Roman" w:hAnsi="Times New Roman"/>
                <w:noProof/>
                <w:color w:val="000000"/>
                <w:sz w:val="18"/>
              </w:rPr>
              <w:t xml:space="preserve"> w któ</w:t>
            </w:r>
            <w:r w:rsidRPr="00A33B9F">
              <w:rPr>
                <w:rFonts w:ascii="Times New Roman" w:hAnsi="Times New Roman"/>
                <w:noProof/>
                <w:color w:val="000000"/>
                <w:sz w:val="18"/>
              </w:rPr>
              <w:t>rych nieefektywne źródła ciepła wykorzystujące paliwa stałe wymieniono na nowoczesne źródła ciepła spełniające wymogi dotyczące stosowania zasady „nie czyń poważnych szkód”</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A258D8"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AF7EF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EFDDCA"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375A72"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21</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C2A4FB"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1F6154"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ABB907" w14:textId="1E776E3A"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obiektów aktywności społecznej,</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nieefektywne źródła ciepła wykorzystujące paliwa stałe wymieniono na nowoczesne źródła ciepła spełniające wymogi dotyczące stosowania zasady „nie czyń poważnych szkód” (w ramach podpisanych umów) Zrealizowane inwestycje zapewniają oszczędności energii na poziomie co najmniej 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całego programu inwestycyjnego.</w:t>
            </w:r>
          </w:p>
          <w:p w14:paraId="2BAB6ED8" w14:textId="327A5AF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Ponadto zapewni się, aby kotły gazowe stanowiły nie więcej niż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wszystkich źródeł ciepła podlegających wymianie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działania.</w:t>
            </w:r>
          </w:p>
        </w:tc>
      </w:tr>
      <w:tr w:rsidR="008C116B" w:rsidRPr="00A33B9F" w14:paraId="1EF8C732" w14:textId="77777777" w:rsidTr="00301C62">
        <w:trPr>
          <w:trHeight w:val="2287"/>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30BB71" w14:textId="6ED7B9EC"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B15G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67035" w14:textId="5E798A5F"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B1.1.4 Wzmocnienie efektywności energetycznej obiektów lokalnej aktywności społecznej</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DFBC4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1CBB3D" w14:textId="545B6479"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Obiekty aktywności społecznej poddane termomodernizacji</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FBD3E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0C4A0"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Liczba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370D3"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C344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85</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81CEB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641807"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6B7A8" w14:textId="28B4E09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obiektów użyteczności publicznej poddanych termomodernizacji (biblioteki</w:t>
            </w:r>
            <w:r w:rsidR="00A33B9F" w:rsidRPr="00A33B9F">
              <w:rPr>
                <w:rFonts w:ascii="Times New Roman" w:hAnsi="Times New Roman"/>
                <w:noProof/>
                <w:color w:val="000000" w:themeColor="text1"/>
                <w:sz w:val="18"/>
              </w:rPr>
              <w:t xml:space="preserve"> i ośr</w:t>
            </w:r>
            <w:r w:rsidRPr="00A33B9F">
              <w:rPr>
                <w:rFonts w:ascii="Times New Roman" w:hAnsi="Times New Roman"/>
                <w:noProof/>
                <w:color w:val="000000" w:themeColor="text1"/>
                <w:sz w:val="18"/>
              </w:rPr>
              <w:t>odki społeczne).</w:t>
            </w:r>
          </w:p>
          <w:p w14:paraId="7B888D8E" w14:textId="0503D5F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Zrealizowane inwestycje zapewniają oszczędności energii na poziomie co najmniej 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całego programu inwestycyjnego.</w:t>
            </w:r>
            <w:r w:rsidRPr="00A33B9F">
              <w:rPr>
                <w:noProof/>
              </w:rPr>
              <w:t xml:space="preserve"> </w:t>
            </w:r>
            <w:r w:rsidRPr="00A33B9F">
              <w:rPr>
                <w:noProof/>
              </w:rPr>
              <w:br/>
            </w:r>
            <w:r w:rsidRPr="00A33B9F">
              <w:rPr>
                <w:rFonts w:ascii="Times New Roman" w:hAnsi="Times New Roman"/>
                <w:noProof/>
                <w:color w:val="000000" w:themeColor="text1"/>
                <w:sz w:val="18"/>
              </w:rPr>
              <w:t>Wsparcie na rzecz kotłów gazowych udzielane zgodnie</w:t>
            </w:r>
            <w:r w:rsidR="00A33B9F" w:rsidRPr="00A33B9F">
              <w:rPr>
                <w:rFonts w:ascii="Times New Roman" w:hAnsi="Times New Roman"/>
                <w:noProof/>
                <w:color w:val="000000" w:themeColor="text1"/>
                <w:sz w:val="18"/>
              </w:rPr>
              <w:t xml:space="preserve"> z tec</w:t>
            </w:r>
            <w:r w:rsidRPr="00A33B9F">
              <w:rPr>
                <w:rFonts w:ascii="Times New Roman" w:hAnsi="Times New Roman"/>
                <w:noProof/>
                <w:color w:val="000000" w:themeColor="text1"/>
                <w:sz w:val="18"/>
              </w:rPr>
              <w:t>hnicznymi wytycznymi Komisji dotyczącymi stosowania zasady „nie czyń poważnych szkód” (2021/C58/021). Ponadto zapewni się, aby kotły gazowe stanowiły nie więcej niż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wszystkich źródeł ciepła podlegających wymianie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działania.</w:t>
            </w:r>
          </w:p>
        </w:tc>
      </w:tr>
      <w:tr w:rsidR="008C116B" w:rsidRPr="00A33B9F" w14:paraId="7352B0F9"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3E6FDD" w14:textId="6504725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B16G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6D3EC3"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B2.1 Poprawa warunków dla rozwoju technologii wodorowych oraz innych gazów zdekarbonizowanych</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A33522" w14:textId="3B629154"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r w:rsidR="00C3621A" w:rsidRPr="00A33B9F">
              <w:rPr>
                <w:rFonts w:ascii="Times New Roman" w:hAnsi="Times New Roman"/>
                <w:noProof/>
                <w:color w:val="000000"/>
                <w:sz w:val="18"/>
              </w:rPr>
              <w:t xml:space="preserve"> </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17C4B3" w14:textId="35B513B3"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aktów zmieniających akty ustawodawcze regulujące funkcjonowanie wodoru jako paliwa alternatywnego</w:t>
            </w:r>
            <w:r w:rsidR="00A33B9F" w:rsidRPr="00A33B9F">
              <w:rPr>
                <w:rFonts w:ascii="Times New Roman" w:hAnsi="Times New Roman"/>
                <w:noProof/>
                <w:color w:val="000000" w:themeColor="text1"/>
                <w:sz w:val="18"/>
              </w:rPr>
              <w:t xml:space="preserve"> w tra</w:t>
            </w:r>
            <w:r w:rsidRPr="00A33B9F">
              <w:rPr>
                <w:rFonts w:ascii="Times New Roman" w:hAnsi="Times New Roman"/>
                <w:noProof/>
                <w:color w:val="000000" w:themeColor="text1"/>
                <w:sz w:val="18"/>
              </w:rPr>
              <w:t>nsporcie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FD2C13" w14:textId="0A867A2E"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Przepisy</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eniających aktach ustawodawczych wskazujące na ich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r w:rsidR="00C3621A" w:rsidRPr="00A33B9F">
              <w:rPr>
                <w:rFonts w:ascii="Times New Roman" w:hAnsi="Times New Roman"/>
                <w:noProof/>
                <w:color w:val="000000" w:themeColor="text1"/>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C8DC4D"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826EB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033C0"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6F1C1C"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IV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713548"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93ABA3" w14:textId="3B5C09F4"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 Zmieniona ustawa</w:t>
            </w:r>
            <w:r w:rsidR="00A33B9F" w:rsidRPr="00A33B9F">
              <w:rPr>
                <w:rFonts w:ascii="Times New Roman" w:hAnsi="Times New Roman"/>
                <w:noProof/>
                <w:color w:val="000000" w:themeColor="text1"/>
                <w:sz w:val="18"/>
              </w:rPr>
              <w:t xml:space="preserve"> o ele</w:t>
            </w:r>
            <w:r w:rsidRPr="00A33B9F">
              <w:rPr>
                <w:rFonts w:ascii="Times New Roman" w:hAnsi="Times New Roman"/>
                <w:noProof/>
                <w:color w:val="000000" w:themeColor="text1"/>
                <w:sz w:val="18"/>
              </w:rPr>
              <w:t>ktromobilności (11 stycznia 2018</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Dz. U.</w:t>
            </w:r>
            <w:r w:rsidR="00A33B9F" w:rsidRPr="00A33B9F">
              <w:rPr>
                <w:rFonts w:ascii="Times New Roman" w:hAnsi="Times New Roman"/>
                <w:noProof/>
                <w:color w:val="000000" w:themeColor="text1"/>
                <w:sz w:val="18"/>
              </w:rPr>
              <w:t xml:space="preserve"> z 2</w:t>
            </w:r>
            <w:r w:rsidRPr="00A33B9F">
              <w:rPr>
                <w:rFonts w:ascii="Times New Roman" w:hAnsi="Times New Roman"/>
                <w:noProof/>
                <w:color w:val="000000" w:themeColor="text1"/>
                <w:sz w:val="18"/>
              </w:rPr>
              <w:t>018 poz.</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317) wprowadza definicje infrastruktury tankowania wodoru; określa wymogi ogólnego bezpieczeństwa</w:t>
            </w:r>
            <w:r w:rsidR="00A33B9F" w:rsidRPr="00A33B9F">
              <w:rPr>
                <w:rFonts w:ascii="Times New Roman" w:hAnsi="Times New Roman"/>
                <w:noProof/>
                <w:color w:val="000000" w:themeColor="text1"/>
                <w:sz w:val="18"/>
              </w:rPr>
              <w:t xml:space="preserve"> i wym</w:t>
            </w:r>
            <w:r w:rsidRPr="00A33B9F">
              <w:rPr>
                <w:rFonts w:ascii="Times New Roman" w:hAnsi="Times New Roman"/>
                <w:noProof/>
                <w:color w:val="000000" w:themeColor="text1"/>
                <w:sz w:val="18"/>
              </w:rPr>
              <w:t>ogi techniczne dla stacji tankowania (zgodnie</w:t>
            </w:r>
            <w:r w:rsidR="00A33B9F" w:rsidRPr="00A33B9F">
              <w:rPr>
                <w:rFonts w:ascii="Times New Roman" w:hAnsi="Times New Roman"/>
                <w:noProof/>
                <w:color w:val="000000" w:themeColor="text1"/>
                <w:sz w:val="18"/>
              </w:rPr>
              <w:t xml:space="preserve"> z dyr</w:t>
            </w:r>
            <w:r w:rsidRPr="00A33B9F">
              <w:rPr>
                <w:rFonts w:ascii="Times New Roman" w:hAnsi="Times New Roman"/>
                <w:noProof/>
                <w:color w:val="000000" w:themeColor="text1"/>
                <w:sz w:val="18"/>
              </w:rPr>
              <w:t>ektywą</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rozwoju infrastruktury paliw alternatywnych),</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określa procedury</w:t>
            </w:r>
            <w:r w:rsidR="00A33B9F" w:rsidRPr="00A33B9F">
              <w:rPr>
                <w:rFonts w:ascii="Times New Roman" w:hAnsi="Times New Roman"/>
                <w:noProof/>
                <w:color w:val="000000" w:themeColor="text1"/>
                <w:sz w:val="18"/>
              </w:rPr>
              <w:t xml:space="preserve"> i wła</w:t>
            </w:r>
            <w:r w:rsidRPr="00A33B9F">
              <w:rPr>
                <w:rFonts w:ascii="Times New Roman" w:hAnsi="Times New Roman"/>
                <w:noProof/>
                <w:color w:val="000000" w:themeColor="text1"/>
                <w:sz w:val="18"/>
              </w:rPr>
              <w:t>ściwe organy</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kontroli tej infrastruktury.</w:t>
            </w:r>
            <w:r w:rsidRPr="00A33B9F">
              <w:rPr>
                <w:noProof/>
              </w:rPr>
              <w:t xml:space="preserve"> </w:t>
            </w:r>
            <w:r w:rsidRPr="00A33B9F">
              <w:rPr>
                <w:noProof/>
              </w:rPr>
              <w:br/>
            </w:r>
            <w:r w:rsidRPr="00A33B9F">
              <w:rPr>
                <w:rFonts w:ascii="Times New Roman" w:hAnsi="Times New Roman"/>
                <w:noProof/>
                <w:color w:val="000000" w:themeColor="text1"/>
                <w:sz w:val="18"/>
              </w:rPr>
              <w:t>2. Zmieniona ustawa</w:t>
            </w:r>
            <w:r w:rsidR="00A33B9F" w:rsidRPr="00A33B9F">
              <w:rPr>
                <w:rFonts w:ascii="Times New Roman" w:hAnsi="Times New Roman"/>
                <w:noProof/>
                <w:color w:val="000000" w:themeColor="text1"/>
                <w:sz w:val="18"/>
              </w:rPr>
              <w:t xml:space="preserve"> o sys</w:t>
            </w:r>
            <w:r w:rsidRPr="00A33B9F">
              <w:rPr>
                <w:rFonts w:ascii="Times New Roman" w:hAnsi="Times New Roman"/>
                <w:noProof/>
                <w:color w:val="000000" w:themeColor="text1"/>
                <w:sz w:val="18"/>
              </w:rPr>
              <w:t>temie monitorowania</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trolowania jakości paliw (Dz.U.</w:t>
            </w:r>
            <w:r w:rsidR="00A33B9F" w:rsidRPr="00A33B9F">
              <w:rPr>
                <w:rFonts w:ascii="Times New Roman" w:hAnsi="Times New Roman"/>
                <w:noProof/>
                <w:color w:val="000000" w:themeColor="text1"/>
                <w:sz w:val="18"/>
              </w:rPr>
              <w:t xml:space="preserve"> z 2</w:t>
            </w:r>
            <w:r w:rsidRPr="00A33B9F">
              <w:rPr>
                <w:rFonts w:ascii="Times New Roman" w:hAnsi="Times New Roman"/>
                <w:noProof/>
                <w:color w:val="000000" w:themeColor="text1"/>
                <w:sz w:val="18"/>
              </w:rPr>
              <w:t>5 sierpnia 2006</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Nr 169, poz.</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1200) wprowadza pojęcie wodoru według kodu Nomenklatury scalonej CN 2804 10 00; ustala procedury monitorowania</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trolowania jakości wodoru; określa właściwe organy. Pojęcie wodoru jest zgodne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Reforma nie przyczynia się do utrudnienia stosowania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wodoru odnawialnego</w:t>
            </w:r>
            <w:r w:rsidR="00A33B9F" w:rsidRPr="00A33B9F">
              <w:rPr>
                <w:rFonts w:ascii="Times New Roman" w:hAnsi="Times New Roman"/>
                <w:noProof/>
                <w:color w:val="000000" w:themeColor="text1"/>
                <w:sz w:val="18"/>
              </w:rPr>
              <w:t xml:space="preserve"> w por</w:t>
            </w:r>
            <w:r w:rsidRPr="00A33B9F">
              <w:rPr>
                <w:rFonts w:ascii="Times New Roman" w:hAnsi="Times New Roman"/>
                <w:noProof/>
                <w:color w:val="000000" w:themeColor="text1"/>
                <w:sz w:val="18"/>
              </w:rPr>
              <w:t>ównaniu</w:t>
            </w:r>
            <w:r w:rsidR="00A33B9F" w:rsidRPr="00A33B9F">
              <w:rPr>
                <w:rFonts w:ascii="Times New Roman" w:hAnsi="Times New Roman"/>
                <w:noProof/>
                <w:color w:val="000000" w:themeColor="text1"/>
                <w:sz w:val="18"/>
              </w:rPr>
              <w:t xml:space="preserve"> z wod</w:t>
            </w:r>
            <w:r w:rsidRPr="00A33B9F">
              <w:rPr>
                <w:rFonts w:ascii="Times New Roman" w:hAnsi="Times New Roman"/>
                <w:noProof/>
                <w:color w:val="000000" w:themeColor="text1"/>
                <w:sz w:val="18"/>
              </w:rPr>
              <w:t>orem</w:t>
            </w:r>
            <w:r w:rsidR="00A33B9F" w:rsidRPr="00A33B9F">
              <w:rPr>
                <w:rFonts w:ascii="Times New Roman" w:hAnsi="Times New Roman"/>
                <w:noProof/>
                <w:color w:val="000000" w:themeColor="text1"/>
                <w:sz w:val="18"/>
              </w:rPr>
              <w:t xml:space="preserve"> z inn</w:t>
            </w:r>
            <w:r w:rsidRPr="00A33B9F">
              <w:rPr>
                <w:rFonts w:ascii="Times New Roman" w:hAnsi="Times New Roman"/>
                <w:noProof/>
                <w:color w:val="000000" w:themeColor="text1"/>
                <w:sz w:val="18"/>
              </w:rPr>
              <w:t>ych źródeł. Celem reformy jest przede wszystkim rozwój wodoru odnawialnego lub wodoru produkowanego przez elektrolizery.</w:t>
            </w:r>
          </w:p>
        </w:tc>
      </w:tr>
      <w:tr w:rsidR="008C116B" w:rsidRPr="00A33B9F" w14:paraId="72837F64"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1829E2" w14:textId="76A36B1D"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B17G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26BD5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B2.1 Poprawa warunków dla rozwoju technologii wodorowych oraz innych gazów zdekarbonizowanych</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C2B411" w14:textId="358F0C6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r w:rsidR="00C3621A" w:rsidRPr="00A33B9F">
              <w:rPr>
                <w:rFonts w:ascii="Times New Roman" w:hAnsi="Times New Roman"/>
                <w:noProof/>
                <w:color w:val="000000"/>
                <w:sz w:val="18"/>
              </w:rPr>
              <w:t xml:space="preserve"> </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0A6590" w14:textId="044E938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 określającej zasady dotyczące wodoru</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70A255" w14:textId="221FCCDF" w:rsidR="00BE1B25" w:rsidRPr="00A33B9F" w:rsidRDefault="65520F3A"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r w:rsidR="00C3621A" w:rsidRPr="00A33B9F">
              <w:rPr>
                <w:rFonts w:ascii="Times New Roman" w:hAnsi="Times New Roman"/>
                <w:noProof/>
                <w:color w:val="000000" w:themeColor="text1"/>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49ADF4"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F6C42E"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718034"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56E26"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B4D3A0"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4CB1FE" w14:textId="7AFE06AD" w:rsidR="00BE1B25" w:rsidRPr="00A33B9F" w:rsidRDefault="48818174"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 ustanawiającej projekt infrastruktury wodorowej</w:t>
            </w:r>
            <w:r w:rsidR="00A33B9F" w:rsidRPr="00A33B9F">
              <w:rPr>
                <w:rFonts w:ascii="Times New Roman" w:hAnsi="Times New Roman"/>
                <w:noProof/>
                <w:color w:val="000000" w:themeColor="text1"/>
                <w:sz w:val="18"/>
              </w:rPr>
              <w:t xml:space="preserve"> i ryn</w:t>
            </w:r>
            <w:r w:rsidRPr="00A33B9F">
              <w:rPr>
                <w:rFonts w:ascii="Times New Roman" w:hAnsi="Times New Roman"/>
                <w:noProof/>
                <w:color w:val="000000" w:themeColor="text1"/>
                <w:sz w:val="18"/>
              </w:rPr>
              <w:t>ków wodoru ukierunkowany na wspieranie wprowadzania do obrotu odnawialnego</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koemisyjnego wodoru, integrację produkcji wodoru</w:t>
            </w:r>
            <w:r w:rsidR="00A33B9F" w:rsidRPr="00A33B9F">
              <w:rPr>
                <w:rFonts w:ascii="Times New Roman" w:hAnsi="Times New Roman"/>
                <w:noProof/>
                <w:color w:val="000000" w:themeColor="text1"/>
                <w:sz w:val="18"/>
              </w:rPr>
              <w:t xml:space="preserve"> z inn</w:t>
            </w:r>
            <w:r w:rsidRPr="00A33B9F">
              <w:rPr>
                <w:rFonts w:ascii="Times New Roman" w:hAnsi="Times New Roman"/>
                <w:noProof/>
                <w:color w:val="000000" w:themeColor="text1"/>
                <w:sz w:val="18"/>
              </w:rPr>
              <w:t>ymi rynkami energii,</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istniejącą</w:t>
            </w:r>
            <w:r w:rsidR="00A33B9F" w:rsidRPr="00A33B9F">
              <w:rPr>
                <w:rFonts w:ascii="Times New Roman" w:hAnsi="Times New Roman"/>
                <w:noProof/>
                <w:color w:val="000000" w:themeColor="text1"/>
                <w:sz w:val="18"/>
              </w:rPr>
              <w:t xml:space="preserve"> i spe</w:t>
            </w:r>
            <w:r w:rsidRPr="00A33B9F">
              <w:rPr>
                <w:rFonts w:ascii="Times New Roman" w:hAnsi="Times New Roman"/>
                <w:noProof/>
                <w:color w:val="000000" w:themeColor="text1"/>
                <w:sz w:val="18"/>
              </w:rPr>
              <w:t>cjalną infrastrukturę, mającą na celu stworzenie przewidywalności regulacyjnej dla inwestorów oraz wspieranie rozpowszechniania odnawialnego</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koemisyjnego wodoru. Ustawa jest zgodna</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Reforma nie przyczynia się do utrudnienia stosowania</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owadzania do obrotu wodoru odnawialnego</w:t>
            </w:r>
            <w:r w:rsidR="00A33B9F" w:rsidRPr="00A33B9F">
              <w:rPr>
                <w:rFonts w:ascii="Times New Roman" w:hAnsi="Times New Roman"/>
                <w:noProof/>
                <w:color w:val="000000" w:themeColor="text1"/>
                <w:sz w:val="18"/>
              </w:rPr>
              <w:t xml:space="preserve"> w por</w:t>
            </w:r>
            <w:r w:rsidRPr="00A33B9F">
              <w:rPr>
                <w:rFonts w:ascii="Times New Roman" w:hAnsi="Times New Roman"/>
                <w:noProof/>
                <w:color w:val="000000" w:themeColor="text1"/>
                <w:sz w:val="18"/>
              </w:rPr>
              <w:t>ównaniu</w:t>
            </w:r>
            <w:r w:rsidR="00A33B9F" w:rsidRPr="00A33B9F">
              <w:rPr>
                <w:rFonts w:ascii="Times New Roman" w:hAnsi="Times New Roman"/>
                <w:noProof/>
                <w:color w:val="000000" w:themeColor="text1"/>
                <w:sz w:val="18"/>
              </w:rPr>
              <w:t xml:space="preserve"> z wod</w:t>
            </w:r>
            <w:r w:rsidRPr="00A33B9F">
              <w:rPr>
                <w:rFonts w:ascii="Times New Roman" w:hAnsi="Times New Roman"/>
                <w:noProof/>
                <w:color w:val="000000" w:themeColor="text1"/>
                <w:sz w:val="18"/>
              </w:rPr>
              <w:t>orem</w:t>
            </w:r>
            <w:r w:rsidR="00A33B9F" w:rsidRPr="00A33B9F">
              <w:rPr>
                <w:rFonts w:ascii="Times New Roman" w:hAnsi="Times New Roman"/>
                <w:noProof/>
                <w:color w:val="000000" w:themeColor="text1"/>
                <w:sz w:val="18"/>
              </w:rPr>
              <w:t xml:space="preserve"> z inn</w:t>
            </w:r>
            <w:r w:rsidRPr="00A33B9F">
              <w:rPr>
                <w:rFonts w:ascii="Times New Roman" w:hAnsi="Times New Roman"/>
                <w:noProof/>
                <w:color w:val="000000" w:themeColor="text1"/>
                <w:sz w:val="18"/>
              </w:rPr>
              <w:t>ych źródeł. Celem reformy jest przede wszystkim rozwój wodoru odnawialnego lub wodoru produkowanego przez elektrolizery. Reforma musi być zgodna</w:t>
            </w:r>
            <w:r w:rsidR="00A33B9F" w:rsidRPr="00A33B9F">
              <w:rPr>
                <w:rFonts w:ascii="Times New Roman" w:hAnsi="Times New Roman"/>
                <w:noProof/>
                <w:color w:val="000000" w:themeColor="text1"/>
                <w:sz w:val="18"/>
              </w:rPr>
              <w:t xml:space="preserve"> z uni</w:t>
            </w:r>
            <w:r w:rsidRPr="00A33B9F">
              <w:rPr>
                <w:rFonts w:ascii="Times New Roman" w:hAnsi="Times New Roman"/>
                <w:noProof/>
                <w:color w:val="000000" w:themeColor="text1"/>
                <w:sz w:val="18"/>
              </w:rPr>
              <w:t>jną strategią</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wodoru.</w:t>
            </w:r>
          </w:p>
        </w:tc>
      </w:tr>
      <w:tr w:rsidR="008C116B" w:rsidRPr="00A33B9F" w14:paraId="67F07B05"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63B65F" w14:textId="2333523C"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B18G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C82E3" w14:textId="29F99E53"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B2.1.1. Inwestycje</w:t>
            </w:r>
            <w:r w:rsidR="00A33B9F" w:rsidRPr="00A33B9F">
              <w:rPr>
                <w:rFonts w:ascii="Times New Roman" w:hAnsi="Times New Roman"/>
                <w:noProof/>
                <w:color w:val="000000"/>
                <w:sz w:val="18"/>
              </w:rPr>
              <w:t xml:space="preserve"> w tec</w:t>
            </w:r>
            <w:r w:rsidRPr="00A33B9F">
              <w:rPr>
                <w:rFonts w:ascii="Times New Roman" w:hAnsi="Times New Roman"/>
                <w:noProof/>
                <w:color w:val="000000"/>
                <w:sz w:val="18"/>
              </w:rPr>
              <w:t>hnologie wodorowe, wytwarzanie, magazynowanie</w:t>
            </w:r>
            <w:r w:rsidR="00A33B9F" w:rsidRPr="00A33B9F">
              <w:rPr>
                <w:rFonts w:ascii="Times New Roman" w:hAnsi="Times New Roman"/>
                <w:noProof/>
                <w:color w:val="000000"/>
                <w:sz w:val="18"/>
              </w:rPr>
              <w:t xml:space="preserve"> i tra</w:t>
            </w:r>
            <w:r w:rsidRPr="00A33B9F">
              <w:rPr>
                <w:rFonts w:ascii="Times New Roman" w:hAnsi="Times New Roman"/>
                <w:noProof/>
                <w:color w:val="000000"/>
                <w:sz w:val="18"/>
              </w:rPr>
              <w:t>nsport wodoru</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89AA22"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C6334E" w14:textId="10F69FE6"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Wydane decyzje</w:t>
            </w:r>
            <w:r w:rsidR="00A33B9F" w:rsidRPr="00A33B9F">
              <w:rPr>
                <w:rFonts w:ascii="Times New Roman" w:hAnsi="Times New Roman"/>
                <w:noProof/>
                <w:color w:val="000000"/>
                <w:sz w:val="18"/>
              </w:rPr>
              <w:t xml:space="preserve"> o śro</w:t>
            </w:r>
            <w:r w:rsidRPr="00A33B9F">
              <w:rPr>
                <w:rFonts w:ascii="Times New Roman" w:hAnsi="Times New Roman"/>
                <w:noProof/>
                <w:color w:val="000000"/>
                <w:sz w:val="18"/>
              </w:rPr>
              <w:t>dowiskowych uwarunkowaniach dla stacji tankowania wodoru</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C6670E"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65446A"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53C90A"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830EAB"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10</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3CB5E"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02A2FE"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EFCE93" w14:textId="77EED300"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 wydanych decyzji</w:t>
            </w:r>
            <w:r w:rsidR="00A33B9F" w:rsidRPr="00A33B9F">
              <w:rPr>
                <w:rFonts w:ascii="Times New Roman" w:hAnsi="Times New Roman"/>
                <w:noProof/>
                <w:color w:val="000000"/>
                <w:sz w:val="18"/>
              </w:rPr>
              <w:t xml:space="preserve"> o śro</w:t>
            </w:r>
            <w:r w:rsidRPr="00A33B9F">
              <w:rPr>
                <w:rFonts w:ascii="Times New Roman" w:hAnsi="Times New Roman"/>
                <w:noProof/>
                <w:color w:val="000000"/>
                <w:sz w:val="18"/>
              </w:rPr>
              <w:t>dowiskowych uwarunkowaniach dla stacji tankowania wodoru.</w:t>
            </w:r>
          </w:p>
        </w:tc>
      </w:tr>
      <w:tr w:rsidR="008C116B" w:rsidRPr="00A33B9F" w14:paraId="181D4F93"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66C624" w14:textId="02E69EF1" w:rsidR="00BE1B25" w:rsidRPr="00A33B9F" w:rsidRDefault="3B9D984C" w:rsidP="06663D52">
            <w:pPr>
              <w:pStyle w:val="Normal0"/>
              <w:pBdr>
                <w:top w:val="nil"/>
                <w:left w:val="nil"/>
                <w:bottom w:val="nil"/>
                <w:right w:val="nil"/>
                <w:between w:val="nil"/>
              </w:pBd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B19G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20DBDA" w14:textId="06D2C44A" w:rsidR="00BE1B25" w:rsidRPr="00A33B9F" w:rsidRDefault="3B9D984C" w:rsidP="06663D52">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B2.1.1. Inwestycje</w:t>
            </w:r>
            <w:r w:rsidR="00A33B9F" w:rsidRPr="00A33B9F">
              <w:rPr>
                <w:rFonts w:ascii="Times New Roman" w:hAnsi="Times New Roman"/>
                <w:noProof/>
                <w:sz w:val="18"/>
              </w:rPr>
              <w:t xml:space="preserve"> w tec</w:t>
            </w:r>
            <w:r w:rsidRPr="00A33B9F">
              <w:rPr>
                <w:rFonts w:ascii="Times New Roman" w:hAnsi="Times New Roman"/>
                <w:noProof/>
                <w:sz w:val="18"/>
              </w:rPr>
              <w:t>hnologie wodorowe, wytwarzanie, magazynowanie</w:t>
            </w:r>
            <w:r w:rsidR="00A33B9F" w:rsidRPr="00A33B9F">
              <w:rPr>
                <w:rFonts w:ascii="Times New Roman" w:hAnsi="Times New Roman"/>
                <w:noProof/>
                <w:sz w:val="18"/>
              </w:rPr>
              <w:t xml:space="preserve"> i tra</w:t>
            </w:r>
            <w:r w:rsidRPr="00A33B9F">
              <w:rPr>
                <w:rFonts w:ascii="Times New Roman" w:hAnsi="Times New Roman"/>
                <w:noProof/>
                <w:sz w:val="18"/>
              </w:rPr>
              <w:t>nsport wodoru</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C0D578" w14:textId="77777777" w:rsidR="00BE1B25" w:rsidRPr="00A33B9F" w:rsidRDefault="3B9D984C" w:rsidP="06663D52">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276AAC" w14:textId="77777777" w:rsidR="00BE1B25" w:rsidRPr="00A33B9F" w:rsidRDefault="3B9D984C" w:rsidP="06663D52">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Uruchomienie stacji tankowania wodoru</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D5755" w14:textId="77777777" w:rsidR="00BE1B25" w:rsidRPr="00A33B9F" w:rsidRDefault="3B9D984C" w:rsidP="06663D52">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7A6B66" w14:textId="77777777" w:rsidR="00BE1B25" w:rsidRPr="00A33B9F" w:rsidRDefault="3B9D984C" w:rsidP="06663D52">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1B12B4" w14:textId="77777777" w:rsidR="00BE1B25" w:rsidRPr="00A33B9F" w:rsidRDefault="3B9D984C" w:rsidP="06663D52">
            <w:pPr>
              <w:pStyle w:val="Normal0"/>
              <w:pBdr>
                <w:top w:val="nil"/>
                <w:left w:val="nil"/>
                <w:bottom w:val="nil"/>
                <w:right w:val="nil"/>
                <w:between w:val="nil"/>
              </w:pBdr>
              <w:spacing w:after="0" w:line="240" w:lineRule="auto"/>
              <w:jc w:val="right"/>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203047" w14:textId="00A835C0" w:rsidR="00BE1B25" w:rsidRPr="00A33B9F" w:rsidRDefault="00820E3D" w:rsidP="06663D52">
            <w:pPr>
              <w:pStyle w:val="Normal0"/>
              <w:pBdr>
                <w:top w:val="nil"/>
                <w:left w:val="nil"/>
                <w:bottom w:val="nil"/>
                <w:right w:val="nil"/>
                <w:between w:val="nil"/>
              </w:pBdr>
              <w:spacing w:after="0" w:line="240" w:lineRule="auto"/>
              <w:jc w:val="right"/>
              <w:rPr>
                <w:rFonts w:ascii="Times New Roman" w:eastAsia="Times New Roman" w:hAnsi="Times New Roman" w:cs="Times New Roman"/>
                <w:noProof/>
                <w:sz w:val="18"/>
                <w:szCs w:val="18"/>
              </w:rPr>
            </w:pPr>
            <w:r w:rsidRPr="00A33B9F">
              <w:rPr>
                <w:rFonts w:ascii="Times New Roman" w:hAnsi="Times New Roman"/>
                <w:noProof/>
                <w:sz w:val="18"/>
              </w:rPr>
              <w:t>14</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B62A45" w14:textId="77777777" w:rsidR="00BE1B25" w:rsidRPr="00A33B9F" w:rsidRDefault="3B9D984C" w:rsidP="06663D52">
            <w:pPr>
              <w:pStyle w:val="Normal0"/>
              <w:pBdr>
                <w:top w:val="nil"/>
                <w:left w:val="nil"/>
                <w:bottom w:val="nil"/>
                <w:right w:val="nil"/>
                <w:between w:val="nil"/>
              </w:pBd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84253B" w14:textId="77777777" w:rsidR="00BE1B25" w:rsidRPr="00A33B9F" w:rsidRDefault="3B9D984C" w:rsidP="06663D52">
            <w:pPr>
              <w:pStyle w:val="Normal0"/>
              <w:pBdr>
                <w:top w:val="nil"/>
                <w:left w:val="nil"/>
                <w:bottom w:val="nil"/>
                <w:right w:val="nil"/>
                <w:between w:val="nil"/>
              </w:pBd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7AA02B" w14:textId="7600D4CC" w:rsidR="00BE1B25" w:rsidRPr="00A33B9F" w:rsidRDefault="1A9690BF" w:rsidP="70CE17AB">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ogólnodostępnych stacji tankowania wodoru,</w:t>
            </w:r>
            <w:r w:rsidR="00A33B9F" w:rsidRPr="00A33B9F">
              <w:rPr>
                <w:rFonts w:ascii="Times New Roman" w:hAnsi="Times New Roman"/>
                <w:noProof/>
                <w:sz w:val="18"/>
              </w:rPr>
              <w:t xml:space="preserve"> w tym</w:t>
            </w:r>
            <w:r w:rsidRPr="00A33B9F">
              <w:rPr>
                <w:rFonts w:ascii="Times New Roman" w:hAnsi="Times New Roman"/>
                <w:noProof/>
                <w:sz w:val="18"/>
              </w:rPr>
              <w:t xml:space="preserve"> bunkrowania wodoru, jako część zintegrowanego podejścia strategicznego,</w:t>
            </w:r>
            <w:r w:rsidR="00A33B9F" w:rsidRPr="00A33B9F">
              <w:rPr>
                <w:rFonts w:ascii="Times New Roman" w:hAnsi="Times New Roman"/>
                <w:noProof/>
                <w:sz w:val="18"/>
              </w:rPr>
              <w:t xml:space="preserve"> w ram</w:t>
            </w:r>
            <w:r w:rsidRPr="00A33B9F">
              <w:rPr>
                <w:rFonts w:ascii="Times New Roman" w:hAnsi="Times New Roman"/>
                <w:noProof/>
                <w:sz w:val="18"/>
              </w:rPr>
              <w:t>ach którego nadaje się priorytet wodorowi odnawialnemu, oraz zgodnie</w:t>
            </w:r>
            <w:r w:rsidR="00A33B9F" w:rsidRPr="00A33B9F">
              <w:rPr>
                <w:rFonts w:ascii="Times New Roman" w:hAnsi="Times New Roman"/>
                <w:noProof/>
                <w:sz w:val="18"/>
              </w:rPr>
              <w:t xml:space="preserve"> z wyt</w:t>
            </w:r>
            <w:r w:rsidRPr="00A33B9F">
              <w:rPr>
                <w:rFonts w:ascii="Times New Roman" w:hAnsi="Times New Roman"/>
                <w:noProof/>
                <w:sz w:val="18"/>
              </w:rPr>
              <w:t>ycznymi technicznymi dotyczącymi stosowania zasady „nie czyń poważnych szkód” (2021/C 58/01). Bunkrowanie można stosować względem wszystkich źródeł wodoru, ilość bunkrowanego szarego wodoru</w:t>
            </w:r>
            <w:r w:rsidR="00A33B9F" w:rsidRPr="00A33B9F">
              <w:rPr>
                <w:rFonts w:ascii="Times New Roman" w:hAnsi="Times New Roman"/>
                <w:noProof/>
                <w:sz w:val="18"/>
              </w:rPr>
              <w:t xml:space="preserve"> w mia</w:t>
            </w:r>
            <w:r w:rsidRPr="00A33B9F">
              <w:rPr>
                <w:rFonts w:ascii="Times New Roman" w:hAnsi="Times New Roman"/>
                <w:noProof/>
                <w:sz w:val="18"/>
              </w:rPr>
              <w:t>rę upływu czasu zostaje ograniczona.</w:t>
            </w:r>
          </w:p>
        </w:tc>
      </w:tr>
      <w:tr w:rsidR="008C116B" w:rsidRPr="00A33B9F" w14:paraId="50268BDB"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24933" w14:textId="646C408A"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B20G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A7F13" w14:textId="660085F8"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B2.1.1. Inwestycje</w:t>
            </w:r>
            <w:r w:rsidR="00A33B9F" w:rsidRPr="00A33B9F">
              <w:rPr>
                <w:rFonts w:ascii="Times New Roman" w:hAnsi="Times New Roman"/>
                <w:noProof/>
                <w:color w:val="000000"/>
                <w:sz w:val="18"/>
              </w:rPr>
              <w:t xml:space="preserve"> w tec</w:t>
            </w:r>
            <w:r w:rsidRPr="00A33B9F">
              <w:rPr>
                <w:rFonts w:ascii="Times New Roman" w:hAnsi="Times New Roman"/>
                <w:noProof/>
                <w:color w:val="000000"/>
                <w:sz w:val="18"/>
              </w:rPr>
              <w:t>hnologie wodorowe, wytwarzanie, magazynowanie</w:t>
            </w:r>
            <w:r w:rsidR="00A33B9F" w:rsidRPr="00A33B9F">
              <w:rPr>
                <w:rFonts w:ascii="Times New Roman" w:hAnsi="Times New Roman"/>
                <w:noProof/>
                <w:color w:val="000000"/>
                <w:sz w:val="18"/>
              </w:rPr>
              <w:t xml:space="preserve"> i tra</w:t>
            </w:r>
            <w:r w:rsidRPr="00A33B9F">
              <w:rPr>
                <w:rFonts w:ascii="Times New Roman" w:hAnsi="Times New Roman"/>
                <w:noProof/>
                <w:color w:val="000000"/>
                <w:sz w:val="18"/>
              </w:rPr>
              <w:t>nsport wodoru</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C2BBA7"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98379E" w14:textId="5E62D97E"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Projekty dotyczące badań naukowych</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owacji</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 xml:space="preserve">resie budowy innowacyjnych jednostek transportowych zasilanych wodorem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EBECA6"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B42BC" w14:textId="77777777" w:rsidR="00BE1B25" w:rsidRPr="00A33B9F" w:rsidRDefault="00BE1B25" w:rsidP="00BE1B2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C6149D"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D9363B" w14:textId="77777777" w:rsidR="00BE1B25" w:rsidRPr="00A33B9F" w:rsidRDefault="00BE1B25" w:rsidP="00BE1B25">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3</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0931A9"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23C7FD" w14:textId="77777777" w:rsidR="00BE1B25" w:rsidRPr="00A33B9F" w:rsidRDefault="00BE1B25" w:rsidP="00BE1B25">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C20F27" w14:textId="5346399D" w:rsidR="00BE1B25" w:rsidRPr="00A33B9F" w:rsidRDefault="30BE8893" w:rsidP="4DF49455">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opracowanych projektów innowacyjnych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jednostek transportowych napędzanych wodorem. Projekt zapewnia wsparcie co najmniej na rzecz rozwoju, budowy</w:t>
            </w:r>
            <w:r w:rsidR="00A33B9F" w:rsidRPr="00A33B9F">
              <w:rPr>
                <w:rFonts w:ascii="Times New Roman" w:hAnsi="Times New Roman"/>
                <w:noProof/>
                <w:color w:val="000000" w:themeColor="text1"/>
                <w:sz w:val="18"/>
              </w:rPr>
              <w:t xml:space="preserve"> i rea</w:t>
            </w:r>
            <w:r w:rsidRPr="00A33B9F">
              <w:rPr>
                <w:rFonts w:ascii="Times New Roman" w:hAnsi="Times New Roman"/>
                <w:noProof/>
                <w:color w:val="000000" w:themeColor="text1"/>
                <w:sz w:val="18"/>
              </w:rPr>
              <w:t>lizacji innowacyjnych jednostek transportowych napędzanych wodorem (głównie pojazdów/statków/pociągów oraz innych jednostek poruszających się po torach/autobusów/samolotów)</w:t>
            </w:r>
            <w:r w:rsidR="00A33B9F" w:rsidRPr="00A33B9F">
              <w:rPr>
                <w:rFonts w:ascii="Times New Roman" w:hAnsi="Times New Roman"/>
                <w:noProof/>
                <w:color w:val="000000" w:themeColor="text1"/>
                <w:sz w:val="18"/>
              </w:rPr>
              <w:t xml:space="preserve">. </w:t>
            </w:r>
            <w:r w:rsidR="00A33B9F" w:rsidRPr="00A33B9F">
              <w:rPr>
                <w:rFonts w:ascii="Times New Roman" w:hAnsi="Times New Roman"/>
                <w:noProof/>
                <w:sz w:val="18"/>
              </w:rPr>
              <w:t>W</w:t>
            </w:r>
            <w:r w:rsidR="00A33B9F" w:rsidRPr="00A33B9F">
              <w:rPr>
                <w:rFonts w:ascii="Times New Roman" w:hAnsi="Times New Roman"/>
                <w:noProof/>
                <w:color w:val="000000" w:themeColor="text1"/>
                <w:sz w:val="18"/>
              </w:rPr>
              <w:t> </w:t>
            </w:r>
            <w:r w:rsidR="00A33B9F" w:rsidRPr="00A33B9F">
              <w:rPr>
                <w:rFonts w:ascii="Times New Roman" w:hAnsi="Times New Roman"/>
                <w:noProof/>
                <w:sz w:val="18"/>
              </w:rPr>
              <w:t>ram</w:t>
            </w:r>
            <w:r w:rsidRPr="00A33B9F">
              <w:rPr>
                <w:rFonts w:ascii="Times New Roman" w:hAnsi="Times New Roman"/>
                <w:noProof/>
                <w:sz w:val="18"/>
              </w:rPr>
              <w:t>ach inwestycji wspierany</w:t>
            </w:r>
            <w:r w:rsidR="00A33B9F" w:rsidRPr="00A33B9F">
              <w:rPr>
                <w:rFonts w:ascii="Times New Roman" w:hAnsi="Times New Roman"/>
                <w:noProof/>
                <w:sz w:val="18"/>
              </w:rPr>
              <w:t xml:space="preserve"> i roz</w:t>
            </w:r>
            <w:r w:rsidRPr="00A33B9F">
              <w:rPr>
                <w:rFonts w:ascii="Times New Roman" w:hAnsi="Times New Roman"/>
                <w:noProof/>
                <w:sz w:val="18"/>
              </w:rPr>
              <w:t>wijany będzie potencjał Polski</w:t>
            </w:r>
            <w:r w:rsidR="00A33B9F" w:rsidRPr="00A33B9F">
              <w:rPr>
                <w:rFonts w:ascii="Times New Roman" w:hAnsi="Times New Roman"/>
                <w:noProof/>
                <w:sz w:val="18"/>
              </w:rPr>
              <w:t xml:space="preserve"> w zak</w:t>
            </w:r>
            <w:r w:rsidRPr="00A33B9F">
              <w:rPr>
                <w:rFonts w:ascii="Times New Roman" w:hAnsi="Times New Roman"/>
                <w:noProof/>
                <w:sz w:val="18"/>
              </w:rPr>
              <w:t>resie zrównoważonego transportu.</w:t>
            </w:r>
            <w:r w:rsidR="00C3621A" w:rsidRPr="00A33B9F">
              <w:rPr>
                <w:rFonts w:ascii="Times New Roman" w:hAnsi="Times New Roman"/>
                <w:noProof/>
                <w:color w:val="000000" w:themeColor="text1"/>
                <w:sz w:val="18"/>
              </w:rPr>
              <w:t xml:space="preserve"> </w:t>
            </w:r>
            <w:r w:rsidRPr="00A33B9F">
              <w:rPr>
                <w:rFonts w:ascii="Times New Roman" w:hAnsi="Times New Roman"/>
                <w:noProof/>
                <w:color w:val="000000" w:themeColor="text1"/>
                <w:sz w:val="18"/>
              </w:rPr>
              <w:t>Zakres inwestycji obejmuje szeroką gamę działań na rzecz rozwoju, testowania</w:t>
            </w:r>
            <w:r w:rsidR="00A33B9F" w:rsidRPr="00A33B9F">
              <w:rPr>
                <w:rFonts w:ascii="Times New Roman" w:hAnsi="Times New Roman"/>
                <w:noProof/>
                <w:color w:val="000000" w:themeColor="text1"/>
                <w:sz w:val="18"/>
              </w:rPr>
              <w:t xml:space="preserve"> i dem</w:t>
            </w:r>
            <w:r w:rsidRPr="00A33B9F">
              <w:rPr>
                <w:rFonts w:ascii="Times New Roman" w:hAnsi="Times New Roman"/>
                <w:noProof/>
                <w:color w:val="000000" w:themeColor="text1"/>
                <w:sz w:val="18"/>
              </w:rPr>
              <w:t>onstrowania różnych rodzajów jednostek transportowych napędzanych wodorowymi ogniwami paliwowymi. Obejmuje ona zarówno budowę nowych jednostek, jak</w:t>
            </w:r>
            <w:r w:rsidR="00A33B9F" w:rsidRPr="00A33B9F">
              <w:rPr>
                <w:rFonts w:ascii="Times New Roman" w:hAnsi="Times New Roman"/>
                <w:noProof/>
                <w:color w:val="000000" w:themeColor="text1"/>
                <w:sz w:val="18"/>
              </w:rPr>
              <w:t xml:space="preserve"> i mod</w:t>
            </w:r>
            <w:r w:rsidRPr="00A33B9F">
              <w:rPr>
                <w:rFonts w:ascii="Times New Roman" w:hAnsi="Times New Roman"/>
                <w:noProof/>
                <w:color w:val="000000" w:themeColor="text1"/>
                <w:sz w:val="18"/>
              </w:rPr>
              <w:t>ernizację jednostek, które już istnieją.</w:t>
            </w:r>
            <w:r w:rsidRPr="00A33B9F">
              <w:rPr>
                <w:noProof/>
              </w:rPr>
              <w:t xml:space="preserve"> </w:t>
            </w:r>
            <w:r w:rsidRPr="00A33B9F">
              <w:rPr>
                <w:noProof/>
              </w:rPr>
              <w:br/>
            </w:r>
            <w:r w:rsidRPr="00A33B9F">
              <w:rPr>
                <w:rFonts w:ascii="Times New Roman" w:hAnsi="Times New Roman"/>
                <w:noProof/>
                <w:color w:val="000000" w:themeColor="text1"/>
                <w:sz w:val="18"/>
              </w:rPr>
              <w:t>Projekty te są zgodne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Jednostki transportowe nie mogą być przeznaczone do transportu paliw kopalnych.</w:t>
            </w:r>
          </w:p>
        </w:tc>
      </w:tr>
      <w:tr w:rsidR="00A8619C" w:rsidRPr="00A33B9F" w14:paraId="2FDC430E"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B0FB8" w14:textId="3E1BDDCF" w:rsidR="00A87066" w:rsidRPr="00A33B9F" w:rsidRDefault="4762FE3D" w:rsidP="00A8706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B21aG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E70E23" w14:textId="0271E19B" w:rsidR="00A87066" w:rsidRPr="00A33B9F" w:rsidRDefault="00021DE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B2.1.1. Inwestycje</w:t>
            </w:r>
            <w:r w:rsidR="00A33B9F" w:rsidRPr="00A33B9F">
              <w:rPr>
                <w:rFonts w:ascii="Times New Roman" w:hAnsi="Times New Roman"/>
                <w:noProof/>
                <w:color w:val="000000"/>
                <w:sz w:val="18"/>
              </w:rPr>
              <w:t xml:space="preserve"> w tec</w:t>
            </w:r>
            <w:r w:rsidRPr="00A33B9F">
              <w:rPr>
                <w:rFonts w:ascii="Times New Roman" w:hAnsi="Times New Roman"/>
                <w:noProof/>
                <w:color w:val="000000"/>
                <w:sz w:val="18"/>
              </w:rPr>
              <w:t>hnologie wodorowe, wytwarzanie, magazynowanie</w:t>
            </w:r>
            <w:r w:rsidR="00A33B9F" w:rsidRPr="00A33B9F">
              <w:rPr>
                <w:rFonts w:ascii="Times New Roman" w:hAnsi="Times New Roman"/>
                <w:noProof/>
                <w:color w:val="000000"/>
                <w:sz w:val="18"/>
              </w:rPr>
              <w:t xml:space="preserve"> i tra</w:t>
            </w:r>
            <w:r w:rsidRPr="00A33B9F">
              <w:rPr>
                <w:rFonts w:ascii="Times New Roman" w:hAnsi="Times New Roman"/>
                <w:noProof/>
                <w:color w:val="000000"/>
                <w:sz w:val="18"/>
              </w:rPr>
              <w:t>nsport wodoru</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163E24" w14:textId="56A1A1FB"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r w:rsidR="00C3621A" w:rsidRPr="00A33B9F">
              <w:rPr>
                <w:rFonts w:ascii="Times New Roman" w:hAnsi="Times New Roman"/>
                <w:noProof/>
                <w:color w:val="000000"/>
                <w:sz w:val="18"/>
              </w:rPr>
              <w:t xml:space="preserve"> </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755AB45B" w14:textId="79DEF153"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sz w:val="18"/>
              </w:rPr>
              <w:t>Umowa wykonawcza</w:t>
            </w:r>
            <w:r w:rsidRPr="00A33B9F">
              <w:rPr>
                <w:rStyle w:val="eop"/>
                <w:rFonts w:ascii="Times New Roman" w:hAnsi="Times New Roman"/>
                <w:noProof/>
                <w:sz w:val="18"/>
              </w:rPr>
              <w:t xml:space="preserve">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C5F9A0" w14:textId="3C0C6F64"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umowy wykonawczej</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063EA0"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9D4F41"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F61CE5"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30BF6472" w14:textId="6AAF25F3"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Style w:val="normaltextrun"/>
                <w:rFonts w:ascii="Times New Roman" w:hAnsi="Times New Roman"/>
                <w:noProof/>
                <w:sz w:val="18"/>
              </w:rPr>
              <w:t>II kw.</w:t>
            </w:r>
            <w:r w:rsidRPr="00A33B9F">
              <w:rPr>
                <w:rStyle w:val="eop"/>
                <w:rFonts w:ascii="Times New Roman" w:hAnsi="Times New Roman"/>
                <w:noProof/>
                <w:sz w:val="18"/>
              </w:rPr>
              <w:t xml:space="preserve">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397D286E" w14:textId="5C4FDB7A"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Style w:val="normaltextrun"/>
                <w:rFonts w:ascii="Times New Roman" w:hAnsi="Times New Roman"/>
                <w:noProof/>
                <w:sz w:val="18"/>
              </w:rPr>
              <w:t>2024</w:t>
            </w:r>
            <w:r w:rsidRPr="00A33B9F">
              <w:rPr>
                <w:rStyle w:val="eop"/>
                <w:rFonts w:ascii="Times New Roman" w:hAnsi="Times New Roman"/>
                <w:noProof/>
                <w:sz w:val="18"/>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1184D496" w14:textId="3BB77D79"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sz w:val="18"/>
              </w:rPr>
              <w:t>Wejście</w:t>
            </w:r>
            <w:r w:rsidR="00A33B9F" w:rsidRPr="00A33B9F">
              <w:rPr>
                <w:rStyle w:val="normaltextrun"/>
                <w:rFonts w:ascii="Times New Roman" w:hAnsi="Times New Roman"/>
                <w:noProof/>
                <w:sz w:val="18"/>
              </w:rPr>
              <w:t xml:space="preserve"> w życ</w:t>
            </w:r>
            <w:r w:rsidRPr="00A33B9F">
              <w:rPr>
                <w:rStyle w:val="normaltextrun"/>
                <w:rFonts w:ascii="Times New Roman" w:hAnsi="Times New Roman"/>
                <w:noProof/>
                <w:sz w:val="18"/>
              </w:rPr>
              <w:t>ie umowy wykonawczej</w:t>
            </w:r>
            <w:r w:rsidRPr="00A33B9F">
              <w:rPr>
                <w:rStyle w:val="eop"/>
                <w:rFonts w:ascii="Times New Roman" w:hAnsi="Times New Roman"/>
                <w:noProof/>
                <w:sz w:val="18"/>
              </w:rPr>
              <w:t xml:space="preserve"> </w:t>
            </w:r>
          </w:p>
        </w:tc>
      </w:tr>
      <w:tr w:rsidR="00A8619C" w:rsidRPr="00A33B9F" w14:paraId="39AC9F6C"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FDDDAE" w14:textId="50CE40CC" w:rsidR="00A87066" w:rsidRPr="00A33B9F" w:rsidRDefault="4762FE3D" w:rsidP="00A8706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B21bG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2E3D8B" w14:textId="76820AE6" w:rsidR="00A87066" w:rsidRPr="00A33B9F" w:rsidRDefault="00021DE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B2.1.1. Inwestycje</w:t>
            </w:r>
            <w:r w:rsidR="00A33B9F" w:rsidRPr="00A33B9F">
              <w:rPr>
                <w:rFonts w:ascii="Times New Roman" w:hAnsi="Times New Roman"/>
                <w:noProof/>
                <w:color w:val="000000"/>
                <w:sz w:val="18"/>
              </w:rPr>
              <w:t xml:space="preserve"> w tec</w:t>
            </w:r>
            <w:r w:rsidRPr="00A33B9F">
              <w:rPr>
                <w:rFonts w:ascii="Times New Roman" w:hAnsi="Times New Roman"/>
                <w:noProof/>
                <w:color w:val="000000"/>
                <w:sz w:val="18"/>
              </w:rPr>
              <w:t>hnologie wodorowe, wytwarzanie, magazynowanie</w:t>
            </w:r>
            <w:r w:rsidR="00A33B9F" w:rsidRPr="00A33B9F">
              <w:rPr>
                <w:rFonts w:ascii="Times New Roman" w:hAnsi="Times New Roman"/>
                <w:noProof/>
                <w:color w:val="000000"/>
                <w:sz w:val="18"/>
              </w:rPr>
              <w:t xml:space="preserve"> i tra</w:t>
            </w:r>
            <w:r w:rsidRPr="00A33B9F">
              <w:rPr>
                <w:rFonts w:ascii="Times New Roman" w:hAnsi="Times New Roman"/>
                <w:noProof/>
                <w:color w:val="000000"/>
                <w:sz w:val="18"/>
              </w:rPr>
              <w:t>nsport wodoru</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FBD576" w14:textId="340F393F"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3A38F326" w14:textId="1E0630D8"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sz w:val="18"/>
              </w:rPr>
              <w:t>Umowy prawne podpisane</w:t>
            </w:r>
            <w:r w:rsidR="00A33B9F" w:rsidRPr="00A33B9F">
              <w:rPr>
                <w:rStyle w:val="normaltextrun"/>
                <w:rFonts w:ascii="Times New Roman" w:hAnsi="Times New Roman"/>
                <w:noProof/>
                <w:sz w:val="18"/>
              </w:rPr>
              <w:t xml:space="preserve"> z ben</w:t>
            </w:r>
            <w:r w:rsidRPr="00A33B9F">
              <w:rPr>
                <w:rStyle w:val="normaltextrun"/>
                <w:rFonts w:ascii="Times New Roman" w:hAnsi="Times New Roman"/>
                <w:noProof/>
                <w:sz w:val="18"/>
              </w:rPr>
              <w:t>eficjentami końcowymi</w:t>
            </w:r>
            <w:r w:rsidRPr="00A33B9F">
              <w:rPr>
                <w:rStyle w:val="eop"/>
                <w:rFonts w:ascii="Times New Roman" w:hAnsi="Times New Roman"/>
                <w:noProof/>
                <w:sz w:val="18"/>
              </w:rPr>
              <w:t xml:space="preserve">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D4C622"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1CB36" w14:textId="60428504"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Procent</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9DADAF"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CEEF6" w14:textId="0D059344"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50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00082BC9" w14:textId="6D56AF72"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Style w:val="normaltextrun"/>
                <w:rFonts w:ascii="Times New Roman" w:hAnsi="Times New Roman"/>
                <w:noProof/>
                <w:sz w:val="18"/>
              </w:rPr>
              <w:t>II kw.</w:t>
            </w:r>
            <w:r w:rsidRPr="00A33B9F">
              <w:rPr>
                <w:rStyle w:val="eop"/>
                <w:rFonts w:ascii="Times New Roman" w:hAnsi="Times New Roman"/>
                <w:noProof/>
                <w:sz w:val="18"/>
              </w:rPr>
              <w:t xml:space="preserve">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54847E62" w14:textId="31959D14"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Style w:val="normaltextrun"/>
                <w:rFonts w:ascii="Times New Roman" w:hAnsi="Times New Roman"/>
                <w:noProof/>
                <w:sz w:val="18"/>
              </w:rPr>
              <w:t>2025</w:t>
            </w:r>
            <w:r w:rsidRPr="00A33B9F">
              <w:rPr>
                <w:rStyle w:val="eop"/>
                <w:rFonts w:ascii="Times New Roman" w:hAnsi="Times New Roman"/>
                <w:noProof/>
                <w:sz w:val="18"/>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3B2D7063" w14:textId="04BED3E5" w:rsidR="00A87066" w:rsidRPr="00A33B9F" w:rsidRDefault="00A87066" w:rsidP="00A87066">
            <w:pPr>
              <w:pStyle w:val="Normal0"/>
              <w:pBdr>
                <w:top w:val="nil"/>
                <w:left w:val="nil"/>
                <w:bottom w:val="nil"/>
                <w:right w:val="nil"/>
                <w:between w:val="nil"/>
              </w:pBdr>
              <w:spacing w:after="0" w:line="240" w:lineRule="auto"/>
              <w:rPr>
                <w:rStyle w:val="normaltextrun"/>
                <w:rFonts w:ascii="Times New Roman" w:eastAsia="Times New Roman" w:hAnsi="Times New Roman" w:cs="Times New Roman"/>
                <w:noProof/>
                <w:sz w:val="18"/>
                <w:szCs w:val="18"/>
              </w:rPr>
            </w:pPr>
            <w:r w:rsidRPr="00A33B9F">
              <w:rPr>
                <w:rStyle w:val="normaltextrun"/>
                <w:rFonts w:ascii="Times New Roman" w:hAnsi="Times New Roman"/>
                <w:noProof/>
                <w:sz w:val="18"/>
              </w:rPr>
              <w:t>BGK zawrze prawnie wiążące umowy</w:t>
            </w:r>
            <w:r w:rsidR="00A33B9F" w:rsidRPr="00A33B9F">
              <w:rPr>
                <w:rStyle w:val="normaltextrun"/>
                <w:rFonts w:ascii="Times New Roman" w:hAnsi="Times New Roman"/>
                <w:noProof/>
                <w:sz w:val="18"/>
              </w:rPr>
              <w:t xml:space="preserve"> o udz</w:t>
            </w:r>
            <w:r w:rsidRPr="00A33B9F">
              <w:rPr>
                <w:rStyle w:val="normaltextrun"/>
                <w:rFonts w:ascii="Times New Roman" w:hAnsi="Times New Roman"/>
                <w:noProof/>
                <w:sz w:val="18"/>
              </w:rPr>
              <w:t>ielenie dotacji</w:t>
            </w:r>
            <w:r w:rsidR="00A33B9F" w:rsidRPr="00A33B9F">
              <w:rPr>
                <w:rStyle w:val="normaltextrun"/>
                <w:rFonts w:ascii="Times New Roman" w:hAnsi="Times New Roman"/>
                <w:noProof/>
                <w:sz w:val="18"/>
              </w:rPr>
              <w:t xml:space="preserve"> z ben</w:t>
            </w:r>
            <w:r w:rsidRPr="00A33B9F">
              <w:rPr>
                <w:rStyle w:val="normaltextrun"/>
                <w:rFonts w:ascii="Times New Roman" w:hAnsi="Times New Roman"/>
                <w:noProof/>
                <w:sz w:val="18"/>
              </w:rPr>
              <w:t>eficjentami końcowymi opiewające na kwotę niezbędną do wykorzystania co najmniej 50</w:t>
            </w:r>
            <w:r w:rsidR="00A33B9F" w:rsidRPr="00A33B9F">
              <w:rPr>
                <w:rStyle w:val="normaltextrun"/>
                <w:rFonts w:ascii="Times New Roman" w:hAnsi="Times New Roman"/>
                <w:noProof/>
                <w:sz w:val="18"/>
              </w:rPr>
              <w:t> </w:t>
            </w:r>
            <w:r w:rsidRPr="00A33B9F">
              <w:rPr>
                <w:rStyle w:val="normaltextrun"/>
                <w:rFonts w:ascii="Times New Roman" w:hAnsi="Times New Roman"/>
                <w:noProof/>
                <w:sz w:val="18"/>
              </w:rPr>
              <w:t>% inwestycji RRF</w:t>
            </w:r>
            <w:r w:rsidR="00A33B9F" w:rsidRPr="00A33B9F">
              <w:rPr>
                <w:rStyle w:val="normaltextrun"/>
                <w:rFonts w:ascii="Times New Roman" w:hAnsi="Times New Roman"/>
                <w:noProof/>
                <w:sz w:val="18"/>
              </w:rPr>
              <w:t xml:space="preserve"> w ram</w:t>
            </w:r>
            <w:r w:rsidRPr="00A33B9F">
              <w:rPr>
                <w:rStyle w:val="normaltextrun"/>
                <w:rFonts w:ascii="Times New Roman" w:hAnsi="Times New Roman"/>
                <w:noProof/>
                <w:sz w:val="18"/>
              </w:rPr>
              <w:t>ach</w:t>
            </w:r>
            <w:r w:rsidRPr="00A33B9F">
              <w:rPr>
                <w:rStyle w:val="normaltextrun"/>
                <w:rFonts w:ascii="Times New Roman" w:hAnsi="Times New Roman"/>
                <w:noProof/>
                <w:color w:val="881798"/>
                <w:sz w:val="18"/>
                <w:u w:val="single"/>
              </w:rPr>
              <w:t xml:space="preserve"> </w:t>
            </w:r>
            <w:r w:rsidRPr="00A33B9F">
              <w:rPr>
                <w:rStyle w:val="normaltextrun"/>
                <w:rFonts w:ascii="Times New Roman" w:hAnsi="Times New Roman"/>
                <w:noProof/>
                <w:sz w:val="18"/>
              </w:rPr>
              <w:t>programu</w:t>
            </w:r>
            <w:r w:rsidRPr="00A33B9F">
              <w:rPr>
                <w:rStyle w:val="normaltextrun"/>
                <w:rFonts w:ascii="Times New Roman" w:hAnsi="Times New Roman"/>
                <w:noProof/>
                <w:color w:val="0078D4"/>
                <w:sz w:val="18"/>
                <w:u w:val="single"/>
              </w:rPr>
              <w:t xml:space="preserve"> </w:t>
            </w:r>
            <w:r w:rsidRPr="00A33B9F">
              <w:rPr>
                <w:rStyle w:val="normaltextrun"/>
                <w:rFonts w:ascii="Times New Roman" w:hAnsi="Times New Roman"/>
                <w:noProof/>
                <w:sz w:val="18"/>
              </w:rPr>
              <w:t xml:space="preserve">(uwzględniając opłaty za zarządzanie). </w:t>
            </w:r>
          </w:p>
          <w:p w14:paraId="79F15090"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r>
      <w:tr w:rsidR="00A8619C" w:rsidRPr="00A33B9F" w14:paraId="28175694"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E274E1" w14:textId="511924C1" w:rsidR="00B44009" w:rsidRPr="00A33B9F" w:rsidRDefault="781BA3C4" w:rsidP="46C2CB11">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 xml:space="preserve">B21cG </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AAB607" w14:textId="767F2CA6" w:rsidR="00B44009" w:rsidRPr="00A33B9F" w:rsidRDefault="781BA3C4"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B2.1.1. Inwestycje</w:t>
            </w:r>
            <w:r w:rsidR="00A33B9F" w:rsidRPr="00A33B9F">
              <w:rPr>
                <w:rFonts w:ascii="Times New Roman" w:hAnsi="Times New Roman"/>
                <w:noProof/>
                <w:sz w:val="18"/>
              </w:rPr>
              <w:t xml:space="preserve"> w tec</w:t>
            </w:r>
            <w:r w:rsidRPr="00A33B9F">
              <w:rPr>
                <w:rFonts w:ascii="Times New Roman" w:hAnsi="Times New Roman"/>
                <w:noProof/>
                <w:sz w:val="18"/>
              </w:rPr>
              <w:t>hnologie wodorowe, wytwarzanie, magazynowanie</w:t>
            </w:r>
            <w:r w:rsidR="00A33B9F" w:rsidRPr="00A33B9F">
              <w:rPr>
                <w:rFonts w:ascii="Times New Roman" w:hAnsi="Times New Roman"/>
                <w:noProof/>
                <w:sz w:val="18"/>
              </w:rPr>
              <w:t xml:space="preserve"> i tra</w:t>
            </w:r>
            <w:r w:rsidRPr="00A33B9F">
              <w:rPr>
                <w:rFonts w:ascii="Times New Roman" w:hAnsi="Times New Roman"/>
                <w:noProof/>
                <w:sz w:val="18"/>
              </w:rPr>
              <w:t xml:space="preserve">nsport wodoru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15FFAA" w14:textId="1937CADB" w:rsidR="00B44009" w:rsidRPr="00A33B9F" w:rsidRDefault="781BA3C4"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Kamień milowy</w:t>
            </w:r>
            <w:r w:rsidR="00C3621A" w:rsidRPr="00A33B9F">
              <w:rPr>
                <w:rFonts w:ascii="Times New Roman" w:hAnsi="Times New Roman"/>
                <w:noProof/>
                <w:sz w:val="18"/>
              </w:rPr>
              <w:t xml:space="preserve"> </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4AFDDD6C" w14:textId="0C1EB13C" w:rsidR="00B44009" w:rsidRPr="00A33B9F" w:rsidRDefault="781BA3C4" w:rsidP="46C2CB11">
            <w:pPr>
              <w:pStyle w:val="Normal0"/>
              <w:pBdr>
                <w:top w:val="nil"/>
                <w:left w:val="nil"/>
                <w:bottom w:val="nil"/>
                <w:right w:val="nil"/>
                <w:between w:val="nil"/>
              </w:pBdr>
              <w:spacing w:after="0" w:line="240" w:lineRule="auto"/>
              <w:rPr>
                <w:rStyle w:val="normaltextrun"/>
                <w:rFonts w:ascii="Times New Roman" w:hAnsi="Times New Roman" w:cs="Times New Roman"/>
                <w:noProof/>
                <w:sz w:val="18"/>
                <w:szCs w:val="18"/>
              </w:rPr>
            </w:pPr>
            <w:r w:rsidRPr="00A33B9F">
              <w:rPr>
                <w:rFonts w:ascii="Times New Roman" w:hAnsi="Times New Roman"/>
                <w:noProof/>
                <w:sz w:val="18"/>
              </w:rPr>
              <w:t>Ministerstwo zakończyło 50</w:t>
            </w:r>
            <w:r w:rsidR="00A33B9F" w:rsidRPr="00A33B9F">
              <w:rPr>
                <w:rFonts w:ascii="Times New Roman" w:hAnsi="Times New Roman"/>
                <w:noProof/>
                <w:sz w:val="18"/>
              </w:rPr>
              <w:t> </w:t>
            </w:r>
            <w:r w:rsidRPr="00A33B9F">
              <w:rPr>
                <w:rFonts w:ascii="Times New Roman" w:hAnsi="Times New Roman"/>
                <w:noProof/>
                <w:sz w:val="18"/>
              </w:rPr>
              <w:t>% inwestycji</w:t>
            </w:r>
            <w:r w:rsidR="00C3621A" w:rsidRPr="00A33B9F">
              <w:rPr>
                <w:rFonts w:ascii="Times New Roman" w:hAnsi="Times New Roman"/>
                <w:noProof/>
                <w:sz w:val="18"/>
              </w:rPr>
              <w:t xml:space="preserve">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2448B6" w14:textId="710861A2" w:rsidR="00B44009" w:rsidRPr="00A33B9F" w:rsidRDefault="781BA3C4"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sz w:val="18"/>
              </w:rPr>
              <w:t>Zaświadczenie potwierdzające przekazanie środków</w:t>
            </w:r>
            <w:r w:rsidR="00C3621A" w:rsidRPr="00A33B9F">
              <w:rPr>
                <w:rFonts w:ascii="Times New Roman" w:hAnsi="Times New Roman"/>
                <w:noProof/>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624BD" w14:textId="77777777" w:rsidR="00B44009" w:rsidRPr="00A33B9F" w:rsidRDefault="00B44009"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BC5075" w14:textId="77777777" w:rsidR="00B44009" w:rsidRPr="00A33B9F" w:rsidRDefault="00B44009" w:rsidP="46C2CB11">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6784A0" w14:textId="77777777" w:rsidR="00B44009" w:rsidRPr="00A33B9F" w:rsidRDefault="00B44009" w:rsidP="46C2CB11">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3A57CC16" w14:textId="06F346F7" w:rsidR="00B44009" w:rsidRPr="00A33B9F" w:rsidRDefault="781BA3C4" w:rsidP="46C2CB11">
            <w:pPr>
              <w:pStyle w:val="Normal0"/>
              <w:pBdr>
                <w:top w:val="nil"/>
                <w:left w:val="nil"/>
                <w:bottom w:val="nil"/>
                <w:right w:val="nil"/>
                <w:between w:val="nil"/>
              </w:pBdr>
              <w:spacing w:after="0" w:line="240" w:lineRule="auto"/>
              <w:jc w:val="center"/>
              <w:rPr>
                <w:rStyle w:val="normaltextrun"/>
                <w:rFonts w:ascii="Times New Roman" w:eastAsia="Times New Roman" w:hAnsi="Times New Roman" w:cs="Times New Roman"/>
                <w:noProof/>
                <w:sz w:val="18"/>
                <w:szCs w:val="18"/>
              </w:rPr>
            </w:pPr>
            <w:r w:rsidRPr="00A33B9F">
              <w:rPr>
                <w:rFonts w:ascii="Times New Roman" w:hAnsi="Times New Roman"/>
                <w:noProof/>
                <w:sz w:val="18"/>
              </w:rPr>
              <w:t>II kw.</w:t>
            </w:r>
            <w:r w:rsidR="00C3621A" w:rsidRPr="00A33B9F">
              <w:rPr>
                <w:rFonts w:ascii="Times New Roman" w:hAnsi="Times New Roman"/>
                <w:noProof/>
                <w:sz w:val="18"/>
              </w:rPr>
              <w:t xml:space="preserve">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553D394A" w14:textId="78D9941E" w:rsidR="00B44009" w:rsidRPr="00A33B9F" w:rsidRDefault="781BA3C4" w:rsidP="46C2CB11">
            <w:pPr>
              <w:pStyle w:val="Normal0"/>
              <w:pBdr>
                <w:top w:val="nil"/>
                <w:left w:val="nil"/>
                <w:bottom w:val="nil"/>
                <w:right w:val="nil"/>
                <w:between w:val="nil"/>
              </w:pBdr>
              <w:spacing w:after="0" w:line="240" w:lineRule="auto"/>
              <w:jc w:val="center"/>
              <w:rPr>
                <w:rStyle w:val="normaltextrun"/>
                <w:rFonts w:ascii="Times New Roman" w:eastAsia="Times New Roman" w:hAnsi="Times New Roman" w:cs="Times New Roman"/>
                <w:noProof/>
                <w:sz w:val="18"/>
                <w:szCs w:val="18"/>
              </w:rPr>
            </w:pPr>
            <w:r w:rsidRPr="00A33B9F">
              <w:rPr>
                <w:rFonts w:ascii="Times New Roman" w:hAnsi="Times New Roman"/>
                <w:noProof/>
                <w:sz w:val="18"/>
              </w:rPr>
              <w:t xml:space="preserve">2025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28CBA8CC" w14:textId="4E142E6C" w:rsidR="00B44009" w:rsidRPr="00A33B9F" w:rsidRDefault="781BA3C4" w:rsidP="46C2CB11">
            <w:pPr>
              <w:pStyle w:val="Normal0"/>
              <w:pBdr>
                <w:top w:val="nil"/>
                <w:left w:val="nil"/>
                <w:bottom w:val="nil"/>
                <w:right w:val="nil"/>
                <w:between w:val="nil"/>
              </w:pBdr>
              <w:spacing w:after="0" w:line="240" w:lineRule="auto"/>
              <w:rPr>
                <w:rStyle w:val="normaltextrun"/>
                <w:rFonts w:ascii="Times New Roman" w:eastAsia="Times New Roman" w:hAnsi="Times New Roman" w:cs="Times New Roman"/>
                <w:noProof/>
                <w:sz w:val="18"/>
                <w:szCs w:val="18"/>
              </w:rPr>
            </w:pPr>
            <w:r w:rsidRPr="00A33B9F">
              <w:rPr>
                <w:rFonts w:ascii="Times New Roman" w:hAnsi="Times New Roman"/>
                <w:noProof/>
                <w:sz w:val="18"/>
              </w:rPr>
              <w:t>Polska przekaże BGK kwotę 320 mln EUR na potrzeby programu. </w:t>
            </w:r>
          </w:p>
        </w:tc>
      </w:tr>
      <w:tr w:rsidR="00A8619C" w:rsidRPr="00A33B9F" w14:paraId="38F6A9B6" w14:textId="77777777" w:rsidTr="00301C62">
        <w:trPr>
          <w:trHeight w:val="1365"/>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C58D73" w14:textId="14E6976B" w:rsidR="00A87066" w:rsidRPr="00A33B9F" w:rsidRDefault="7A62DC50" w:rsidP="46C2CB11">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B21dG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D05AC2" w14:textId="5532D0F9" w:rsidR="00A87066" w:rsidRPr="00A33B9F" w:rsidRDefault="17E32477"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B2.1.1. Inwestycje</w:t>
            </w:r>
            <w:r w:rsidR="00A33B9F" w:rsidRPr="00A33B9F">
              <w:rPr>
                <w:rFonts w:ascii="Times New Roman" w:hAnsi="Times New Roman"/>
                <w:noProof/>
                <w:color w:val="000000" w:themeColor="text1"/>
                <w:sz w:val="18"/>
              </w:rPr>
              <w:t xml:space="preserve"> w tec</w:t>
            </w:r>
            <w:r w:rsidRPr="00A33B9F">
              <w:rPr>
                <w:rFonts w:ascii="Times New Roman" w:hAnsi="Times New Roman"/>
                <w:noProof/>
                <w:color w:val="000000" w:themeColor="text1"/>
                <w:sz w:val="18"/>
              </w:rPr>
              <w:t>hnologie wodorowe, wytwarzanie, magazynowanie</w:t>
            </w:r>
            <w:r w:rsidR="00A33B9F" w:rsidRPr="00A33B9F">
              <w:rPr>
                <w:rFonts w:ascii="Times New Roman" w:hAnsi="Times New Roman"/>
                <w:noProof/>
                <w:color w:val="000000" w:themeColor="text1"/>
                <w:sz w:val="18"/>
              </w:rPr>
              <w:t xml:space="preserve"> i tra</w:t>
            </w:r>
            <w:r w:rsidRPr="00A33B9F">
              <w:rPr>
                <w:rFonts w:ascii="Times New Roman" w:hAnsi="Times New Roman"/>
                <w:noProof/>
                <w:color w:val="000000" w:themeColor="text1"/>
                <w:sz w:val="18"/>
              </w:rPr>
              <w:t>nsport wodoru</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36801E" w14:textId="27652606" w:rsidR="00A87066" w:rsidRPr="00A33B9F" w:rsidRDefault="0E3B551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69DDEF37" w14:textId="26BB5F8B" w:rsidR="00A87066" w:rsidRPr="00A33B9F" w:rsidRDefault="0E3B551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sz w:val="18"/>
              </w:rPr>
              <w:t>Umowy prawne podpisane</w:t>
            </w:r>
            <w:r w:rsidR="00A33B9F" w:rsidRPr="00A33B9F">
              <w:rPr>
                <w:rStyle w:val="normaltextrun"/>
                <w:rFonts w:ascii="Times New Roman" w:hAnsi="Times New Roman"/>
                <w:noProof/>
                <w:sz w:val="18"/>
              </w:rPr>
              <w:t xml:space="preserve"> z ben</w:t>
            </w:r>
            <w:r w:rsidRPr="00A33B9F">
              <w:rPr>
                <w:rStyle w:val="normaltextrun"/>
                <w:rFonts w:ascii="Times New Roman" w:hAnsi="Times New Roman"/>
                <w:noProof/>
                <w:sz w:val="18"/>
              </w:rPr>
              <w:t>eficjentami końcowymi</w:t>
            </w:r>
            <w:r w:rsidRPr="00A33B9F">
              <w:rPr>
                <w:rStyle w:val="eop"/>
                <w:rFonts w:ascii="Times New Roman" w:hAnsi="Times New Roman"/>
                <w:noProof/>
                <w:sz w:val="18"/>
              </w:rPr>
              <w:t xml:space="preserve">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2EF59D" w14:textId="77777777" w:rsidR="00A87066" w:rsidRPr="00A33B9F" w:rsidRDefault="00A8706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913956" w14:textId="2147B1E0" w:rsidR="00A87066" w:rsidRPr="00A33B9F" w:rsidRDefault="0E3B551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Procent</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518605" w14:textId="20A5CE04" w:rsidR="00A87066" w:rsidRPr="00A33B9F" w:rsidRDefault="0E3B5516" w:rsidP="46C2CB11">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50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8F15E7" w14:textId="66DC2B66" w:rsidR="00A87066" w:rsidRPr="00A33B9F" w:rsidRDefault="0E3B5516" w:rsidP="46C2CB11">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100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7A481F92" w14:textId="4F5BC3A3" w:rsidR="00A87066" w:rsidRPr="00A33B9F" w:rsidRDefault="0E3B5516" w:rsidP="46C2CB11">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Style w:val="normaltextrun"/>
                <w:rFonts w:ascii="Times New Roman" w:hAnsi="Times New Roman"/>
                <w:noProof/>
                <w:sz w:val="18"/>
              </w:rPr>
              <w:t>I kw.</w:t>
            </w:r>
            <w:r w:rsidRPr="00A33B9F">
              <w:rPr>
                <w:rStyle w:val="eop"/>
                <w:rFonts w:ascii="Times New Roman" w:hAnsi="Times New Roman"/>
                <w:noProof/>
                <w:sz w:val="18"/>
              </w:rPr>
              <w:t xml:space="preserve"> </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3BF03061" w14:textId="0E6D215B" w:rsidR="00A87066" w:rsidRPr="00A33B9F" w:rsidRDefault="0E3B5516" w:rsidP="46C2CB11">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Style w:val="normaltextrun"/>
                <w:rFonts w:ascii="Times New Roman" w:hAnsi="Times New Roman"/>
                <w:noProof/>
                <w:sz w:val="18"/>
              </w:rPr>
              <w:t>2026</w:t>
            </w:r>
            <w:r w:rsidRPr="00A33B9F">
              <w:rPr>
                <w:rStyle w:val="eop"/>
                <w:rFonts w:ascii="Times New Roman" w:hAnsi="Times New Roman"/>
                <w:noProof/>
                <w:sz w:val="18"/>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087CDB53" w14:textId="7FE94BFE" w:rsidR="00A87066" w:rsidRPr="00A33B9F" w:rsidRDefault="0E3B551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sz w:val="18"/>
              </w:rPr>
              <w:t>BGK zawrze prawnie wiążące umowy</w:t>
            </w:r>
            <w:r w:rsidR="00A33B9F" w:rsidRPr="00A33B9F">
              <w:rPr>
                <w:rStyle w:val="normaltextrun"/>
                <w:rFonts w:ascii="Times New Roman" w:hAnsi="Times New Roman"/>
                <w:noProof/>
                <w:sz w:val="18"/>
              </w:rPr>
              <w:t xml:space="preserve"> o udz</w:t>
            </w:r>
            <w:r w:rsidRPr="00A33B9F">
              <w:rPr>
                <w:rStyle w:val="normaltextrun"/>
                <w:rFonts w:ascii="Times New Roman" w:hAnsi="Times New Roman"/>
                <w:noProof/>
                <w:sz w:val="18"/>
              </w:rPr>
              <w:t>ielenie dotacji</w:t>
            </w:r>
            <w:r w:rsidR="00A33B9F" w:rsidRPr="00A33B9F">
              <w:rPr>
                <w:rStyle w:val="normaltextrun"/>
                <w:rFonts w:ascii="Times New Roman" w:hAnsi="Times New Roman"/>
                <w:noProof/>
                <w:sz w:val="18"/>
              </w:rPr>
              <w:t xml:space="preserve"> z ben</w:t>
            </w:r>
            <w:r w:rsidRPr="00A33B9F">
              <w:rPr>
                <w:rStyle w:val="normaltextrun"/>
                <w:rFonts w:ascii="Times New Roman" w:hAnsi="Times New Roman"/>
                <w:noProof/>
                <w:sz w:val="18"/>
              </w:rPr>
              <w:t>eficjentami końcowymi opiewające na kwotę niezbędną do wykorzystania 100</w:t>
            </w:r>
            <w:r w:rsidR="00A33B9F" w:rsidRPr="00A33B9F">
              <w:rPr>
                <w:rStyle w:val="normaltextrun"/>
                <w:rFonts w:ascii="Times New Roman" w:hAnsi="Times New Roman"/>
                <w:noProof/>
                <w:sz w:val="18"/>
              </w:rPr>
              <w:t> </w:t>
            </w:r>
            <w:r w:rsidRPr="00A33B9F">
              <w:rPr>
                <w:rStyle w:val="normaltextrun"/>
                <w:rFonts w:ascii="Times New Roman" w:hAnsi="Times New Roman"/>
                <w:noProof/>
                <w:sz w:val="18"/>
              </w:rPr>
              <w:t>% inwestycji RRF</w:t>
            </w:r>
            <w:r w:rsidR="00A33B9F" w:rsidRPr="00A33B9F">
              <w:rPr>
                <w:rStyle w:val="normaltextrun"/>
                <w:rFonts w:ascii="Times New Roman" w:hAnsi="Times New Roman"/>
                <w:noProof/>
                <w:sz w:val="18"/>
              </w:rPr>
              <w:t xml:space="preserve"> w ram</w:t>
            </w:r>
            <w:r w:rsidRPr="00A33B9F">
              <w:rPr>
                <w:rStyle w:val="normaltextrun"/>
                <w:rFonts w:ascii="Times New Roman" w:hAnsi="Times New Roman"/>
                <w:noProof/>
                <w:sz w:val="18"/>
              </w:rPr>
              <w:t xml:space="preserve">ach programu (uwzględniając opłaty za zarządzanie). </w:t>
            </w:r>
          </w:p>
        </w:tc>
      </w:tr>
      <w:tr w:rsidR="00A8619C" w:rsidRPr="00A33B9F" w14:paraId="0EA8CA53"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E13E1C" w14:textId="18DFC2C0" w:rsidR="00A87066" w:rsidRPr="00A33B9F" w:rsidRDefault="7A62DC50" w:rsidP="46C2CB11">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B21eG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87218" w14:textId="7F909AC2" w:rsidR="00A87066" w:rsidRPr="00A33B9F" w:rsidRDefault="17E32477"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B2.1.1. Inwestycje</w:t>
            </w:r>
            <w:r w:rsidR="00A33B9F" w:rsidRPr="00A33B9F">
              <w:rPr>
                <w:rFonts w:ascii="Times New Roman" w:hAnsi="Times New Roman"/>
                <w:noProof/>
                <w:color w:val="000000" w:themeColor="text1"/>
                <w:sz w:val="18"/>
              </w:rPr>
              <w:t xml:space="preserve"> w tec</w:t>
            </w:r>
            <w:r w:rsidRPr="00A33B9F">
              <w:rPr>
                <w:rFonts w:ascii="Times New Roman" w:hAnsi="Times New Roman"/>
                <w:noProof/>
                <w:color w:val="000000" w:themeColor="text1"/>
                <w:sz w:val="18"/>
              </w:rPr>
              <w:t>hnologie wodorowe, wytwarzanie, magazynowanie</w:t>
            </w:r>
            <w:r w:rsidR="00A33B9F" w:rsidRPr="00A33B9F">
              <w:rPr>
                <w:rFonts w:ascii="Times New Roman" w:hAnsi="Times New Roman"/>
                <w:noProof/>
                <w:color w:val="000000" w:themeColor="text1"/>
                <w:sz w:val="18"/>
              </w:rPr>
              <w:t xml:space="preserve"> i tra</w:t>
            </w:r>
            <w:r w:rsidRPr="00A33B9F">
              <w:rPr>
                <w:rFonts w:ascii="Times New Roman" w:hAnsi="Times New Roman"/>
                <w:noProof/>
                <w:color w:val="000000" w:themeColor="text1"/>
                <w:sz w:val="18"/>
              </w:rPr>
              <w:t>nsport wodoru</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DDC5DC" w14:textId="27CA4ABF" w:rsidR="00A87066" w:rsidRPr="00A33B9F" w:rsidRDefault="0E3B551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Kamień milowy</w:t>
            </w:r>
            <w:r w:rsidR="00C3621A" w:rsidRPr="00A33B9F">
              <w:rPr>
                <w:rFonts w:ascii="Times New Roman" w:hAnsi="Times New Roman"/>
                <w:noProof/>
                <w:color w:val="000000" w:themeColor="text1"/>
                <w:sz w:val="18"/>
              </w:rPr>
              <w:t xml:space="preserve"> </w:t>
            </w:r>
          </w:p>
        </w:tc>
        <w:tc>
          <w:tcPr>
            <w:tcW w:w="1895" w:type="dxa"/>
            <w:tcBorders>
              <w:top w:val="single" w:sz="6" w:space="0" w:color="auto"/>
              <w:left w:val="single" w:sz="6" w:space="0" w:color="auto"/>
              <w:bottom w:val="single" w:sz="6" w:space="0" w:color="auto"/>
              <w:right w:val="single" w:sz="6" w:space="0" w:color="auto"/>
            </w:tcBorders>
            <w:shd w:val="clear" w:color="auto" w:fill="C6EFCE"/>
          </w:tcPr>
          <w:p w14:paraId="04FC32D0" w14:textId="304B8845" w:rsidR="00A87066" w:rsidRPr="00A33B9F" w:rsidRDefault="0E3B551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sz w:val="18"/>
              </w:rPr>
              <w:t>Ministerstwo zakończyło inwestycję</w:t>
            </w:r>
            <w:r w:rsidRPr="00A33B9F">
              <w:rPr>
                <w:rStyle w:val="eop"/>
                <w:rFonts w:ascii="Times New Roman" w:hAnsi="Times New Roman"/>
                <w:noProof/>
                <w:sz w:val="18"/>
              </w:rPr>
              <w:t xml:space="preserve">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35F747" w14:textId="69E69C08" w:rsidR="00A87066" w:rsidRPr="00A33B9F" w:rsidRDefault="0E3B551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Zaświadczenie potwierdzające przekazanie środków</w:t>
            </w:r>
            <w:r w:rsidR="00C3621A" w:rsidRPr="00A33B9F">
              <w:rPr>
                <w:rFonts w:ascii="Times New Roman" w:hAnsi="Times New Roman"/>
                <w:noProof/>
                <w:color w:val="000000" w:themeColor="text1"/>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5C54F4" w14:textId="77777777" w:rsidR="00A87066" w:rsidRPr="00A33B9F" w:rsidRDefault="00A87066" w:rsidP="46C2CB11">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33FFA3" w14:textId="77777777" w:rsidR="00A87066" w:rsidRPr="00A33B9F" w:rsidRDefault="00A87066" w:rsidP="46C2CB11">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E2F8BE" w14:textId="77777777" w:rsidR="00A87066" w:rsidRPr="00A33B9F" w:rsidRDefault="00A87066" w:rsidP="46C2CB11">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98" w:type="dxa"/>
            <w:tcBorders>
              <w:top w:val="single" w:sz="6" w:space="0" w:color="auto"/>
              <w:left w:val="single" w:sz="6" w:space="0" w:color="auto"/>
              <w:bottom w:val="single" w:sz="6" w:space="0" w:color="auto"/>
              <w:right w:val="single" w:sz="6" w:space="0" w:color="auto"/>
            </w:tcBorders>
            <w:shd w:val="clear" w:color="auto" w:fill="C6EFCE"/>
          </w:tcPr>
          <w:p w14:paraId="776D5368" w14:textId="18352C72" w:rsidR="00A87066" w:rsidRPr="00A33B9F" w:rsidRDefault="630EECA0" w:rsidP="2757ED68">
            <w:pPr>
              <w:pStyle w:val="Normal0"/>
              <w:pBdr>
                <w:top w:val="nil"/>
                <w:left w:val="nil"/>
                <w:bottom w:val="nil"/>
                <w:right w:val="nil"/>
                <w:between w:val="nil"/>
              </w:pBdr>
              <w:spacing w:after="0" w:line="240" w:lineRule="auto"/>
              <w:jc w:val="center"/>
              <w:rPr>
                <w:rStyle w:val="eop"/>
                <w:rFonts w:ascii="Times New Roman" w:eastAsia="Times New Roman" w:hAnsi="Times New Roman" w:cs="Times New Roman"/>
                <w:noProof/>
                <w:sz w:val="18"/>
                <w:szCs w:val="18"/>
              </w:rPr>
            </w:pPr>
            <w:r w:rsidRPr="00A33B9F">
              <w:rPr>
                <w:rStyle w:val="normaltextrun"/>
                <w:rFonts w:ascii="Times New Roman" w:hAnsi="Times New Roman"/>
                <w:noProof/>
                <w:sz w:val="18"/>
              </w:rPr>
              <w:t>II kw.</w:t>
            </w:r>
          </w:p>
        </w:tc>
        <w:tc>
          <w:tcPr>
            <w:tcW w:w="691" w:type="dxa"/>
            <w:tcBorders>
              <w:top w:val="single" w:sz="6" w:space="0" w:color="auto"/>
              <w:left w:val="single" w:sz="6" w:space="0" w:color="auto"/>
              <w:bottom w:val="single" w:sz="6" w:space="0" w:color="auto"/>
              <w:right w:val="single" w:sz="6" w:space="0" w:color="auto"/>
            </w:tcBorders>
            <w:shd w:val="clear" w:color="auto" w:fill="C6EFCE"/>
          </w:tcPr>
          <w:p w14:paraId="3825BA70" w14:textId="5C718ACB" w:rsidR="00A87066" w:rsidRPr="00A33B9F" w:rsidRDefault="0E3B5516" w:rsidP="46C2CB11">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Style w:val="normaltextrun"/>
                <w:rFonts w:ascii="Times New Roman" w:hAnsi="Times New Roman"/>
                <w:noProof/>
                <w:sz w:val="18"/>
              </w:rPr>
              <w:t>2026</w:t>
            </w:r>
            <w:r w:rsidRPr="00A33B9F">
              <w:rPr>
                <w:rStyle w:val="eop"/>
                <w:rFonts w:ascii="Times New Roman" w:hAnsi="Times New Roman"/>
                <w:noProof/>
                <w:sz w:val="18"/>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C6EFCE"/>
          </w:tcPr>
          <w:p w14:paraId="1A6E25B1" w14:textId="2286C461" w:rsidR="00A87066" w:rsidRPr="00A33B9F" w:rsidRDefault="0E3B5516" w:rsidP="46C2CB11">
            <w:pPr>
              <w:pStyle w:val="Normal0"/>
              <w:pBdr>
                <w:top w:val="nil"/>
                <w:left w:val="nil"/>
                <w:bottom w:val="nil"/>
                <w:right w:val="nil"/>
                <w:between w:val="nil"/>
              </w:pBdr>
              <w:spacing w:after="0" w:line="240" w:lineRule="auto"/>
              <w:rPr>
                <w:rStyle w:val="eop"/>
                <w:rFonts w:ascii="Times New Roman" w:eastAsia="Times New Roman" w:hAnsi="Times New Roman" w:cs="Times New Roman"/>
                <w:noProof/>
                <w:sz w:val="18"/>
                <w:szCs w:val="18"/>
              </w:rPr>
            </w:pPr>
            <w:r w:rsidRPr="00A33B9F">
              <w:rPr>
                <w:rStyle w:val="normaltextrun"/>
                <w:rFonts w:ascii="Times New Roman" w:hAnsi="Times New Roman"/>
                <w:noProof/>
                <w:sz w:val="18"/>
              </w:rPr>
              <w:t>Polska przekaże BGK kwotę 320 mln EUR na potrzeby programu, poza 320 mln EUR przekazanymi już</w:t>
            </w:r>
            <w:r w:rsidR="00A33B9F" w:rsidRPr="00A33B9F">
              <w:rPr>
                <w:rStyle w:val="normaltextrun"/>
                <w:rFonts w:ascii="Times New Roman" w:hAnsi="Times New Roman"/>
                <w:noProof/>
                <w:sz w:val="18"/>
              </w:rPr>
              <w:t xml:space="preserve"> w ram</w:t>
            </w:r>
            <w:r w:rsidRPr="00A33B9F">
              <w:rPr>
                <w:rStyle w:val="normaltextrun"/>
                <w:rFonts w:ascii="Times New Roman" w:hAnsi="Times New Roman"/>
                <w:noProof/>
                <w:sz w:val="18"/>
              </w:rPr>
              <w:t xml:space="preserve">ach kamienia milowego B21cG. </w:t>
            </w:r>
          </w:p>
        </w:tc>
      </w:tr>
      <w:tr w:rsidR="008C116B" w:rsidRPr="00A33B9F" w14:paraId="1CA1A385"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9D24EC" w14:textId="4BBD489A"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B37G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887D5" w14:textId="0A07C67A"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B2.2.3 Budowa infrastruktury terminalowej </w:t>
            </w:r>
            <w:r w:rsidRPr="00A33B9F">
              <w:rPr>
                <w:rFonts w:ascii="Times New Roman" w:hAnsi="Times New Roman"/>
                <w:i/>
                <w:noProof/>
                <w:color w:val="000000" w:themeColor="text1"/>
                <w:sz w:val="18"/>
              </w:rPr>
              <w:t>offshore</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D37D40"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A79C46" w14:textId="1D430D9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Budowa terminalu instalacyjnego </w:t>
            </w:r>
            <w:r w:rsidRPr="00A33B9F">
              <w:rPr>
                <w:rFonts w:ascii="Times New Roman" w:hAnsi="Times New Roman"/>
                <w:i/>
                <w:noProof/>
                <w:color w:val="000000" w:themeColor="text1"/>
                <w:sz w:val="18"/>
              </w:rPr>
              <w:t>offshore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5D87ED"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Uruchomienie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04E882"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90C70"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C1387E"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BCC829"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CF64FE" w14:textId="54C8B6FA"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highlight w:val="green"/>
              </w:rPr>
            </w:pPr>
            <w:r w:rsidRPr="00A33B9F">
              <w:rPr>
                <w:rFonts w:ascii="Times New Roman" w:hAnsi="Times New Roman"/>
                <w:noProof/>
                <w:color w:val="000000" w:themeColor="text1"/>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2A233B" w14:textId="50F1E16D" w:rsidR="00A87066" w:rsidRPr="00A33B9F" w:rsidRDefault="00A87066" w:rsidP="77793192">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Oddanie do użytku nowego pirsu portowego.</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sz w:val="18"/>
              </w:rPr>
              <w:t xml:space="preserve">Podział pirsu zewnętrznego umożliwi zbudowanie dwóch miejsc postojowych dla statków typu jack-up. </w:t>
            </w:r>
          </w:p>
          <w:p w14:paraId="63159A0C" w14:textId="7FAE0AB7" w:rsidR="77793192" w:rsidRPr="00A33B9F" w:rsidRDefault="77793192" w:rsidP="77793192">
            <w:pPr>
              <w:spacing w:after="0" w:line="240" w:lineRule="auto"/>
              <w:rPr>
                <w:rFonts w:ascii="Times New Roman" w:eastAsia="Times New Roman" w:hAnsi="Times New Roman" w:cs="Times New Roman"/>
                <w:noProof/>
                <w:sz w:val="18"/>
                <w:szCs w:val="18"/>
              </w:rPr>
            </w:pPr>
          </w:p>
          <w:p w14:paraId="580161D2" w14:textId="2A42B208" w:rsidR="00A87066" w:rsidRPr="00A33B9F" w:rsidRDefault="00A87066" w:rsidP="77793192">
            <w:pPr>
              <w:spacing w:after="0" w:line="240" w:lineRule="auto"/>
              <w:rPr>
                <w:rFonts w:ascii="Times New Roman" w:eastAsia="Times New Roman" w:hAnsi="Times New Roman" w:cs="Times New Roman"/>
                <w:noProof/>
                <w:color w:val="FF0000"/>
                <w:sz w:val="18"/>
                <w:szCs w:val="18"/>
              </w:rPr>
            </w:pPr>
            <w:r w:rsidRPr="00A33B9F">
              <w:rPr>
                <w:rFonts w:ascii="Times New Roman" w:hAnsi="Times New Roman"/>
                <w:noProof/>
                <w:sz w:val="18"/>
              </w:rPr>
              <w:t>Terminal offshore dla farm wiatrowych zlokalizowany na pirsie Portu Zewnętrznego zapewnia odpowiednie warunki hydrotechniczne</w:t>
            </w:r>
            <w:r w:rsidR="00A33B9F" w:rsidRPr="00A33B9F">
              <w:rPr>
                <w:rFonts w:ascii="Times New Roman" w:hAnsi="Times New Roman"/>
                <w:noProof/>
                <w:sz w:val="18"/>
              </w:rPr>
              <w:t xml:space="preserve"> i naw</w:t>
            </w:r>
            <w:r w:rsidRPr="00A33B9F">
              <w:rPr>
                <w:rFonts w:ascii="Times New Roman" w:hAnsi="Times New Roman"/>
                <w:noProof/>
                <w:sz w:val="18"/>
              </w:rPr>
              <w:t xml:space="preserve">igacyjne dla statków obsługujących instalacje przybrzeżne. </w:t>
            </w:r>
          </w:p>
        </w:tc>
      </w:tr>
      <w:tr w:rsidR="008C116B" w:rsidRPr="00A33B9F" w14:paraId="11DBEFF9"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8C1C99" w14:textId="44765986" w:rsidR="00A87066" w:rsidRPr="00A33B9F" w:rsidRDefault="2063257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B38G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C5D6DE"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B2.2.3 Budowa infrastruktury terminalowej </w:t>
            </w:r>
            <w:r w:rsidRPr="00A33B9F">
              <w:rPr>
                <w:rFonts w:ascii="Times New Roman" w:hAnsi="Times New Roman"/>
                <w:i/>
                <w:noProof/>
                <w:color w:val="000000"/>
                <w:sz w:val="18"/>
              </w:rPr>
              <w:t>offshore</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7EE495"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5C5B22" w14:textId="08F95671"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Budowa morskiego terminalu serwisowego</w:t>
            </w:r>
            <w:r w:rsidR="00A33B9F" w:rsidRPr="00A33B9F">
              <w:rPr>
                <w:rFonts w:ascii="Times New Roman" w:hAnsi="Times New Roman"/>
                <w:noProof/>
                <w:color w:val="000000" w:themeColor="text1"/>
                <w:sz w:val="18"/>
              </w:rPr>
              <w:t xml:space="preserve"> w Łeb</w:t>
            </w:r>
            <w:r w:rsidRPr="00A33B9F">
              <w:rPr>
                <w:rFonts w:ascii="Times New Roman" w:hAnsi="Times New Roman"/>
                <w:noProof/>
                <w:color w:val="000000" w:themeColor="text1"/>
                <w:sz w:val="18"/>
              </w:rPr>
              <w:t>ie</w:t>
            </w:r>
            <w:r w:rsidR="00A33B9F" w:rsidRPr="00A33B9F">
              <w:rPr>
                <w:rFonts w:ascii="Times New Roman" w:hAnsi="Times New Roman"/>
                <w:noProof/>
                <w:color w:val="000000" w:themeColor="text1"/>
                <w:sz w:val="18"/>
              </w:rPr>
              <w:t xml:space="preserve"> i Ust</w:t>
            </w:r>
            <w:r w:rsidRPr="00A33B9F">
              <w:rPr>
                <w:rFonts w:ascii="Times New Roman" w:hAnsi="Times New Roman"/>
                <w:noProof/>
                <w:color w:val="000000" w:themeColor="text1"/>
                <w:sz w:val="18"/>
              </w:rPr>
              <w:t>ce</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5730C5"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5CF354"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717F1A"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42F596"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E55E20"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391F0A"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88D78C" w14:textId="323B93ED" w:rsidR="00A87066" w:rsidRPr="00A33B9F" w:rsidRDefault="1CC85390" w:rsidP="77793192">
            <w:pPr>
              <w:spacing w:after="160" w:line="240" w:lineRule="auto"/>
              <w:rPr>
                <w:rFonts w:ascii="Times New Roman" w:eastAsia="Times New Roman" w:hAnsi="Times New Roman" w:cs="Times New Roman"/>
                <w:noProof/>
                <w:color w:val="FF0000"/>
              </w:rPr>
            </w:pPr>
            <w:r w:rsidRPr="00A33B9F">
              <w:rPr>
                <w:rFonts w:ascii="Times New Roman" w:hAnsi="Times New Roman"/>
                <w:noProof/>
                <w:color w:val="000000" w:themeColor="text1"/>
                <w:sz w:val="18"/>
              </w:rPr>
              <w:t>Zakończenie budowy dwóch morskich terminali serwisowych (w Ustce</w:t>
            </w:r>
            <w:r w:rsidR="00A33B9F" w:rsidRPr="00A33B9F">
              <w:rPr>
                <w:rFonts w:ascii="Times New Roman" w:hAnsi="Times New Roman"/>
                <w:noProof/>
                <w:color w:val="000000" w:themeColor="text1"/>
                <w:sz w:val="18"/>
              </w:rPr>
              <w:t xml:space="preserve"> i Łeb</w:t>
            </w:r>
            <w:r w:rsidRPr="00A33B9F">
              <w:rPr>
                <w:rFonts w:ascii="Times New Roman" w:hAnsi="Times New Roman"/>
                <w:noProof/>
                <w:color w:val="000000" w:themeColor="text1"/>
                <w:sz w:val="18"/>
              </w:rPr>
              <w:t>ie). I</w:t>
            </w:r>
            <w:r w:rsidRPr="00A33B9F">
              <w:rPr>
                <w:rFonts w:ascii="Times New Roman" w:hAnsi="Times New Roman"/>
                <w:noProof/>
                <w:sz w:val="18"/>
              </w:rPr>
              <w:t>nwestycja</w:t>
            </w:r>
            <w:r w:rsidR="00A33B9F" w:rsidRPr="00A33B9F">
              <w:rPr>
                <w:rFonts w:ascii="Times New Roman" w:hAnsi="Times New Roman"/>
                <w:noProof/>
                <w:sz w:val="18"/>
              </w:rPr>
              <w:t xml:space="preserve"> w Ust</w:t>
            </w:r>
            <w:r w:rsidRPr="00A33B9F">
              <w:rPr>
                <w:rFonts w:ascii="Times New Roman" w:hAnsi="Times New Roman"/>
                <w:noProof/>
                <w:sz w:val="18"/>
              </w:rPr>
              <w:t>ce obejmuje modernizację falochronów</w:t>
            </w:r>
            <w:r w:rsidR="00A33B9F" w:rsidRPr="00A33B9F">
              <w:rPr>
                <w:rFonts w:ascii="Times New Roman" w:hAnsi="Times New Roman"/>
                <w:noProof/>
                <w:sz w:val="18"/>
              </w:rPr>
              <w:t xml:space="preserve"> w por</w:t>
            </w:r>
            <w:r w:rsidRPr="00A33B9F">
              <w:rPr>
                <w:rFonts w:ascii="Times New Roman" w:hAnsi="Times New Roman"/>
                <w:noProof/>
                <w:sz w:val="18"/>
              </w:rPr>
              <w:t>cie śródlądowym</w:t>
            </w:r>
            <w:r w:rsidR="00A33B9F" w:rsidRPr="00A33B9F">
              <w:rPr>
                <w:rFonts w:ascii="Times New Roman" w:hAnsi="Times New Roman"/>
                <w:noProof/>
                <w:sz w:val="18"/>
              </w:rPr>
              <w:t xml:space="preserve"> i pog</w:t>
            </w:r>
            <w:r w:rsidRPr="00A33B9F">
              <w:rPr>
                <w:rFonts w:ascii="Times New Roman" w:hAnsi="Times New Roman"/>
                <w:noProof/>
                <w:sz w:val="18"/>
              </w:rPr>
              <w:t>łębienie toru wodnego. Inwestycja</w:t>
            </w:r>
            <w:r w:rsidR="00A33B9F" w:rsidRPr="00A33B9F">
              <w:rPr>
                <w:rFonts w:ascii="Times New Roman" w:hAnsi="Times New Roman"/>
                <w:noProof/>
                <w:sz w:val="18"/>
              </w:rPr>
              <w:t xml:space="preserve"> w mor</w:t>
            </w:r>
            <w:r w:rsidRPr="00A33B9F">
              <w:rPr>
                <w:rFonts w:ascii="Times New Roman" w:hAnsi="Times New Roman"/>
                <w:noProof/>
                <w:sz w:val="18"/>
              </w:rPr>
              <w:t>skim terminale serwisowym</w:t>
            </w:r>
            <w:r w:rsidR="00A33B9F" w:rsidRPr="00A33B9F">
              <w:rPr>
                <w:rFonts w:ascii="Times New Roman" w:hAnsi="Times New Roman"/>
                <w:noProof/>
                <w:sz w:val="18"/>
              </w:rPr>
              <w:t xml:space="preserve"> w Łeb</w:t>
            </w:r>
            <w:r w:rsidRPr="00A33B9F">
              <w:rPr>
                <w:rFonts w:ascii="Times New Roman" w:hAnsi="Times New Roman"/>
                <w:noProof/>
                <w:sz w:val="18"/>
              </w:rPr>
              <w:t>ie obejmuje budowę toru wodnego</w:t>
            </w:r>
            <w:r w:rsidR="00A33B9F" w:rsidRPr="00A33B9F">
              <w:rPr>
                <w:rFonts w:ascii="Times New Roman" w:hAnsi="Times New Roman"/>
                <w:noProof/>
                <w:sz w:val="18"/>
              </w:rPr>
              <w:t xml:space="preserve"> o głę</w:t>
            </w:r>
            <w:r w:rsidRPr="00A33B9F">
              <w:rPr>
                <w:rFonts w:ascii="Times New Roman" w:hAnsi="Times New Roman"/>
                <w:noProof/>
                <w:sz w:val="18"/>
              </w:rPr>
              <w:t>bokości co najmniej 3,5 metra. Zleca się wydanie opinii biegłego potwierdzającej stan budynków stojących wzdłuż toru.</w:t>
            </w:r>
          </w:p>
        </w:tc>
      </w:tr>
      <w:tr w:rsidR="008C116B" w:rsidRPr="00A33B9F" w14:paraId="44500E3B"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14F9DC" w14:textId="7CC1F231" w:rsidR="00A87066" w:rsidRPr="00A33B9F" w:rsidRDefault="2063257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B39G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54116"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B3.1 Wsparcie zrównoważonej gospodarki wodno-ściekowej na obszarach wiejskich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E44F85"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A9CDD9" w14:textId="2C6FB676"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Opracowanie zasad terytorialnego ukierunkowania wsparcia inwestycji wodociągowych lub kanalizacyjnych</w:t>
            </w:r>
            <w:r w:rsidR="00A33B9F" w:rsidRPr="00A33B9F">
              <w:rPr>
                <w:rFonts w:ascii="Times New Roman" w:hAnsi="Times New Roman"/>
                <w:noProof/>
                <w:color w:val="000000"/>
                <w:sz w:val="18"/>
              </w:rPr>
              <w:t xml:space="preserve"> w ram</w:t>
            </w:r>
            <w:r w:rsidRPr="00A33B9F">
              <w:rPr>
                <w:rFonts w:ascii="Times New Roman" w:hAnsi="Times New Roman"/>
                <w:noProof/>
                <w:color w:val="000000"/>
                <w:sz w:val="18"/>
              </w:rPr>
              <w:t xml:space="preserve">ach KPO na obszarach wiejskich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64C26C" w14:textId="4CE32530"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Przyjęcie wytycznych Ministra Rolnictwa</w:t>
            </w:r>
            <w:r w:rsidR="00A33B9F" w:rsidRPr="00A33B9F">
              <w:rPr>
                <w:rFonts w:ascii="Times New Roman" w:hAnsi="Times New Roman"/>
                <w:noProof/>
                <w:color w:val="000000"/>
                <w:sz w:val="18"/>
              </w:rPr>
              <w:t xml:space="preserve"> i Roz</w:t>
            </w:r>
            <w:r w:rsidRPr="00A33B9F">
              <w:rPr>
                <w:rFonts w:ascii="Times New Roman" w:hAnsi="Times New Roman"/>
                <w:noProof/>
                <w:color w:val="000000"/>
                <w:sz w:val="18"/>
              </w:rPr>
              <w:t>woju Wsi</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F380C"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663D94"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FED68"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4CD473"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BFB259"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B38641" w14:textId="71BF5235"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Przyjęcie terytorialnych kryteriów kwalifikacji beneficjentów.</w:t>
            </w:r>
            <w:r w:rsidRPr="00A33B9F">
              <w:rPr>
                <w:noProof/>
              </w:rPr>
              <w:t xml:space="preserve"> </w:t>
            </w:r>
            <w:r w:rsidRPr="00A33B9F">
              <w:rPr>
                <w:noProof/>
              </w:rPr>
              <w:br/>
            </w:r>
            <w:r w:rsidRPr="00A33B9F">
              <w:rPr>
                <w:rFonts w:ascii="Times New Roman" w:hAnsi="Times New Roman"/>
                <w:noProof/>
                <w:color w:val="000000" w:themeColor="text1"/>
                <w:sz w:val="18"/>
              </w:rPr>
              <w:t>W ramach kryteriów kwalifikacji pierwszeństwo będą miały gminy</w:t>
            </w:r>
            <w:r w:rsidR="00A33B9F" w:rsidRPr="00A33B9F">
              <w:rPr>
                <w:rFonts w:ascii="Times New Roman" w:hAnsi="Times New Roman"/>
                <w:noProof/>
                <w:color w:val="000000" w:themeColor="text1"/>
                <w:sz w:val="18"/>
              </w:rPr>
              <w:t xml:space="preserve"> o naj</w:t>
            </w:r>
            <w:r w:rsidRPr="00A33B9F">
              <w:rPr>
                <w:rFonts w:ascii="Times New Roman" w:hAnsi="Times New Roman"/>
                <w:noProof/>
                <w:color w:val="000000" w:themeColor="text1"/>
                <w:sz w:val="18"/>
              </w:rPr>
              <w:t>mniejszej zdolności do finansowania inwestycji</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obów własnych</w:t>
            </w:r>
            <w:r w:rsidR="00A33B9F" w:rsidRPr="00A33B9F">
              <w:rPr>
                <w:rFonts w:ascii="Times New Roman" w:hAnsi="Times New Roman"/>
                <w:noProof/>
                <w:color w:val="000000" w:themeColor="text1"/>
                <w:sz w:val="18"/>
              </w:rPr>
              <w:t>. W pro</w:t>
            </w:r>
            <w:r w:rsidRPr="00A33B9F">
              <w:rPr>
                <w:rFonts w:ascii="Times New Roman" w:hAnsi="Times New Roman"/>
                <w:noProof/>
                <w:color w:val="000000" w:themeColor="text1"/>
                <w:sz w:val="18"/>
              </w:rPr>
              <w:t>ces określenia kryteriów kwalifikacji beneficjentów włączone zostaną samorządy wojewódzkie.</w:t>
            </w:r>
          </w:p>
        </w:tc>
      </w:tr>
      <w:tr w:rsidR="008C116B" w:rsidRPr="00A33B9F" w14:paraId="0A9A0196"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C70749" w14:textId="6560FC60" w:rsidR="00A87066" w:rsidRPr="00A33B9F" w:rsidRDefault="2063257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B40G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1001A"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B3.1 Wsparcie zrównoważonej gospodarki wodno-ściekowej na obszarach wiejskich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2936BE"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C3DFB8" w14:textId="728631E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prawnego ustanawiającego obowiązek przeprowadzania regularnego monitorowania</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trolowania odpowiednich konkretnych systemów</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557950" w14:textId="7FFDC13E"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2408A0"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86029"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F7B85A"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331C6C"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69043E"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D1851" w14:textId="04A886E6"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prawnego,</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rym wprowadzeni się obowiązek monitorowania</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trolowania przez gminy procesu odprowadzania ścieków oraz stosowania przez te gminy instrumentów zapobiegających niewłaściwemu odprowadzaniu ścieków,</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mechanizmu tzw. wykonania zastępczego, tj. organizowania przez gminę opróżniania zbiorników septycznych, stosowanego wobec właścicieli nieruchomości, którzy nie zawarli umów na opróżnianie takich zbiorników.</w:t>
            </w:r>
          </w:p>
        </w:tc>
      </w:tr>
      <w:tr w:rsidR="008C116B" w:rsidRPr="00A33B9F" w14:paraId="2A3355ED" w14:textId="77777777" w:rsidTr="00301C62">
        <w:trPr>
          <w:trHeight w:val="313"/>
        </w:trPr>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DEB7E5" w14:textId="7F4EF33F" w:rsidR="00A87066" w:rsidRPr="00A33B9F" w:rsidRDefault="2063257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B41G</w:t>
            </w:r>
          </w:p>
        </w:tc>
        <w:tc>
          <w:tcPr>
            <w:tcW w:w="1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2308B" w14:textId="485043E9"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B3.1.1 Inwestycje</w:t>
            </w:r>
            <w:r w:rsidR="00A33B9F" w:rsidRPr="00A33B9F">
              <w:rPr>
                <w:rFonts w:ascii="Times New Roman" w:hAnsi="Times New Roman"/>
                <w:noProof/>
                <w:color w:val="000000"/>
                <w:sz w:val="18"/>
              </w:rPr>
              <w:t xml:space="preserve"> w zró</w:t>
            </w:r>
            <w:r w:rsidRPr="00A33B9F">
              <w:rPr>
                <w:rFonts w:ascii="Times New Roman" w:hAnsi="Times New Roman"/>
                <w:noProof/>
                <w:color w:val="000000"/>
                <w:sz w:val="18"/>
              </w:rPr>
              <w:t>wnoważoną gospodarkę wodno-ściekową na obszarach wiejskich</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DBAA2D"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D5B3E" w14:textId="4FB345AF" w:rsidR="00A87066" w:rsidRPr="00A33B9F" w:rsidRDefault="00A87066" w:rsidP="00970162">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Nowa infrastruktura kanalizacyjna</w:t>
            </w:r>
            <w:r w:rsidR="00A33B9F" w:rsidRPr="00A33B9F">
              <w:rPr>
                <w:rFonts w:ascii="Times New Roman" w:hAnsi="Times New Roman"/>
                <w:noProof/>
                <w:sz w:val="18"/>
              </w:rPr>
              <w:t xml:space="preserve"> i wod</w:t>
            </w:r>
            <w:r w:rsidRPr="00A33B9F">
              <w:rPr>
                <w:rFonts w:ascii="Times New Roman" w:hAnsi="Times New Roman"/>
                <w:noProof/>
                <w:sz w:val="18"/>
              </w:rPr>
              <w:t>ociągowa umożliwiająca dodatkowe przyłączenia ludności wiejskiej</w:t>
            </w:r>
            <w:r w:rsidR="00C3621A" w:rsidRPr="00A33B9F">
              <w:rPr>
                <w:rFonts w:ascii="Times New Roman" w:hAnsi="Times New Roman"/>
                <w:noProof/>
                <w:sz w:val="18"/>
              </w:rPr>
              <w:t xml:space="preserve"> </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3EA6F2"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 </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60139E" w14:textId="77777777" w:rsidR="00A87066" w:rsidRPr="00A33B9F" w:rsidRDefault="00A87066" w:rsidP="00A87066">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DD9CC" w14:textId="77777777"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36AF33" w14:textId="4D177A23"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sz w:val="18"/>
                <w:szCs w:val="18"/>
              </w:rPr>
            </w:pPr>
            <w:r w:rsidRPr="00A33B9F">
              <w:rPr>
                <w:rFonts w:ascii="Times New Roman" w:hAnsi="Times New Roman"/>
                <w:noProof/>
                <w:sz w:val="18"/>
              </w:rPr>
              <w:t>27 522</w:t>
            </w:r>
          </w:p>
          <w:p w14:paraId="7C487665" w14:textId="187EFA9E" w:rsidR="00A87066" w:rsidRPr="00A33B9F" w:rsidRDefault="00A87066" w:rsidP="00A870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sz w:val="18"/>
                <w:szCs w:val="18"/>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E2525C"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121D7F" w14:textId="77777777" w:rsidR="00A87066" w:rsidRPr="00A33B9F" w:rsidRDefault="00A87066" w:rsidP="00A870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FF0820" w14:textId="1F4DE2CF" w:rsidR="00A87066" w:rsidRPr="00A33B9F" w:rsidRDefault="00A87066" w:rsidP="00A87066">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Nowa infrastruktura umożliwiająca dodatkowe przyłączenia ludności wiejskiej do infrastruktury wodociągowej</w:t>
            </w:r>
            <w:r w:rsidR="00A33B9F" w:rsidRPr="00A33B9F">
              <w:rPr>
                <w:rFonts w:ascii="Times New Roman" w:hAnsi="Times New Roman"/>
                <w:noProof/>
                <w:sz w:val="18"/>
              </w:rPr>
              <w:t xml:space="preserve"> i kan</w:t>
            </w:r>
            <w:r w:rsidRPr="00A33B9F">
              <w:rPr>
                <w:rFonts w:ascii="Times New Roman" w:hAnsi="Times New Roman"/>
                <w:noProof/>
                <w:sz w:val="18"/>
              </w:rPr>
              <w:t>alizacyjnej</w:t>
            </w:r>
            <w:r w:rsidR="00A33B9F" w:rsidRPr="00A33B9F">
              <w:rPr>
                <w:rFonts w:ascii="Times New Roman" w:hAnsi="Times New Roman"/>
                <w:noProof/>
                <w:sz w:val="18"/>
              </w:rPr>
              <w:t xml:space="preserve"> w gmi</w:t>
            </w:r>
            <w:r w:rsidRPr="00A33B9F">
              <w:rPr>
                <w:rFonts w:ascii="Times New Roman" w:hAnsi="Times New Roman"/>
                <w:noProof/>
                <w:sz w:val="18"/>
              </w:rPr>
              <w:t>nach,</w:t>
            </w:r>
            <w:r w:rsidR="00A33B9F" w:rsidRPr="00A33B9F">
              <w:rPr>
                <w:rFonts w:ascii="Times New Roman" w:hAnsi="Times New Roman"/>
                <w:noProof/>
                <w:sz w:val="18"/>
              </w:rPr>
              <w:t xml:space="preserve"> w peł</w:t>
            </w:r>
            <w:r w:rsidRPr="00A33B9F">
              <w:rPr>
                <w:rFonts w:ascii="Times New Roman" w:hAnsi="Times New Roman"/>
                <w:noProof/>
                <w:sz w:val="18"/>
              </w:rPr>
              <w:t>ni zgodne ze zmienionymi przepisami dotyczącymi odprowadzania ścieków. Wsparcie będzie kierowane do obszarów, których zdolność inwestycyjna została ograniczona</w:t>
            </w:r>
            <w:r w:rsidR="00A33B9F" w:rsidRPr="00A33B9F">
              <w:rPr>
                <w:rFonts w:ascii="Times New Roman" w:hAnsi="Times New Roman"/>
                <w:noProof/>
                <w:sz w:val="18"/>
              </w:rPr>
              <w:t xml:space="preserve"> w wyn</w:t>
            </w:r>
            <w:r w:rsidRPr="00A33B9F">
              <w:rPr>
                <w:rFonts w:ascii="Times New Roman" w:hAnsi="Times New Roman"/>
                <w:noProof/>
                <w:sz w:val="18"/>
              </w:rPr>
              <w:t>iku pandemii COVID-19</w:t>
            </w:r>
            <w:r w:rsidR="00A33B9F" w:rsidRPr="00A33B9F">
              <w:rPr>
                <w:rFonts w:ascii="Times New Roman" w:hAnsi="Times New Roman"/>
                <w:noProof/>
                <w:sz w:val="18"/>
              </w:rPr>
              <w:t xml:space="preserve"> i któ</w:t>
            </w:r>
            <w:r w:rsidRPr="00A33B9F">
              <w:rPr>
                <w:rFonts w:ascii="Times New Roman" w:hAnsi="Times New Roman"/>
                <w:noProof/>
                <w:sz w:val="18"/>
              </w:rPr>
              <w:t>re znajdują się poza granicami aglomeracji</w:t>
            </w:r>
            <w:r w:rsidR="00A33B9F" w:rsidRPr="00A33B9F">
              <w:rPr>
                <w:rFonts w:ascii="Times New Roman" w:hAnsi="Times New Roman"/>
                <w:noProof/>
                <w:sz w:val="18"/>
              </w:rPr>
              <w:t xml:space="preserve"> w roz</w:t>
            </w:r>
            <w:r w:rsidRPr="00A33B9F">
              <w:rPr>
                <w:rFonts w:ascii="Times New Roman" w:hAnsi="Times New Roman"/>
                <w:noProof/>
                <w:sz w:val="18"/>
              </w:rPr>
              <w:t>umieniu art.</w:t>
            </w:r>
            <w:r w:rsidR="00A33B9F" w:rsidRPr="00A33B9F">
              <w:rPr>
                <w:rFonts w:ascii="Times New Roman" w:hAnsi="Times New Roman"/>
                <w:noProof/>
                <w:sz w:val="18"/>
              </w:rPr>
              <w:t> </w:t>
            </w:r>
            <w:r w:rsidRPr="00A33B9F">
              <w:rPr>
                <w:rFonts w:ascii="Times New Roman" w:hAnsi="Times New Roman"/>
                <w:noProof/>
                <w:sz w:val="18"/>
              </w:rPr>
              <w:t>86 ustawy – Prawo wodne, oraz do projektów infrastruktury wodociągowej</w:t>
            </w:r>
            <w:r w:rsidR="00A33B9F" w:rsidRPr="00A33B9F">
              <w:rPr>
                <w:rFonts w:ascii="Times New Roman" w:hAnsi="Times New Roman"/>
                <w:noProof/>
                <w:sz w:val="18"/>
              </w:rPr>
              <w:t xml:space="preserve"> o naj</w:t>
            </w:r>
            <w:r w:rsidRPr="00A33B9F">
              <w:rPr>
                <w:rFonts w:ascii="Times New Roman" w:hAnsi="Times New Roman"/>
                <w:noProof/>
                <w:sz w:val="18"/>
              </w:rPr>
              <w:t>większym potencjale ograniczenia istniejącego negatywnego wpływu na środowisko. Beneficjenci inwestycji będą wybierani</w:t>
            </w:r>
            <w:r w:rsidR="00A33B9F" w:rsidRPr="00A33B9F">
              <w:rPr>
                <w:rFonts w:ascii="Times New Roman" w:hAnsi="Times New Roman"/>
                <w:noProof/>
                <w:sz w:val="18"/>
              </w:rPr>
              <w:t xml:space="preserve"> w dro</w:t>
            </w:r>
            <w:r w:rsidRPr="00A33B9F">
              <w:rPr>
                <w:rFonts w:ascii="Times New Roman" w:hAnsi="Times New Roman"/>
                <w:noProof/>
                <w:sz w:val="18"/>
              </w:rPr>
              <w:t>dze otwartego</w:t>
            </w:r>
            <w:r w:rsidR="00A33B9F" w:rsidRPr="00A33B9F">
              <w:rPr>
                <w:rFonts w:ascii="Times New Roman" w:hAnsi="Times New Roman"/>
                <w:noProof/>
                <w:sz w:val="18"/>
              </w:rPr>
              <w:t xml:space="preserve"> i prz</w:t>
            </w:r>
            <w:r w:rsidRPr="00A33B9F">
              <w:rPr>
                <w:rFonts w:ascii="Times New Roman" w:hAnsi="Times New Roman"/>
                <w:noProof/>
                <w:sz w:val="18"/>
              </w:rPr>
              <w:t>ejrzystego konkursu. Rozważone zostaną alternatywne rozwiązania</w:t>
            </w:r>
            <w:r w:rsidR="00A33B9F" w:rsidRPr="00A33B9F">
              <w:rPr>
                <w:rFonts w:ascii="Times New Roman" w:hAnsi="Times New Roman"/>
                <w:noProof/>
                <w:sz w:val="18"/>
              </w:rPr>
              <w:t xml:space="preserve"> w zak</w:t>
            </w:r>
            <w:r w:rsidRPr="00A33B9F">
              <w:rPr>
                <w:rFonts w:ascii="Times New Roman" w:hAnsi="Times New Roman"/>
                <w:noProof/>
                <w:sz w:val="18"/>
              </w:rPr>
              <w:t>resie infrastruktury wodociągowej</w:t>
            </w:r>
            <w:r w:rsidR="00A33B9F" w:rsidRPr="00A33B9F">
              <w:rPr>
                <w:rFonts w:ascii="Times New Roman" w:hAnsi="Times New Roman"/>
                <w:noProof/>
                <w:sz w:val="18"/>
              </w:rPr>
              <w:t xml:space="preserve"> i kan</w:t>
            </w:r>
            <w:r w:rsidRPr="00A33B9F">
              <w:rPr>
                <w:rFonts w:ascii="Times New Roman" w:hAnsi="Times New Roman"/>
                <w:noProof/>
                <w:sz w:val="18"/>
              </w:rPr>
              <w:t>alizacyjnej na obszarach wiejskich (takie jak łączenie systemu zbiorowego ze zbiornikami septycznymi lub indywidualnymi stacjami uzdatniania wody). Należy unikać poboru wody,</w:t>
            </w:r>
            <w:r w:rsidR="00A33B9F" w:rsidRPr="00A33B9F">
              <w:rPr>
                <w:rFonts w:ascii="Times New Roman" w:hAnsi="Times New Roman"/>
                <w:noProof/>
                <w:sz w:val="18"/>
              </w:rPr>
              <w:t xml:space="preserve"> w prz</w:t>
            </w:r>
            <w:r w:rsidRPr="00A33B9F">
              <w:rPr>
                <w:rFonts w:ascii="Times New Roman" w:hAnsi="Times New Roman"/>
                <w:noProof/>
                <w:sz w:val="18"/>
              </w:rPr>
              <w:t>ypadku gdy stan lub potencjał odnośnych jednolitych części wód (powierzchniowych lub gruntowych) jest gorszy niż dobry lub gdy przewiduje się (w kontekście nasilającej się zmiany klimatu), że będzie on gorszy niż dobry.</w:t>
            </w:r>
          </w:p>
        </w:tc>
      </w:tr>
    </w:tbl>
    <w:p w14:paraId="7818863E"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4F69B9A"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7C4506" w:rsidRPr="00A33B9F">
          <w:headerReference w:type="even" r:id="rId61"/>
          <w:headerReference w:type="default" r:id="rId62"/>
          <w:footerReference w:type="even" r:id="rId63"/>
          <w:footerReference w:type="default" r:id="rId64"/>
          <w:headerReference w:type="first" r:id="rId65"/>
          <w:footerReference w:type="first" r:id="rId66"/>
          <w:pgSz w:w="16839" w:h="11907" w:orient="landscape"/>
          <w:pgMar w:top="1417" w:right="1134" w:bottom="1417" w:left="1134" w:header="709" w:footer="709" w:gutter="0"/>
          <w:cols w:space="720"/>
        </w:sectPr>
      </w:pPr>
    </w:p>
    <w:p w14:paraId="6D55D467" w14:textId="0198A2C0" w:rsidR="0002330F"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r w:rsidRPr="00A33B9F">
        <w:rPr>
          <w:rFonts w:ascii="Times New Roman" w:hAnsi="Times New Roman"/>
          <w:b/>
          <w:noProof/>
          <w:color w:val="000000" w:themeColor="text1"/>
          <w:sz w:val="24"/>
        </w:rPr>
        <w:t xml:space="preserve">B.3. </w:t>
      </w:r>
      <w:r w:rsidRPr="00A33B9F">
        <w:rPr>
          <w:noProof/>
        </w:rPr>
        <w:tab/>
      </w:r>
      <w:r w:rsidRPr="00A33B9F">
        <w:rPr>
          <w:rFonts w:ascii="Times New Roman" w:hAnsi="Times New Roman"/>
          <w:b/>
          <w:noProof/>
          <w:color w:val="000000" w:themeColor="text1"/>
          <w:sz w:val="24"/>
        </w:rPr>
        <w:t>Opis reform</w:t>
      </w:r>
      <w:r w:rsidR="00A33B9F" w:rsidRPr="00A33B9F">
        <w:rPr>
          <w:rFonts w:ascii="Times New Roman" w:hAnsi="Times New Roman"/>
          <w:b/>
          <w:noProof/>
          <w:color w:val="000000" w:themeColor="text1"/>
          <w:sz w:val="24"/>
        </w:rPr>
        <w:t xml:space="preserve"> i inw</w:t>
      </w:r>
      <w:r w:rsidRPr="00A33B9F">
        <w:rPr>
          <w:rFonts w:ascii="Times New Roman" w:hAnsi="Times New Roman"/>
          <w:b/>
          <w:noProof/>
          <w:color w:val="000000" w:themeColor="text1"/>
          <w:sz w:val="24"/>
        </w:rPr>
        <w:t>estycji, które mają być finansowane</w:t>
      </w:r>
      <w:r w:rsidR="00A33B9F" w:rsidRPr="00A33B9F">
        <w:rPr>
          <w:rFonts w:ascii="Times New Roman" w:hAnsi="Times New Roman"/>
          <w:b/>
          <w:noProof/>
          <w:sz w:val="24"/>
        </w:rPr>
        <w:t xml:space="preserve"> </w:t>
      </w:r>
      <w:r w:rsidR="00A33B9F" w:rsidRPr="00A33B9F">
        <w:rPr>
          <w:rFonts w:ascii="Times New Roman" w:hAnsi="Times New Roman"/>
          <w:b/>
          <w:noProof/>
          <w:color w:val="000000"/>
          <w:sz w:val="24"/>
        </w:rPr>
        <w:t>z</w:t>
      </w:r>
      <w:r w:rsidR="00A33B9F" w:rsidRPr="00A33B9F">
        <w:rPr>
          <w:rFonts w:ascii="Times New Roman" w:hAnsi="Times New Roman"/>
          <w:b/>
          <w:noProof/>
          <w:sz w:val="24"/>
        </w:rPr>
        <w:t> </w:t>
      </w:r>
      <w:r w:rsidR="00A33B9F" w:rsidRPr="00A33B9F">
        <w:rPr>
          <w:rFonts w:ascii="Times New Roman" w:hAnsi="Times New Roman"/>
          <w:b/>
          <w:noProof/>
          <w:color w:val="000000"/>
          <w:sz w:val="24"/>
        </w:rPr>
        <w:t>poż</w:t>
      </w:r>
      <w:r w:rsidRPr="00A33B9F">
        <w:rPr>
          <w:rFonts w:ascii="Times New Roman" w:hAnsi="Times New Roman"/>
          <w:b/>
          <w:noProof/>
          <w:color w:val="000000"/>
          <w:sz w:val="24"/>
        </w:rPr>
        <w:t>yczki</w:t>
      </w:r>
    </w:p>
    <w:p w14:paraId="5F07D11E" w14:textId="77777777" w:rsidR="00423376" w:rsidRPr="00A33B9F" w:rsidRDefault="0042337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p>
    <w:p w14:paraId="5138E2E2"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B1.2 Ułatwienie realizacji obowiązku oszczędności energii dla przedsiębiorstw energetycznych</w:t>
      </w:r>
    </w:p>
    <w:p w14:paraId="7EBC1EC8" w14:textId="0E968A8B" w:rsidR="007C4506" w:rsidRPr="00A33B9F"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uproszczenie</w:t>
      </w:r>
      <w:r w:rsidR="00A33B9F" w:rsidRPr="00A33B9F">
        <w:rPr>
          <w:rFonts w:ascii="Times New Roman" w:hAnsi="Times New Roman"/>
          <w:noProof/>
          <w:color w:val="000000"/>
          <w:sz w:val="24"/>
        </w:rPr>
        <w:t xml:space="preserve"> i pos</w:t>
      </w:r>
      <w:r w:rsidRPr="00A33B9F">
        <w:rPr>
          <w:rFonts w:ascii="Times New Roman" w:hAnsi="Times New Roman"/>
          <w:noProof/>
          <w:color w:val="000000"/>
          <w:sz w:val="24"/>
        </w:rPr>
        <w:t xml:space="preserve">zerzenie systemu zobowiązującego do efektywności energetycznej. </w:t>
      </w:r>
    </w:p>
    <w:p w14:paraId="2481440E" w14:textId="43479A63" w:rsidR="007C4506" w:rsidRPr="00A33B9F" w:rsidRDefault="66B9B2EF" w:rsidP="7A2BD2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Reforma zostanie wdrożona</w:t>
      </w:r>
      <w:r w:rsidR="00A33B9F" w:rsidRPr="00A33B9F">
        <w:rPr>
          <w:rFonts w:ascii="Times New Roman" w:hAnsi="Times New Roman"/>
          <w:noProof/>
          <w:color w:val="000000" w:themeColor="text1"/>
          <w:sz w:val="24"/>
        </w:rPr>
        <w:t xml:space="preserve"> w dro</w:t>
      </w:r>
      <w:r w:rsidRPr="00A33B9F">
        <w:rPr>
          <w:rFonts w:ascii="Times New Roman" w:hAnsi="Times New Roman"/>
          <w:noProof/>
          <w:color w:val="000000" w:themeColor="text1"/>
          <w:sz w:val="24"/>
        </w:rPr>
        <w:t>dze utworzenia standardowego zbioru wartości referencyjnych dla różnych rodzajów działań służących oszczędzaniu energii. Takie działania nie będą już musiały być poddawane audytowi, co ułatwi mniejszym podmiotom udział</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gramie. Kolejnym elementem reformy będzie włączenie do systemu zobowiązującego do efektywności energetycznej przedsiębiorstw paliwowych wprowadzających do obrotu paliwa ciekłe wykorzystywane</w:t>
      </w:r>
      <w:r w:rsidR="00A33B9F" w:rsidRPr="00A33B9F">
        <w:rPr>
          <w:rFonts w:ascii="Times New Roman" w:hAnsi="Times New Roman"/>
          <w:noProof/>
          <w:color w:val="000000" w:themeColor="text1"/>
          <w:sz w:val="24"/>
        </w:rPr>
        <w:t xml:space="preserve"> w tra</w:t>
      </w:r>
      <w:r w:rsidRPr="00A33B9F">
        <w:rPr>
          <w:rFonts w:ascii="Times New Roman" w:hAnsi="Times New Roman"/>
          <w:noProof/>
          <w:color w:val="000000" w:themeColor="text1"/>
          <w:sz w:val="24"/>
        </w:rPr>
        <w:t>nsporcie. Podmioty te będą realizować przedsięwzięcia służące poprawie efektywności energetycznej, umarzać odpowiednią liczbę białych certyfikatów lub uiszczać opłatę zastępczą</w:t>
      </w:r>
      <w:r w:rsidR="00A33B9F" w:rsidRPr="00A33B9F">
        <w:rPr>
          <w:rFonts w:ascii="Times New Roman" w:hAnsi="Times New Roman"/>
          <w:noProof/>
          <w:color w:val="000000" w:themeColor="text1"/>
          <w:sz w:val="24"/>
        </w:rPr>
        <w:t xml:space="preserve"> w okr</w:t>
      </w:r>
      <w:r w:rsidRPr="00A33B9F">
        <w:rPr>
          <w:rFonts w:ascii="Times New Roman" w:hAnsi="Times New Roman"/>
          <w:noProof/>
          <w:color w:val="000000" w:themeColor="text1"/>
          <w:sz w:val="24"/>
        </w:rPr>
        <w:t>eślonych warunkach</w:t>
      </w:r>
      <w:r w:rsidR="00A33B9F" w:rsidRPr="00A33B9F">
        <w:rPr>
          <w:rFonts w:ascii="Times New Roman" w:hAnsi="Times New Roman"/>
          <w:noProof/>
          <w:color w:val="000000" w:themeColor="text1"/>
          <w:sz w:val="24"/>
        </w:rPr>
        <w:t>. W zwi</w:t>
      </w:r>
      <w:r w:rsidRPr="00A33B9F">
        <w:rPr>
          <w:rFonts w:ascii="Times New Roman" w:hAnsi="Times New Roman"/>
          <w:noProof/>
          <w:color w:val="000000" w:themeColor="text1"/>
          <w:sz w:val="24"/>
        </w:rPr>
        <w:t>ązku</w:t>
      </w:r>
      <w:r w:rsidR="00A33B9F" w:rsidRPr="00A33B9F">
        <w:rPr>
          <w:rFonts w:ascii="Times New Roman" w:hAnsi="Times New Roman"/>
          <w:noProof/>
          <w:color w:val="000000" w:themeColor="text1"/>
          <w:sz w:val="24"/>
        </w:rPr>
        <w:t xml:space="preserve"> z tym</w:t>
      </w:r>
      <w:r w:rsidRPr="00A33B9F">
        <w:rPr>
          <w:rFonts w:ascii="Times New Roman" w:hAnsi="Times New Roman"/>
          <w:noProof/>
          <w:color w:val="000000" w:themeColor="text1"/>
          <w:sz w:val="24"/>
        </w:rPr>
        <w:t xml:space="preserve"> spodziewany jest wzrost popytu na białe certyfikaty, co przełoży się na zwiększenie poziomu obrotów na rynku</w:t>
      </w:r>
      <w:r w:rsidR="00A33B9F" w:rsidRPr="00A33B9F">
        <w:rPr>
          <w:rFonts w:ascii="Times New Roman" w:hAnsi="Times New Roman"/>
          <w:noProof/>
          <w:color w:val="000000" w:themeColor="text1"/>
          <w:sz w:val="24"/>
        </w:rPr>
        <w:t xml:space="preserve"> i poz</w:t>
      </w:r>
      <w:r w:rsidRPr="00A33B9F">
        <w:rPr>
          <w:rFonts w:ascii="Times New Roman" w:hAnsi="Times New Roman"/>
          <w:noProof/>
          <w:color w:val="000000" w:themeColor="text1"/>
          <w:sz w:val="24"/>
        </w:rPr>
        <w:t>woli zrealizować zwiększone cele</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 xml:space="preserve">resie efektywności energetycznej. </w:t>
      </w:r>
    </w:p>
    <w:p w14:paraId="16974F20" w14:textId="2577F483" w:rsidR="007C4506" w:rsidRPr="00A33B9F" w:rsidRDefault="00B31839">
      <w:pPr>
        <w:pStyle w:val="Normal0"/>
        <w:pBdr>
          <w:top w:val="nil"/>
          <w:left w:val="nil"/>
          <w:bottom w:val="nil"/>
          <w:right w:val="nil"/>
          <w:between w:val="nil"/>
        </w:pBdr>
        <w:spacing w:before="60"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30 czerwca 2022</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41508A3C" w14:textId="77777777" w:rsidR="007C4506" w:rsidRPr="00A33B9F" w:rsidRDefault="007C4506">
      <w:pPr>
        <w:pStyle w:val="Normal0"/>
        <w:pBdr>
          <w:top w:val="nil"/>
          <w:left w:val="nil"/>
          <w:bottom w:val="nil"/>
          <w:right w:val="nil"/>
          <w:between w:val="nil"/>
        </w:pBdr>
        <w:spacing w:before="120" w:after="120" w:line="240" w:lineRule="auto"/>
        <w:ind w:left="850"/>
        <w:jc w:val="both"/>
        <w:rPr>
          <w:rFonts w:ascii="Times New Roman" w:eastAsia="Times New Roman" w:hAnsi="Times New Roman" w:cs="Times New Roman"/>
          <w:noProof/>
          <w:color w:val="000000"/>
          <w:sz w:val="24"/>
          <w:szCs w:val="24"/>
          <w:u w:val="single"/>
        </w:rPr>
      </w:pPr>
    </w:p>
    <w:p w14:paraId="376E61A2" w14:textId="467E30F1"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B1.2.1 Efektywność energetyczna i OZE</w:t>
      </w:r>
      <w:r w:rsidR="00A33B9F" w:rsidRPr="00A33B9F">
        <w:rPr>
          <w:rFonts w:ascii="Times New Roman" w:hAnsi="Times New Roman"/>
          <w:b/>
          <w:noProof/>
          <w:color w:val="000000"/>
          <w:sz w:val="24"/>
          <w:u w:val="single"/>
        </w:rPr>
        <w:t xml:space="preserve"> w prz</w:t>
      </w:r>
      <w:r w:rsidRPr="00A33B9F">
        <w:rPr>
          <w:rFonts w:ascii="Times New Roman" w:hAnsi="Times New Roman"/>
          <w:b/>
          <w:noProof/>
          <w:color w:val="000000"/>
          <w:sz w:val="24"/>
          <w:u w:val="single"/>
        </w:rPr>
        <w:t>edsiębiorstwach – inwestycje</w:t>
      </w:r>
      <w:r w:rsidR="00A33B9F" w:rsidRPr="00A33B9F">
        <w:rPr>
          <w:rFonts w:ascii="Times New Roman" w:hAnsi="Times New Roman"/>
          <w:b/>
          <w:noProof/>
          <w:color w:val="000000"/>
          <w:sz w:val="24"/>
          <w:u w:val="single"/>
        </w:rPr>
        <w:t xml:space="preserve"> o naj</w:t>
      </w:r>
      <w:r w:rsidRPr="00A33B9F">
        <w:rPr>
          <w:rFonts w:ascii="Times New Roman" w:hAnsi="Times New Roman"/>
          <w:b/>
          <w:noProof/>
          <w:color w:val="000000"/>
          <w:sz w:val="24"/>
          <w:u w:val="single"/>
        </w:rPr>
        <w:t>większym potencjale redukcji gazów cieplarnianych</w:t>
      </w:r>
    </w:p>
    <w:p w14:paraId="2FB7BE45" w14:textId="0243E7F8" w:rsidR="007C4506" w:rsidRPr="00A33B9F" w:rsidRDefault="00B31839">
      <w:pPr>
        <w:pStyle w:val="Normal0"/>
        <w:pBdr>
          <w:top w:val="nil"/>
          <w:left w:val="nil"/>
          <w:bottom w:val="nil"/>
          <w:right w:val="nil"/>
          <w:between w:val="nil"/>
        </w:pBdr>
        <w:spacing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 xml:space="preserve">Celem inwestycji będzie ograniczenie końcowego zużycia energii oraz redukcja emisji gazów cieplarnianych wytwarzanych przez przedsiębiorstwa. </w:t>
      </w:r>
    </w:p>
    <w:p w14:paraId="35D9448D" w14:textId="1A84DF72" w:rsidR="00712D5D" w:rsidRPr="00A33B9F" w:rsidRDefault="54AAAC58" w:rsidP="28D0ECD1">
      <w:pPr>
        <w:pStyle w:val="Normal0"/>
        <w:pBdr>
          <w:top w:val="nil"/>
          <w:left w:val="nil"/>
          <w:bottom w:val="nil"/>
          <w:right w:val="nil"/>
          <w:between w:val="nil"/>
        </w:pBdr>
        <w:spacing w:after="120" w:line="240" w:lineRule="auto"/>
        <w:jc w:val="both"/>
        <w:rPr>
          <w:rFonts w:ascii="Times New Roman" w:eastAsia="Times New Roman" w:hAnsi="Times New Roman" w:cs="Times New Roman"/>
          <w:noProof/>
          <w:sz w:val="24"/>
          <w:szCs w:val="24"/>
        </w:rPr>
      </w:pPr>
      <w:r w:rsidRPr="00A33B9F">
        <w:rPr>
          <w:rFonts w:ascii="Times New Roman" w:hAnsi="Times New Roman"/>
          <w:noProof/>
          <w:color w:val="000000" w:themeColor="text1"/>
          <w:sz w:val="24"/>
        </w:rPr>
        <w:t>Wdrażanie zielonych rozwiązań</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edsiębiorstwach będzie koncentrowało się na usprawnianiu procesów przemysłowych</w:t>
      </w:r>
      <w:r w:rsidR="00A33B9F" w:rsidRPr="00A33B9F">
        <w:rPr>
          <w:rFonts w:ascii="Times New Roman" w:hAnsi="Times New Roman"/>
          <w:noProof/>
          <w:color w:val="000000" w:themeColor="text1"/>
          <w:sz w:val="24"/>
        </w:rPr>
        <w:t xml:space="preserve"> i ene</w:t>
      </w:r>
      <w:r w:rsidRPr="00A33B9F">
        <w:rPr>
          <w:rFonts w:ascii="Times New Roman" w:hAnsi="Times New Roman"/>
          <w:noProof/>
          <w:color w:val="000000" w:themeColor="text1"/>
          <w:sz w:val="24"/>
        </w:rPr>
        <w:t>rgetycznych</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poprawy efektywności energetycznej</w:t>
      </w:r>
      <w:r w:rsidR="00A33B9F" w:rsidRPr="00A33B9F">
        <w:rPr>
          <w:rFonts w:ascii="Times New Roman" w:hAnsi="Times New Roman"/>
          <w:noProof/>
          <w:color w:val="000000" w:themeColor="text1"/>
          <w:sz w:val="24"/>
        </w:rPr>
        <w:t xml:space="preserve"> i zmn</w:t>
      </w:r>
      <w:r w:rsidRPr="00A33B9F">
        <w:rPr>
          <w:rFonts w:ascii="Times New Roman" w:hAnsi="Times New Roman"/>
          <w:noProof/>
          <w:color w:val="000000" w:themeColor="text1"/>
          <w:sz w:val="24"/>
        </w:rPr>
        <w:t>iejszenia energochłonności, prowadzących do zmniejszenia –</w:t>
      </w:r>
      <w:r w:rsidR="00A33B9F" w:rsidRPr="00A33B9F">
        <w:rPr>
          <w:rFonts w:ascii="Times New Roman" w:hAnsi="Times New Roman"/>
          <w:noProof/>
          <w:color w:val="000000" w:themeColor="text1"/>
          <w:sz w:val="24"/>
        </w:rPr>
        <w:t xml:space="preserve"> i wię</w:t>
      </w:r>
      <w:r w:rsidRPr="00A33B9F">
        <w:rPr>
          <w:rFonts w:ascii="Times New Roman" w:hAnsi="Times New Roman"/>
          <w:noProof/>
          <w:color w:val="000000" w:themeColor="text1"/>
          <w:sz w:val="24"/>
        </w:rPr>
        <w:t>kszej racjonalizacji – zużycia energii wraz</w:t>
      </w:r>
      <w:r w:rsidR="00A33B9F" w:rsidRPr="00A33B9F">
        <w:rPr>
          <w:rFonts w:ascii="Times New Roman" w:hAnsi="Times New Roman"/>
          <w:noProof/>
          <w:color w:val="000000" w:themeColor="text1"/>
          <w:sz w:val="24"/>
        </w:rPr>
        <w:t xml:space="preserve"> z inw</w:t>
      </w:r>
      <w:r w:rsidRPr="00A33B9F">
        <w:rPr>
          <w:rFonts w:ascii="Times New Roman" w:hAnsi="Times New Roman"/>
          <w:noProof/>
          <w:color w:val="000000" w:themeColor="text1"/>
          <w:sz w:val="24"/>
        </w:rPr>
        <w:t>estycjami</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awialne</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koemisyjne źródła energii</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edsiębiorstwach</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inwestycji wspierane będą</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(i) budowa, rozbudowa lub modernizacja istniejących instalacji przemysłowo-produkcyjnych, urządzeń przemysłowych</w:t>
      </w:r>
      <w:r w:rsidR="00A33B9F" w:rsidRPr="00A33B9F">
        <w:rPr>
          <w:rFonts w:ascii="Times New Roman" w:hAnsi="Times New Roman"/>
          <w:noProof/>
          <w:color w:val="000000" w:themeColor="text1"/>
          <w:sz w:val="24"/>
        </w:rPr>
        <w:t xml:space="preserve"> i ins</w:t>
      </w:r>
      <w:r w:rsidRPr="00A33B9F">
        <w:rPr>
          <w:rFonts w:ascii="Times New Roman" w:hAnsi="Times New Roman"/>
          <w:noProof/>
          <w:color w:val="000000" w:themeColor="text1"/>
          <w:sz w:val="24"/>
        </w:rPr>
        <w:t>talacji elektroenergetycznych mających na celu poprawę ich efektywności energetycznej; (ii) budowa</w:t>
      </w:r>
      <w:r w:rsidR="00A33B9F" w:rsidRPr="00A33B9F">
        <w:rPr>
          <w:rFonts w:ascii="Times New Roman" w:hAnsi="Times New Roman"/>
          <w:noProof/>
          <w:color w:val="000000" w:themeColor="text1"/>
          <w:sz w:val="24"/>
        </w:rPr>
        <w:t xml:space="preserve"> i ins</w:t>
      </w:r>
      <w:r w:rsidRPr="00A33B9F">
        <w:rPr>
          <w:rFonts w:ascii="Times New Roman" w:hAnsi="Times New Roman"/>
          <w:noProof/>
          <w:color w:val="000000" w:themeColor="text1"/>
          <w:sz w:val="24"/>
        </w:rPr>
        <w:t>talacja własnych odnawialnych źródeł energii</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edsiębiorstwach,</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turbin wiatrowych, kolektorów słonecznych, paneli fotowoltaicznych, systemów geotermalnych, pomp ciepła; (iii) budowa magazynów energii</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edsiębiorstwach</w:t>
      </w:r>
      <w:r w:rsidR="00A33B9F" w:rsidRPr="00A33B9F">
        <w:rPr>
          <w:rFonts w:ascii="Times New Roman" w:hAnsi="Times New Roman"/>
          <w:noProof/>
          <w:color w:val="000000" w:themeColor="text1"/>
          <w:sz w:val="24"/>
        </w:rPr>
        <w:t xml:space="preserve"> w zwi</w:t>
      </w:r>
      <w:r w:rsidRPr="00A33B9F">
        <w:rPr>
          <w:rFonts w:ascii="Times New Roman" w:hAnsi="Times New Roman"/>
          <w:noProof/>
          <w:color w:val="000000" w:themeColor="text1"/>
          <w:sz w:val="24"/>
        </w:rPr>
        <w:t>ązku</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warzaniem energii ze źródeł odnawialnych; (iv) budowa/modernizacja własnych (wewnętrznych) niskoemisyjnych źródeł energii,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kogeneracji; (v) zwiększanie udziału niskoemisyjnych lub zeroemisyjnych paliw</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cesach wytwarzania,</w:t>
      </w:r>
      <w:r w:rsidR="00A33B9F" w:rsidRPr="00A33B9F">
        <w:rPr>
          <w:rFonts w:ascii="Times New Roman" w:hAnsi="Times New Roman"/>
          <w:noProof/>
          <w:color w:val="000000" w:themeColor="text1"/>
          <w:sz w:val="24"/>
        </w:rPr>
        <w:t xml:space="preserve"> z zac</w:t>
      </w:r>
      <w:r w:rsidRPr="00A33B9F">
        <w:rPr>
          <w:rFonts w:ascii="Times New Roman" w:hAnsi="Times New Roman"/>
          <w:noProof/>
          <w:color w:val="000000" w:themeColor="text1"/>
          <w:sz w:val="24"/>
        </w:rPr>
        <w:t>howaniem najwyższych standardów emisyjnych; (vi) zastępowanie niskoefektywnych energetycznie źródeł ciepła wykorzystujących paliwa (stałe, ciekłe, gazowe) lub energię elektryczną źródłami charakteryzującymi się wyższą efektywnością energetyczną; (vii) termomodernizacja budynków</w:t>
      </w:r>
      <w:r w:rsidR="00A33B9F" w:rsidRPr="00A33B9F">
        <w:rPr>
          <w:rFonts w:ascii="Times New Roman" w:hAnsi="Times New Roman"/>
          <w:noProof/>
          <w:color w:val="000000" w:themeColor="text1"/>
          <w:sz w:val="24"/>
        </w:rPr>
        <w:t xml:space="preserve"> i obi</w:t>
      </w:r>
      <w:r w:rsidRPr="00A33B9F">
        <w:rPr>
          <w:rFonts w:ascii="Times New Roman" w:hAnsi="Times New Roman"/>
          <w:noProof/>
          <w:color w:val="000000" w:themeColor="text1"/>
          <w:sz w:val="24"/>
        </w:rPr>
        <w:t>ektów wykorzystywanych</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cesach przemysłowych; Projekty wybierane będą</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w:t>
      </w:r>
      <w:r w:rsidRPr="00A33B9F">
        <w:rPr>
          <w:rFonts w:ascii="Times New Roman" w:hAnsi="Times New Roman"/>
          <w:noProof/>
          <w:sz w:val="24"/>
        </w:rPr>
        <w:t xml:space="preserve"> konkursu otwartego</w:t>
      </w:r>
      <w:r w:rsidR="00A33B9F" w:rsidRPr="00A33B9F">
        <w:rPr>
          <w:rFonts w:ascii="Times New Roman" w:hAnsi="Times New Roman"/>
          <w:noProof/>
          <w:sz w:val="24"/>
        </w:rPr>
        <w:t xml:space="preserve"> z uwz</w:t>
      </w:r>
      <w:r w:rsidRPr="00A33B9F">
        <w:rPr>
          <w:rFonts w:ascii="Times New Roman" w:hAnsi="Times New Roman"/>
          <w:noProof/>
          <w:sz w:val="24"/>
        </w:rPr>
        <w:t>ględnieniem następujących kryteriów: (i) gotowość – stopień przygotowania projektu do realizacji; (ii) spójność</w:t>
      </w:r>
      <w:r w:rsidR="00A33B9F" w:rsidRPr="00A33B9F">
        <w:rPr>
          <w:rFonts w:ascii="Times New Roman" w:hAnsi="Times New Roman"/>
          <w:noProof/>
          <w:sz w:val="24"/>
        </w:rPr>
        <w:t xml:space="preserve"> z ist</w:t>
      </w:r>
      <w:r w:rsidRPr="00A33B9F">
        <w:rPr>
          <w:rFonts w:ascii="Times New Roman" w:hAnsi="Times New Roman"/>
          <w:noProof/>
          <w:sz w:val="24"/>
        </w:rPr>
        <w:t>niejącymi planami neutralności klimatycznej; (iii) stopień ograniczenia emisji CO</w:t>
      </w:r>
      <w:r w:rsidRPr="00A33B9F">
        <w:rPr>
          <w:rFonts w:ascii="Times New Roman" w:hAnsi="Times New Roman"/>
          <w:noProof/>
          <w:sz w:val="24"/>
          <w:vertAlign w:val="subscript"/>
        </w:rPr>
        <w:t>2</w:t>
      </w:r>
      <w:r w:rsidR="00A33B9F" w:rsidRPr="00A33B9F">
        <w:rPr>
          <w:rFonts w:ascii="Times New Roman" w:hAnsi="Times New Roman"/>
          <w:noProof/>
          <w:sz w:val="24"/>
        </w:rPr>
        <w:t xml:space="preserve"> i pył</w:t>
      </w:r>
      <w:r w:rsidRPr="00A33B9F">
        <w:rPr>
          <w:rFonts w:ascii="Times New Roman" w:hAnsi="Times New Roman"/>
          <w:noProof/>
          <w:sz w:val="24"/>
        </w:rPr>
        <w:t xml:space="preserve">ów PM 2,5 i PM 10; (iv) stopień ograniczenia zużycia energii pierwotnej. </w:t>
      </w:r>
    </w:p>
    <w:p w14:paraId="72F49B4D" w14:textId="45BEEFB4" w:rsidR="00712D5D" w:rsidRPr="00A33B9F" w:rsidRDefault="5C9F3E10" w:rsidP="00712D5D">
      <w:pPr>
        <w:pStyle w:val="Normal0"/>
        <w:pBdr>
          <w:top w:val="nil"/>
          <w:left w:val="nil"/>
          <w:bottom w:val="nil"/>
          <w:right w:val="nil"/>
          <w:between w:val="nil"/>
        </w:pBdr>
        <w:spacing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Aby zapewnić zgodność środka</w:t>
      </w:r>
      <w:r w:rsidR="00A33B9F" w:rsidRPr="00A33B9F">
        <w:rPr>
          <w:rFonts w:ascii="Times New Roman" w:hAnsi="Times New Roman"/>
          <w:noProof/>
          <w:sz w:val="24"/>
        </w:rPr>
        <w:t xml:space="preserve"> z wyt</w:t>
      </w:r>
      <w:r w:rsidRPr="00A33B9F">
        <w:rPr>
          <w:rFonts w:ascii="Times New Roman" w:hAnsi="Times New Roman"/>
          <w:noProof/>
          <w:sz w:val="24"/>
        </w:rPr>
        <w:t>ycznymi technicznymi dotyczącymi stosowania zasady „nie czyń poważnych szkód” (2021/C 58/01), kryteria kwalifikowalności zawarte</w:t>
      </w:r>
      <w:r w:rsidR="00A33B9F" w:rsidRPr="00A33B9F">
        <w:rPr>
          <w:rFonts w:ascii="Times New Roman" w:hAnsi="Times New Roman"/>
          <w:noProof/>
          <w:sz w:val="24"/>
        </w:rPr>
        <w:t xml:space="preserve"> w zak</w:t>
      </w:r>
      <w:r w:rsidRPr="00A33B9F">
        <w:rPr>
          <w:rFonts w:ascii="Times New Roman" w:hAnsi="Times New Roman"/>
          <w:noProof/>
          <w:sz w:val="24"/>
        </w:rPr>
        <w:t>resie wymagań</w:t>
      </w:r>
      <w:r w:rsidR="00A33B9F" w:rsidRPr="00A33B9F">
        <w:rPr>
          <w:rFonts w:ascii="Times New Roman" w:hAnsi="Times New Roman"/>
          <w:noProof/>
          <w:sz w:val="24"/>
        </w:rPr>
        <w:t xml:space="preserve"> i obo</w:t>
      </w:r>
      <w:r w:rsidRPr="00A33B9F">
        <w:rPr>
          <w:rFonts w:ascii="Times New Roman" w:hAnsi="Times New Roman"/>
          <w:noProof/>
          <w:sz w:val="24"/>
        </w:rPr>
        <w:t>wiązków</w:t>
      </w:r>
      <w:r w:rsidR="00A33B9F" w:rsidRPr="00A33B9F">
        <w:rPr>
          <w:rFonts w:ascii="Times New Roman" w:hAnsi="Times New Roman"/>
          <w:noProof/>
          <w:sz w:val="24"/>
        </w:rPr>
        <w:t xml:space="preserve"> w odn</w:t>
      </w:r>
      <w:r w:rsidRPr="00A33B9F">
        <w:rPr>
          <w:rFonts w:ascii="Times New Roman" w:hAnsi="Times New Roman"/>
          <w:noProof/>
          <w:sz w:val="24"/>
        </w:rPr>
        <w:t>iesieniu do przyszłych zaproszeń do składania projektów wykluczają następujący wykaz działań: (i) działania związane</w:t>
      </w:r>
      <w:r w:rsidR="00A33B9F" w:rsidRPr="00A33B9F">
        <w:rPr>
          <w:rFonts w:ascii="Times New Roman" w:hAnsi="Times New Roman"/>
          <w:noProof/>
          <w:sz w:val="24"/>
        </w:rPr>
        <w:t xml:space="preserve"> z pal</w:t>
      </w:r>
      <w:r w:rsidRPr="00A33B9F">
        <w:rPr>
          <w:rFonts w:ascii="Times New Roman" w:hAnsi="Times New Roman"/>
          <w:noProof/>
          <w:sz w:val="24"/>
        </w:rPr>
        <w:t>iwami kopalnymi,</w:t>
      </w:r>
      <w:r w:rsidR="00A33B9F" w:rsidRPr="00A33B9F">
        <w:rPr>
          <w:rFonts w:ascii="Times New Roman" w:hAnsi="Times New Roman"/>
          <w:noProof/>
          <w:sz w:val="24"/>
        </w:rPr>
        <w:t xml:space="preserve"> w tym</w:t>
      </w:r>
      <w:r w:rsidRPr="00A33B9F">
        <w:rPr>
          <w:rFonts w:ascii="Times New Roman" w:hAnsi="Times New Roman"/>
          <w:noProof/>
          <w:sz w:val="24"/>
        </w:rPr>
        <w:t xml:space="preserve"> zastosowania niższego szczebla</w:t>
      </w:r>
      <w:r w:rsidRPr="00A33B9F">
        <w:rPr>
          <w:rStyle w:val="FootnoteReference"/>
          <w:rFonts w:ascii="Times New Roman" w:eastAsia="Times New Roman" w:hAnsi="Times New Roman" w:cs="Times New Roman"/>
          <w:noProof/>
          <w:sz w:val="24"/>
          <w:szCs w:val="24"/>
        </w:rPr>
        <w:footnoteReference w:id="16"/>
      </w:r>
      <w:r w:rsidRPr="00A33B9F">
        <w:rPr>
          <w:rFonts w:ascii="Times New Roman" w:hAnsi="Times New Roman"/>
          <w:noProof/>
          <w:sz w:val="24"/>
        </w:rPr>
        <w:t>; (ii) działania</w:t>
      </w:r>
      <w:r w:rsidR="00A33B9F" w:rsidRPr="00A33B9F">
        <w:rPr>
          <w:rFonts w:ascii="Times New Roman" w:hAnsi="Times New Roman"/>
          <w:noProof/>
          <w:sz w:val="24"/>
        </w:rPr>
        <w:t xml:space="preserve"> w ram</w:t>
      </w:r>
      <w:r w:rsidRPr="00A33B9F">
        <w:rPr>
          <w:rFonts w:ascii="Times New Roman" w:hAnsi="Times New Roman"/>
          <w:noProof/>
          <w:sz w:val="24"/>
        </w:rPr>
        <w:t>ach unijnego systemu handlu uprawnieniami do emisji (ETS) prowadzące do osiągnięcia prognozowanych emisji gazów cieplarnianych nie niższych niż odpowiednie wskaźniki emisyjności</w:t>
      </w:r>
      <w:r w:rsidRPr="00A33B9F">
        <w:rPr>
          <w:rStyle w:val="FootnoteReference"/>
          <w:rFonts w:ascii="Times New Roman" w:eastAsia="Times New Roman" w:hAnsi="Times New Roman" w:cs="Times New Roman"/>
          <w:noProof/>
          <w:sz w:val="24"/>
          <w:szCs w:val="24"/>
        </w:rPr>
        <w:footnoteReference w:id="17"/>
      </w:r>
      <w:r w:rsidRPr="00A33B9F">
        <w:rPr>
          <w:rFonts w:ascii="Times New Roman" w:hAnsi="Times New Roman"/>
          <w:noProof/>
          <w:sz w:val="24"/>
        </w:rPr>
        <w:t>; (iii) działalność związana ze składowiskami odpadów, spalarniami</w:t>
      </w:r>
      <w:r w:rsidRPr="00A33B9F">
        <w:rPr>
          <w:rStyle w:val="FootnoteReference"/>
          <w:rFonts w:ascii="Times New Roman" w:eastAsia="Times New Roman" w:hAnsi="Times New Roman" w:cs="Times New Roman"/>
          <w:noProof/>
          <w:sz w:val="24"/>
          <w:szCs w:val="24"/>
        </w:rPr>
        <w:footnoteReference w:id="18"/>
      </w:r>
      <w:r w:rsidR="00A33B9F" w:rsidRPr="00A33B9F">
        <w:rPr>
          <w:rFonts w:ascii="Times New Roman" w:hAnsi="Times New Roman"/>
          <w:noProof/>
          <w:sz w:val="24"/>
        </w:rPr>
        <w:t xml:space="preserve"> i zak</w:t>
      </w:r>
      <w:r w:rsidRPr="00A33B9F">
        <w:rPr>
          <w:rFonts w:ascii="Times New Roman" w:hAnsi="Times New Roman"/>
          <w:noProof/>
          <w:sz w:val="24"/>
        </w:rPr>
        <w:t>ładami mechaniczno-biologicznego przetwarzania odpadów</w:t>
      </w:r>
      <w:r w:rsidRPr="00A33B9F">
        <w:rPr>
          <w:rStyle w:val="FootnoteReference"/>
          <w:rFonts w:ascii="Times New Roman" w:eastAsia="Times New Roman" w:hAnsi="Times New Roman" w:cs="Times New Roman"/>
          <w:noProof/>
          <w:sz w:val="24"/>
          <w:szCs w:val="24"/>
        </w:rPr>
        <w:footnoteReference w:id="19"/>
      </w:r>
      <w:r w:rsidRPr="00A33B9F">
        <w:rPr>
          <w:rFonts w:ascii="Times New Roman" w:hAnsi="Times New Roman"/>
          <w:noProof/>
          <w:sz w:val="24"/>
        </w:rPr>
        <w:t xml:space="preserve"> oraz (iv) działania,</w:t>
      </w:r>
      <w:r w:rsidR="00A33B9F" w:rsidRPr="00A33B9F">
        <w:rPr>
          <w:rFonts w:ascii="Times New Roman" w:hAnsi="Times New Roman"/>
          <w:noProof/>
          <w:sz w:val="24"/>
        </w:rPr>
        <w:t xml:space="preserve"> w prz</w:t>
      </w:r>
      <w:r w:rsidRPr="00A33B9F">
        <w:rPr>
          <w:rFonts w:ascii="Times New Roman" w:hAnsi="Times New Roman"/>
          <w:noProof/>
          <w:sz w:val="24"/>
        </w:rPr>
        <w:t>ypadku których długoterminowe unieszkodliwianie odpadów może szkodzić środowisku naturalnemu</w:t>
      </w:r>
      <w:r w:rsidR="00A33B9F" w:rsidRPr="00A33B9F">
        <w:rPr>
          <w:rFonts w:ascii="Times New Roman" w:hAnsi="Times New Roman"/>
          <w:noProof/>
          <w:sz w:val="24"/>
        </w:rPr>
        <w:t>. W zak</w:t>
      </w:r>
      <w:r w:rsidRPr="00A33B9F">
        <w:rPr>
          <w:rFonts w:ascii="Times New Roman" w:hAnsi="Times New Roman"/>
          <w:noProof/>
          <w:sz w:val="24"/>
        </w:rPr>
        <w:t>resie zadań znajduje się dodatkowy wymóg, aby wybierane były tylko te działania, które są zgodne</w:t>
      </w:r>
      <w:r w:rsidR="00A33B9F" w:rsidRPr="00A33B9F">
        <w:rPr>
          <w:rFonts w:ascii="Times New Roman" w:hAnsi="Times New Roman"/>
          <w:noProof/>
          <w:sz w:val="24"/>
        </w:rPr>
        <w:t xml:space="preserve"> z odp</w:t>
      </w:r>
      <w:r w:rsidRPr="00A33B9F">
        <w:rPr>
          <w:rFonts w:ascii="Times New Roman" w:hAnsi="Times New Roman"/>
          <w:noProof/>
          <w:sz w:val="24"/>
        </w:rPr>
        <w:t>owiednimi unijnymi</w:t>
      </w:r>
      <w:r w:rsidR="00A33B9F" w:rsidRPr="00A33B9F">
        <w:rPr>
          <w:rFonts w:ascii="Times New Roman" w:hAnsi="Times New Roman"/>
          <w:noProof/>
          <w:sz w:val="24"/>
        </w:rPr>
        <w:t xml:space="preserve"> i kra</w:t>
      </w:r>
      <w:r w:rsidRPr="00A33B9F">
        <w:rPr>
          <w:rFonts w:ascii="Times New Roman" w:hAnsi="Times New Roman"/>
          <w:noProof/>
          <w:sz w:val="24"/>
        </w:rPr>
        <w:t>jowymi przepisami dotyczącymi ochrony środowiska.</w:t>
      </w:r>
    </w:p>
    <w:p w14:paraId="2EE30DC5" w14:textId="4DD50F44" w:rsidR="007C4506" w:rsidRPr="00A33B9F" w:rsidRDefault="41FACF9E" w:rsidP="00B5107C">
      <w:pPr>
        <w:pBdr>
          <w:top w:val="nil"/>
          <w:left w:val="nil"/>
          <w:bottom w:val="nil"/>
          <w:right w:val="nil"/>
          <w:between w:val="nil"/>
        </w:pBdr>
        <w:spacing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31 grudnia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43D6B1D6"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p>
    <w:p w14:paraId="1E600DCF" w14:textId="2DC93DBD"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B2.3 Wsparcie inwestycji</w:t>
      </w:r>
      <w:r w:rsidR="00A33B9F" w:rsidRPr="00A33B9F">
        <w:rPr>
          <w:rFonts w:ascii="Times New Roman" w:hAnsi="Times New Roman"/>
          <w:b/>
          <w:noProof/>
          <w:color w:val="000000" w:themeColor="text1"/>
          <w:sz w:val="24"/>
          <w:u w:val="single"/>
        </w:rPr>
        <w:t xml:space="preserve"> w obs</w:t>
      </w:r>
      <w:r w:rsidRPr="00A33B9F">
        <w:rPr>
          <w:rFonts w:ascii="Times New Roman" w:hAnsi="Times New Roman"/>
          <w:b/>
          <w:noProof/>
          <w:color w:val="000000" w:themeColor="text1"/>
          <w:sz w:val="24"/>
          <w:u w:val="single"/>
        </w:rPr>
        <w:t>zarze morskich farm wiatrowych</w:t>
      </w:r>
    </w:p>
    <w:p w14:paraId="438D33CA" w14:textId="2DD76593"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zapewnienie skutecznej realizacji</w:t>
      </w:r>
      <w:r w:rsidR="00A33B9F" w:rsidRPr="00A33B9F">
        <w:rPr>
          <w:rFonts w:ascii="Times New Roman" w:hAnsi="Times New Roman"/>
          <w:noProof/>
          <w:color w:val="000000" w:themeColor="text1"/>
          <w:sz w:val="24"/>
        </w:rPr>
        <w:t xml:space="preserve"> i dal</w:t>
      </w:r>
      <w:r w:rsidRPr="00A33B9F">
        <w:rPr>
          <w:rFonts w:ascii="Times New Roman" w:hAnsi="Times New Roman"/>
          <w:noProof/>
          <w:color w:val="000000" w:themeColor="text1"/>
          <w:sz w:val="24"/>
        </w:rPr>
        <w:t>szego rozwoju morskiej energii wiatrowej.</w:t>
      </w:r>
    </w:p>
    <w:p w14:paraId="618D947F" w14:textId="31173A8F" w:rsidR="110E162E" w:rsidRPr="00A33B9F" w:rsidRDefault="67360AFE" w:rsidP="7EFEC9F5">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Reforma będzie polegać na wprowadzeniu szczegółowych wymogów</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komponentów mocy wyjściowej elektrowni</w:t>
      </w:r>
      <w:r w:rsidR="00A33B9F" w:rsidRPr="00A33B9F">
        <w:rPr>
          <w:rFonts w:ascii="Times New Roman" w:hAnsi="Times New Roman"/>
          <w:noProof/>
          <w:color w:val="000000" w:themeColor="text1"/>
          <w:sz w:val="24"/>
        </w:rPr>
        <w:t xml:space="preserve"> i kom</w:t>
      </w:r>
      <w:r w:rsidRPr="00A33B9F">
        <w:rPr>
          <w:rFonts w:ascii="Times New Roman" w:hAnsi="Times New Roman"/>
          <w:noProof/>
          <w:color w:val="000000" w:themeColor="text1"/>
          <w:sz w:val="24"/>
        </w:rPr>
        <w:t>ponentów elektrowni morskiej,</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wymogów konstrukcyjnych dla komponentów elektrowni morskiej, jednocześnie uwzględniając bezpieczeństwo</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zawodność morskiej mocy wyjściowej</w:t>
      </w:r>
      <w:r w:rsidR="00A33B9F" w:rsidRPr="00A33B9F">
        <w:rPr>
          <w:rFonts w:ascii="Times New Roman" w:hAnsi="Times New Roman"/>
          <w:noProof/>
          <w:color w:val="000000" w:themeColor="text1"/>
          <w:sz w:val="24"/>
        </w:rPr>
        <w:t xml:space="preserve"> i mon</w:t>
      </w:r>
      <w:r w:rsidRPr="00A33B9F">
        <w:rPr>
          <w:rFonts w:ascii="Times New Roman" w:hAnsi="Times New Roman"/>
          <w:noProof/>
          <w:color w:val="000000" w:themeColor="text1"/>
          <w:sz w:val="24"/>
        </w:rPr>
        <w:t>tażu elektrowni. Wejdzie</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rozporządzenie określające (wyrażoną</w:t>
      </w:r>
      <w:r w:rsidR="00A33B9F" w:rsidRPr="00A33B9F">
        <w:rPr>
          <w:rFonts w:ascii="Times New Roman" w:hAnsi="Times New Roman"/>
          <w:noProof/>
          <w:color w:val="000000" w:themeColor="text1"/>
          <w:sz w:val="24"/>
        </w:rPr>
        <w:t xml:space="preserve"> w zło</w:t>
      </w:r>
      <w:r w:rsidRPr="00A33B9F">
        <w:rPr>
          <w:rFonts w:ascii="Times New Roman" w:hAnsi="Times New Roman"/>
          <w:noProof/>
          <w:color w:val="000000" w:themeColor="text1"/>
          <w:sz w:val="24"/>
        </w:rPr>
        <w:t>tych) cenę maksymalną za</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1 MWh, jaka może być wskazana</w:t>
      </w:r>
      <w:r w:rsidR="00A33B9F" w:rsidRPr="00A33B9F">
        <w:rPr>
          <w:rFonts w:ascii="Times New Roman" w:hAnsi="Times New Roman"/>
          <w:noProof/>
          <w:color w:val="000000" w:themeColor="text1"/>
          <w:sz w:val="24"/>
        </w:rPr>
        <w:t xml:space="preserve"> w ofe</w:t>
      </w:r>
      <w:r w:rsidRPr="00A33B9F">
        <w:rPr>
          <w:rFonts w:ascii="Times New Roman" w:hAnsi="Times New Roman"/>
          <w:noProof/>
          <w:color w:val="000000" w:themeColor="text1"/>
          <w:sz w:val="24"/>
        </w:rPr>
        <w:t>rtach złożonych</w:t>
      </w:r>
      <w:r w:rsidR="00A33B9F" w:rsidRPr="00A33B9F">
        <w:rPr>
          <w:rFonts w:ascii="Times New Roman" w:hAnsi="Times New Roman"/>
          <w:noProof/>
          <w:color w:val="000000" w:themeColor="text1"/>
          <w:sz w:val="24"/>
        </w:rPr>
        <w:t xml:space="preserve"> w auk</w:t>
      </w:r>
      <w:r w:rsidRPr="00A33B9F">
        <w:rPr>
          <w:rFonts w:ascii="Times New Roman" w:hAnsi="Times New Roman"/>
          <w:noProof/>
          <w:color w:val="000000" w:themeColor="text1"/>
          <w:sz w:val="24"/>
        </w:rPr>
        <w:t>cji przez wytwórców. Realizacja reformy zostanie zakończona do dnia 30 czerwca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0DC1472A" w14:textId="3CF278D4" w:rsidR="007C4506" w:rsidRPr="00A33B9F" w:rsidRDefault="42DB487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również zmniejszenie wpływu ograniczeń alokacji na wyniki rynku energii elektrycznej. Reforma będzie polegała na realizacji przez operatora systemu przesyłowego jawnego zamówienia mocy bilansującej (rezerw) przed jednolitym łączeniem rynków dnia następnego, zgodnie</w:t>
      </w:r>
      <w:r w:rsidR="00A33B9F" w:rsidRPr="00A33B9F">
        <w:rPr>
          <w:rFonts w:ascii="Times New Roman" w:hAnsi="Times New Roman"/>
          <w:noProof/>
          <w:color w:val="000000" w:themeColor="text1"/>
          <w:sz w:val="24"/>
        </w:rPr>
        <w:t xml:space="preserve"> z zal</w:t>
      </w:r>
      <w:r w:rsidRPr="00A33B9F">
        <w:rPr>
          <w:rFonts w:ascii="Times New Roman" w:hAnsi="Times New Roman"/>
          <w:noProof/>
          <w:color w:val="000000" w:themeColor="text1"/>
          <w:sz w:val="24"/>
        </w:rPr>
        <w:t>eceniem Agencji Unii Europejskiej ds. Współpracy Organów Regulacji Energetyki,</w:t>
      </w:r>
      <w:r w:rsidR="00A33B9F" w:rsidRPr="00A33B9F">
        <w:rPr>
          <w:rFonts w:ascii="Times New Roman" w:hAnsi="Times New Roman"/>
          <w:noProof/>
          <w:color w:val="000000" w:themeColor="text1"/>
          <w:sz w:val="24"/>
        </w:rPr>
        <w:t xml:space="preserve"> w któ</w:t>
      </w:r>
      <w:r w:rsidRPr="00A33B9F">
        <w:rPr>
          <w:rFonts w:ascii="Times New Roman" w:hAnsi="Times New Roman"/>
          <w:noProof/>
          <w:color w:val="000000" w:themeColor="text1"/>
          <w:sz w:val="24"/>
        </w:rPr>
        <w:t>rym zaproponowano zmniejszenie poziomu stosowanych ograniczeń alokacji. Realizacja reformy zostanie zakończona do dnia 31 grudnia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2D7DF40A" w14:textId="6C4026F9"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Reformie towarzyszyć będą aukcje na wytwarzanie energii elektrycznej</w:t>
      </w:r>
      <w:r w:rsidR="00A33B9F" w:rsidRPr="00A33B9F">
        <w:rPr>
          <w:rFonts w:ascii="Times New Roman" w:hAnsi="Times New Roman"/>
          <w:noProof/>
          <w:color w:val="000000" w:themeColor="text1"/>
          <w:sz w:val="24"/>
        </w:rPr>
        <w:t xml:space="preserve"> z mor</w:t>
      </w:r>
      <w:r w:rsidRPr="00A33B9F">
        <w:rPr>
          <w:rFonts w:ascii="Times New Roman" w:hAnsi="Times New Roman"/>
          <w:noProof/>
          <w:color w:val="000000" w:themeColor="text1"/>
          <w:sz w:val="24"/>
        </w:rPr>
        <w:t>skich farm wiatrowych. Aukcje zostaną zorganizowane do dnia 31 grudnia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17DBC151"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54877A71" w14:textId="77777777"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B2.4 Ramy prawne dla rozwoju magazynów energii</w:t>
      </w:r>
    </w:p>
    <w:p w14:paraId="7CEC3160" w14:textId="23624736"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usunięcie istniejących barier prawnych</w:t>
      </w:r>
      <w:r w:rsidR="00A33B9F" w:rsidRPr="00A33B9F">
        <w:rPr>
          <w:rFonts w:ascii="Times New Roman" w:hAnsi="Times New Roman"/>
          <w:noProof/>
          <w:color w:val="000000" w:themeColor="text1"/>
          <w:sz w:val="24"/>
        </w:rPr>
        <w:t xml:space="preserve"> i umo</w:t>
      </w:r>
      <w:r w:rsidRPr="00A33B9F">
        <w:rPr>
          <w:rFonts w:ascii="Times New Roman" w:hAnsi="Times New Roman"/>
          <w:noProof/>
          <w:color w:val="000000" w:themeColor="text1"/>
          <w:sz w:val="24"/>
        </w:rPr>
        <w:t>żliwienie</w:t>
      </w:r>
      <w:r w:rsidR="00C3621A" w:rsidRPr="00A33B9F">
        <w:rPr>
          <w:rFonts w:ascii="Times New Roman" w:hAnsi="Times New Roman"/>
          <w:noProof/>
          <w:color w:val="000000" w:themeColor="text1"/>
          <w:sz w:val="24"/>
        </w:rPr>
        <w:t xml:space="preserve"> </w:t>
      </w:r>
      <w:r w:rsidRPr="00A33B9F">
        <w:rPr>
          <w:rFonts w:ascii="Times New Roman" w:hAnsi="Times New Roman"/>
          <w:noProof/>
          <w:color w:val="000000" w:themeColor="text1"/>
          <w:sz w:val="24"/>
        </w:rPr>
        <w:t>rozwoju technologii magazynowania oraz stworzenia stabilnego otoczenia prawnego dla prowadzenia działalności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 xml:space="preserve">resie magazynowania. </w:t>
      </w:r>
    </w:p>
    <w:p w14:paraId="7252320F" w14:textId="7F90A600"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ramach reformy przewiduje się między innymi zwolnienie magazynów energii elektrycznej</w:t>
      </w:r>
      <w:r w:rsidR="00A33B9F" w:rsidRPr="00A33B9F">
        <w:rPr>
          <w:rFonts w:ascii="Times New Roman" w:hAnsi="Times New Roman"/>
          <w:noProof/>
          <w:color w:val="000000" w:themeColor="text1"/>
          <w:sz w:val="24"/>
        </w:rPr>
        <w:t xml:space="preserve"> z zob</w:t>
      </w:r>
      <w:r w:rsidRPr="00A33B9F">
        <w:rPr>
          <w:rFonts w:ascii="Times New Roman" w:hAnsi="Times New Roman"/>
          <w:noProof/>
          <w:color w:val="000000" w:themeColor="text1"/>
          <w:sz w:val="24"/>
        </w:rPr>
        <w:t>owiązania taryfowego oraz zniesienie podwójnego naliczania opłat sieciowych. Obowiązek uzyskania koncesji/wpisu do rejestru będzie uzależniony od łącznej mocy zainstalowanej magazynu energii elektrycznej, bez względu na jego pojemność. Proponowane ramy taryfowe dla magazynowania powinny być niedyskryminacyjne</w:t>
      </w:r>
      <w:r w:rsidR="00A33B9F" w:rsidRPr="00A33B9F">
        <w:rPr>
          <w:rFonts w:ascii="Times New Roman" w:hAnsi="Times New Roman"/>
          <w:noProof/>
          <w:color w:val="000000" w:themeColor="text1"/>
          <w:sz w:val="24"/>
        </w:rPr>
        <w:t xml:space="preserve"> i odz</w:t>
      </w:r>
      <w:r w:rsidRPr="00A33B9F">
        <w:rPr>
          <w:rFonts w:ascii="Times New Roman" w:hAnsi="Times New Roman"/>
          <w:noProof/>
          <w:color w:val="000000" w:themeColor="text1"/>
          <w:sz w:val="24"/>
        </w:rPr>
        <w:t>wierciedlać koszty.</w:t>
      </w:r>
    </w:p>
    <w:p w14:paraId="0F9F6FCC" w14:textId="7CA2B12A" w:rsidR="00212550" w:rsidRPr="00A33B9F" w:rsidRDefault="00B31839" w:rsidP="00B5107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działania miała zostać zakończona do</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30 czerwca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00D94BE" w14:textId="61A6C17B"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B3.2 Wsparcie renaturalizacji</w:t>
      </w:r>
      <w:r w:rsidR="00A33B9F" w:rsidRPr="00A33B9F">
        <w:rPr>
          <w:rFonts w:ascii="Times New Roman" w:hAnsi="Times New Roman"/>
          <w:b/>
          <w:noProof/>
          <w:color w:val="000000"/>
          <w:sz w:val="24"/>
          <w:u w:val="single"/>
        </w:rPr>
        <w:t xml:space="preserve"> i zab</w:t>
      </w:r>
      <w:r w:rsidRPr="00A33B9F">
        <w:rPr>
          <w:rFonts w:ascii="Times New Roman" w:hAnsi="Times New Roman"/>
          <w:b/>
          <w:noProof/>
          <w:color w:val="000000"/>
          <w:sz w:val="24"/>
          <w:u w:val="single"/>
        </w:rPr>
        <w:t>ezpieczenia przed substancjami niebezpiecznymi</w:t>
      </w:r>
    </w:p>
    <w:p w14:paraId="02249594"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ograniczenie negatywnego wpływu na środowisko wielkoobszarowych terenów zdegradowanych oraz umożliwienie skoordynowanej neutralizacji zagrożeń występujących na polskich obszarach morskich.</w:t>
      </w:r>
    </w:p>
    <w:p w14:paraId="27FD176F" w14:textId="0CF27404"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Reforma obejmuje usunięcie barier organizacyjnych</w:t>
      </w:r>
      <w:r w:rsidR="00A33B9F" w:rsidRPr="00A33B9F">
        <w:rPr>
          <w:rFonts w:ascii="Times New Roman" w:hAnsi="Times New Roman"/>
          <w:noProof/>
          <w:color w:val="000000" w:themeColor="text1"/>
          <w:sz w:val="24"/>
        </w:rPr>
        <w:t xml:space="preserve"> i pra</w:t>
      </w:r>
      <w:r w:rsidRPr="00A33B9F">
        <w:rPr>
          <w:rFonts w:ascii="Times New Roman" w:hAnsi="Times New Roman"/>
          <w:noProof/>
          <w:color w:val="000000" w:themeColor="text1"/>
          <w:sz w:val="24"/>
        </w:rPr>
        <w:t>wnych stojących na drodze do kompleksowej eliminacji negatywnego wpływu na środowisko wielkoobszarowych terenów poprzemysłowych. Będzie ona się ukierunkowana na cztery niezależne komponenty terenowe (różne lokalizacje</w:t>
      </w:r>
      <w:r w:rsidR="00A33B9F" w:rsidRPr="00A33B9F">
        <w:rPr>
          <w:rFonts w:ascii="Times New Roman" w:hAnsi="Times New Roman"/>
          <w:noProof/>
          <w:color w:val="000000" w:themeColor="text1"/>
          <w:sz w:val="24"/>
        </w:rPr>
        <w:t xml:space="preserve"> i zak</w:t>
      </w:r>
      <w:r w:rsidRPr="00A33B9F">
        <w:rPr>
          <w:rFonts w:ascii="Times New Roman" w:hAnsi="Times New Roman"/>
          <w:noProof/>
          <w:color w:val="000000" w:themeColor="text1"/>
          <w:sz w:val="24"/>
        </w:rPr>
        <w:t>resy prac):</w:t>
      </w:r>
      <w:r w:rsidR="00C3621A" w:rsidRPr="00A33B9F">
        <w:rPr>
          <w:rFonts w:ascii="Times New Roman" w:hAnsi="Times New Roman"/>
          <w:noProof/>
          <w:color w:val="000000" w:themeColor="text1"/>
          <w:sz w:val="24"/>
        </w:rPr>
        <w:t xml:space="preserve"> </w:t>
      </w:r>
      <w:r w:rsidRPr="00A33B9F">
        <w:rPr>
          <w:rFonts w:ascii="Times New Roman" w:hAnsi="Times New Roman"/>
          <w:noProof/>
          <w:color w:val="000000" w:themeColor="text1"/>
          <w:sz w:val="24"/>
        </w:rPr>
        <w:t>1) byłych Zakładów Chemicznych „Tarnowskie Góry”</w:t>
      </w:r>
      <w:r w:rsidR="00A33B9F" w:rsidRPr="00A33B9F">
        <w:rPr>
          <w:rFonts w:ascii="Times New Roman" w:hAnsi="Times New Roman"/>
          <w:noProof/>
          <w:color w:val="000000" w:themeColor="text1"/>
          <w:sz w:val="24"/>
        </w:rPr>
        <w:t xml:space="preserve"> w Tar</w:t>
      </w:r>
      <w:r w:rsidRPr="00A33B9F">
        <w:rPr>
          <w:rFonts w:ascii="Times New Roman" w:hAnsi="Times New Roman"/>
          <w:noProof/>
          <w:color w:val="000000" w:themeColor="text1"/>
          <w:sz w:val="24"/>
        </w:rPr>
        <w:t>nowskich Górach; 2) dawnych Zakładów Chemicznych „Zachem”</w:t>
      </w:r>
      <w:r w:rsidR="00A33B9F" w:rsidRPr="00A33B9F">
        <w:rPr>
          <w:rFonts w:ascii="Times New Roman" w:hAnsi="Times New Roman"/>
          <w:noProof/>
          <w:color w:val="000000" w:themeColor="text1"/>
          <w:sz w:val="24"/>
        </w:rPr>
        <w:t xml:space="preserve"> w Byd</w:t>
      </w:r>
      <w:r w:rsidRPr="00A33B9F">
        <w:rPr>
          <w:rFonts w:ascii="Times New Roman" w:hAnsi="Times New Roman"/>
          <w:noProof/>
          <w:color w:val="000000" w:themeColor="text1"/>
          <w:sz w:val="24"/>
        </w:rPr>
        <w:t>goszczy; 3) Zakładów Chemicznych „Organika-Azot”</w:t>
      </w:r>
      <w:r w:rsidR="00A33B9F" w:rsidRPr="00A33B9F">
        <w:rPr>
          <w:rFonts w:ascii="Times New Roman" w:hAnsi="Times New Roman"/>
          <w:noProof/>
          <w:color w:val="000000" w:themeColor="text1"/>
          <w:sz w:val="24"/>
        </w:rPr>
        <w:t xml:space="preserve"> w Jaw</w:t>
      </w:r>
      <w:r w:rsidRPr="00A33B9F">
        <w:rPr>
          <w:rFonts w:ascii="Times New Roman" w:hAnsi="Times New Roman"/>
          <w:noProof/>
          <w:color w:val="000000" w:themeColor="text1"/>
          <w:sz w:val="24"/>
        </w:rPr>
        <w:t>orznie; 4) byłych Zakładów Przemysłu Barwników „Boruta”</w:t>
      </w:r>
      <w:r w:rsidR="00A33B9F" w:rsidRPr="00A33B9F">
        <w:rPr>
          <w:rFonts w:ascii="Times New Roman" w:hAnsi="Times New Roman"/>
          <w:noProof/>
          <w:color w:val="000000" w:themeColor="text1"/>
          <w:sz w:val="24"/>
        </w:rPr>
        <w:t xml:space="preserve"> w Zgi</w:t>
      </w:r>
      <w:r w:rsidRPr="00A33B9F">
        <w:rPr>
          <w:rFonts w:ascii="Times New Roman" w:hAnsi="Times New Roman"/>
          <w:noProof/>
          <w:color w:val="000000" w:themeColor="text1"/>
          <w:sz w:val="24"/>
        </w:rPr>
        <w:t>erzu.</w:t>
      </w:r>
      <w:r w:rsidR="00C3621A" w:rsidRPr="00A33B9F">
        <w:rPr>
          <w:rFonts w:ascii="Times New Roman" w:hAnsi="Times New Roman"/>
          <w:noProof/>
          <w:color w:val="000000" w:themeColor="text1"/>
          <w:sz w:val="24"/>
        </w:rPr>
        <w:t xml:space="preserve"> </w:t>
      </w:r>
    </w:p>
    <w:p w14:paraId="05E29859" w14:textId="03C36FB2" w:rsidR="007C4506" w:rsidRPr="00A33B9F" w:rsidRDefault="00B31839" w:rsidP="3C614D2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Przepisy wprowadzające te zmiany wejdą</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do dnia 31 grudnia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01C879E5" w14:textId="22EA26B3"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Druga część reformy będzie polegała na określeniu zasad dotyczących materiałów niebezpiecznych zatopionych</w:t>
      </w:r>
      <w:r w:rsidR="00A33B9F" w:rsidRPr="00A33B9F">
        <w:rPr>
          <w:rFonts w:ascii="Times New Roman" w:hAnsi="Times New Roman"/>
          <w:noProof/>
          <w:color w:val="000000" w:themeColor="text1"/>
          <w:sz w:val="24"/>
        </w:rPr>
        <w:t xml:space="preserve"> w Mor</w:t>
      </w:r>
      <w:r w:rsidRPr="00A33B9F">
        <w:rPr>
          <w:rFonts w:ascii="Times New Roman" w:hAnsi="Times New Roman"/>
          <w:noProof/>
          <w:color w:val="000000" w:themeColor="text1"/>
          <w:sz w:val="24"/>
        </w:rPr>
        <w:t>zu Bałtyckim, co pozwoli zwiększyć bezpieczeństwo dla zdrowia ludzi oraz poprawić stan środowiska. Opisze się</w:t>
      </w:r>
      <w:r w:rsidR="00A33B9F" w:rsidRPr="00A33B9F">
        <w:rPr>
          <w:rFonts w:ascii="Times New Roman" w:hAnsi="Times New Roman"/>
          <w:noProof/>
          <w:color w:val="000000" w:themeColor="text1"/>
          <w:sz w:val="24"/>
        </w:rPr>
        <w:t xml:space="preserve"> w nie</w:t>
      </w:r>
      <w:r w:rsidRPr="00A33B9F">
        <w:rPr>
          <w:rFonts w:ascii="Times New Roman" w:hAnsi="Times New Roman"/>
          <w:noProof/>
          <w:color w:val="000000" w:themeColor="text1"/>
          <w:sz w:val="24"/>
        </w:rPr>
        <w:t>j kompetencje organów publicznych</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episach prawa; wskaże podmioty wiodące</w:t>
      </w:r>
      <w:r w:rsidR="00A33B9F" w:rsidRPr="00A33B9F">
        <w:rPr>
          <w:rFonts w:ascii="Times New Roman" w:hAnsi="Times New Roman"/>
          <w:noProof/>
          <w:color w:val="000000" w:themeColor="text1"/>
          <w:sz w:val="24"/>
        </w:rPr>
        <w:t xml:space="preserve"> i wsp</w:t>
      </w:r>
      <w:r w:rsidRPr="00A33B9F">
        <w:rPr>
          <w:rFonts w:ascii="Times New Roman" w:hAnsi="Times New Roman"/>
          <w:noProof/>
          <w:color w:val="000000" w:themeColor="text1"/>
          <w:sz w:val="24"/>
        </w:rPr>
        <w:t>ółpracujące</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awach związanych ze składowaniem materiałów niebezpiecznych na obszarach morskich; opracuje się szczegółowy plan działania administracji publicznej oraz jednostek nadzorowanych</w:t>
      </w:r>
      <w:r w:rsidR="00A33B9F" w:rsidRPr="00A33B9F">
        <w:rPr>
          <w:rFonts w:ascii="Times New Roman" w:hAnsi="Times New Roman"/>
          <w:noProof/>
          <w:color w:val="000000" w:themeColor="text1"/>
          <w:sz w:val="24"/>
        </w:rPr>
        <w:t xml:space="preserve"> i pod</w:t>
      </w:r>
      <w:r w:rsidRPr="00A33B9F">
        <w:rPr>
          <w:rFonts w:ascii="Times New Roman" w:hAnsi="Times New Roman"/>
          <w:noProof/>
          <w:color w:val="000000" w:themeColor="text1"/>
          <w:sz w:val="24"/>
        </w:rPr>
        <w:t>ległych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problematyki materiałów niebezpiecznych składowanych na obszarach morskich, wraz ze wskazaniem podmiotów odpowiedzialnych za realizację poszczególnych zadań; oraz wprowadzi się zmiany prawne umożliwiające monitorowanie, identyfikację oraz ewentualne wydobycie</w:t>
      </w:r>
      <w:r w:rsidR="00A33B9F" w:rsidRPr="00A33B9F">
        <w:rPr>
          <w:rFonts w:ascii="Times New Roman" w:hAnsi="Times New Roman"/>
          <w:noProof/>
          <w:color w:val="000000" w:themeColor="text1"/>
          <w:sz w:val="24"/>
        </w:rPr>
        <w:t xml:space="preserve"> i uni</w:t>
      </w:r>
      <w:r w:rsidRPr="00A33B9F">
        <w:rPr>
          <w:rFonts w:ascii="Times New Roman" w:hAnsi="Times New Roman"/>
          <w:noProof/>
          <w:color w:val="000000" w:themeColor="text1"/>
          <w:sz w:val="24"/>
        </w:rPr>
        <w:t>eszkodliwienie materiałów niebezpiecznych.</w:t>
      </w:r>
    </w:p>
    <w:p w14:paraId="400116A1" w14:textId="19F2DFE0"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Przepisy wprowadzające te zmiany wejdą</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do dnia 30 czerwca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687C6DE0"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1440A02" w14:textId="15F375C9"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B3.2.1 Inwestycje</w:t>
      </w:r>
      <w:r w:rsidR="00A33B9F" w:rsidRPr="00A33B9F">
        <w:rPr>
          <w:rFonts w:ascii="Times New Roman" w:hAnsi="Times New Roman"/>
          <w:b/>
          <w:noProof/>
          <w:color w:val="000000"/>
          <w:sz w:val="24"/>
          <w:u w:val="single"/>
        </w:rPr>
        <w:t xml:space="preserve"> w neu</w:t>
      </w:r>
      <w:r w:rsidRPr="00A33B9F">
        <w:rPr>
          <w:rFonts w:ascii="Times New Roman" w:hAnsi="Times New Roman"/>
          <w:b/>
          <w:noProof/>
          <w:color w:val="000000"/>
          <w:sz w:val="24"/>
          <w:u w:val="single"/>
        </w:rPr>
        <w:t>tralizację zagrożeń oraz odnowę wielkoobszarowych terenów zdegradowanych</w:t>
      </w:r>
      <w:r w:rsidR="00A33B9F" w:rsidRPr="00A33B9F">
        <w:rPr>
          <w:rFonts w:ascii="Times New Roman" w:hAnsi="Times New Roman"/>
          <w:b/>
          <w:noProof/>
          <w:color w:val="000000"/>
          <w:sz w:val="24"/>
          <w:u w:val="single"/>
        </w:rPr>
        <w:t xml:space="preserve"> i Mor</w:t>
      </w:r>
      <w:r w:rsidRPr="00A33B9F">
        <w:rPr>
          <w:rFonts w:ascii="Times New Roman" w:hAnsi="Times New Roman"/>
          <w:b/>
          <w:noProof/>
          <w:color w:val="000000"/>
          <w:sz w:val="24"/>
          <w:u w:val="single"/>
        </w:rPr>
        <w:t>za Bałtyckiego</w:t>
      </w:r>
    </w:p>
    <w:p w14:paraId="66646483" w14:textId="375B8CD2" w:rsidR="007C4506" w:rsidRPr="00A33B9F" w:rsidRDefault="522DEB2C" w:rsidP="6F62575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inwestycji jest wyeliminowanie zagrożenia dla zdrowia</w:t>
      </w:r>
      <w:r w:rsidR="00A33B9F" w:rsidRPr="00A33B9F">
        <w:rPr>
          <w:rFonts w:ascii="Times New Roman" w:hAnsi="Times New Roman"/>
          <w:noProof/>
          <w:color w:val="000000" w:themeColor="text1"/>
          <w:sz w:val="24"/>
        </w:rPr>
        <w:t xml:space="preserve"> i życ</w:t>
      </w:r>
      <w:r w:rsidRPr="00A33B9F">
        <w:rPr>
          <w:rFonts w:ascii="Times New Roman" w:hAnsi="Times New Roman"/>
          <w:noProof/>
          <w:color w:val="000000" w:themeColor="text1"/>
          <w:sz w:val="24"/>
        </w:rPr>
        <w:t>ia ludzi, jakie stanowią wielkoobszarowe tereny zdegradowane, minimalizacja ich negatywnego wpływu na środowisko oraz odzyskanie tych terenów do ponownego wykorzystania przy jednoczesnym poszanowaniu zasady „zanieczyszczający płaci” oraz dyrektywy 2004/35/WE</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odpowiedzialności za środowisko. Inwestycja ma na celu również rozwiązanie problemu zagrożeń, jakie stwarzają zanieczyszczenia</w:t>
      </w:r>
      <w:r w:rsidR="00A33B9F" w:rsidRPr="00A33B9F">
        <w:rPr>
          <w:rFonts w:ascii="Times New Roman" w:hAnsi="Times New Roman"/>
          <w:noProof/>
          <w:color w:val="000000" w:themeColor="text1"/>
          <w:sz w:val="24"/>
        </w:rPr>
        <w:t xml:space="preserve"> i mat</w:t>
      </w:r>
      <w:r w:rsidRPr="00A33B9F">
        <w:rPr>
          <w:rFonts w:ascii="Times New Roman" w:hAnsi="Times New Roman"/>
          <w:noProof/>
          <w:color w:val="000000" w:themeColor="text1"/>
          <w:sz w:val="24"/>
        </w:rPr>
        <w:t>eriały niebezpieczne znajdujące się na polskich obszarach morskich.</w:t>
      </w:r>
    </w:p>
    <w:p w14:paraId="636A514B" w14:textId="29E9C5C5"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Inwestycja będzie polegać na rozwijaniu badań prowadzących do przygotowania pełnej dokumentacji inwestycyjnej dla wcześniej określonych lokalizacji,</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których występują znaczące problemy</w:t>
      </w:r>
      <w:r w:rsidR="00A33B9F" w:rsidRPr="00A33B9F">
        <w:rPr>
          <w:rFonts w:ascii="Times New Roman" w:hAnsi="Times New Roman"/>
          <w:noProof/>
          <w:color w:val="000000" w:themeColor="text1"/>
          <w:sz w:val="24"/>
        </w:rPr>
        <w:t xml:space="preserve"> z obe</w:t>
      </w:r>
      <w:r w:rsidRPr="00A33B9F">
        <w:rPr>
          <w:rFonts w:ascii="Times New Roman" w:hAnsi="Times New Roman"/>
          <w:noProof/>
          <w:color w:val="000000" w:themeColor="text1"/>
          <w:sz w:val="24"/>
        </w:rPr>
        <w:t>cnością substancji zanieczyszczających lub niebezpiecznych na dużym obszarze. Obejmuje ona opracowanie badań terenowych, badań</w:t>
      </w:r>
      <w:r w:rsidR="00A33B9F" w:rsidRPr="00A33B9F">
        <w:rPr>
          <w:rFonts w:ascii="Times New Roman" w:hAnsi="Times New Roman"/>
          <w:noProof/>
          <w:color w:val="000000" w:themeColor="text1"/>
          <w:sz w:val="24"/>
        </w:rPr>
        <w:t xml:space="preserve"> i inw</w:t>
      </w:r>
      <w:r w:rsidRPr="00A33B9F">
        <w:rPr>
          <w:rFonts w:ascii="Times New Roman" w:hAnsi="Times New Roman"/>
          <w:noProof/>
          <w:color w:val="000000" w:themeColor="text1"/>
          <w:sz w:val="24"/>
        </w:rPr>
        <w:t>entaryzacji terenu jako wstępny, ale podstawowy krok prowadzący do przygotowania pełnej dokumentacji inwestycyjnej na kolejnych etapach programu.</w:t>
      </w:r>
    </w:p>
    <w:p w14:paraId="779A13B6" w14:textId="5750191B" w:rsidR="43861675" w:rsidRPr="00A33B9F" w:rsidRDefault="43861675" w:rsidP="3954470C">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257DAA1F" w14:textId="1D0E2C36" w:rsidR="00B31839" w:rsidRPr="00A33B9F" w:rsidRDefault="00B31839" w:rsidP="3954470C">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będzie również wspierać kampanie rozpoznawcze</w:t>
      </w:r>
      <w:r w:rsidR="00A33B9F" w:rsidRPr="00A33B9F">
        <w:rPr>
          <w:rFonts w:ascii="Times New Roman" w:hAnsi="Times New Roman"/>
          <w:noProof/>
          <w:color w:val="000000" w:themeColor="text1"/>
          <w:sz w:val="24"/>
        </w:rPr>
        <w:t xml:space="preserve"> i pom</w:t>
      </w:r>
      <w:r w:rsidRPr="00A33B9F">
        <w:rPr>
          <w:rFonts w:ascii="Times New Roman" w:hAnsi="Times New Roman"/>
          <w:noProof/>
          <w:color w:val="000000" w:themeColor="text1"/>
          <w:sz w:val="24"/>
        </w:rPr>
        <w:t>iarowe na Morzu Bałtyckim, jak również analizę uzyskanych danych jako niezbędny krok prowadzący do przygotowania kompletnej dokumentacji na potrzeby planów neutralizacji.</w:t>
      </w:r>
    </w:p>
    <w:p w14:paraId="048D79BB" w14:textId="4DE3D2D5" w:rsidR="7C29887C" w:rsidRPr="00A33B9F" w:rsidRDefault="4E409985" w:rsidP="3954470C">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inwestycji zostanie zakończona do dnia 31 grudnia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5B2F9378"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61D11A9B" w14:textId="62DC6623" w:rsidR="007C4506" w:rsidRPr="00A33B9F" w:rsidRDefault="542D1CF6" w:rsidP="032098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B3.3 Wsparcie dla zrównoważonego gospodarowania zasobami wodnymi</w:t>
      </w:r>
      <w:r w:rsidR="00A33B9F" w:rsidRPr="00A33B9F">
        <w:rPr>
          <w:rFonts w:ascii="Times New Roman" w:hAnsi="Times New Roman"/>
          <w:b/>
          <w:noProof/>
          <w:color w:val="000000" w:themeColor="text1"/>
          <w:sz w:val="24"/>
          <w:u w:val="single"/>
        </w:rPr>
        <w:t xml:space="preserve"> w rol</w:t>
      </w:r>
      <w:r w:rsidRPr="00A33B9F">
        <w:rPr>
          <w:rFonts w:ascii="Times New Roman" w:hAnsi="Times New Roman"/>
          <w:b/>
          <w:noProof/>
          <w:color w:val="000000" w:themeColor="text1"/>
          <w:sz w:val="24"/>
          <w:u w:val="single"/>
        </w:rPr>
        <w:t>nictwie i na obszarach wiejskich</w:t>
      </w:r>
    </w:p>
    <w:p w14:paraId="1A32BC16" w14:textId="7BA6A739"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poprawa warunków dla inwestycji na obszarach wiejskich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gospodarki wodnej oraz efektywności wykorzystania jej zasobów. Reforma przyczyni się do zwiększenia odporności rolnictwa na suszę oraz zapobiegania powodziom na użytkach rolnych; poprawy racjonalności gospodarki wodnej dzięki odpowiedniemu regulowaniu stosunków wodnych na użytkach rolnych</w:t>
      </w:r>
      <w:r w:rsidR="00A33B9F" w:rsidRPr="00A33B9F">
        <w:rPr>
          <w:rFonts w:ascii="Times New Roman" w:hAnsi="Times New Roman"/>
          <w:noProof/>
          <w:color w:val="000000" w:themeColor="text1"/>
          <w:sz w:val="24"/>
        </w:rPr>
        <w:t xml:space="preserve"> i ogr</w:t>
      </w:r>
      <w:r w:rsidRPr="00A33B9F">
        <w:rPr>
          <w:rFonts w:ascii="Times New Roman" w:hAnsi="Times New Roman"/>
          <w:noProof/>
          <w:color w:val="000000" w:themeColor="text1"/>
          <w:sz w:val="24"/>
        </w:rPr>
        <w:t>aniczeniu odpływu wody; oraz zwiększenia retencji wód.</w:t>
      </w:r>
    </w:p>
    <w:p w14:paraId="67D341F6" w14:textId="678BD6F8" w:rsidR="007C4506" w:rsidRPr="00A33B9F" w:rsidRDefault="508D318E"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Reforma polega na wprowadzeniu zmian</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episach krajowych, które są niezbędne do poprawy warunków odnoszących się do odpornej gospodarki wodnej</w:t>
      </w:r>
      <w:r w:rsidR="00A33B9F" w:rsidRPr="00A33B9F">
        <w:rPr>
          <w:rFonts w:ascii="Times New Roman" w:hAnsi="Times New Roman"/>
          <w:noProof/>
          <w:color w:val="000000" w:themeColor="text1"/>
          <w:sz w:val="24"/>
        </w:rPr>
        <w:t xml:space="preserve"> w rol</w:t>
      </w:r>
      <w:r w:rsidRPr="00A33B9F">
        <w:rPr>
          <w:rFonts w:ascii="Times New Roman" w:hAnsi="Times New Roman"/>
          <w:noProof/>
          <w:color w:val="000000" w:themeColor="text1"/>
          <w:sz w:val="24"/>
        </w:rPr>
        <w:t>n</w:t>
      </w:r>
      <w:r w:rsidRPr="00A33B9F">
        <w:rPr>
          <w:rFonts w:ascii="Times New Roman" w:hAnsi="Times New Roman"/>
          <w:noProof/>
          <w:sz w:val="24"/>
        </w:rPr>
        <w:t>ictwie i na obszarach wiejskich. Zmiany ułatwią przygotowanie</w:t>
      </w:r>
      <w:r w:rsidR="00A33B9F" w:rsidRPr="00A33B9F">
        <w:rPr>
          <w:rFonts w:ascii="Times New Roman" w:hAnsi="Times New Roman"/>
          <w:noProof/>
          <w:sz w:val="24"/>
        </w:rPr>
        <w:t xml:space="preserve"> i rea</w:t>
      </w:r>
      <w:r w:rsidRPr="00A33B9F">
        <w:rPr>
          <w:rFonts w:ascii="Times New Roman" w:hAnsi="Times New Roman"/>
          <w:noProof/>
          <w:sz w:val="24"/>
        </w:rPr>
        <w:t>lizację inwestycji dotyczących potencjału retencyjnego</w:t>
      </w:r>
      <w:r w:rsidR="00A33B9F" w:rsidRPr="00A33B9F">
        <w:rPr>
          <w:rFonts w:ascii="Times New Roman" w:hAnsi="Times New Roman"/>
          <w:noProof/>
          <w:sz w:val="24"/>
        </w:rPr>
        <w:t xml:space="preserve"> i zat</w:t>
      </w:r>
      <w:r w:rsidRPr="00A33B9F">
        <w:rPr>
          <w:rFonts w:ascii="Times New Roman" w:hAnsi="Times New Roman"/>
          <w:noProof/>
          <w:sz w:val="24"/>
        </w:rPr>
        <w:t>rzymywania odpływu wody na użytkach rolnych,</w:t>
      </w:r>
      <w:r w:rsidR="00A33B9F" w:rsidRPr="00A33B9F">
        <w:rPr>
          <w:rFonts w:ascii="Times New Roman" w:hAnsi="Times New Roman"/>
          <w:noProof/>
          <w:sz w:val="24"/>
        </w:rPr>
        <w:t xml:space="preserve"> w tym w szc</w:t>
      </w:r>
      <w:r w:rsidRPr="00A33B9F">
        <w:rPr>
          <w:rFonts w:ascii="Times New Roman" w:hAnsi="Times New Roman"/>
          <w:noProof/>
          <w:sz w:val="24"/>
        </w:rPr>
        <w:t>zególności związanych</w:t>
      </w:r>
      <w:r w:rsidR="00A33B9F" w:rsidRPr="00A33B9F">
        <w:rPr>
          <w:rFonts w:ascii="Times New Roman" w:hAnsi="Times New Roman"/>
          <w:noProof/>
          <w:sz w:val="24"/>
        </w:rPr>
        <w:t xml:space="preserve"> z odb</w:t>
      </w:r>
      <w:r w:rsidRPr="00A33B9F">
        <w:rPr>
          <w:rFonts w:ascii="Times New Roman" w:hAnsi="Times New Roman"/>
          <w:noProof/>
          <w:sz w:val="24"/>
        </w:rPr>
        <w:t>udową</w:t>
      </w:r>
      <w:r w:rsidR="00A33B9F" w:rsidRPr="00A33B9F">
        <w:rPr>
          <w:rFonts w:ascii="Times New Roman" w:hAnsi="Times New Roman"/>
          <w:noProof/>
          <w:sz w:val="24"/>
        </w:rPr>
        <w:t xml:space="preserve"> i ren</w:t>
      </w:r>
      <w:r w:rsidRPr="00A33B9F">
        <w:rPr>
          <w:rFonts w:ascii="Times New Roman" w:hAnsi="Times New Roman"/>
          <w:noProof/>
          <w:sz w:val="24"/>
        </w:rPr>
        <w:t>owacją urządzeń melioracyjnych</w:t>
      </w:r>
      <w:r w:rsidR="00A33B9F" w:rsidRPr="00A33B9F">
        <w:rPr>
          <w:rFonts w:ascii="Times New Roman" w:hAnsi="Times New Roman"/>
          <w:noProof/>
          <w:sz w:val="24"/>
        </w:rPr>
        <w:t xml:space="preserve"> w tak</w:t>
      </w:r>
      <w:r w:rsidRPr="00A33B9F">
        <w:rPr>
          <w:rFonts w:ascii="Times New Roman" w:hAnsi="Times New Roman"/>
          <w:noProof/>
          <w:sz w:val="24"/>
        </w:rPr>
        <w:t>i sposób, aby spełniały one swoją funkcję retencyjną, chroniąc tym samym grunty rolne przed powodzią</w:t>
      </w:r>
      <w:r w:rsidR="00A33B9F" w:rsidRPr="00A33B9F">
        <w:rPr>
          <w:rFonts w:ascii="Times New Roman" w:hAnsi="Times New Roman"/>
          <w:noProof/>
          <w:sz w:val="24"/>
        </w:rPr>
        <w:t xml:space="preserve"> i ogr</w:t>
      </w:r>
      <w:r w:rsidRPr="00A33B9F">
        <w:rPr>
          <w:rFonts w:ascii="Times New Roman" w:hAnsi="Times New Roman"/>
          <w:noProof/>
          <w:sz w:val="24"/>
        </w:rPr>
        <w:t xml:space="preserve">aniczając ryzyko powodzi. </w:t>
      </w:r>
    </w:p>
    <w:p w14:paraId="56C567A9" w14:textId="64B4525E" w:rsidR="007C4506" w:rsidRPr="00A33B9F" w:rsidRDefault="3BD23AD0" w:rsidP="28D0ECD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sz w:val="24"/>
        </w:rPr>
        <w:t>Reforma jest zgodna</w:t>
      </w:r>
      <w:r w:rsidR="00A33B9F" w:rsidRPr="00A33B9F">
        <w:rPr>
          <w:rFonts w:ascii="Times New Roman" w:hAnsi="Times New Roman"/>
          <w:noProof/>
          <w:sz w:val="24"/>
        </w:rPr>
        <w:t xml:space="preserve"> z wym</w:t>
      </w:r>
      <w:r w:rsidRPr="00A33B9F">
        <w:rPr>
          <w:rFonts w:ascii="Times New Roman" w:hAnsi="Times New Roman"/>
          <w:noProof/>
          <w:sz w:val="24"/>
        </w:rPr>
        <w:t>ogami określonymi</w:t>
      </w:r>
      <w:r w:rsidR="00A33B9F" w:rsidRPr="00A33B9F">
        <w:rPr>
          <w:rFonts w:ascii="Times New Roman" w:hAnsi="Times New Roman"/>
          <w:noProof/>
          <w:sz w:val="24"/>
        </w:rPr>
        <w:t xml:space="preserve"> w wyt</w:t>
      </w:r>
      <w:r w:rsidRPr="00A33B9F">
        <w:rPr>
          <w:rFonts w:ascii="Times New Roman" w:hAnsi="Times New Roman"/>
          <w:noProof/>
          <w:sz w:val="24"/>
        </w:rPr>
        <w:t>ycznych technicznych dotyczących stosowania zasady „nie czyń poważnych szkód” (2021/C 58/01),</w:t>
      </w:r>
      <w:r w:rsidR="00A33B9F" w:rsidRPr="00A33B9F">
        <w:rPr>
          <w:rFonts w:ascii="Times New Roman" w:hAnsi="Times New Roman"/>
          <w:noProof/>
          <w:sz w:val="24"/>
        </w:rPr>
        <w:t xml:space="preserve"> w szc</w:t>
      </w:r>
      <w:r w:rsidRPr="00A33B9F">
        <w:rPr>
          <w:rFonts w:ascii="Times New Roman" w:hAnsi="Times New Roman"/>
          <w:noProof/>
          <w:sz w:val="24"/>
        </w:rPr>
        <w:t>zególności zapewni ona zgodność</w:t>
      </w:r>
      <w:r w:rsidR="00A33B9F" w:rsidRPr="00A33B9F">
        <w:rPr>
          <w:rFonts w:ascii="Times New Roman" w:hAnsi="Times New Roman"/>
          <w:noProof/>
          <w:sz w:val="24"/>
        </w:rPr>
        <w:t xml:space="preserve"> z prz</w:t>
      </w:r>
      <w:r w:rsidRPr="00A33B9F">
        <w:rPr>
          <w:rFonts w:ascii="Times New Roman" w:hAnsi="Times New Roman"/>
          <w:noProof/>
          <w:sz w:val="24"/>
        </w:rPr>
        <w:t>episami UE</w:t>
      </w:r>
      <w:r w:rsidR="00A33B9F" w:rsidRPr="00A33B9F">
        <w:rPr>
          <w:rFonts w:ascii="Times New Roman" w:hAnsi="Times New Roman"/>
          <w:noProof/>
          <w:sz w:val="24"/>
        </w:rPr>
        <w:t xml:space="preserve"> w zak</w:t>
      </w:r>
      <w:r w:rsidRPr="00A33B9F">
        <w:rPr>
          <w:rFonts w:ascii="Times New Roman" w:hAnsi="Times New Roman"/>
          <w:noProof/>
          <w:sz w:val="24"/>
        </w:rPr>
        <w:t>resie ochrony środowiska,</w:t>
      </w:r>
      <w:r w:rsidR="00A33B9F" w:rsidRPr="00A33B9F">
        <w:rPr>
          <w:rFonts w:ascii="Times New Roman" w:hAnsi="Times New Roman"/>
          <w:noProof/>
          <w:sz w:val="24"/>
        </w:rPr>
        <w:t xml:space="preserve"> w tym z dyr</w:t>
      </w:r>
      <w:r w:rsidRPr="00A33B9F">
        <w:rPr>
          <w:rFonts w:ascii="Times New Roman" w:hAnsi="Times New Roman"/>
          <w:noProof/>
          <w:sz w:val="24"/>
        </w:rPr>
        <w:t>ektywą</w:t>
      </w:r>
      <w:r w:rsidR="00A33B9F" w:rsidRPr="00A33B9F">
        <w:rPr>
          <w:rFonts w:ascii="Times New Roman" w:hAnsi="Times New Roman"/>
          <w:noProof/>
          <w:sz w:val="24"/>
        </w:rPr>
        <w:t xml:space="preserve"> w spr</w:t>
      </w:r>
      <w:r w:rsidRPr="00A33B9F">
        <w:rPr>
          <w:rFonts w:ascii="Times New Roman" w:hAnsi="Times New Roman"/>
          <w:noProof/>
          <w:sz w:val="24"/>
        </w:rPr>
        <w:t>awie OOŚ (2011/92/UE)</w:t>
      </w:r>
      <w:r w:rsidR="00A33B9F" w:rsidRPr="00A33B9F">
        <w:rPr>
          <w:rFonts w:ascii="Times New Roman" w:hAnsi="Times New Roman"/>
          <w:noProof/>
          <w:sz w:val="24"/>
        </w:rPr>
        <w:t xml:space="preserve"> i ram</w:t>
      </w:r>
      <w:r w:rsidRPr="00A33B9F">
        <w:rPr>
          <w:rFonts w:ascii="Times New Roman" w:hAnsi="Times New Roman"/>
          <w:noProof/>
          <w:sz w:val="24"/>
        </w:rPr>
        <w:t>ową dyrektywą wodną (2000/60/WE).</w:t>
      </w:r>
    </w:p>
    <w:p w14:paraId="470C9946" w14:textId="19411196" w:rsidR="007C4506" w:rsidRPr="00A33B9F" w:rsidRDefault="494C4BB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sz w:val="24"/>
        </w:rPr>
        <w:t>Zmiany nie będą prowadzić do pogorszenia</w:t>
      </w:r>
      <w:r w:rsidRPr="00A33B9F">
        <w:rPr>
          <w:rFonts w:ascii="Times New Roman" w:hAnsi="Times New Roman"/>
          <w:noProof/>
          <w:color w:val="000000" w:themeColor="text1"/>
          <w:sz w:val="24"/>
        </w:rPr>
        <w:t xml:space="preserve"> poziomu zgodności</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episami UE</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ochrony środowiska,</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inwestycji uznawanych za znaczące lub potencjalnie znaczące zgodnie</w:t>
      </w:r>
      <w:r w:rsidR="00A33B9F" w:rsidRPr="00A33B9F">
        <w:rPr>
          <w:rFonts w:ascii="Times New Roman" w:hAnsi="Times New Roman"/>
          <w:noProof/>
          <w:color w:val="000000" w:themeColor="text1"/>
          <w:sz w:val="24"/>
        </w:rPr>
        <w:t xml:space="preserve"> z roz</w:t>
      </w:r>
      <w:r w:rsidRPr="00A33B9F">
        <w:rPr>
          <w:rFonts w:ascii="Times New Roman" w:hAnsi="Times New Roman"/>
          <w:noProof/>
          <w:color w:val="000000" w:themeColor="text1"/>
          <w:sz w:val="24"/>
        </w:rPr>
        <w:t>porządzeniem Rady Ministrów</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przedsięwzięć mogących znacząco oddziaływać na środowisko oraz inwestycji na obszarach Natura 2000 lub mających na nie wpływ. Ponadto zmiany te nie zmienią obecnie wiążących przepisów dotyczących poboru wody.</w:t>
      </w:r>
      <w:r w:rsidR="00C3621A" w:rsidRPr="00A33B9F">
        <w:rPr>
          <w:rFonts w:ascii="Times New Roman" w:hAnsi="Times New Roman"/>
          <w:noProof/>
          <w:color w:val="000000" w:themeColor="text1"/>
          <w:sz w:val="24"/>
        </w:rPr>
        <w:t xml:space="preserve"> </w:t>
      </w:r>
    </w:p>
    <w:p w14:paraId="542D6C7C" w14:textId="2877DDE5"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reformy zostanie zakończona do dnia 30 czerwca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58E6DD4E"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512C12F" w14:textId="351683AC" w:rsidR="007C4506" w:rsidRPr="00A33B9F" w:rsidRDefault="542D1CF6" w:rsidP="032098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B3.3.1 Inwestycje</w:t>
      </w:r>
      <w:r w:rsidR="00A33B9F" w:rsidRPr="00A33B9F">
        <w:rPr>
          <w:rFonts w:ascii="Times New Roman" w:hAnsi="Times New Roman"/>
          <w:b/>
          <w:noProof/>
          <w:color w:val="000000" w:themeColor="text1"/>
          <w:sz w:val="24"/>
          <w:u w:val="single"/>
        </w:rPr>
        <w:t xml:space="preserve"> w zwi</w:t>
      </w:r>
      <w:r w:rsidRPr="00A33B9F">
        <w:rPr>
          <w:rFonts w:ascii="Times New Roman" w:hAnsi="Times New Roman"/>
          <w:b/>
          <w:noProof/>
          <w:color w:val="000000" w:themeColor="text1"/>
          <w:sz w:val="24"/>
          <w:u w:val="single"/>
        </w:rPr>
        <w:t>ększanie potencjału zrównoważonej gospodarki wodnej na obszarach wiejskich</w:t>
      </w:r>
    </w:p>
    <w:p w14:paraId="0B79D10B" w14:textId="2D11E67C" w:rsidR="007C4506" w:rsidRPr="00A33B9F" w:rsidRDefault="542D1CF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Celem inwestycji jest wsparcie inwestycji na obszarach wiejskich</w:t>
      </w:r>
      <w:r w:rsidR="00A33B9F" w:rsidRPr="00A33B9F">
        <w:rPr>
          <w:rFonts w:ascii="Times New Roman" w:hAnsi="Times New Roman"/>
          <w:noProof/>
          <w:sz w:val="24"/>
        </w:rPr>
        <w:t xml:space="preserve"> w zak</w:t>
      </w:r>
      <w:r w:rsidRPr="00A33B9F">
        <w:rPr>
          <w:rFonts w:ascii="Times New Roman" w:hAnsi="Times New Roman"/>
          <w:noProof/>
          <w:sz w:val="24"/>
        </w:rPr>
        <w:t>resie poprawy gospodarki wodnej oraz efektywności wykorzystania jej zasobów.</w:t>
      </w:r>
      <w:r w:rsidR="00C3621A" w:rsidRPr="00A33B9F">
        <w:rPr>
          <w:rFonts w:ascii="Times New Roman" w:hAnsi="Times New Roman"/>
          <w:noProof/>
          <w:sz w:val="24"/>
        </w:rPr>
        <w:t xml:space="preserve"> </w:t>
      </w:r>
    </w:p>
    <w:p w14:paraId="4426D676" w14:textId="3D5D9A44" w:rsidR="007C4506" w:rsidRPr="00A33B9F" w:rsidRDefault="69427580"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przyczyni się do zwiększenia odporności rolnictwa na suszę oraz zapobiegania powodziom na użytkach rolnych; poprawy racjonalności gospodarki wodnej dzięki odpowiedniemu regulowaniu stosunków wodnych na użytkach rolnych</w:t>
      </w:r>
      <w:r w:rsidR="00A33B9F" w:rsidRPr="00A33B9F">
        <w:rPr>
          <w:rFonts w:ascii="Times New Roman" w:hAnsi="Times New Roman"/>
          <w:noProof/>
          <w:color w:val="000000" w:themeColor="text1"/>
          <w:sz w:val="24"/>
        </w:rPr>
        <w:t xml:space="preserve"> i ogr</w:t>
      </w:r>
      <w:r w:rsidRPr="00A33B9F">
        <w:rPr>
          <w:rFonts w:ascii="Times New Roman" w:hAnsi="Times New Roman"/>
          <w:noProof/>
          <w:color w:val="000000" w:themeColor="text1"/>
          <w:sz w:val="24"/>
        </w:rPr>
        <w:t>aniczeniu odpływu wody; oraz zwiększenia retencji wód, pod warunkiem że ich potrzeba</w:t>
      </w:r>
      <w:r w:rsidR="00A33B9F" w:rsidRPr="00A33B9F">
        <w:rPr>
          <w:rFonts w:ascii="Times New Roman" w:hAnsi="Times New Roman"/>
          <w:noProof/>
          <w:color w:val="000000" w:themeColor="text1"/>
          <w:sz w:val="24"/>
        </w:rPr>
        <w:t xml:space="preserve"> i cha</w:t>
      </w:r>
      <w:r w:rsidRPr="00A33B9F">
        <w:rPr>
          <w:rFonts w:ascii="Times New Roman" w:hAnsi="Times New Roman"/>
          <w:noProof/>
          <w:color w:val="000000" w:themeColor="text1"/>
          <w:sz w:val="24"/>
        </w:rPr>
        <w:t>rakter są odpowiednio uzasadnione. Pierwszeństwo mają rozwiązania odporne na zmianę klimatu</w:t>
      </w:r>
      <w:r w:rsidR="00A33B9F" w:rsidRPr="00A33B9F">
        <w:rPr>
          <w:rFonts w:ascii="Times New Roman" w:hAnsi="Times New Roman"/>
          <w:noProof/>
          <w:color w:val="000000" w:themeColor="text1"/>
          <w:sz w:val="24"/>
        </w:rPr>
        <w:t xml:space="preserve"> i opa</w:t>
      </w:r>
      <w:r w:rsidRPr="00A33B9F">
        <w:rPr>
          <w:rFonts w:ascii="Times New Roman" w:hAnsi="Times New Roman"/>
          <w:noProof/>
          <w:color w:val="000000" w:themeColor="text1"/>
          <w:sz w:val="24"/>
        </w:rPr>
        <w:t>rte na przyrodzie. Projekty realizowane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tego działania podlegają ocenie oddziaływania na środowisko (OOŚ) i są zgodne</w:t>
      </w:r>
      <w:r w:rsidR="00A33B9F" w:rsidRPr="00A33B9F">
        <w:rPr>
          <w:rFonts w:ascii="Times New Roman" w:hAnsi="Times New Roman"/>
          <w:noProof/>
          <w:color w:val="000000" w:themeColor="text1"/>
          <w:sz w:val="24"/>
        </w:rPr>
        <w:t xml:space="preserve"> z wym</w:t>
      </w:r>
      <w:r w:rsidRPr="00A33B9F">
        <w:rPr>
          <w:rFonts w:ascii="Times New Roman" w:hAnsi="Times New Roman"/>
          <w:noProof/>
          <w:color w:val="000000" w:themeColor="text1"/>
          <w:sz w:val="24"/>
        </w:rPr>
        <w:t>ogami określonymi</w:t>
      </w:r>
      <w:r w:rsidR="00A33B9F" w:rsidRPr="00A33B9F">
        <w:rPr>
          <w:rFonts w:ascii="Times New Roman" w:hAnsi="Times New Roman"/>
          <w:noProof/>
          <w:color w:val="000000" w:themeColor="text1"/>
          <w:sz w:val="24"/>
        </w:rPr>
        <w:t xml:space="preserve"> w wyt</w:t>
      </w:r>
      <w:r w:rsidRPr="00A33B9F">
        <w:rPr>
          <w:rFonts w:ascii="Times New Roman" w:hAnsi="Times New Roman"/>
          <w:noProof/>
          <w:color w:val="000000" w:themeColor="text1"/>
          <w:sz w:val="24"/>
        </w:rPr>
        <w:t>ycznych technicznych dotyczących stosowania zasady „nie czyń poważnych szkód” (C(2023) 6454 final). Należy zapewnić zgodność</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episami UE</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ochrony środowiska,</w:t>
      </w:r>
      <w:r w:rsidR="00A33B9F" w:rsidRPr="00A33B9F">
        <w:rPr>
          <w:rFonts w:ascii="Times New Roman" w:hAnsi="Times New Roman"/>
          <w:noProof/>
          <w:color w:val="000000" w:themeColor="text1"/>
          <w:sz w:val="24"/>
        </w:rPr>
        <w:t xml:space="preserve"> w tym z dyr</w:t>
      </w:r>
      <w:r w:rsidRPr="00A33B9F">
        <w:rPr>
          <w:rFonts w:ascii="Times New Roman" w:hAnsi="Times New Roman"/>
          <w:noProof/>
          <w:color w:val="000000" w:themeColor="text1"/>
          <w:sz w:val="24"/>
        </w:rPr>
        <w:t>ektywą</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OOŚ (2011/92/UE)</w:t>
      </w:r>
      <w:r w:rsidR="00A33B9F" w:rsidRPr="00A33B9F">
        <w:rPr>
          <w:rFonts w:ascii="Times New Roman" w:hAnsi="Times New Roman"/>
          <w:noProof/>
          <w:color w:val="000000" w:themeColor="text1"/>
          <w:sz w:val="24"/>
        </w:rPr>
        <w:t xml:space="preserve"> i ram</w:t>
      </w:r>
      <w:r w:rsidRPr="00A33B9F">
        <w:rPr>
          <w:rFonts w:ascii="Times New Roman" w:hAnsi="Times New Roman"/>
          <w:noProof/>
          <w:color w:val="000000" w:themeColor="text1"/>
          <w:sz w:val="24"/>
        </w:rPr>
        <w:t>ową dyrektywą wodną (</w:t>
      </w:r>
      <w:r w:rsidRPr="00A33B9F">
        <w:rPr>
          <w:rFonts w:ascii="Times New Roman" w:hAnsi="Times New Roman"/>
          <w:noProof/>
          <w:sz w:val="24"/>
        </w:rPr>
        <w:t>2000/60/WE</w:t>
      </w:r>
      <w:r w:rsidRPr="00A33B9F">
        <w:rPr>
          <w:rFonts w:ascii="Times New Roman" w:hAnsi="Times New Roman"/>
          <w:noProof/>
          <w:color w:val="000000" w:themeColor="text1"/>
          <w:sz w:val="24"/>
        </w:rPr>
        <w:t>). Wszystkie projekty inwestycyjne finansowane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tego komponentu, które wymagają decyzji</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OOŚ, muszą być zgodne</w:t>
      </w:r>
      <w:r w:rsidR="00A33B9F" w:rsidRPr="00A33B9F">
        <w:rPr>
          <w:rFonts w:ascii="Times New Roman" w:hAnsi="Times New Roman"/>
          <w:noProof/>
          <w:color w:val="000000" w:themeColor="text1"/>
          <w:sz w:val="24"/>
        </w:rPr>
        <w:t xml:space="preserve"> z dyr</w:t>
      </w:r>
      <w:r w:rsidRPr="00A33B9F">
        <w:rPr>
          <w:rFonts w:ascii="Times New Roman" w:hAnsi="Times New Roman"/>
          <w:noProof/>
          <w:color w:val="000000" w:themeColor="text1"/>
          <w:sz w:val="24"/>
        </w:rPr>
        <w:t>ektywą 2011/92/UE zmienioną dyrektywą 2014/52/UE</w:t>
      </w:r>
      <w:r w:rsidR="00A33B9F" w:rsidRPr="00A33B9F">
        <w:rPr>
          <w:rFonts w:ascii="Times New Roman" w:hAnsi="Times New Roman"/>
          <w:noProof/>
          <w:color w:val="000000" w:themeColor="text1"/>
          <w:sz w:val="24"/>
        </w:rPr>
        <w:t>. W szc</w:t>
      </w:r>
      <w:r w:rsidRPr="00A33B9F">
        <w:rPr>
          <w:rFonts w:ascii="Times New Roman" w:hAnsi="Times New Roman"/>
          <w:noProof/>
          <w:color w:val="000000" w:themeColor="text1"/>
          <w:sz w:val="24"/>
        </w:rPr>
        <w:t>zególności wszystkie nowe projekty, które wymagają OOŚ, muszą uzyskać zezwolenie na podstawie ustawy</w:t>
      </w:r>
      <w:r w:rsidR="00A33B9F" w:rsidRPr="00A33B9F">
        <w:rPr>
          <w:rFonts w:ascii="Times New Roman" w:hAnsi="Times New Roman"/>
          <w:noProof/>
          <w:color w:val="000000" w:themeColor="text1"/>
          <w:sz w:val="24"/>
        </w:rPr>
        <w:t xml:space="preserve"> o udo</w:t>
      </w:r>
      <w:r w:rsidRPr="00A33B9F">
        <w:rPr>
          <w:rFonts w:ascii="Times New Roman" w:hAnsi="Times New Roman"/>
          <w:noProof/>
          <w:color w:val="000000" w:themeColor="text1"/>
          <w:sz w:val="24"/>
        </w:rPr>
        <w:t>stępnianiu informacji</w:t>
      </w:r>
      <w:r w:rsidR="00A33B9F" w:rsidRPr="00A33B9F">
        <w:rPr>
          <w:rFonts w:ascii="Times New Roman" w:hAnsi="Times New Roman"/>
          <w:noProof/>
          <w:color w:val="000000" w:themeColor="text1"/>
          <w:sz w:val="24"/>
        </w:rPr>
        <w:t xml:space="preserve"> o śro</w:t>
      </w:r>
      <w:r w:rsidRPr="00A33B9F">
        <w:rPr>
          <w:rFonts w:ascii="Times New Roman" w:hAnsi="Times New Roman"/>
          <w:noProof/>
          <w:color w:val="000000" w:themeColor="text1"/>
          <w:sz w:val="24"/>
        </w:rPr>
        <w:t>dowisku</w:t>
      </w:r>
      <w:r w:rsidR="00A33B9F" w:rsidRPr="00A33B9F">
        <w:rPr>
          <w:rFonts w:ascii="Times New Roman" w:hAnsi="Times New Roman"/>
          <w:noProof/>
          <w:color w:val="000000" w:themeColor="text1"/>
          <w:sz w:val="24"/>
        </w:rPr>
        <w:t xml:space="preserve"> i jeg</w:t>
      </w:r>
      <w:r w:rsidRPr="00A33B9F">
        <w:rPr>
          <w:rFonts w:ascii="Times New Roman" w:hAnsi="Times New Roman"/>
          <w:noProof/>
          <w:color w:val="000000" w:themeColor="text1"/>
          <w:sz w:val="24"/>
        </w:rPr>
        <w:t>o ochronie, udziale społeczeństwa</w:t>
      </w:r>
      <w:r w:rsidR="00A33B9F" w:rsidRPr="00A33B9F">
        <w:rPr>
          <w:rFonts w:ascii="Times New Roman" w:hAnsi="Times New Roman"/>
          <w:noProof/>
          <w:color w:val="000000" w:themeColor="text1"/>
          <w:sz w:val="24"/>
        </w:rPr>
        <w:t xml:space="preserve"> w och</w:t>
      </w:r>
      <w:r w:rsidRPr="00A33B9F">
        <w:rPr>
          <w:rFonts w:ascii="Times New Roman" w:hAnsi="Times New Roman"/>
          <w:noProof/>
          <w:color w:val="000000" w:themeColor="text1"/>
          <w:sz w:val="24"/>
        </w:rPr>
        <w:t>ronie środowiska oraz</w:t>
      </w:r>
      <w:r w:rsidR="00A33B9F" w:rsidRPr="00A33B9F">
        <w:rPr>
          <w:rFonts w:ascii="Times New Roman" w:hAnsi="Times New Roman"/>
          <w:noProof/>
          <w:color w:val="000000" w:themeColor="text1"/>
          <w:sz w:val="24"/>
        </w:rPr>
        <w:t xml:space="preserve"> o oce</w:t>
      </w:r>
      <w:r w:rsidRPr="00A33B9F">
        <w:rPr>
          <w:rFonts w:ascii="Times New Roman" w:hAnsi="Times New Roman"/>
          <w:noProof/>
          <w:color w:val="000000" w:themeColor="text1"/>
          <w:sz w:val="24"/>
        </w:rPr>
        <w:t>nach oddziaływania na środowisko, zmienionej ustawą</w:t>
      </w:r>
      <w:r w:rsidR="00A33B9F" w:rsidRPr="00A33B9F">
        <w:rPr>
          <w:rFonts w:ascii="Times New Roman" w:hAnsi="Times New Roman"/>
          <w:noProof/>
          <w:color w:val="000000" w:themeColor="text1"/>
          <w:sz w:val="24"/>
        </w:rPr>
        <w:t xml:space="preserve"> z dni</w:t>
      </w:r>
      <w:r w:rsidRPr="00A33B9F">
        <w:rPr>
          <w:rFonts w:ascii="Times New Roman" w:hAnsi="Times New Roman"/>
          <w:noProof/>
          <w:color w:val="000000" w:themeColor="text1"/>
          <w:sz w:val="24"/>
        </w:rPr>
        <w:t>a 30 marca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r w:rsidR="00A33B9F" w:rsidRPr="00A33B9F">
        <w:rPr>
          <w:rFonts w:ascii="Times New Roman" w:hAnsi="Times New Roman"/>
          <w:noProof/>
          <w:color w:val="000000" w:themeColor="text1"/>
          <w:sz w:val="24"/>
        </w:rPr>
        <w:t xml:space="preserve"> o zmi</w:t>
      </w:r>
      <w:r w:rsidRPr="00A33B9F">
        <w:rPr>
          <w:rFonts w:ascii="Times New Roman" w:hAnsi="Times New Roman"/>
          <w:noProof/>
          <w:color w:val="000000" w:themeColor="text1"/>
          <w:sz w:val="24"/>
        </w:rPr>
        <w:t>anie tej ustawy oraz niektórych innych ustaw. Przy realizacji wszystkich projektów inwestycyjnych,</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których wniosek</w:t>
      </w:r>
      <w:r w:rsidR="00A33B9F" w:rsidRPr="00A33B9F">
        <w:rPr>
          <w:rFonts w:ascii="Times New Roman" w:hAnsi="Times New Roman"/>
          <w:noProof/>
          <w:color w:val="000000" w:themeColor="text1"/>
          <w:sz w:val="24"/>
        </w:rPr>
        <w:t xml:space="preserve"> o wyd</w:t>
      </w:r>
      <w:r w:rsidRPr="00A33B9F">
        <w:rPr>
          <w:rFonts w:ascii="Times New Roman" w:hAnsi="Times New Roman"/>
          <w:noProof/>
          <w:color w:val="000000" w:themeColor="text1"/>
          <w:sz w:val="24"/>
        </w:rPr>
        <w:t>anie decyzji środowiskowej lub pozwolenia na budowę lub rozbudowę złożono przed wejściem</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ustawy</w:t>
      </w:r>
      <w:r w:rsidR="00A33B9F" w:rsidRPr="00A33B9F">
        <w:rPr>
          <w:rFonts w:ascii="Times New Roman" w:hAnsi="Times New Roman"/>
          <w:noProof/>
          <w:color w:val="000000" w:themeColor="text1"/>
          <w:sz w:val="24"/>
        </w:rPr>
        <w:t xml:space="preserve"> z dni</w:t>
      </w:r>
      <w:r w:rsidRPr="00A33B9F">
        <w:rPr>
          <w:rFonts w:ascii="Times New Roman" w:hAnsi="Times New Roman"/>
          <w:noProof/>
          <w:color w:val="000000" w:themeColor="text1"/>
          <w:sz w:val="24"/>
        </w:rPr>
        <w:t>a 30 marca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uwzględnia się przepisy określone w „Wytycznych</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działań naprawczych</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projektów współfinansowanych</w:t>
      </w:r>
      <w:r w:rsidR="00A33B9F" w:rsidRPr="00A33B9F">
        <w:rPr>
          <w:rFonts w:ascii="Times New Roman" w:hAnsi="Times New Roman"/>
          <w:noProof/>
          <w:color w:val="000000" w:themeColor="text1"/>
          <w:sz w:val="24"/>
        </w:rPr>
        <w:t xml:space="preserve"> z fun</w:t>
      </w:r>
      <w:r w:rsidRPr="00A33B9F">
        <w:rPr>
          <w:rFonts w:ascii="Times New Roman" w:hAnsi="Times New Roman"/>
          <w:noProof/>
          <w:color w:val="000000" w:themeColor="text1"/>
          <w:sz w:val="24"/>
        </w:rPr>
        <w:t>duszy UE, których dotyczy naruszenie 2016/2046”, przekazanych Polsce</w:t>
      </w:r>
      <w:r w:rsidR="00A33B9F" w:rsidRPr="00A33B9F">
        <w:rPr>
          <w:rFonts w:ascii="Times New Roman" w:hAnsi="Times New Roman"/>
          <w:noProof/>
          <w:color w:val="000000" w:themeColor="text1"/>
          <w:sz w:val="24"/>
        </w:rPr>
        <w:t xml:space="preserve"> w 2</w:t>
      </w:r>
      <w:r w:rsidRPr="00A33B9F">
        <w:rPr>
          <w:rFonts w:ascii="Times New Roman" w:hAnsi="Times New Roman"/>
          <w:noProof/>
          <w:color w:val="000000" w:themeColor="text1"/>
          <w:sz w:val="24"/>
        </w:rPr>
        <w:t>3 lutego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(nr ref. Ares(2021)1423319). Wspierane będą wyłącznie projekty, które nie prowadzą do pogorszenia stanu wód powierzchniowych</w:t>
      </w:r>
      <w:r w:rsidR="00A33B9F" w:rsidRPr="00A33B9F">
        <w:rPr>
          <w:rFonts w:ascii="Times New Roman" w:hAnsi="Times New Roman"/>
          <w:noProof/>
          <w:color w:val="000000" w:themeColor="text1"/>
          <w:sz w:val="24"/>
        </w:rPr>
        <w:t xml:space="preserve"> i gru</w:t>
      </w:r>
      <w:r w:rsidRPr="00A33B9F">
        <w:rPr>
          <w:rFonts w:ascii="Times New Roman" w:hAnsi="Times New Roman"/>
          <w:noProof/>
          <w:color w:val="000000" w:themeColor="text1"/>
          <w:sz w:val="24"/>
        </w:rPr>
        <w:t xml:space="preserve">ntowych oraz nie uniemożliwiają poprawy stanu lub potencjału ekologicznego odnośnych jednolitych części wód. </w:t>
      </w:r>
    </w:p>
    <w:p w14:paraId="032F414F" w14:textId="5D10ED68" w:rsidR="007C4506" w:rsidRPr="00A33B9F" w:rsidRDefault="5FFBC238"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Wszelkie inwestycje mające negatywny wpływ na przyrodę będą wyłączone ze wsparcia</w:t>
      </w:r>
      <w:r w:rsidR="00A33B9F" w:rsidRPr="00A33B9F">
        <w:rPr>
          <w:rFonts w:ascii="Times New Roman" w:hAnsi="Times New Roman"/>
          <w:noProof/>
          <w:color w:val="000000" w:themeColor="text1"/>
          <w:sz w:val="24"/>
        </w:rPr>
        <w:t>. W prz</w:t>
      </w:r>
      <w:r w:rsidRPr="00A33B9F">
        <w:rPr>
          <w:rFonts w:ascii="Times New Roman" w:hAnsi="Times New Roman"/>
          <w:noProof/>
          <w:color w:val="000000" w:themeColor="text1"/>
          <w:sz w:val="24"/>
        </w:rPr>
        <w:t>ypadku poboru wody właściwy organ musi udzielić odpowiedniego pozwolenia na pobór wody, które gwarantuje dobry stan ekologiczny odnośnych zbiorników wodnych oraz</w:t>
      </w:r>
      <w:r w:rsidR="00A33B9F" w:rsidRPr="00A33B9F">
        <w:rPr>
          <w:rFonts w:ascii="Times New Roman" w:hAnsi="Times New Roman"/>
          <w:noProof/>
          <w:color w:val="000000" w:themeColor="text1"/>
          <w:sz w:val="24"/>
        </w:rPr>
        <w:t xml:space="preserve"> w któ</w:t>
      </w:r>
      <w:r w:rsidRPr="00A33B9F">
        <w:rPr>
          <w:rFonts w:ascii="Times New Roman" w:hAnsi="Times New Roman"/>
          <w:noProof/>
          <w:color w:val="000000" w:themeColor="text1"/>
          <w:sz w:val="24"/>
        </w:rPr>
        <w:t>rym określone są warunki zapobiegające pogorszeniu stanu tych zbiorników, zgodnie</w:t>
      </w:r>
      <w:r w:rsidR="00A33B9F" w:rsidRPr="00A33B9F">
        <w:rPr>
          <w:rFonts w:ascii="Times New Roman" w:hAnsi="Times New Roman"/>
          <w:noProof/>
          <w:color w:val="000000" w:themeColor="text1"/>
          <w:sz w:val="24"/>
        </w:rPr>
        <w:t xml:space="preserve"> z wym</w:t>
      </w:r>
      <w:r w:rsidRPr="00A33B9F">
        <w:rPr>
          <w:rFonts w:ascii="Times New Roman" w:hAnsi="Times New Roman"/>
          <w:noProof/>
          <w:color w:val="000000" w:themeColor="text1"/>
          <w:sz w:val="24"/>
        </w:rPr>
        <w:t>ogami dyrektywy 2000/60/WE oraz</w:t>
      </w:r>
      <w:r w:rsidR="00A33B9F" w:rsidRPr="00A33B9F">
        <w:rPr>
          <w:rFonts w:ascii="Times New Roman" w:hAnsi="Times New Roman"/>
          <w:noProof/>
          <w:color w:val="000000" w:themeColor="text1"/>
          <w:sz w:val="24"/>
        </w:rPr>
        <w:t xml:space="preserve"> z wym</w:t>
      </w:r>
      <w:r w:rsidRPr="00A33B9F">
        <w:rPr>
          <w:rFonts w:ascii="Times New Roman" w:hAnsi="Times New Roman"/>
          <w:noProof/>
          <w:color w:val="000000" w:themeColor="text1"/>
          <w:sz w:val="24"/>
        </w:rPr>
        <w:t>ogami określonymi</w:t>
      </w:r>
      <w:r w:rsidR="00A33B9F" w:rsidRPr="00A33B9F">
        <w:rPr>
          <w:rFonts w:ascii="Times New Roman" w:hAnsi="Times New Roman"/>
          <w:noProof/>
          <w:color w:val="000000" w:themeColor="text1"/>
          <w:sz w:val="24"/>
        </w:rPr>
        <w:t xml:space="preserve"> w wyt</w:t>
      </w:r>
      <w:r w:rsidRPr="00A33B9F">
        <w:rPr>
          <w:rFonts w:ascii="Times New Roman" w:hAnsi="Times New Roman"/>
          <w:noProof/>
          <w:color w:val="000000" w:themeColor="text1"/>
          <w:sz w:val="24"/>
        </w:rPr>
        <w:t>ycznych technicznych dotyczących stosowania zasady „nie czyń poważnych szkód”; jako dowód należy udostępnić najnowsze odpowiednie dane potwierdzające. Należy unikać poboru wody,</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gdy stan lub potencjał odnośnych jednolitych części wód (powierzchniowych lub gruntowych) jest gorszy niż dobry lub gdy przewiduje się (w kontekście nasilającej się zmiany klimatu), że będzie on gorszy niż dobry. Działania te będą również zgodne</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episami dyrektywy 2009/147/WE</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ochrony dzikiego ptactwa (dyrektywa ptasia) oraz dyrektywy 92/43/EWG</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ochrony siedlisk przyrodniczych oraz dzikiej fauny</w:t>
      </w:r>
      <w:r w:rsidR="00A33B9F" w:rsidRPr="00A33B9F">
        <w:rPr>
          <w:rFonts w:ascii="Times New Roman" w:hAnsi="Times New Roman"/>
          <w:noProof/>
          <w:color w:val="000000" w:themeColor="text1"/>
          <w:sz w:val="24"/>
        </w:rPr>
        <w:t xml:space="preserve"> i flo</w:t>
      </w:r>
      <w:r w:rsidRPr="00A33B9F">
        <w:rPr>
          <w:rFonts w:ascii="Times New Roman" w:hAnsi="Times New Roman"/>
          <w:noProof/>
          <w:color w:val="000000" w:themeColor="text1"/>
          <w:sz w:val="24"/>
        </w:rPr>
        <w:t>ry (dyrektywa siedliskowa).</w:t>
      </w:r>
    </w:p>
    <w:p w14:paraId="4168DB18" w14:textId="5219B3E7" w:rsidR="007C4506" w:rsidRPr="00A33B9F" w:rsidRDefault="4063D489" w:rsidP="7B41714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31 grudnia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D3BEE8F" w14:textId="0B53BEAA" w:rsidR="007C4506" w:rsidRPr="00A33B9F" w:rsidRDefault="007C4506" w:rsidP="00E118E1">
      <w:pPr>
        <w:pStyle w:val="Normal0"/>
        <w:pBdr>
          <w:top w:val="nil"/>
          <w:left w:val="nil"/>
          <w:bottom w:val="nil"/>
          <w:right w:val="nil"/>
          <w:between w:val="nil"/>
        </w:pBdr>
        <w:spacing w:before="120" w:after="120" w:line="240" w:lineRule="auto"/>
        <w:rPr>
          <w:rFonts w:ascii="Times New Roman" w:eastAsia="Times New Roman" w:hAnsi="Times New Roman" w:cs="Times New Roman"/>
          <w:noProof/>
          <w:color w:val="000000"/>
          <w:sz w:val="24"/>
          <w:szCs w:val="24"/>
          <w:u w:val="single"/>
        </w:rPr>
      </w:pPr>
    </w:p>
    <w:p w14:paraId="26C629DF" w14:textId="77777777" w:rsidR="00272682" w:rsidRPr="00A33B9F" w:rsidRDefault="00272682" w:rsidP="00E118E1">
      <w:pPr>
        <w:pStyle w:val="Normal0"/>
        <w:pBdr>
          <w:top w:val="nil"/>
          <w:left w:val="nil"/>
          <w:bottom w:val="nil"/>
          <w:right w:val="nil"/>
          <w:between w:val="nil"/>
        </w:pBdr>
        <w:spacing w:before="120" w:after="120" w:line="240" w:lineRule="auto"/>
        <w:rPr>
          <w:rFonts w:ascii="Times New Roman" w:eastAsia="Times New Roman" w:hAnsi="Times New Roman" w:cs="Times New Roman"/>
          <w:noProof/>
          <w:color w:val="000000"/>
          <w:sz w:val="24"/>
          <w:szCs w:val="24"/>
          <w:u w:val="single"/>
        </w:rPr>
      </w:pPr>
    </w:p>
    <w:p w14:paraId="41437320" w14:textId="77777777" w:rsidR="007C4506" w:rsidRPr="00A33B9F" w:rsidRDefault="00B31839" w:rsidP="00E118E1">
      <w:pPr>
        <w:pStyle w:val="Normal0"/>
        <w:pBdr>
          <w:top w:val="nil"/>
          <w:left w:val="nil"/>
          <w:bottom w:val="nil"/>
          <w:right w:val="nil"/>
          <w:between w:val="nil"/>
        </w:pBdr>
        <w:spacing w:before="120" w:after="120" w:line="240" w:lineRule="auto"/>
        <w:rPr>
          <w:rFonts w:ascii="Times New Roman" w:eastAsia="Times New Roman" w:hAnsi="Times New Roman" w:cs="Times New Roman"/>
          <w:b/>
          <w:noProof/>
          <w:color w:val="006100"/>
        </w:rPr>
      </w:pPr>
      <w:r w:rsidRPr="00A33B9F">
        <w:rPr>
          <w:rFonts w:ascii="Times New Roman" w:hAnsi="Times New Roman"/>
          <w:b/>
          <w:noProof/>
          <w:color w:val="000000"/>
          <w:sz w:val="24"/>
          <w:u w:val="single"/>
        </w:rPr>
        <w:t>B3.4 Inwestycje na rzecz kompleksowej zielonej transformacji miast</w:t>
      </w:r>
    </w:p>
    <w:p w14:paraId="4A8271D5" w14:textId="41601063"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wsparcie zdolności miast</w:t>
      </w:r>
      <w:r w:rsidR="00A33B9F" w:rsidRPr="00A33B9F">
        <w:rPr>
          <w:rFonts w:ascii="Times New Roman" w:hAnsi="Times New Roman"/>
          <w:noProof/>
          <w:color w:val="000000"/>
          <w:sz w:val="24"/>
        </w:rPr>
        <w:t xml:space="preserve"> w zak</w:t>
      </w:r>
      <w:r w:rsidRPr="00A33B9F">
        <w:rPr>
          <w:rFonts w:ascii="Times New Roman" w:hAnsi="Times New Roman"/>
          <w:noProof/>
          <w:color w:val="000000"/>
          <w:sz w:val="24"/>
        </w:rPr>
        <w:t>resie ustalania priorytetów, planowania, realizacji</w:t>
      </w:r>
      <w:r w:rsidR="00A33B9F" w:rsidRPr="00A33B9F">
        <w:rPr>
          <w:rFonts w:ascii="Times New Roman" w:hAnsi="Times New Roman"/>
          <w:noProof/>
          <w:color w:val="000000"/>
          <w:sz w:val="24"/>
        </w:rPr>
        <w:t xml:space="preserve"> i fin</w:t>
      </w:r>
      <w:r w:rsidRPr="00A33B9F">
        <w:rPr>
          <w:rFonts w:ascii="Times New Roman" w:hAnsi="Times New Roman"/>
          <w:noProof/>
          <w:color w:val="000000"/>
          <w:sz w:val="24"/>
        </w:rPr>
        <w:t>ansowania projektów inwestycyjnych mających na celu łagodzenie zmiany klimatu</w:t>
      </w:r>
      <w:r w:rsidR="00A33B9F" w:rsidRPr="00A33B9F">
        <w:rPr>
          <w:rFonts w:ascii="Times New Roman" w:hAnsi="Times New Roman"/>
          <w:noProof/>
          <w:color w:val="000000"/>
          <w:sz w:val="24"/>
        </w:rPr>
        <w:t xml:space="preserve"> i dos</w:t>
      </w:r>
      <w:r w:rsidRPr="00A33B9F">
        <w:rPr>
          <w:rFonts w:ascii="Times New Roman" w:hAnsi="Times New Roman"/>
          <w:noProof/>
          <w:color w:val="000000"/>
          <w:sz w:val="24"/>
        </w:rPr>
        <w:t>tosowywanie się do niej zgodnie</w:t>
      </w:r>
      <w:r w:rsidR="00A33B9F" w:rsidRPr="00A33B9F">
        <w:rPr>
          <w:rFonts w:ascii="Times New Roman" w:hAnsi="Times New Roman"/>
          <w:noProof/>
          <w:color w:val="000000"/>
          <w:sz w:val="24"/>
        </w:rPr>
        <w:t xml:space="preserve"> z Eur</w:t>
      </w:r>
      <w:r w:rsidRPr="00A33B9F">
        <w:rPr>
          <w:rFonts w:ascii="Times New Roman" w:hAnsi="Times New Roman"/>
          <w:noProof/>
          <w:color w:val="000000"/>
          <w:sz w:val="24"/>
        </w:rPr>
        <w:t>opejskim Zielonym Ładem. Celem reformy</w:t>
      </w:r>
      <w:r w:rsidR="00A33B9F" w:rsidRPr="00A33B9F">
        <w:rPr>
          <w:rFonts w:ascii="Times New Roman" w:hAnsi="Times New Roman"/>
          <w:noProof/>
          <w:color w:val="000000"/>
          <w:sz w:val="24"/>
        </w:rPr>
        <w:t xml:space="preserve"> i zwi</w:t>
      </w:r>
      <w:r w:rsidRPr="00A33B9F">
        <w:rPr>
          <w:rFonts w:ascii="Times New Roman" w:hAnsi="Times New Roman"/>
          <w:noProof/>
          <w:color w:val="000000"/>
          <w:sz w:val="24"/>
        </w:rPr>
        <w:t>ązanych</w:t>
      </w:r>
      <w:r w:rsidR="00A33B9F" w:rsidRPr="00A33B9F">
        <w:rPr>
          <w:rFonts w:ascii="Times New Roman" w:hAnsi="Times New Roman"/>
          <w:noProof/>
          <w:color w:val="000000"/>
          <w:sz w:val="24"/>
        </w:rPr>
        <w:t xml:space="preserve"> z nią</w:t>
      </w:r>
      <w:r w:rsidRPr="00A33B9F">
        <w:rPr>
          <w:rFonts w:ascii="Times New Roman" w:hAnsi="Times New Roman"/>
          <w:noProof/>
          <w:color w:val="000000"/>
          <w:sz w:val="24"/>
        </w:rPr>
        <w:t xml:space="preserve"> inwestycji jest przede wszystkim zwiększenie udziału terenów zieleni</w:t>
      </w:r>
      <w:r w:rsidR="00A33B9F" w:rsidRPr="00A33B9F">
        <w:rPr>
          <w:rFonts w:ascii="Times New Roman" w:hAnsi="Times New Roman"/>
          <w:noProof/>
          <w:color w:val="000000"/>
          <w:sz w:val="24"/>
        </w:rPr>
        <w:t xml:space="preserve"> w mia</w:t>
      </w:r>
      <w:r w:rsidRPr="00A33B9F">
        <w:rPr>
          <w:rFonts w:ascii="Times New Roman" w:hAnsi="Times New Roman"/>
          <w:noProof/>
          <w:color w:val="000000"/>
          <w:sz w:val="24"/>
        </w:rPr>
        <w:t xml:space="preserve">stach. </w:t>
      </w:r>
    </w:p>
    <w:p w14:paraId="51AD9850" w14:textId="3D996F85"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sz w:val="24"/>
        </w:rPr>
        <w:t>Zbiór</w:t>
      </w:r>
      <w:r w:rsidRPr="00A33B9F">
        <w:rPr>
          <w:rFonts w:ascii="Times New Roman" w:hAnsi="Times New Roman"/>
          <w:noProof/>
          <w:color w:val="000000" w:themeColor="text1"/>
          <w:sz w:val="24"/>
        </w:rPr>
        <w:t xml:space="preserve"> zmian legislacyjnych zapewni lepsze uwzględnienie aspektów zrównoważonego rozwoju</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cedurach planowania przestrzeni miejskiej oraz odpowiednie konsultacje</w:t>
      </w:r>
      <w:r w:rsidR="00A33B9F" w:rsidRPr="00A33B9F">
        <w:rPr>
          <w:rFonts w:ascii="Times New Roman" w:hAnsi="Times New Roman"/>
          <w:noProof/>
          <w:color w:val="000000" w:themeColor="text1"/>
          <w:sz w:val="24"/>
        </w:rPr>
        <w:t xml:space="preserve"> z zai</w:t>
      </w:r>
      <w:r w:rsidRPr="00A33B9F">
        <w:rPr>
          <w:rFonts w:ascii="Times New Roman" w:hAnsi="Times New Roman"/>
          <w:noProof/>
          <w:color w:val="000000" w:themeColor="text1"/>
          <w:sz w:val="24"/>
        </w:rPr>
        <w:t>nteresowanymi stronami</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tych procedur.</w:t>
      </w:r>
      <w:r w:rsidR="00C3621A" w:rsidRPr="00A33B9F">
        <w:rPr>
          <w:rFonts w:ascii="Times New Roman" w:hAnsi="Times New Roman"/>
          <w:noProof/>
          <w:color w:val="000000" w:themeColor="text1"/>
          <w:sz w:val="24"/>
        </w:rPr>
        <w:t xml:space="preserve"> </w:t>
      </w:r>
      <w:r w:rsidRPr="00A33B9F">
        <w:rPr>
          <w:rFonts w:ascii="Times New Roman" w:hAnsi="Times New Roman"/>
          <w:noProof/>
          <w:color w:val="000000" w:themeColor="text1"/>
          <w:sz w:val="24"/>
        </w:rPr>
        <w:t>Ponadto zapewnione zostanie odpowiednie wsparcie dla samorządów terytorialnych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zdolności do określania priorytetów, planowania</w:t>
      </w:r>
      <w:r w:rsidR="00A33B9F" w:rsidRPr="00A33B9F">
        <w:rPr>
          <w:rFonts w:ascii="Times New Roman" w:hAnsi="Times New Roman"/>
          <w:noProof/>
          <w:color w:val="000000" w:themeColor="text1"/>
          <w:sz w:val="24"/>
        </w:rPr>
        <w:t xml:space="preserve"> i rea</w:t>
      </w:r>
      <w:r w:rsidRPr="00A33B9F">
        <w:rPr>
          <w:rFonts w:ascii="Times New Roman" w:hAnsi="Times New Roman"/>
          <w:noProof/>
          <w:color w:val="000000" w:themeColor="text1"/>
          <w:sz w:val="24"/>
        </w:rPr>
        <w:t>lizacji projektów dotyczących łagodzenia zmiany klimatu</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ystosowywania się do niej. Takie elementy regulacyjne</w:t>
      </w:r>
      <w:r w:rsidR="00A33B9F" w:rsidRPr="00A33B9F">
        <w:rPr>
          <w:rFonts w:ascii="Times New Roman" w:hAnsi="Times New Roman"/>
          <w:noProof/>
          <w:color w:val="000000" w:themeColor="text1"/>
          <w:sz w:val="24"/>
        </w:rPr>
        <w:t xml:space="preserve"> i ele</w:t>
      </w:r>
      <w:r w:rsidRPr="00A33B9F">
        <w:rPr>
          <w:rFonts w:ascii="Times New Roman" w:hAnsi="Times New Roman"/>
          <w:noProof/>
          <w:color w:val="000000" w:themeColor="text1"/>
          <w:sz w:val="24"/>
        </w:rPr>
        <w:t>menty budowania zdolności zostaną uzupełnione specjalnym instrumentem ukierunkowanym na finansowanie inwestycji związanych</w:t>
      </w:r>
      <w:r w:rsidR="00A33B9F" w:rsidRPr="00A33B9F">
        <w:rPr>
          <w:rFonts w:ascii="Times New Roman" w:hAnsi="Times New Roman"/>
          <w:noProof/>
          <w:color w:val="000000" w:themeColor="text1"/>
          <w:sz w:val="24"/>
        </w:rPr>
        <w:t xml:space="preserve"> z zie</w:t>
      </w:r>
      <w:r w:rsidRPr="00A33B9F">
        <w:rPr>
          <w:rFonts w:ascii="Times New Roman" w:hAnsi="Times New Roman"/>
          <w:noProof/>
          <w:color w:val="000000" w:themeColor="text1"/>
          <w:sz w:val="24"/>
        </w:rPr>
        <w:t xml:space="preserve">loną transformacją obszarów miejskich. </w:t>
      </w:r>
    </w:p>
    <w:p w14:paraId="089EA5EC" w14:textId="335F9ECD" w:rsidR="0E9B6D53" w:rsidRPr="00A33B9F" w:rsidRDefault="7C461E41" w:rsidP="28D0ECD1">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zapewnić zgodność środka</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(2021/C 58/01), kryteria kwalifikowalności projektów wykluczają następujący wykaz działań: (i) działania związane</w:t>
      </w:r>
      <w:r w:rsidR="00A33B9F" w:rsidRPr="00A33B9F">
        <w:rPr>
          <w:rFonts w:ascii="Times New Roman" w:hAnsi="Times New Roman"/>
          <w:noProof/>
          <w:color w:val="000000" w:themeColor="text1"/>
          <w:sz w:val="24"/>
        </w:rPr>
        <w:t xml:space="preserve"> z pal</w:t>
      </w:r>
      <w:r w:rsidRPr="00A33B9F">
        <w:rPr>
          <w:rFonts w:ascii="Times New Roman" w:hAnsi="Times New Roman"/>
          <w:noProof/>
          <w:color w:val="000000" w:themeColor="text1"/>
          <w:sz w:val="24"/>
        </w:rPr>
        <w:t>iwami kopalnymi,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zastosowania niższego szczebla</w:t>
      </w:r>
      <w:r w:rsidRPr="00A33B9F">
        <w:rPr>
          <w:rStyle w:val="FootnoteReference"/>
          <w:rFonts w:ascii="Times New Roman" w:eastAsia="Times New Roman" w:hAnsi="Times New Roman" w:cs="Times New Roman"/>
          <w:noProof/>
          <w:color w:val="000000" w:themeColor="text1"/>
          <w:sz w:val="24"/>
          <w:szCs w:val="24"/>
        </w:rPr>
        <w:footnoteReference w:id="20"/>
      </w:r>
      <w:r w:rsidRPr="00A33B9F">
        <w:rPr>
          <w:rFonts w:ascii="Times New Roman" w:hAnsi="Times New Roman"/>
          <w:noProof/>
          <w:color w:val="000000" w:themeColor="text1"/>
          <w:sz w:val="24"/>
        </w:rPr>
        <w:t>; (ii) działania</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unijnego systemu handlu uprawnieniami do emisji (ETS) prowadzące do osiągnięcia prognozowanych emisji gazów cieplarnianych nie niższych niż odpowiednie wskaźniki emisyjności</w:t>
      </w:r>
      <w:r w:rsidRPr="00A33B9F">
        <w:rPr>
          <w:rStyle w:val="FootnoteReference"/>
          <w:rFonts w:ascii="Times New Roman" w:eastAsia="Times New Roman" w:hAnsi="Times New Roman" w:cs="Times New Roman"/>
          <w:noProof/>
          <w:color w:val="000000" w:themeColor="text1"/>
          <w:sz w:val="24"/>
          <w:szCs w:val="24"/>
        </w:rPr>
        <w:footnoteReference w:id="21"/>
      </w:r>
      <w:r w:rsidRPr="00A33B9F">
        <w:rPr>
          <w:rFonts w:ascii="Times New Roman" w:hAnsi="Times New Roman"/>
          <w:noProof/>
          <w:color w:val="000000" w:themeColor="text1"/>
          <w:sz w:val="24"/>
        </w:rPr>
        <w:t>; (iii) działalność związana ze składowiskami odpadów, spalarniami</w:t>
      </w:r>
      <w:r w:rsidRPr="00A33B9F">
        <w:rPr>
          <w:rStyle w:val="FootnoteReference"/>
          <w:rFonts w:ascii="Times New Roman" w:eastAsia="Times New Roman" w:hAnsi="Times New Roman" w:cs="Times New Roman"/>
          <w:noProof/>
          <w:color w:val="000000" w:themeColor="text1"/>
          <w:sz w:val="24"/>
          <w:szCs w:val="24"/>
        </w:rPr>
        <w:footnoteReference w:id="22"/>
      </w:r>
      <w:r w:rsidR="00A33B9F" w:rsidRPr="00A33B9F">
        <w:rPr>
          <w:rFonts w:ascii="Times New Roman" w:hAnsi="Times New Roman"/>
          <w:noProof/>
          <w:color w:val="000000" w:themeColor="text1"/>
          <w:sz w:val="24"/>
        </w:rPr>
        <w:t xml:space="preserve"> i zak</w:t>
      </w:r>
      <w:r w:rsidRPr="00A33B9F">
        <w:rPr>
          <w:rFonts w:ascii="Times New Roman" w:hAnsi="Times New Roman"/>
          <w:noProof/>
          <w:color w:val="000000" w:themeColor="text1"/>
          <w:sz w:val="24"/>
        </w:rPr>
        <w:t>ładami mechaniczno-biologicznego przetwarzania odpadów</w:t>
      </w:r>
      <w:r w:rsidRPr="00A33B9F">
        <w:rPr>
          <w:rStyle w:val="FootnoteReference"/>
          <w:rFonts w:ascii="Times New Roman" w:eastAsia="Times New Roman" w:hAnsi="Times New Roman" w:cs="Times New Roman"/>
          <w:noProof/>
          <w:color w:val="000000" w:themeColor="text1"/>
          <w:sz w:val="24"/>
          <w:szCs w:val="24"/>
        </w:rPr>
        <w:footnoteReference w:id="23"/>
      </w:r>
      <w:r w:rsidRPr="00A33B9F">
        <w:rPr>
          <w:rFonts w:ascii="Times New Roman" w:hAnsi="Times New Roman"/>
          <w:noProof/>
          <w:color w:val="000000" w:themeColor="text1"/>
          <w:sz w:val="24"/>
        </w:rPr>
        <w:t xml:space="preserve"> oraz (iv) działania,</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których długoterminowe unieszkodliwianie odpadów może szkodzić środowisku naturalnemu</w:t>
      </w:r>
      <w:r w:rsidR="00A33B9F" w:rsidRPr="00A33B9F">
        <w:rPr>
          <w:rFonts w:ascii="Times New Roman" w:hAnsi="Times New Roman"/>
          <w:noProof/>
          <w:color w:val="000000" w:themeColor="text1"/>
          <w:sz w:val="24"/>
        </w:rPr>
        <w:t>. W zak</w:t>
      </w:r>
      <w:r w:rsidRPr="00A33B9F">
        <w:rPr>
          <w:rFonts w:ascii="Times New Roman" w:hAnsi="Times New Roman"/>
          <w:noProof/>
          <w:color w:val="000000" w:themeColor="text1"/>
          <w:sz w:val="24"/>
        </w:rPr>
        <w:t>resie zadań znajduje się dodatkowy wymóg, aby wybierane były tylko te działania, które są zgodne</w:t>
      </w:r>
      <w:r w:rsidR="00A33B9F" w:rsidRPr="00A33B9F">
        <w:rPr>
          <w:rFonts w:ascii="Times New Roman" w:hAnsi="Times New Roman"/>
          <w:noProof/>
          <w:color w:val="000000" w:themeColor="text1"/>
          <w:sz w:val="24"/>
        </w:rPr>
        <w:t xml:space="preserve"> z odp</w:t>
      </w:r>
      <w:r w:rsidRPr="00A33B9F">
        <w:rPr>
          <w:rFonts w:ascii="Times New Roman" w:hAnsi="Times New Roman"/>
          <w:noProof/>
          <w:color w:val="000000" w:themeColor="text1"/>
          <w:sz w:val="24"/>
        </w:rPr>
        <w:t>owiednimi unijnymi</w:t>
      </w:r>
      <w:r w:rsidR="00A33B9F" w:rsidRPr="00A33B9F">
        <w:rPr>
          <w:rFonts w:ascii="Times New Roman" w:hAnsi="Times New Roman"/>
          <w:noProof/>
          <w:color w:val="000000" w:themeColor="text1"/>
          <w:sz w:val="24"/>
        </w:rPr>
        <w:t xml:space="preserve"> i kra</w:t>
      </w:r>
      <w:r w:rsidRPr="00A33B9F">
        <w:rPr>
          <w:rFonts w:ascii="Times New Roman" w:hAnsi="Times New Roman"/>
          <w:noProof/>
          <w:color w:val="000000" w:themeColor="text1"/>
          <w:sz w:val="24"/>
        </w:rPr>
        <w:t>jowymi przepisami dotyczącymi ochrony środowiska.</w:t>
      </w:r>
    </w:p>
    <w:p w14:paraId="0224B4F0" w14:textId="3B44FD84" w:rsidR="007C4506" w:rsidRPr="00A33B9F" w:rsidRDefault="00B31839" w:rsidP="00E118E1">
      <w:pPr>
        <w:pStyle w:val="Normal0"/>
        <w:pBdr>
          <w:top w:val="nil"/>
          <w:left w:val="nil"/>
          <w:bottom w:val="nil"/>
          <w:right w:val="nil"/>
          <w:between w:val="nil"/>
        </w:pBdr>
        <w:spacing w:before="120" w:after="120" w:line="240" w:lineRule="auto"/>
        <w:rPr>
          <w:rFonts w:ascii="Times New Roman" w:eastAsia="Times New Roman" w:hAnsi="Times New Roman" w:cs="Times New Roman"/>
          <w:noProof/>
          <w:color w:val="000000"/>
        </w:rPr>
      </w:pPr>
      <w:r w:rsidRPr="00A33B9F">
        <w:rPr>
          <w:rFonts w:ascii="Times New Roman" w:hAnsi="Times New Roman"/>
          <w:noProof/>
          <w:color w:val="000000" w:themeColor="text1"/>
          <w:sz w:val="24"/>
        </w:rPr>
        <w:t>Zmiany legislacyjne mające na celu wsparcie inwestycji</w:t>
      </w:r>
      <w:r w:rsidR="00A33B9F" w:rsidRPr="00A33B9F">
        <w:rPr>
          <w:rFonts w:ascii="Times New Roman" w:hAnsi="Times New Roman"/>
          <w:noProof/>
          <w:color w:val="000000" w:themeColor="text1"/>
          <w:sz w:val="24"/>
        </w:rPr>
        <w:t xml:space="preserve"> w zie</w:t>
      </w:r>
      <w:r w:rsidRPr="00A33B9F">
        <w:rPr>
          <w:rFonts w:ascii="Times New Roman" w:hAnsi="Times New Roman"/>
          <w:noProof/>
          <w:color w:val="000000" w:themeColor="text1"/>
          <w:sz w:val="24"/>
        </w:rPr>
        <w:t>lone miasta wejdą</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do dnia 31 grudnia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Fundusz Zielonej Transformacji Miast zostanie utworzony do dnia 30 czerwca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17D90299" w14:textId="7D20BECC" w:rsidR="007C4506" w:rsidRPr="00A33B9F" w:rsidRDefault="522DEB2C" w:rsidP="00E118E1">
      <w:pPr>
        <w:pStyle w:val="Normal0"/>
        <w:pBdr>
          <w:top w:val="nil"/>
          <w:left w:val="nil"/>
          <w:bottom w:val="nil"/>
          <w:right w:val="nil"/>
          <w:between w:val="nil"/>
        </w:pBdr>
        <w:spacing w:before="120" w:after="120" w:line="240" w:lineRule="auto"/>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themeColor="text1"/>
          <w:sz w:val="24"/>
          <w:u w:val="single"/>
        </w:rPr>
        <w:t>B3.4.1 Inwestycje na rzecz zielonej transformacji miast</w:t>
      </w:r>
    </w:p>
    <w:p w14:paraId="4C99C74E" w14:textId="482BFCA9" w:rsidR="007C4506" w:rsidRPr="00A33B9F" w:rsidRDefault="31E90281"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inwestycji jest złagodzenie wpływu miast na zmianę klimatu</w:t>
      </w:r>
      <w:r w:rsidR="00A33B9F" w:rsidRPr="00A33B9F">
        <w:rPr>
          <w:rFonts w:ascii="Times New Roman" w:hAnsi="Times New Roman"/>
          <w:noProof/>
          <w:color w:val="000000" w:themeColor="text1"/>
          <w:sz w:val="24"/>
        </w:rPr>
        <w:t xml:space="preserve"> i zdr</w:t>
      </w:r>
      <w:r w:rsidRPr="00A33B9F">
        <w:rPr>
          <w:rFonts w:ascii="Times New Roman" w:hAnsi="Times New Roman"/>
          <w:noProof/>
          <w:color w:val="000000" w:themeColor="text1"/>
          <w:sz w:val="24"/>
        </w:rPr>
        <w:t>owie ich mieszkańców przez obniżenie emisji gazów cieplarnianych</w:t>
      </w:r>
      <w:r w:rsidR="00A33B9F" w:rsidRPr="00A33B9F">
        <w:rPr>
          <w:rFonts w:ascii="Times New Roman" w:hAnsi="Times New Roman"/>
          <w:noProof/>
          <w:color w:val="000000" w:themeColor="text1"/>
          <w:sz w:val="24"/>
        </w:rPr>
        <w:t xml:space="preserve"> i inn</w:t>
      </w:r>
      <w:r w:rsidRPr="00A33B9F">
        <w:rPr>
          <w:rFonts w:ascii="Times New Roman" w:hAnsi="Times New Roman"/>
          <w:noProof/>
          <w:color w:val="000000" w:themeColor="text1"/>
          <w:sz w:val="24"/>
        </w:rPr>
        <w:t>ych zanieczyszczeń,</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zwiększenie odporności energetycznej miast</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eciwdziałanie ubóstwu energetycznemu. Ma ona również na celu przystosowanie miast do coraz częściej występujących ekstremalnych warunków pogodowych związanych ze zmianą klimatu, takich jak susze, fale upałów</w:t>
      </w:r>
      <w:r w:rsidR="00A33B9F" w:rsidRPr="00A33B9F">
        <w:rPr>
          <w:rFonts w:ascii="Times New Roman" w:hAnsi="Times New Roman"/>
          <w:noProof/>
          <w:color w:val="000000" w:themeColor="text1"/>
          <w:sz w:val="24"/>
        </w:rPr>
        <w:t xml:space="preserve"> i pow</w:t>
      </w:r>
      <w:r w:rsidRPr="00A33B9F">
        <w:rPr>
          <w:rFonts w:ascii="Times New Roman" w:hAnsi="Times New Roman"/>
          <w:noProof/>
          <w:color w:val="000000" w:themeColor="text1"/>
          <w:sz w:val="24"/>
        </w:rPr>
        <w:t xml:space="preserve">odzie. </w:t>
      </w:r>
    </w:p>
    <w:p w14:paraId="4AE1EB5F" w14:textId="6BCAC092" w:rsidR="007C4506" w:rsidRPr="00A33B9F" w:rsidRDefault="36CA53BB" w:rsidP="00E11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Realizowane będą inwestycje mające na celu zwiększenie wykorzystania OZE jako źródła energii</w:t>
      </w:r>
      <w:r w:rsidR="00A33B9F" w:rsidRPr="00A33B9F">
        <w:rPr>
          <w:rFonts w:ascii="Times New Roman" w:hAnsi="Times New Roman"/>
          <w:noProof/>
          <w:color w:val="000000" w:themeColor="text1"/>
          <w:sz w:val="24"/>
        </w:rPr>
        <w:t xml:space="preserve"> w mie</w:t>
      </w:r>
      <w:r w:rsidRPr="00A33B9F">
        <w:rPr>
          <w:rFonts w:ascii="Times New Roman" w:hAnsi="Times New Roman"/>
          <w:noProof/>
          <w:color w:val="000000" w:themeColor="text1"/>
          <w:sz w:val="24"/>
        </w:rPr>
        <w:t>ście, zwiększenie efektywności energetycznej,</w:t>
      </w:r>
      <w:r w:rsidR="00A33B9F" w:rsidRPr="00A33B9F">
        <w:rPr>
          <w:rFonts w:ascii="Times New Roman" w:hAnsi="Times New Roman"/>
          <w:noProof/>
          <w:color w:val="000000" w:themeColor="text1"/>
          <w:sz w:val="24"/>
        </w:rPr>
        <w:t xml:space="preserve"> w tym w dro</w:t>
      </w:r>
      <w:r w:rsidRPr="00A33B9F">
        <w:rPr>
          <w:rFonts w:ascii="Times New Roman" w:hAnsi="Times New Roman"/>
          <w:noProof/>
          <w:color w:val="000000" w:themeColor="text1"/>
          <w:sz w:val="24"/>
        </w:rPr>
        <w:t>dze modernizacji budynków, rozwój infrastruktury transportu zeroemisyjnego (pieszego, rowerowego) zintegrowanego</w:t>
      </w:r>
      <w:r w:rsidR="00A33B9F" w:rsidRPr="00A33B9F">
        <w:rPr>
          <w:rFonts w:ascii="Times New Roman" w:hAnsi="Times New Roman"/>
          <w:noProof/>
          <w:color w:val="000000" w:themeColor="text1"/>
          <w:sz w:val="24"/>
        </w:rPr>
        <w:t xml:space="preserve"> z tra</w:t>
      </w:r>
      <w:r w:rsidRPr="00A33B9F">
        <w:rPr>
          <w:rFonts w:ascii="Times New Roman" w:hAnsi="Times New Roman"/>
          <w:noProof/>
          <w:color w:val="000000" w:themeColor="text1"/>
          <w:sz w:val="24"/>
        </w:rPr>
        <w:t>nsportem zbiorowym, poprawę edukacji oraz budowanie świadomości mieszkańców dotyczącej konieczności transformacji miast</w:t>
      </w:r>
      <w:r w:rsidR="00A33B9F" w:rsidRPr="00A33B9F">
        <w:rPr>
          <w:rFonts w:ascii="Times New Roman" w:hAnsi="Times New Roman"/>
          <w:noProof/>
          <w:color w:val="000000" w:themeColor="text1"/>
          <w:sz w:val="24"/>
        </w:rPr>
        <w:t xml:space="preserve"> w kie</w:t>
      </w:r>
      <w:r w:rsidRPr="00A33B9F">
        <w:rPr>
          <w:rFonts w:ascii="Times New Roman" w:hAnsi="Times New Roman"/>
          <w:noProof/>
          <w:color w:val="000000" w:themeColor="text1"/>
          <w:sz w:val="24"/>
        </w:rPr>
        <w:t>runku neutralności klimatycznej</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adaptacji do zmian klimatu</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działania przewidziano również inwestycje</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jekty mające na celu zwiększenie powierzchni biologicznie czynnej</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estrzeniach miast</w:t>
      </w:r>
      <w:r w:rsidR="00A33B9F" w:rsidRPr="00A33B9F">
        <w:rPr>
          <w:rFonts w:ascii="Times New Roman" w:hAnsi="Times New Roman"/>
          <w:noProof/>
          <w:color w:val="000000" w:themeColor="text1"/>
          <w:sz w:val="24"/>
        </w:rPr>
        <w:t xml:space="preserve"> i obs</w:t>
      </w:r>
      <w:r w:rsidRPr="00A33B9F">
        <w:rPr>
          <w:rFonts w:ascii="Times New Roman" w:hAnsi="Times New Roman"/>
          <w:noProof/>
          <w:color w:val="000000" w:themeColor="text1"/>
          <w:sz w:val="24"/>
        </w:rPr>
        <w:t>zarów funkcjonalnych oraz ograniczanie zasklepiania gleby oraz inwestycji miejskich opartych na przyrodzie (NBS),</w:t>
      </w:r>
      <w:r w:rsidR="00A33B9F" w:rsidRPr="00A33B9F">
        <w:rPr>
          <w:rFonts w:ascii="Times New Roman" w:hAnsi="Times New Roman"/>
          <w:noProof/>
          <w:color w:val="000000" w:themeColor="text1"/>
          <w:sz w:val="24"/>
        </w:rPr>
        <w:t xml:space="preserve"> w któ</w:t>
      </w:r>
      <w:r w:rsidRPr="00A33B9F">
        <w:rPr>
          <w:rFonts w:ascii="Times New Roman" w:hAnsi="Times New Roman"/>
          <w:noProof/>
          <w:color w:val="000000" w:themeColor="text1"/>
          <w:sz w:val="24"/>
        </w:rPr>
        <w:t xml:space="preserve">rych wprowadzono rozwiązania dot. roślinności towarzyszącej. </w:t>
      </w:r>
    </w:p>
    <w:p w14:paraId="1A72EF58" w14:textId="167AA682" w:rsidR="28A270B3" w:rsidRPr="00A33B9F" w:rsidRDefault="3DCF60F3" w:rsidP="28D0ECD1">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zapewnić zgodność środka</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(C(2023) 6454 final), kryteria kwalifikowalności projektów wykluczają następujący wykaz działań: (i) działania związane</w:t>
      </w:r>
      <w:r w:rsidR="00A33B9F" w:rsidRPr="00A33B9F">
        <w:rPr>
          <w:rFonts w:ascii="Times New Roman" w:hAnsi="Times New Roman"/>
          <w:noProof/>
          <w:color w:val="000000" w:themeColor="text1"/>
          <w:sz w:val="24"/>
        </w:rPr>
        <w:t xml:space="preserve"> z pal</w:t>
      </w:r>
      <w:r w:rsidRPr="00A33B9F">
        <w:rPr>
          <w:rFonts w:ascii="Times New Roman" w:hAnsi="Times New Roman"/>
          <w:noProof/>
          <w:color w:val="000000" w:themeColor="text1"/>
          <w:sz w:val="24"/>
        </w:rPr>
        <w:t>iwami kopalnymi,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zastosowania niższego szczebla</w:t>
      </w:r>
      <w:r w:rsidRPr="00A33B9F">
        <w:rPr>
          <w:rStyle w:val="FootnoteReference"/>
          <w:rFonts w:ascii="Times New Roman" w:eastAsia="Times New Roman" w:hAnsi="Times New Roman" w:cs="Times New Roman"/>
          <w:noProof/>
          <w:color w:val="000000" w:themeColor="text1"/>
          <w:sz w:val="24"/>
          <w:szCs w:val="24"/>
        </w:rPr>
        <w:footnoteReference w:id="24"/>
      </w:r>
      <w:r w:rsidRPr="00A33B9F">
        <w:rPr>
          <w:rFonts w:ascii="Times New Roman" w:hAnsi="Times New Roman"/>
          <w:noProof/>
          <w:color w:val="000000" w:themeColor="text1"/>
          <w:sz w:val="24"/>
        </w:rPr>
        <w:t>; (ii) działania</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unijnego systemu handlu uprawnieniami do emisji (ETS) prowadzące do osiągnięcia prognozowanych emisji gazów cieplarnianych nie niższych niż odpowiednie wskaźniki emisyjności</w:t>
      </w:r>
      <w:r w:rsidRPr="00A33B9F">
        <w:rPr>
          <w:rStyle w:val="FootnoteReference"/>
          <w:rFonts w:ascii="Times New Roman" w:eastAsia="Times New Roman" w:hAnsi="Times New Roman" w:cs="Times New Roman"/>
          <w:noProof/>
          <w:color w:val="000000" w:themeColor="text1"/>
          <w:sz w:val="24"/>
          <w:szCs w:val="24"/>
        </w:rPr>
        <w:footnoteReference w:id="25"/>
      </w:r>
      <w:r w:rsidRPr="00A33B9F">
        <w:rPr>
          <w:rFonts w:ascii="Times New Roman" w:hAnsi="Times New Roman"/>
          <w:noProof/>
          <w:color w:val="000000" w:themeColor="text1"/>
          <w:sz w:val="24"/>
        </w:rPr>
        <w:t>; (iii) działalność związana ze składowiskami odpadów, spalarniami</w:t>
      </w:r>
      <w:r w:rsidRPr="00A33B9F">
        <w:rPr>
          <w:rStyle w:val="FootnoteReference"/>
          <w:rFonts w:ascii="Times New Roman" w:eastAsia="Times New Roman" w:hAnsi="Times New Roman" w:cs="Times New Roman"/>
          <w:noProof/>
          <w:color w:val="000000" w:themeColor="text1"/>
          <w:sz w:val="24"/>
          <w:szCs w:val="24"/>
        </w:rPr>
        <w:footnoteReference w:id="26"/>
      </w:r>
      <w:r w:rsidR="00A33B9F" w:rsidRPr="00A33B9F">
        <w:rPr>
          <w:rFonts w:ascii="Times New Roman" w:hAnsi="Times New Roman"/>
          <w:noProof/>
          <w:color w:val="000000" w:themeColor="text1"/>
          <w:sz w:val="24"/>
        </w:rPr>
        <w:t xml:space="preserve"> i zak</w:t>
      </w:r>
      <w:r w:rsidRPr="00A33B9F">
        <w:rPr>
          <w:rFonts w:ascii="Times New Roman" w:hAnsi="Times New Roman"/>
          <w:noProof/>
          <w:color w:val="000000" w:themeColor="text1"/>
          <w:sz w:val="24"/>
        </w:rPr>
        <w:t>ładami mechaniczno-biologicznego przetwarzania odpadów</w:t>
      </w:r>
      <w:r w:rsidRPr="00A33B9F">
        <w:rPr>
          <w:rStyle w:val="FootnoteReference"/>
          <w:rFonts w:ascii="Times New Roman" w:eastAsia="Times New Roman" w:hAnsi="Times New Roman" w:cs="Times New Roman"/>
          <w:noProof/>
          <w:color w:val="000000" w:themeColor="text1"/>
          <w:sz w:val="24"/>
          <w:szCs w:val="24"/>
        </w:rPr>
        <w:footnoteReference w:id="27"/>
      </w:r>
      <w:r w:rsidRPr="00A33B9F">
        <w:rPr>
          <w:rFonts w:ascii="Times New Roman" w:hAnsi="Times New Roman"/>
          <w:noProof/>
          <w:color w:val="000000" w:themeColor="text1"/>
          <w:sz w:val="24"/>
        </w:rPr>
        <w:t xml:space="preserve"> oraz (iv) działania,</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których długoterminowe unieszkodliwianie odpadów może szkodzić środowisku naturalnemu</w:t>
      </w:r>
      <w:r w:rsidR="00A33B9F" w:rsidRPr="00A33B9F">
        <w:rPr>
          <w:rFonts w:ascii="Times New Roman" w:hAnsi="Times New Roman"/>
          <w:noProof/>
          <w:color w:val="000000" w:themeColor="text1"/>
          <w:sz w:val="24"/>
        </w:rPr>
        <w:t>. W zak</w:t>
      </w:r>
      <w:r w:rsidRPr="00A33B9F">
        <w:rPr>
          <w:rFonts w:ascii="Times New Roman" w:hAnsi="Times New Roman"/>
          <w:noProof/>
          <w:color w:val="000000" w:themeColor="text1"/>
          <w:sz w:val="24"/>
        </w:rPr>
        <w:t>resie zadań znajduje się dodatkowy wymóg, aby wybierane były tylko te działania, które są zgodne</w:t>
      </w:r>
      <w:r w:rsidR="00A33B9F" w:rsidRPr="00A33B9F">
        <w:rPr>
          <w:rFonts w:ascii="Times New Roman" w:hAnsi="Times New Roman"/>
          <w:noProof/>
          <w:color w:val="000000" w:themeColor="text1"/>
          <w:sz w:val="24"/>
        </w:rPr>
        <w:t xml:space="preserve"> z odp</w:t>
      </w:r>
      <w:r w:rsidRPr="00A33B9F">
        <w:rPr>
          <w:rFonts w:ascii="Times New Roman" w:hAnsi="Times New Roman"/>
          <w:noProof/>
          <w:color w:val="000000" w:themeColor="text1"/>
          <w:sz w:val="24"/>
        </w:rPr>
        <w:t>owiednimi unijnymi</w:t>
      </w:r>
      <w:r w:rsidR="00A33B9F" w:rsidRPr="00A33B9F">
        <w:rPr>
          <w:rFonts w:ascii="Times New Roman" w:hAnsi="Times New Roman"/>
          <w:noProof/>
          <w:color w:val="000000" w:themeColor="text1"/>
          <w:sz w:val="24"/>
        </w:rPr>
        <w:t xml:space="preserve"> i kra</w:t>
      </w:r>
      <w:r w:rsidRPr="00A33B9F">
        <w:rPr>
          <w:rFonts w:ascii="Times New Roman" w:hAnsi="Times New Roman"/>
          <w:noProof/>
          <w:color w:val="000000" w:themeColor="text1"/>
          <w:sz w:val="24"/>
        </w:rPr>
        <w:t>jowymi przepisami dotyczącymi ochrony środowiska.</w:t>
      </w:r>
    </w:p>
    <w:p w14:paraId="53C3FE08" w14:textId="34147FEB" w:rsidR="527CAC38" w:rsidRPr="00A33B9F" w:rsidRDefault="00CA5542" w:rsidP="46C2CB11">
      <w:pPr>
        <w:pStyle w:val="Normal0"/>
        <w:spacing w:before="120" w:after="120" w:line="240" w:lineRule="auto"/>
        <w:jc w:val="both"/>
        <w:rPr>
          <w:rFonts w:ascii="Times New Roman" w:eastAsia="Times New Roman" w:hAnsi="Times New Roman" w:cs="Times New Roman"/>
          <w:noProof/>
          <w:color w:val="000000" w:themeColor="text1"/>
          <w:sz w:val="24"/>
          <w:szCs w:val="24"/>
          <w:highlight w:val="yellow"/>
        </w:rPr>
      </w:pPr>
      <w:r w:rsidRPr="00A33B9F">
        <w:rPr>
          <w:rFonts w:ascii="Times New Roman" w:hAnsi="Times New Roman"/>
          <w:noProof/>
          <w:color w:val="000000" w:themeColor="text1"/>
          <w:sz w:val="24"/>
        </w:rPr>
        <w:t>Realizacja działania zostanie zakończona do dnia 31 sierpnia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43CF214C" w14:textId="2855CFC7" w:rsidR="00636FE5" w:rsidRPr="00A33B9F" w:rsidRDefault="00636FE5"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u w:val="single"/>
        </w:rPr>
      </w:pPr>
    </w:p>
    <w:p w14:paraId="6FAC569F" w14:textId="22A28A92" w:rsidR="007C4506" w:rsidRPr="00A33B9F" w:rsidRDefault="330F7127"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u w:val="single"/>
        </w:rPr>
      </w:pPr>
      <w:r w:rsidRPr="00A33B9F">
        <w:rPr>
          <w:rFonts w:ascii="Times New Roman" w:hAnsi="Times New Roman"/>
          <w:b/>
          <w:noProof/>
          <w:color w:val="000000" w:themeColor="text1"/>
          <w:sz w:val="24"/>
          <w:u w:val="single"/>
        </w:rPr>
        <w:t>B3.5 Reforma budownictwa mieszkaniowego dla osób</w:t>
      </w:r>
      <w:r w:rsidR="00A33B9F" w:rsidRPr="00A33B9F">
        <w:rPr>
          <w:rFonts w:ascii="Times New Roman" w:hAnsi="Times New Roman"/>
          <w:b/>
          <w:noProof/>
          <w:color w:val="000000" w:themeColor="text1"/>
          <w:sz w:val="24"/>
          <w:u w:val="single"/>
        </w:rPr>
        <w:t xml:space="preserve"> o nis</w:t>
      </w:r>
      <w:r w:rsidRPr="00A33B9F">
        <w:rPr>
          <w:rFonts w:ascii="Times New Roman" w:hAnsi="Times New Roman"/>
          <w:b/>
          <w:noProof/>
          <w:color w:val="000000" w:themeColor="text1"/>
          <w:sz w:val="24"/>
          <w:u w:val="single"/>
        </w:rPr>
        <w:t>kich</w:t>
      </w:r>
      <w:r w:rsidR="00A33B9F" w:rsidRPr="00A33B9F">
        <w:rPr>
          <w:rFonts w:ascii="Times New Roman" w:hAnsi="Times New Roman"/>
          <w:b/>
          <w:noProof/>
          <w:color w:val="000000" w:themeColor="text1"/>
          <w:sz w:val="24"/>
          <w:u w:val="single"/>
        </w:rPr>
        <w:t xml:space="preserve"> i śre</w:t>
      </w:r>
      <w:r w:rsidRPr="00A33B9F">
        <w:rPr>
          <w:rFonts w:ascii="Times New Roman" w:hAnsi="Times New Roman"/>
          <w:b/>
          <w:noProof/>
          <w:color w:val="000000" w:themeColor="text1"/>
          <w:sz w:val="24"/>
          <w:u w:val="single"/>
        </w:rPr>
        <w:t>dnich dochodach,</w:t>
      </w:r>
      <w:r w:rsidR="00A33B9F" w:rsidRPr="00A33B9F">
        <w:rPr>
          <w:rFonts w:ascii="Times New Roman" w:hAnsi="Times New Roman"/>
          <w:b/>
          <w:noProof/>
          <w:color w:val="000000" w:themeColor="text1"/>
          <w:sz w:val="24"/>
          <w:u w:val="single"/>
        </w:rPr>
        <w:t xml:space="preserve"> z uwz</w:t>
      </w:r>
      <w:r w:rsidRPr="00A33B9F">
        <w:rPr>
          <w:rFonts w:ascii="Times New Roman" w:hAnsi="Times New Roman"/>
          <w:b/>
          <w:noProof/>
          <w:color w:val="000000" w:themeColor="text1"/>
          <w:sz w:val="24"/>
          <w:u w:val="single"/>
        </w:rPr>
        <w:t>ględnieniem wyższej efektywności energetycznej budynków</w:t>
      </w:r>
    </w:p>
    <w:p w14:paraId="48BCAD5B" w14:textId="389C8B44" w:rsidR="007C4506" w:rsidRPr="00A33B9F" w:rsidRDefault="330F7127"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Celem reformy jest zwiększenie podaży energooszczędnych mieszkań dla gospodarstw domowych</w:t>
      </w:r>
      <w:r w:rsidR="00A33B9F" w:rsidRPr="00A33B9F">
        <w:rPr>
          <w:rFonts w:ascii="Times New Roman" w:hAnsi="Times New Roman"/>
          <w:noProof/>
          <w:color w:val="000000" w:themeColor="text1"/>
          <w:sz w:val="24"/>
        </w:rPr>
        <w:t xml:space="preserve"> o nis</w:t>
      </w:r>
      <w:r w:rsidRPr="00A33B9F">
        <w:rPr>
          <w:rFonts w:ascii="Times New Roman" w:hAnsi="Times New Roman"/>
          <w:noProof/>
          <w:color w:val="000000" w:themeColor="text1"/>
          <w:sz w:val="24"/>
        </w:rPr>
        <w:t>kich</w:t>
      </w:r>
      <w:r w:rsidR="00A33B9F" w:rsidRPr="00A33B9F">
        <w:rPr>
          <w:rFonts w:ascii="Times New Roman" w:hAnsi="Times New Roman"/>
          <w:noProof/>
          <w:color w:val="000000" w:themeColor="text1"/>
          <w:sz w:val="24"/>
        </w:rPr>
        <w:t xml:space="preserve"> i śre</w:t>
      </w:r>
      <w:r w:rsidRPr="00A33B9F">
        <w:rPr>
          <w:rFonts w:ascii="Times New Roman" w:hAnsi="Times New Roman"/>
          <w:noProof/>
          <w:color w:val="000000" w:themeColor="text1"/>
          <w:sz w:val="24"/>
        </w:rPr>
        <w:t xml:space="preserve">dnich dochodach. </w:t>
      </w:r>
    </w:p>
    <w:p w14:paraId="52394D37" w14:textId="310BFD1D" w:rsidR="007C4506" w:rsidRPr="00A33B9F" w:rsidRDefault="330F7127"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Cel ten zostanie osiągnięty przez zwiększenie poziomu współfinansowania ze środków publicznych budynków spełniających normy efektywności energetycznej</w:t>
      </w:r>
      <w:r w:rsidR="00A33B9F" w:rsidRPr="00A33B9F">
        <w:rPr>
          <w:rFonts w:ascii="Times New Roman" w:hAnsi="Times New Roman"/>
          <w:noProof/>
          <w:color w:val="000000" w:themeColor="text1"/>
          <w:sz w:val="24"/>
        </w:rPr>
        <w:t xml:space="preserve"> o 2</w:t>
      </w:r>
      <w:r w:rsidRPr="00A33B9F">
        <w:rPr>
          <w:rFonts w:ascii="Times New Roman" w:hAnsi="Times New Roman"/>
          <w:noProof/>
          <w:color w:val="000000" w:themeColor="text1"/>
          <w:sz w:val="24"/>
        </w:rPr>
        <w:t>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bardziej ambitne niż minimalna norma efektywności energetycznej obowiązująca</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(norma dotycząca budynków</w:t>
      </w:r>
      <w:r w:rsidR="00A33B9F" w:rsidRPr="00A33B9F">
        <w:rPr>
          <w:rFonts w:ascii="Times New Roman" w:hAnsi="Times New Roman"/>
          <w:noProof/>
          <w:color w:val="000000" w:themeColor="text1"/>
          <w:sz w:val="24"/>
        </w:rPr>
        <w:t xml:space="preserve"> o nie</w:t>
      </w:r>
      <w:r w:rsidRPr="00A33B9F">
        <w:rPr>
          <w:rFonts w:ascii="Times New Roman" w:hAnsi="Times New Roman"/>
          <w:noProof/>
          <w:color w:val="000000" w:themeColor="text1"/>
          <w:sz w:val="24"/>
        </w:rPr>
        <w:t>mal zerowym zużyciu energii).</w:t>
      </w:r>
    </w:p>
    <w:p w14:paraId="3E9A3B99" w14:textId="1DE705BF" w:rsidR="007C4506" w:rsidRPr="00A33B9F" w:rsidRDefault="4F6BE6A3"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Reforma zostanie zakończona do dnia 30 czerwca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544D80EE" w14:textId="4C09E0F0" w:rsidR="007C4506" w:rsidRPr="00A33B9F" w:rsidRDefault="110E162E" w:rsidP="00301C62">
      <w:pPr>
        <w:pStyle w:val="Normal0"/>
        <w:pageBreakBefore/>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B3.5.1 Inwestycje</w:t>
      </w:r>
      <w:r w:rsidR="00A33B9F" w:rsidRPr="00A33B9F">
        <w:rPr>
          <w:rFonts w:ascii="Times New Roman" w:hAnsi="Times New Roman"/>
          <w:b/>
          <w:noProof/>
          <w:color w:val="000000" w:themeColor="text1"/>
          <w:sz w:val="24"/>
          <w:u w:val="single"/>
        </w:rPr>
        <w:t xml:space="preserve"> w ene</w:t>
      </w:r>
      <w:r w:rsidRPr="00A33B9F">
        <w:rPr>
          <w:rFonts w:ascii="Times New Roman" w:hAnsi="Times New Roman"/>
          <w:b/>
          <w:noProof/>
          <w:color w:val="000000" w:themeColor="text1"/>
          <w:sz w:val="24"/>
          <w:u w:val="single"/>
        </w:rPr>
        <w:t>rgooszczędne mieszkania dla gospodarstw domowych</w:t>
      </w:r>
      <w:r w:rsidR="00A33B9F" w:rsidRPr="00A33B9F">
        <w:rPr>
          <w:rFonts w:ascii="Times New Roman" w:hAnsi="Times New Roman"/>
          <w:b/>
          <w:noProof/>
          <w:color w:val="000000" w:themeColor="text1"/>
          <w:sz w:val="24"/>
          <w:u w:val="single"/>
        </w:rPr>
        <w:t xml:space="preserve"> o nis</w:t>
      </w:r>
      <w:r w:rsidRPr="00A33B9F">
        <w:rPr>
          <w:rFonts w:ascii="Times New Roman" w:hAnsi="Times New Roman"/>
          <w:b/>
          <w:noProof/>
          <w:color w:val="000000" w:themeColor="text1"/>
          <w:sz w:val="24"/>
          <w:u w:val="single"/>
        </w:rPr>
        <w:t>kich</w:t>
      </w:r>
      <w:r w:rsidR="00A33B9F" w:rsidRPr="00A33B9F">
        <w:rPr>
          <w:rFonts w:ascii="Times New Roman" w:hAnsi="Times New Roman"/>
          <w:b/>
          <w:noProof/>
          <w:color w:val="000000" w:themeColor="text1"/>
          <w:sz w:val="24"/>
          <w:u w:val="single"/>
        </w:rPr>
        <w:t xml:space="preserve"> i śre</w:t>
      </w:r>
      <w:r w:rsidRPr="00A33B9F">
        <w:rPr>
          <w:rFonts w:ascii="Times New Roman" w:hAnsi="Times New Roman"/>
          <w:b/>
          <w:noProof/>
          <w:color w:val="000000" w:themeColor="text1"/>
          <w:sz w:val="24"/>
          <w:u w:val="single"/>
        </w:rPr>
        <w:t xml:space="preserve">dnich dochodach </w:t>
      </w:r>
    </w:p>
    <w:p w14:paraId="0F46A54D" w14:textId="7C0C6B90" w:rsidR="007C4506" w:rsidRPr="00A33B9F" w:rsidRDefault="110E162E"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inwestycji jest zwiększenie podaży energooszczędnych mieszkań dla gospodarstw domowych</w:t>
      </w:r>
      <w:r w:rsidR="00A33B9F" w:rsidRPr="00A33B9F">
        <w:rPr>
          <w:rFonts w:ascii="Times New Roman" w:hAnsi="Times New Roman"/>
          <w:noProof/>
          <w:color w:val="000000" w:themeColor="text1"/>
          <w:sz w:val="24"/>
        </w:rPr>
        <w:t xml:space="preserve"> o nis</w:t>
      </w:r>
      <w:r w:rsidRPr="00A33B9F">
        <w:rPr>
          <w:rFonts w:ascii="Times New Roman" w:hAnsi="Times New Roman"/>
          <w:noProof/>
          <w:color w:val="000000" w:themeColor="text1"/>
          <w:sz w:val="24"/>
        </w:rPr>
        <w:t>kich</w:t>
      </w:r>
      <w:r w:rsidR="00A33B9F" w:rsidRPr="00A33B9F">
        <w:rPr>
          <w:rFonts w:ascii="Times New Roman" w:hAnsi="Times New Roman"/>
          <w:noProof/>
          <w:color w:val="000000" w:themeColor="text1"/>
          <w:sz w:val="24"/>
        </w:rPr>
        <w:t xml:space="preserve"> i śre</w:t>
      </w:r>
      <w:r w:rsidRPr="00A33B9F">
        <w:rPr>
          <w:rFonts w:ascii="Times New Roman" w:hAnsi="Times New Roman"/>
          <w:noProof/>
          <w:color w:val="000000" w:themeColor="text1"/>
          <w:sz w:val="24"/>
        </w:rPr>
        <w:t>dnich dochodach.</w:t>
      </w:r>
    </w:p>
    <w:p w14:paraId="671E5740" w14:textId="3D041A3A" w:rsidR="007C4506" w:rsidRPr="00A33B9F" w:rsidRDefault="5CC36EF3"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ramach inwestycji wspierane będzie tworzenie lokali mieszkalnych wchodzących</w:t>
      </w:r>
      <w:r w:rsidR="00A33B9F" w:rsidRPr="00A33B9F">
        <w:rPr>
          <w:rFonts w:ascii="Times New Roman" w:hAnsi="Times New Roman"/>
          <w:noProof/>
          <w:color w:val="000000" w:themeColor="text1"/>
          <w:sz w:val="24"/>
        </w:rPr>
        <w:t xml:space="preserve"> w skł</w:t>
      </w:r>
      <w:r w:rsidRPr="00A33B9F">
        <w:rPr>
          <w:rFonts w:ascii="Times New Roman" w:hAnsi="Times New Roman"/>
          <w:noProof/>
          <w:color w:val="000000" w:themeColor="text1"/>
          <w:sz w:val="24"/>
        </w:rPr>
        <w:t>ad zasobu nieruchomości mieszkalnych gminy, mieszkań chronionych, obiektów zakwaterowania, schronisk dla bezdomnych, ogrzewalni</w:t>
      </w:r>
      <w:r w:rsidR="00A33B9F" w:rsidRPr="00A33B9F">
        <w:rPr>
          <w:rFonts w:ascii="Times New Roman" w:hAnsi="Times New Roman"/>
          <w:noProof/>
          <w:color w:val="000000" w:themeColor="text1"/>
          <w:sz w:val="24"/>
        </w:rPr>
        <w:t xml:space="preserve"> i tym</w:t>
      </w:r>
      <w:r w:rsidRPr="00A33B9F">
        <w:rPr>
          <w:rFonts w:ascii="Times New Roman" w:hAnsi="Times New Roman"/>
          <w:noProof/>
          <w:color w:val="000000" w:themeColor="text1"/>
          <w:sz w:val="24"/>
        </w:rPr>
        <w:t>czasowych miejsc noclegowych oraz udział gminy lub związku międzygminnego</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edsięwzięciu innego inwestora, polegającym na tworzeniu lokali mieszkalnych na wynajem dla osób</w:t>
      </w:r>
      <w:r w:rsidR="00A33B9F" w:rsidRPr="00A33B9F">
        <w:rPr>
          <w:rFonts w:ascii="Times New Roman" w:hAnsi="Times New Roman"/>
          <w:noProof/>
          <w:color w:val="000000" w:themeColor="text1"/>
          <w:sz w:val="24"/>
        </w:rPr>
        <w:t xml:space="preserve"> o nis</w:t>
      </w:r>
      <w:r w:rsidRPr="00A33B9F">
        <w:rPr>
          <w:rFonts w:ascii="Times New Roman" w:hAnsi="Times New Roman"/>
          <w:noProof/>
          <w:color w:val="000000" w:themeColor="text1"/>
          <w:sz w:val="24"/>
        </w:rPr>
        <w:t xml:space="preserve">kich dochodach, których nie stać na mieszkanie na rynku prywatnym. </w:t>
      </w:r>
    </w:p>
    <w:p w14:paraId="60923F17" w14:textId="5DE1CDB0" w:rsidR="004C6EEE" w:rsidRPr="00A33B9F" w:rsidRDefault="3B2F9BC6" w:rsidP="00E118E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Realizowane będą inwestycje polegające na budowie niskoemisyjnych wielorodzinnych budynków mieszkalnych</w:t>
      </w:r>
      <w:r w:rsidR="00A33B9F" w:rsidRPr="00A33B9F">
        <w:rPr>
          <w:rFonts w:ascii="Times New Roman" w:hAnsi="Times New Roman"/>
          <w:noProof/>
          <w:color w:val="000000" w:themeColor="text1"/>
          <w:sz w:val="24"/>
        </w:rPr>
        <w:t xml:space="preserve"> z wyk</w:t>
      </w:r>
      <w:r w:rsidRPr="00A33B9F">
        <w:rPr>
          <w:rFonts w:ascii="Times New Roman" w:hAnsi="Times New Roman"/>
          <w:noProof/>
          <w:color w:val="000000" w:themeColor="text1"/>
          <w:sz w:val="24"/>
        </w:rPr>
        <w:t>orzystaniem instalacji opartych na OZE (w tym</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paneli fotowoltaicznych, kolektorów słonecznych) oraz innych „zielonych” rozwiązań zwiększających efektywność energetyczną budynków. Zużycie energii</w:t>
      </w:r>
      <w:r w:rsidR="00A33B9F" w:rsidRPr="00A33B9F">
        <w:rPr>
          <w:rFonts w:ascii="Times New Roman" w:hAnsi="Times New Roman"/>
          <w:noProof/>
          <w:color w:val="000000" w:themeColor="text1"/>
          <w:sz w:val="24"/>
        </w:rPr>
        <w:t xml:space="preserve"> w bud</w:t>
      </w:r>
      <w:r w:rsidRPr="00A33B9F">
        <w:rPr>
          <w:rFonts w:ascii="Times New Roman" w:hAnsi="Times New Roman"/>
          <w:noProof/>
          <w:color w:val="000000" w:themeColor="text1"/>
          <w:sz w:val="24"/>
        </w:rPr>
        <w:t>ynkach objętych wsparciem będzie</w:t>
      </w:r>
      <w:r w:rsidR="00A33B9F" w:rsidRPr="00A33B9F">
        <w:rPr>
          <w:rFonts w:ascii="Times New Roman" w:hAnsi="Times New Roman"/>
          <w:noProof/>
          <w:color w:val="000000" w:themeColor="text1"/>
          <w:sz w:val="24"/>
        </w:rPr>
        <w:t xml:space="preserve"> o 2</w:t>
      </w:r>
      <w:r w:rsidRPr="00A33B9F">
        <w:rPr>
          <w:rFonts w:ascii="Times New Roman" w:hAnsi="Times New Roman"/>
          <w:noProof/>
          <w:color w:val="000000" w:themeColor="text1"/>
          <w:sz w:val="24"/>
        </w:rPr>
        <w:t>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niższe niż minimalna norma efektywności energetycznej (budynek</w:t>
      </w:r>
      <w:r w:rsidR="00A33B9F" w:rsidRPr="00A33B9F">
        <w:rPr>
          <w:rFonts w:ascii="Times New Roman" w:hAnsi="Times New Roman"/>
          <w:noProof/>
          <w:color w:val="000000" w:themeColor="text1"/>
          <w:sz w:val="24"/>
        </w:rPr>
        <w:t xml:space="preserve"> o nie</w:t>
      </w:r>
      <w:r w:rsidRPr="00A33B9F">
        <w:rPr>
          <w:rFonts w:ascii="Times New Roman" w:hAnsi="Times New Roman"/>
          <w:noProof/>
          <w:color w:val="000000" w:themeColor="text1"/>
          <w:sz w:val="24"/>
        </w:rPr>
        <w:t xml:space="preserve">mal zerowym zużyciu energii) dla nowych budynków. </w:t>
      </w:r>
    </w:p>
    <w:p w14:paraId="509ACA59" w14:textId="5C9B5FD6" w:rsidR="00387C8F" w:rsidRPr="00A33B9F" w:rsidRDefault="00B31839" w:rsidP="5EC54DD5">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E5BBEC0" w14:textId="2C6BDFCF" w:rsidR="70B977AD" w:rsidRPr="00A33B9F" w:rsidRDefault="70B977AD" w:rsidP="5C71FA9C">
      <w:pPr>
        <w:rPr>
          <w:rFonts w:ascii="Times New Roman" w:eastAsia="Times New Roman" w:hAnsi="Times New Roman" w:cs="Times New Roman"/>
          <w:b/>
          <w:bCs/>
          <w:noProof/>
          <w:color w:val="000000" w:themeColor="text1"/>
          <w:sz w:val="24"/>
          <w:szCs w:val="24"/>
          <w:u w:val="single"/>
        </w:rPr>
      </w:pPr>
      <w:r w:rsidRPr="00A33B9F">
        <w:rPr>
          <w:rFonts w:ascii="Times New Roman" w:hAnsi="Times New Roman"/>
          <w:b/>
          <w:noProof/>
          <w:color w:val="000000" w:themeColor="text1"/>
          <w:sz w:val="24"/>
          <w:u w:val="single"/>
        </w:rPr>
        <w:t>B3.6 Poprawa warunków dla rozwoju odnawialnych źródeł energii</w:t>
      </w:r>
    </w:p>
    <w:p w14:paraId="05211523" w14:textId="321FCD27"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Celem reformy jest poprawa otoczenia regulacyjnego</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energetyki rozproszonej</w:t>
      </w:r>
      <w:r w:rsidR="00A33B9F" w:rsidRPr="00A33B9F">
        <w:rPr>
          <w:rFonts w:ascii="Times New Roman" w:hAnsi="Times New Roman"/>
          <w:noProof/>
          <w:color w:val="000000" w:themeColor="text1"/>
          <w:sz w:val="24"/>
        </w:rPr>
        <w:t xml:space="preserve"> i pro</w:t>
      </w:r>
      <w:r w:rsidRPr="00A33B9F">
        <w:rPr>
          <w:rFonts w:ascii="Times New Roman" w:hAnsi="Times New Roman"/>
          <w:noProof/>
          <w:color w:val="000000" w:themeColor="text1"/>
          <w:sz w:val="24"/>
        </w:rPr>
        <w:t>sumenckiej, rozwój łańcucha dostaw dla morskiej energetyki wiatrowej, wdrażanie systemów zarządzania energią, wzrost mocy zainstalowanej odnawialnych źródeł energii, także wzrost udziału energii pochodzącej</w:t>
      </w:r>
      <w:r w:rsidR="00A33B9F" w:rsidRPr="00A33B9F">
        <w:rPr>
          <w:rFonts w:ascii="Times New Roman" w:hAnsi="Times New Roman"/>
          <w:noProof/>
          <w:color w:val="000000" w:themeColor="text1"/>
          <w:sz w:val="24"/>
        </w:rPr>
        <w:t xml:space="preserve"> z kos</w:t>
      </w:r>
      <w:r w:rsidRPr="00A33B9F">
        <w:rPr>
          <w:rFonts w:ascii="Times New Roman" w:hAnsi="Times New Roman"/>
          <w:noProof/>
          <w:color w:val="000000" w:themeColor="text1"/>
          <w:sz w:val="24"/>
        </w:rPr>
        <w:t>zyka energetycznego OZE.</w:t>
      </w:r>
    </w:p>
    <w:p w14:paraId="186F6D06" w14:textId="038B6CF4"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Reforma obejmuje zmiany ustawy</w:t>
      </w:r>
      <w:r w:rsidR="00A33B9F" w:rsidRPr="00A33B9F">
        <w:rPr>
          <w:rFonts w:ascii="Times New Roman" w:hAnsi="Times New Roman"/>
          <w:noProof/>
          <w:color w:val="000000" w:themeColor="text1"/>
          <w:sz w:val="24"/>
        </w:rPr>
        <w:t xml:space="preserve"> o odn</w:t>
      </w:r>
      <w:r w:rsidRPr="00A33B9F">
        <w:rPr>
          <w:rFonts w:ascii="Times New Roman" w:hAnsi="Times New Roman"/>
          <w:noProof/>
          <w:color w:val="000000" w:themeColor="text1"/>
          <w:sz w:val="24"/>
        </w:rPr>
        <w:t>awialnych źródłach energii, takie jak wprowadzenie lepszych warunków funkcjonowania klastrów energii, wdrożenie wspólnych modeli prosumentów energii, wprowadzenie przepisów dotyczących nowych społeczności energetycznych działających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energii odnawialnej, wprowadzenie przepisów określających zasady działania jednego</w:t>
      </w:r>
      <w:r w:rsidR="00A33B9F" w:rsidRPr="00A33B9F">
        <w:rPr>
          <w:rFonts w:ascii="Times New Roman" w:hAnsi="Times New Roman"/>
          <w:noProof/>
          <w:color w:val="000000" w:themeColor="text1"/>
          <w:sz w:val="24"/>
        </w:rPr>
        <w:t xml:space="preserve"> z mod</w:t>
      </w:r>
      <w:r w:rsidRPr="00A33B9F">
        <w:rPr>
          <w:rFonts w:ascii="Times New Roman" w:hAnsi="Times New Roman"/>
          <w:noProof/>
          <w:color w:val="000000" w:themeColor="text1"/>
          <w:sz w:val="24"/>
        </w:rPr>
        <w:t>eli społeczności energetycznych działających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energii odnawialnej oraz przyjęcie zasad prowadzenia działalności gospodarczej</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biometanu. Zmiana obejmuje również przedłużenie okresu obowiązywania systemu wsparcia odnawialnych źródeł energii do dnia 31 grudnia 2027</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008BEE50" w14:textId="069A0A3B"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działania zostanie zakończona do dnia 30 marca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5D30B634" w14:textId="171DDF11"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 ramach reformy zostanie również zmieniona ustawa</w:t>
      </w:r>
      <w:r w:rsidR="00A33B9F" w:rsidRPr="00A33B9F">
        <w:rPr>
          <w:rFonts w:ascii="Times New Roman" w:hAnsi="Times New Roman"/>
          <w:noProof/>
          <w:color w:val="000000" w:themeColor="text1"/>
          <w:sz w:val="24"/>
        </w:rPr>
        <w:t xml:space="preserve"> o inw</w:t>
      </w:r>
      <w:r w:rsidRPr="00A33B9F">
        <w:rPr>
          <w:rFonts w:ascii="Times New Roman" w:hAnsi="Times New Roman"/>
          <w:noProof/>
          <w:color w:val="000000" w:themeColor="text1"/>
          <w:sz w:val="24"/>
        </w:rPr>
        <w:t>estycjach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lądowych elektrowni wiatrowych</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ułatwienia możliwości realizacji inwestycji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lądowych elektrowni wiatrowych</w:t>
      </w:r>
      <w:r w:rsidR="00A33B9F" w:rsidRPr="00A33B9F">
        <w:rPr>
          <w:rFonts w:ascii="Times New Roman" w:hAnsi="Times New Roman"/>
          <w:noProof/>
          <w:color w:val="000000" w:themeColor="text1"/>
          <w:sz w:val="24"/>
        </w:rPr>
        <w:t xml:space="preserve"> w gmi</w:t>
      </w:r>
      <w:r w:rsidRPr="00A33B9F">
        <w:rPr>
          <w:rFonts w:ascii="Times New Roman" w:hAnsi="Times New Roman"/>
          <w:noProof/>
          <w:color w:val="000000" w:themeColor="text1"/>
          <w:sz w:val="24"/>
        </w:rPr>
        <w:t>nach, które wyrażają wolę lokowania takiej instalacji, poprzez oddanie władzom gmin większej władzy</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określania lokalizacji poszczególnych inwestycji</w:t>
      </w:r>
      <w:r w:rsidR="00A33B9F" w:rsidRPr="00A33B9F">
        <w:rPr>
          <w:rFonts w:ascii="Times New Roman" w:hAnsi="Times New Roman"/>
          <w:noProof/>
          <w:color w:val="000000" w:themeColor="text1"/>
          <w:sz w:val="24"/>
        </w:rPr>
        <w:t xml:space="preserve"> i poz</w:t>
      </w:r>
      <w:r w:rsidRPr="00A33B9F">
        <w:rPr>
          <w:rFonts w:ascii="Times New Roman" w:hAnsi="Times New Roman"/>
          <w:noProof/>
          <w:color w:val="000000" w:themeColor="text1"/>
          <w:sz w:val="24"/>
        </w:rPr>
        <w:t>walanie na lokowanie elektrowni</w:t>
      </w:r>
      <w:r w:rsidR="00A33B9F" w:rsidRPr="00A33B9F">
        <w:rPr>
          <w:rFonts w:ascii="Times New Roman" w:hAnsi="Times New Roman"/>
          <w:noProof/>
          <w:color w:val="000000" w:themeColor="text1"/>
          <w:sz w:val="24"/>
        </w:rPr>
        <w:t xml:space="preserve"> w odl</w:t>
      </w:r>
      <w:r w:rsidRPr="00A33B9F">
        <w:rPr>
          <w:rFonts w:ascii="Times New Roman" w:hAnsi="Times New Roman"/>
          <w:noProof/>
          <w:color w:val="000000" w:themeColor="text1"/>
          <w:sz w:val="24"/>
        </w:rPr>
        <w:t>egłości od zabudowań mieszkalnych bliższej niż</w:t>
      </w:r>
      <w:r w:rsidR="00A33B9F" w:rsidRPr="00A33B9F">
        <w:rPr>
          <w:rFonts w:ascii="Times New Roman" w:hAnsi="Times New Roman"/>
          <w:noProof/>
          <w:color w:val="000000" w:themeColor="text1"/>
          <w:sz w:val="24"/>
        </w:rPr>
        <w:t xml:space="preserve"> w obe</w:t>
      </w:r>
      <w:r w:rsidRPr="00A33B9F">
        <w:rPr>
          <w:rFonts w:ascii="Times New Roman" w:hAnsi="Times New Roman"/>
          <w:noProof/>
          <w:color w:val="000000" w:themeColor="text1"/>
          <w:sz w:val="24"/>
        </w:rPr>
        <w:t>cnie stosowanej odległości minimalnej wynoszącej dziesięciokrotność wysokości planowanej instalacji.</w:t>
      </w:r>
    </w:p>
    <w:p w14:paraId="25C026D9" w14:textId="024E7E45"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działania zostanie zakończona do dnia 30 czerwca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1008F13" w14:textId="36BDE9C4"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Powyższej reformie towarzyszyć będzie wejście</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rozporządzenia przewidującego plan aukcji na odnawialne źródło energii</w:t>
      </w:r>
      <w:r w:rsidR="00A33B9F" w:rsidRPr="00A33B9F">
        <w:rPr>
          <w:rFonts w:ascii="Times New Roman" w:hAnsi="Times New Roman"/>
          <w:noProof/>
          <w:color w:val="000000" w:themeColor="text1"/>
          <w:sz w:val="24"/>
        </w:rPr>
        <w:t xml:space="preserve"> w pod</w:t>
      </w:r>
      <w:r w:rsidRPr="00A33B9F">
        <w:rPr>
          <w:rFonts w:ascii="Times New Roman" w:hAnsi="Times New Roman"/>
          <w:noProof/>
          <w:color w:val="000000" w:themeColor="text1"/>
          <w:sz w:val="24"/>
        </w:rPr>
        <w:t>ziale na technologie (w tym nowe lądowe farmy wiatrowe)</w:t>
      </w:r>
      <w:r w:rsidR="00A33B9F" w:rsidRPr="00A33B9F">
        <w:rPr>
          <w:rFonts w:ascii="Times New Roman" w:hAnsi="Times New Roman"/>
          <w:noProof/>
          <w:color w:val="000000" w:themeColor="text1"/>
          <w:sz w:val="24"/>
        </w:rPr>
        <w:t>. W pla</w:t>
      </w:r>
      <w:r w:rsidRPr="00A33B9F">
        <w:rPr>
          <w:rFonts w:ascii="Times New Roman" w:hAnsi="Times New Roman"/>
          <w:noProof/>
          <w:color w:val="000000" w:themeColor="text1"/>
          <w:sz w:val="24"/>
        </w:rPr>
        <w:t>nie określony zostanie budżet</w:t>
      </w:r>
      <w:r w:rsidR="00A33B9F" w:rsidRPr="00A33B9F">
        <w:rPr>
          <w:rFonts w:ascii="Times New Roman" w:hAnsi="Times New Roman"/>
          <w:noProof/>
          <w:color w:val="000000" w:themeColor="text1"/>
          <w:sz w:val="24"/>
        </w:rPr>
        <w:t xml:space="preserve"> i wol</w:t>
      </w:r>
      <w:r w:rsidRPr="00A33B9F">
        <w:rPr>
          <w:rFonts w:ascii="Times New Roman" w:hAnsi="Times New Roman"/>
          <w:noProof/>
          <w:color w:val="000000" w:themeColor="text1"/>
          <w:sz w:val="24"/>
        </w:rPr>
        <w:t>umen wytworzonej energii elektrycznej przeznaczony do sprzedaży</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każdej aukcji na zasadach konkurencyjnych</w:t>
      </w:r>
      <w:r w:rsidR="00A33B9F" w:rsidRPr="00A33B9F">
        <w:rPr>
          <w:rFonts w:ascii="Times New Roman" w:hAnsi="Times New Roman"/>
          <w:noProof/>
          <w:color w:val="000000" w:themeColor="text1"/>
          <w:sz w:val="24"/>
        </w:rPr>
        <w:t xml:space="preserve"> w lat</w:t>
      </w:r>
      <w:r w:rsidRPr="00A33B9F">
        <w:rPr>
          <w:rFonts w:ascii="Times New Roman" w:hAnsi="Times New Roman"/>
          <w:noProof/>
          <w:color w:val="000000" w:themeColor="text1"/>
          <w:sz w:val="24"/>
        </w:rPr>
        <w:t>ach 2022–2027. Rozporządzenie zostanie opublikowane do</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30 września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22587AD8" w14:textId="00AF8AA9"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Ponadto Polska będzie stopniowo zwiększać moc zainstalowaną lądowych farm wiatrowych</w:t>
      </w:r>
      <w:r w:rsidR="00A33B9F" w:rsidRPr="00A33B9F">
        <w:rPr>
          <w:rFonts w:ascii="Times New Roman" w:hAnsi="Times New Roman"/>
          <w:noProof/>
          <w:color w:val="000000" w:themeColor="text1"/>
          <w:sz w:val="24"/>
        </w:rPr>
        <w:t xml:space="preserve"> i ins</w:t>
      </w:r>
      <w:r w:rsidRPr="00A33B9F">
        <w:rPr>
          <w:rFonts w:ascii="Times New Roman" w:hAnsi="Times New Roman"/>
          <w:noProof/>
          <w:color w:val="000000" w:themeColor="text1"/>
          <w:sz w:val="24"/>
        </w:rPr>
        <w:t>talacji fotowoltaicznych, aby przyczynić się do zielonej transformacji. Do dnia 30 września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moc zainstalowana lądowych elektrowni wiatrowych</w:t>
      </w:r>
      <w:r w:rsidR="00A33B9F" w:rsidRPr="00A33B9F">
        <w:rPr>
          <w:rFonts w:ascii="Times New Roman" w:hAnsi="Times New Roman"/>
          <w:noProof/>
          <w:color w:val="000000" w:themeColor="text1"/>
          <w:sz w:val="24"/>
        </w:rPr>
        <w:t xml:space="preserve"> i ins</w:t>
      </w:r>
      <w:r w:rsidRPr="00A33B9F">
        <w:rPr>
          <w:rFonts w:ascii="Times New Roman" w:hAnsi="Times New Roman"/>
          <w:noProof/>
          <w:color w:val="000000" w:themeColor="text1"/>
          <w:sz w:val="24"/>
        </w:rPr>
        <w:t>talacji fotowoltaicznych ma wynieść 23,5 GW.</w:t>
      </w:r>
    </w:p>
    <w:p w14:paraId="40EF849D" w14:textId="15E2A483"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 odniesieniu do rozwoju morskich farm wiatrowych reforma obejmuje wprowadzenie szczegółowych zasad uiszczania opłaty koncesyjnej na rzecz Prezesa Urzędu Regulacji Energetyki, rozszerzonej na podmioty zajmujące się wytwarzaniem energii elektrycznej</w:t>
      </w:r>
      <w:r w:rsidR="00A33B9F" w:rsidRPr="00A33B9F">
        <w:rPr>
          <w:rFonts w:ascii="Times New Roman" w:hAnsi="Times New Roman"/>
          <w:noProof/>
          <w:color w:val="000000" w:themeColor="text1"/>
          <w:sz w:val="24"/>
        </w:rPr>
        <w:t xml:space="preserve"> w mor</w:t>
      </w:r>
      <w:r w:rsidRPr="00A33B9F">
        <w:rPr>
          <w:rFonts w:ascii="Times New Roman" w:hAnsi="Times New Roman"/>
          <w:noProof/>
          <w:color w:val="000000" w:themeColor="text1"/>
          <w:sz w:val="24"/>
        </w:rPr>
        <w:t xml:space="preserve">skich farmach wiatrowych. </w:t>
      </w:r>
    </w:p>
    <w:p w14:paraId="2D760B72" w14:textId="77B018DA"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tego działania zostanie zakończona do dnia 30 czerwca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1A7AA90" w14:textId="2C6BDFCF"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Ponadto reforma obejmuje również uregulowanie rodzajów przepływów środków pieniężnych uwzględnianych przy obliczaniu ceny skorygowanej oraz wprowadzenie szczegółowego sposobu obliczania ceny skorygowanej.</w:t>
      </w:r>
    </w:p>
    <w:p w14:paraId="029F5691" w14:textId="22894EFA" w:rsidR="70B977AD" w:rsidRPr="00A33B9F" w:rsidRDefault="70B977AD" w:rsidP="008F58CC">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tego działania zostanie zakończona do dnia 31 grudnia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5CF974F5" w14:textId="2C6BDFCF" w:rsidR="00387C8F" w:rsidRPr="00A33B9F" w:rsidRDefault="00387C8F">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themeColor="text1"/>
          <w:sz w:val="24"/>
          <w:szCs w:val="24"/>
        </w:rPr>
        <w:sectPr w:rsidR="00387C8F" w:rsidRPr="00A33B9F">
          <w:headerReference w:type="even" r:id="rId67"/>
          <w:headerReference w:type="default" r:id="rId68"/>
          <w:footerReference w:type="even" r:id="rId69"/>
          <w:footerReference w:type="default" r:id="rId70"/>
          <w:headerReference w:type="first" r:id="rId71"/>
          <w:footerReference w:type="first" r:id="rId72"/>
          <w:pgSz w:w="11907" w:h="16839"/>
          <w:pgMar w:top="1134" w:right="1417" w:bottom="1134" w:left="1417" w:header="709" w:footer="709" w:gutter="0"/>
          <w:cols w:space="720"/>
        </w:sectPr>
      </w:pPr>
    </w:p>
    <w:p w14:paraId="6DD44305" w14:textId="06F4C898" w:rsidR="007C4506" w:rsidRPr="00A33B9F" w:rsidRDefault="00387C8F">
      <w:pPr>
        <w:pStyle w:val="Normal0"/>
        <w:pBdr>
          <w:top w:val="nil"/>
          <w:left w:val="nil"/>
          <w:bottom w:val="nil"/>
          <w:right w:val="nil"/>
          <w:between w:val="nil"/>
        </w:pBdr>
        <w:spacing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 xml:space="preserve">B.4.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dotyczące pożyczki</w:t>
      </w:r>
    </w:p>
    <w:tbl>
      <w:tblPr>
        <w:tblW w:w="15390"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12"/>
        <w:gridCol w:w="1720"/>
        <w:gridCol w:w="1008"/>
        <w:gridCol w:w="1848"/>
        <w:gridCol w:w="1545"/>
        <w:gridCol w:w="938"/>
        <w:gridCol w:w="938"/>
        <w:gridCol w:w="867"/>
        <w:gridCol w:w="952"/>
        <w:gridCol w:w="681"/>
        <w:gridCol w:w="4081"/>
      </w:tblGrid>
      <w:tr w:rsidR="008C116B" w:rsidRPr="00A33B9F" w14:paraId="3B0D0D3A" w14:textId="77777777" w:rsidTr="1CE0CE0C">
        <w:trPr>
          <w:trHeight w:val="939"/>
          <w:tblHeader/>
        </w:trPr>
        <w:tc>
          <w:tcPr>
            <w:tcW w:w="821" w:type="dxa"/>
            <w:vMerge w:val="restart"/>
            <w:shd w:val="clear" w:color="auto" w:fill="BDD7EE"/>
            <w:vAlign w:val="center"/>
          </w:tcPr>
          <w:p w14:paraId="2EECDF86"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745" w:type="dxa"/>
            <w:vMerge w:val="restart"/>
            <w:shd w:val="clear" w:color="auto" w:fill="BDD7EE"/>
            <w:vAlign w:val="center"/>
          </w:tcPr>
          <w:p w14:paraId="5047F5D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021" w:type="dxa"/>
            <w:vMerge w:val="restart"/>
            <w:shd w:val="clear" w:color="auto" w:fill="BDD7EE"/>
            <w:vAlign w:val="center"/>
          </w:tcPr>
          <w:p w14:paraId="73B0057C"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875" w:type="dxa"/>
            <w:vMerge w:val="restart"/>
            <w:shd w:val="clear" w:color="auto" w:fill="BDD7EE"/>
            <w:vAlign w:val="center"/>
          </w:tcPr>
          <w:p w14:paraId="42CF5CF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567" w:type="dxa"/>
            <w:vMerge w:val="restart"/>
            <w:shd w:val="clear" w:color="auto" w:fill="BDD7EE"/>
            <w:vAlign w:val="center"/>
          </w:tcPr>
          <w:p w14:paraId="282E0709"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777" w:type="dxa"/>
            <w:gridSpan w:val="3"/>
            <w:shd w:val="clear" w:color="auto" w:fill="BDD7EE"/>
            <w:vAlign w:val="center"/>
          </w:tcPr>
          <w:p w14:paraId="08D0AA8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510" w:type="dxa"/>
            <w:gridSpan w:val="2"/>
            <w:shd w:val="clear" w:color="auto" w:fill="BDD7EE"/>
            <w:vAlign w:val="center"/>
          </w:tcPr>
          <w:p w14:paraId="482BCB99"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4146" w:type="dxa"/>
            <w:vMerge w:val="restart"/>
            <w:shd w:val="clear" w:color="auto" w:fill="BDD7EE"/>
            <w:vAlign w:val="center"/>
          </w:tcPr>
          <w:p w14:paraId="532E8765" w14:textId="34310B69"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CA5542" w:rsidRPr="00A33B9F" w14:paraId="62D11204" w14:textId="77777777" w:rsidTr="1CE0CE0C">
        <w:trPr>
          <w:trHeight w:val="699"/>
        </w:trPr>
        <w:tc>
          <w:tcPr>
            <w:tcW w:w="821" w:type="dxa"/>
            <w:vMerge/>
            <w:vAlign w:val="center"/>
          </w:tcPr>
          <w:p w14:paraId="7EC1343F" w14:textId="77777777" w:rsidR="00D50B18" w:rsidRPr="00A33B9F" w:rsidRDefault="00D50B18">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745" w:type="dxa"/>
            <w:vMerge/>
            <w:vAlign w:val="center"/>
          </w:tcPr>
          <w:p w14:paraId="54FE4E58" w14:textId="77777777" w:rsidR="00D50B18" w:rsidRPr="00A33B9F" w:rsidRDefault="00D50B18">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021" w:type="dxa"/>
            <w:vMerge/>
            <w:vAlign w:val="center"/>
          </w:tcPr>
          <w:p w14:paraId="3B1070BE" w14:textId="77777777" w:rsidR="00D50B18" w:rsidRPr="00A33B9F" w:rsidRDefault="00D50B18">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875" w:type="dxa"/>
            <w:vMerge/>
            <w:vAlign w:val="center"/>
          </w:tcPr>
          <w:p w14:paraId="00C1FCA6" w14:textId="77777777" w:rsidR="00D50B18" w:rsidRPr="00A33B9F" w:rsidRDefault="00D50B18">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1567" w:type="dxa"/>
            <w:vMerge/>
            <w:vAlign w:val="center"/>
          </w:tcPr>
          <w:p w14:paraId="2D0614B1" w14:textId="77777777" w:rsidR="00D50B18" w:rsidRPr="00A33B9F" w:rsidRDefault="00D50B18">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c>
          <w:tcPr>
            <w:tcW w:w="950" w:type="dxa"/>
            <w:shd w:val="clear" w:color="auto" w:fill="BDD7EE"/>
            <w:vAlign w:val="center"/>
          </w:tcPr>
          <w:p w14:paraId="5D54A078"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50" w:type="dxa"/>
            <w:shd w:val="clear" w:color="auto" w:fill="BDD7EE"/>
            <w:vAlign w:val="center"/>
          </w:tcPr>
          <w:p w14:paraId="129CFC97"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877" w:type="dxa"/>
            <w:shd w:val="clear" w:color="auto" w:fill="BDD7EE"/>
            <w:vAlign w:val="center"/>
          </w:tcPr>
          <w:p w14:paraId="2B92F8AF"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64" w:type="dxa"/>
            <w:shd w:val="clear" w:color="auto" w:fill="BDD7EE"/>
            <w:vAlign w:val="center"/>
          </w:tcPr>
          <w:p w14:paraId="405B248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688" w:type="dxa"/>
            <w:shd w:val="clear" w:color="auto" w:fill="BDD7EE"/>
            <w:vAlign w:val="center"/>
          </w:tcPr>
          <w:p w14:paraId="0394DF1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4146" w:type="dxa"/>
            <w:vMerge/>
            <w:vAlign w:val="center"/>
          </w:tcPr>
          <w:p w14:paraId="013ED72A" w14:textId="77777777" w:rsidR="00D50B18" w:rsidRPr="00A33B9F" w:rsidRDefault="00D50B18">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6"/>
                <w:szCs w:val="16"/>
              </w:rPr>
            </w:pPr>
          </w:p>
        </w:tc>
      </w:tr>
      <w:tr w:rsidR="008C116B" w:rsidRPr="00A33B9F" w14:paraId="51A61DA2" w14:textId="77777777" w:rsidTr="1CE0CE0C">
        <w:trPr>
          <w:trHeight w:val="1409"/>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AD004B"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B1L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F0FE35"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B1.2 Ułatwienie spełnienia obowiązku oszczędności energii dla przedsiębiorstw energetycznych</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552399"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39772" w14:textId="4718048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rozporządzenia wykonawczego do ustawy</w:t>
            </w:r>
            <w:r w:rsidR="00A33B9F" w:rsidRPr="00A33B9F">
              <w:rPr>
                <w:rFonts w:ascii="Times New Roman" w:hAnsi="Times New Roman"/>
                <w:noProof/>
                <w:color w:val="000000"/>
                <w:sz w:val="18"/>
              </w:rPr>
              <w:t xml:space="preserve"> o efe</w:t>
            </w:r>
            <w:r w:rsidRPr="00A33B9F">
              <w:rPr>
                <w:rFonts w:ascii="Times New Roman" w:hAnsi="Times New Roman"/>
                <w:noProof/>
                <w:color w:val="000000"/>
                <w:sz w:val="18"/>
              </w:rPr>
              <w:t>ktywności energetycznej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15DBB5" w14:textId="2ABC1BE1"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porządzeniu wykonawczym do ustawy</w:t>
            </w:r>
            <w:r w:rsidR="00A33B9F" w:rsidRPr="00A33B9F">
              <w:rPr>
                <w:rFonts w:ascii="Times New Roman" w:hAnsi="Times New Roman"/>
                <w:noProof/>
                <w:color w:val="000000" w:themeColor="text1"/>
                <w:sz w:val="18"/>
              </w:rPr>
              <w:t xml:space="preserve"> o efe</w:t>
            </w:r>
            <w:r w:rsidRPr="00A33B9F">
              <w:rPr>
                <w:rFonts w:ascii="Times New Roman" w:hAnsi="Times New Roman"/>
                <w:noProof/>
                <w:color w:val="000000" w:themeColor="text1"/>
                <w:sz w:val="18"/>
              </w:rPr>
              <w:t>ktywności energetycznej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9AB32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D7B783"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p w14:paraId="79A7D5FB" w14:textId="77777777" w:rsidR="00D50B18" w:rsidRPr="00A33B9F" w:rsidRDefault="00D50B18">
            <w:pPr>
              <w:rPr>
                <w:rFonts w:ascii="Times New Roman" w:hAnsi="Times New Roman" w:cs="Times New Roman"/>
                <w:noProof/>
                <w:sz w:val="18"/>
                <w:szCs w:val="18"/>
              </w:rPr>
            </w:pPr>
          </w:p>
          <w:p w14:paraId="36C903A2" w14:textId="77777777" w:rsidR="00D50B18" w:rsidRPr="00A33B9F" w:rsidRDefault="00D50B18">
            <w:pPr>
              <w:rPr>
                <w:rFonts w:ascii="Times New Roman" w:hAnsi="Times New Roman" w:cs="Times New Roman"/>
                <w:noProof/>
                <w:sz w:val="18"/>
                <w:szCs w:val="18"/>
              </w:rPr>
            </w:pPr>
          </w:p>
          <w:p w14:paraId="589D24A8" w14:textId="77777777" w:rsidR="00D50B18" w:rsidRPr="00A33B9F" w:rsidRDefault="00D50B18">
            <w:pPr>
              <w:rPr>
                <w:rFonts w:ascii="Times New Roman" w:hAnsi="Times New Roman" w:cs="Times New Roman"/>
                <w:noProof/>
                <w:sz w:val="18"/>
                <w:szCs w:val="18"/>
              </w:rPr>
            </w:pP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9433D3"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94E39F"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ED068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214D7B" w14:textId="679D2CB4"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wykonawczego do ustawy</w:t>
            </w:r>
            <w:r w:rsidR="00A33B9F" w:rsidRPr="00A33B9F">
              <w:rPr>
                <w:rFonts w:ascii="Times New Roman" w:hAnsi="Times New Roman"/>
                <w:noProof/>
                <w:color w:val="000000" w:themeColor="text1"/>
                <w:sz w:val="18"/>
              </w:rPr>
              <w:t xml:space="preserve"> o efe</w:t>
            </w:r>
            <w:r w:rsidRPr="00A33B9F">
              <w:rPr>
                <w:rFonts w:ascii="Times New Roman" w:hAnsi="Times New Roman"/>
                <w:noProof/>
                <w:color w:val="000000" w:themeColor="text1"/>
                <w:sz w:val="18"/>
              </w:rPr>
              <w:t>ktywności energetycznej, które posłuży do ustanowienia referencyjnej wartości oszczędności energii dla przedsięwzięć poprawiających efektywność energetyczną oraz opracowania metodyki obliczania</w:t>
            </w:r>
            <w:r w:rsidR="00C3621A" w:rsidRPr="00A33B9F">
              <w:rPr>
                <w:rFonts w:ascii="Times New Roman" w:hAnsi="Times New Roman"/>
                <w:noProof/>
                <w:color w:val="000000" w:themeColor="text1"/>
                <w:sz w:val="18"/>
              </w:rPr>
              <w:t xml:space="preserve"> </w:t>
            </w:r>
            <w:r w:rsidRPr="00A33B9F">
              <w:rPr>
                <w:rFonts w:ascii="Times New Roman" w:hAnsi="Times New Roman"/>
                <w:noProof/>
                <w:color w:val="000000" w:themeColor="text1"/>
                <w:sz w:val="18"/>
              </w:rPr>
              <w:t>oszczędności energii dla przedsięwzięć</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transportu. </w:t>
            </w:r>
          </w:p>
        </w:tc>
      </w:tr>
      <w:tr w:rsidR="008C116B" w:rsidRPr="00A33B9F" w14:paraId="52046386" w14:textId="77777777" w:rsidTr="1CE0CE0C">
        <w:trPr>
          <w:trHeight w:val="855"/>
        </w:trPr>
        <w:tc>
          <w:tcPr>
            <w:tcW w:w="821" w:type="dxa"/>
            <w:shd w:val="clear" w:color="auto" w:fill="C6EFCE"/>
          </w:tcPr>
          <w:p w14:paraId="6CCBA14C"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B2L</w:t>
            </w:r>
          </w:p>
        </w:tc>
        <w:tc>
          <w:tcPr>
            <w:tcW w:w="1745" w:type="dxa"/>
            <w:shd w:val="clear" w:color="auto" w:fill="C6EFCE"/>
          </w:tcPr>
          <w:p w14:paraId="5AF7CB75" w14:textId="2FB44A83"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B1.2.1 Efektywność energetyczna i OZE</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edsiębiorstwach – inwestycje</w:t>
            </w:r>
            <w:r w:rsidR="00A33B9F" w:rsidRPr="00A33B9F">
              <w:rPr>
                <w:rFonts w:ascii="Times New Roman" w:hAnsi="Times New Roman"/>
                <w:noProof/>
                <w:color w:val="000000"/>
                <w:sz w:val="18"/>
              </w:rPr>
              <w:t xml:space="preserve"> o naj</w:t>
            </w:r>
            <w:r w:rsidRPr="00A33B9F">
              <w:rPr>
                <w:rFonts w:ascii="Times New Roman" w:hAnsi="Times New Roman"/>
                <w:noProof/>
                <w:color w:val="000000"/>
                <w:sz w:val="18"/>
              </w:rPr>
              <w:t>większym potencjale redukcji gazów cieplarnianych</w:t>
            </w:r>
          </w:p>
        </w:tc>
        <w:tc>
          <w:tcPr>
            <w:tcW w:w="1021" w:type="dxa"/>
            <w:shd w:val="clear" w:color="auto" w:fill="C6EFCE"/>
          </w:tcPr>
          <w:p w14:paraId="6F45223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875" w:type="dxa"/>
            <w:shd w:val="clear" w:color="auto" w:fill="C6EFCE"/>
          </w:tcPr>
          <w:p w14:paraId="4A3F7D17" w14:textId="65B984A0"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Instrukcje dotyczące finansowania (w tym kryteria kwalifikowalności</w:t>
            </w:r>
            <w:r w:rsidR="00A33B9F" w:rsidRPr="00A33B9F">
              <w:rPr>
                <w:rFonts w:ascii="Times New Roman" w:hAnsi="Times New Roman"/>
                <w:noProof/>
                <w:color w:val="000000" w:themeColor="text1"/>
                <w:sz w:val="18"/>
              </w:rPr>
              <w:t xml:space="preserve"> i kwa</w:t>
            </w:r>
            <w:r w:rsidRPr="00A33B9F">
              <w:rPr>
                <w:rFonts w:ascii="Times New Roman" w:hAnsi="Times New Roman"/>
                <w:noProof/>
                <w:color w:val="000000" w:themeColor="text1"/>
                <w:sz w:val="18"/>
              </w:rPr>
              <w:t>lifikacji) odnoszące się do systemu wsparcia ukierunkowanego na efektywność energetyczną i OZE</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edsiębiorstwach,</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przedsiębiorstwach objętych unijnym systemem handlu uprawnieniami do emisji</w:t>
            </w:r>
          </w:p>
        </w:tc>
        <w:tc>
          <w:tcPr>
            <w:tcW w:w="1567" w:type="dxa"/>
            <w:shd w:val="clear" w:color="auto" w:fill="C6EFCE"/>
          </w:tcPr>
          <w:p w14:paraId="00AEA9C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Publikacja systemu wsparcia </w:t>
            </w:r>
          </w:p>
        </w:tc>
        <w:tc>
          <w:tcPr>
            <w:tcW w:w="950" w:type="dxa"/>
            <w:shd w:val="clear" w:color="auto" w:fill="C6EFCE"/>
          </w:tcPr>
          <w:p w14:paraId="47B5247E"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shd w:val="clear" w:color="auto" w:fill="C6EFCE"/>
          </w:tcPr>
          <w:p w14:paraId="0B45DBC1"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77" w:type="dxa"/>
            <w:shd w:val="clear" w:color="auto" w:fill="C6EFCE"/>
          </w:tcPr>
          <w:p w14:paraId="120C4239"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64" w:type="dxa"/>
            <w:shd w:val="clear" w:color="auto" w:fill="C6EFCE"/>
          </w:tcPr>
          <w:p w14:paraId="7B5546A4"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688" w:type="dxa"/>
            <w:shd w:val="clear" w:color="auto" w:fill="C6EFCE"/>
          </w:tcPr>
          <w:p w14:paraId="1183FBCA"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4146" w:type="dxa"/>
            <w:shd w:val="clear" w:color="auto" w:fill="C6EFCE"/>
          </w:tcPr>
          <w:p w14:paraId="0F5F31C1" w14:textId="4160FF4F"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Polityka inwestycyjna systemu obejmuje co najmniej następujące kryteria kwalifikowalności</w:t>
            </w:r>
            <w:r w:rsidR="00A33B9F" w:rsidRPr="00A33B9F">
              <w:rPr>
                <w:rFonts w:ascii="Times New Roman" w:hAnsi="Times New Roman"/>
                <w:noProof/>
                <w:color w:val="000000" w:themeColor="text1"/>
                <w:sz w:val="18"/>
              </w:rPr>
              <w:t xml:space="preserve"> i wyb</w:t>
            </w:r>
            <w:r w:rsidRPr="00A33B9F">
              <w:rPr>
                <w:rFonts w:ascii="Times New Roman" w:hAnsi="Times New Roman"/>
                <w:noProof/>
                <w:color w:val="000000" w:themeColor="text1"/>
                <w:sz w:val="18"/>
              </w:rPr>
              <w:t>oru projektów: (i) cel, jakim jest najniższa cena za tonę zaoszczędzonego gazu cieplarnianego; (ii) zapewnienie zgodności</w:t>
            </w:r>
            <w:r w:rsidR="00A33B9F" w:rsidRPr="00A33B9F">
              <w:rPr>
                <w:rFonts w:ascii="Times New Roman" w:hAnsi="Times New Roman"/>
                <w:noProof/>
                <w:color w:val="000000" w:themeColor="text1"/>
                <w:sz w:val="18"/>
              </w:rPr>
              <w:t xml:space="preserve"> z uni</w:t>
            </w:r>
            <w:r w:rsidRPr="00A33B9F">
              <w:rPr>
                <w:rFonts w:ascii="Times New Roman" w:hAnsi="Times New Roman"/>
                <w:noProof/>
                <w:color w:val="000000" w:themeColor="text1"/>
                <w:sz w:val="18"/>
              </w:rPr>
              <w:t>jnymi</w:t>
            </w:r>
            <w:r w:rsidR="00A33B9F" w:rsidRPr="00A33B9F">
              <w:rPr>
                <w:rFonts w:ascii="Times New Roman" w:hAnsi="Times New Roman"/>
                <w:noProof/>
                <w:color w:val="000000" w:themeColor="text1"/>
                <w:sz w:val="18"/>
              </w:rPr>
              <w:t xml:space="preserve"> i kra</w:t>
            </w:r>
            <w:r w:rsidRPr="00A33B9F">
              <w:rPr>
                <w:rFonts w:ascii="Times New Roman" w:hAnsi="Times New Roman"/>
                <w:noProof/>
                <w:color w:val="000000" w:themeColor="text1"/>
                <w:sz w:val="18"/>
              </w:rPr>
              <w:t>jowymi przepisami dotyczącymi ochrony środowiska,</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wspieranych działań</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edsiębiorstw oraz określenie wartości docelowych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obniżenia emisyjności zgodnie</w:t>
            </w:r>
            <w:r w:rsidR="00A33B9F" w:rsidRPr="00A33B9F">
              <w:rPr>
                <w:rFonts w:ascii="Times New Roman" w:hAnsi="Times New Roman"/>
                <w:noProof/>
                <w:color w:val="000000" w:themeColor="text1"/>
                <w:sz w:val="18"/>
              </w:rPr>
              <w:t xml:space="preserve"> z dal</w:t>
            </w:r>
            <w:r w:rsidRPr="00A33B9F">
              <w:rPr>
                <w:rFonts w:ascii="Times New Roman" w:hAnsi="Times New Roman"/>
                <w:noProof/>
                <w:color w:val="000000" w:themeColor="text1"/>
                <w:sz w:val="18"/>
              </w:rPr>
              <w:t>szymi szczegółowymi informacjami</w:t>
            </w:r>
            <w:r w:rsidR="00A33B9F" w:rsidRPr="00A33B9F">
              <w:rPr>
                <w:rFonts w:ascii="Times New Roman" w:hAnsi="Times New Roman"/>
                <w:noProof/>
                <w:color w:val="000000" w:themeColor="text1"/>
                <w:sz w:val="18"/>
              </w:rPr>
              <w:t xml:space="preserve"> w umo</w:t>
            </w:r>
            <w:r w:rsidRPr="00A33B9F">
              <w:rPr>
                <w:rFonts w:ascii="Times New Roman" w:hAnsi="Times New Roman"/>
                <w:noProof/>
                <w:color w:val="000000" w:themeColor="text1"/>
                <w:sz w:val="18"/>
              </w:rPr>
              <w:t>wie operacyjnej; (iii) wspierane instalacje objęte systemem ETS przyczyniają się do ograniczenia emisji poniżej wartości odniesienia odpowiedniej dla oferty dotyczącej projektu.</w:t>
            </w:r>
          </w:p>
        </w:tc>
      </w:tr>
      <w:tr w:rsidR="008C116B" w:rsidRPr="00A33B9F" w14:paraId="3EDF8DE3" w14:textId="77777777" w:rsidTr="1CE0CE0C">
        <w:trPr>
          <w:trHeight w:val="313"/>
        </w:trPr>
        <w:tc>
          <w:tcPr>
            <w:tcW w:w="821" w:type="dxa"/>
            <w:shd w:val="clear" w:color="auto" w:fill="C6EFCE"/>
          </w:tcPr>
          <w:p w14:paraId="0D6ADE2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B3L</w:t>
            </w:r>
          </w:p>
        </w:tc>
        <w:tc>
          <w:tcPr>
            <w:tcW w:w="1745" w:type="dxa"/>
            <w:shd w:val="clear" w:color="auto" w:fill="C6EFCE"/>
          </w:tcPr>
          <w:p w14:paraId="57DA3DA9" w14:textId="7E4BF7FC"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B1.2.1 Efektywność energetyczna i OZE</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edsiębiorstwach – inwestycje</w:t>
            </w:r>
            <w:r w:rsidR="00A33B9F" w:rsidRPr="00A33B9F">
              <w:rPr>
                <w:rFonts w:ascii="Times New Roman" w:hAnsi="Times New Roman"/>
                <w:noProof/>
                <w:color w:val="000000"/>
                <w:sz w:val="18"/>
              </w:rPr>
              <w:t xml:space="preserve"> o naj</w:t>
            </w:r>
            <w:r w:rsidRPr="00A33B9F">
              <w:rPr>
                <w:rFonts w:ascii="Times New Roman" w:hAnsi="Times New Roman"/>
                <w:noProof/>
                <w:color w:val="000000"/>
                <w:sz w:val="18"/>
              </w:rPr>
              <w:t>większym potencjale redukcji gazów cieplarnianych</w:t>
            </w:r>
          </w:p>
        </w:tc>
        <w:tc>
          <w:tcPr>
            <w:tcW w:w="1021" w:type="dxa"/>
            <w:shd w:val="clear" w:color="auto" w:fill="C6EFCE"/>
          </w:tcPr>
          <w:p w14:paraId="6A7C6A0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875" w:type="dxa"/>
            <w:shd w:val="clear" w:color="auto" w:fill="C6EFCE"/>
          </w:tcPr>
          <w:p w14:paraId="41FBEB54" w14:textId="1824A9F0"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Udzielanie wszystkich zamówień na wdrażanie efektywności energetycznej i OZE</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edsiębiorstwach</w:t>
            </w:r>
          </w:p>
        </w:tc>
        <w:tc>
          <w:tcPr>
            <w:tcW w:w="1567" w:type="dxa"/>
            <w:shd w:val="clear" w:color="auto" w:fill="C6EFCE"/>
          </w:tcPr>
          <w:p w14:paraId="787FC11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5820804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950" w:type="dxa"/>
            <w:shd w:val="clear" w:color="auto" w:fill="C6EFCE"/>
          </w:tcPr>
          <w:p w14:paraId="71E6F318"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77" w:type="dxa"/>
            <w:shd w:val="clear" w:color="auto" w:fill="C6EFCE"/>
          </w:tcPr>
          <w:p w14:paraId="4408D9DA"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43</w:t>
            </w:r>
          </w:p>
        </w:tc>
        <w:tc>
          <w:tcPr>
            <w:tcW w:w="964" w:type="dxa"/>
            <w:shd w:val="clear" w:color="auto" w:fill="C6EFCE"/>
          </w:tcPr>
          <w:p w14:paraId="229A5D09"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688" w:type="dxa"/>
            <w:shd w:val="clear" w:color="auto" w:fill="C6EFCE"/>
          </w:tcPr>
          <w:p w14:paraId="16EFD7C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2023</w:t>
            </w:r>
          </w:p>
        </w:tc>
        <w:tc>
          <w:tcPr>
            <w:tcW w:w="4146" w:type="dxa"/>
            <w:shd w:val="clear" w:color="auto" w:fill="C6EFCE"/>
          </w:tcPr>
          <w:p w14:paraId="0A356E92" w14:textId="788D847D"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Szereg zamówień udzielonych na projekty inwestycyjne związane</w:t>
            </w:r>
            <w:r w:rsidR="00A33B9F" w:rsidRPr="00A33B9F">
              <w:rPr>
                <w:rFonts w:ascii="Times New Roman" w:hAnsi="Times New Roman"/>
                <w:noProof/>
                <w:color w:val="000000" w:themeColor="text1"/>
                <w:sz w:val="18"/>
              </w:rPr>
              <w:t xml:space="preserve"> z usp</w:t>
            </w:r>
            <w:r w:rsidRPr="00A33B9F">
              <w:rPr>
                <w:rFonts w:ascii="Times New Roman" w:hAnsi="Times New Roman"/>
                <w:noProof/>
                <w:color w:val="000000" w:themeColor="text1"/>
                <w:sz w:val="18"/>
              </w:rPr>
              <w:t>rawnieniem procesów przemysłowych</w:t>
            </w:r>
            <w:r w:rsidR="00A33B9F" w:rsidRPr="00A33B9F">
              <w:rPr>
                <w:rFonts w:ascii="Times New Roman" w:hAnsi="Times New Roman"/>
                <w:noProof/>
                <w:color w:val="000000" w:themeColor="text1"/>
                <w:sz w:val="18"/>
              </w:rPr>
              <w:t xml:space="preserve"> i ene</w:t>
            </w:r>
            <w:r w:rsidRPr="00A33B9F">
              <w:rPr>
                <w:rFonts w:ascii="Times New Roman" w:hAnsi="Times New Roman"/>
                <w:noProof/>
                <w:color w:val="000000" w:themeColor="text1"/>
                <w:sz w:val="18"/>
              </w:rPr>
              <w:t>rgetycznych</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poprawy efektywności energetycznej</w:t>
            </w:r>
            <w:r w:rsidR="00A33B9F" w:rsidRPr="00A33B9F">
              <w:rPr>
                <w:rFonts w:ascii="Times New Roman" w:hAnsi="Times New Roman"/>
                <w:noProof/>
                <w:color w:val="000000" w:themeColor="text1"/>
                <w:sz w:val="18"/>
              </w:rPr>
              <w:t xml:space="preserve"> i zmn</w:t>
            </w:r>
            <w:r w:rsidRPr="00A33B9F">
              <w:rPr>
                <w:rFonts w:ascii="Times New Roman" w:hAnsi="Times New Roman"/>
                <w:noProof/>
                <w:color w:val="000000" w:themeColor="text1"/>
                <w:sz w:val="18"/>
              </w:rPr>
              <w:t>iejszenia energochłonności, prowadzących do zmniejszenia</w:t>
            </w:r>
            <w:r w:rsidR="00A33B9F" w:rsidRPr="00A33B9F">
              <w:rPr>
                <w:rFonts w:ascii="Times New Roman" w:hAnsi="Times New Roman"/>
                <w:noProof/>
                <w:color w:val="000000" w:themeColor="text1"/>
                <w:sz w:val="18"/>
              </w:rPr>
              <w:t xml:space="preserve"> i rac</w:t>
            </w:r>
            <w:r w:rsidRPr="00A33B9F">
              <w:rPr>
                <w:rFonts w:ascii="Times New Roman" w:hAnsi="Times New Roman"/>
                <w:noProof/>
                <w:color w:val="000000" w:themeColor="text1"/>
                <w:sz w:val="18"/>
              </w:rPr>
              <w:t>jonalizacji zużycia energii</w:t>
            </w:r>
            <w:r w:rsidR="00A33B9F" w:rsidRPr="00A33B9F">
              <w:rPr>
                <w:rFonts w:ascii="Times New Roman" w:hAnsi="Times New Roman"/>
                <w:noProof/>
                <w:color w:val="000000" w:themeColor="text1"/>
                <w:sz w:val="18"/>
              </w:rPr>
              <w:t xml:space="preserve"> z inw</w:t>
            </w:r>
            <w:r w:rsidRPr="00A33B9F">
              <w:rPr>
                <w:rFonts w:ascii="Times New Roman" w:hAnsi="Times New Roman"/>
                <w:noProof/>
                <w:color w:val="000000" w:themeColor="text1"/>
                <w:sz w:val="18"/>
              </w:rPr>
              <w:t>estycjami</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awialne</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koemisyjne źródła energii</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edsiębiorstwach. System będzie realizowany zgodnie</w:t>
            </w:r>
            <w:r w:rsidR="00A33B9F" w:rsidRPr="00A33B9F">
              <w:rPr>
                <w:rFonts w:ascii="Times New Roman" w:hAnsi="Times New Roman"/>
                <w:noProof/>
                <w:color w:val="000000" w:themeColor="text1"/>
                <w:sz w:val="18"/>
              </w:rPr>
              <w:t xml:space="preserve"> z ins</w:t>
            </w:r>
            <w:r w:rsidRPr="00A33B9F">
              <w:rPr>
                <w:rFonts w:ascii="Times New Roman" w:hAnsi="Times New Roman"/>
                <w:noProof/>
                <w:color w:val="000000" w:themeColor="text1"/>
                <w:sz w:val="18"/>
              </w:rPr>
              <w:t>trukcjami dotyczącymi finansowania opisanymi w B2L. System jest wdrażany</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niedyskryminacyjnego, przejrzystego</w:t>
            </w:r>
            <w:r w:rsidR="00A33B9F" w:rsidRPr="00A33B9F">
              <w:rPr>
                <w:rFonts w:ascii="Times New Roman" w:hAnsi="Times New Roman"/>
                <w:noProof/>
                <w:color w:val="000000" w:themeColor="text1"/>
                <w:sz w:val="18"/>
              </w:rPr>
              <w:t xml:space="preserve"> i otw</w:t>
            </w:r>
            <w:r w:rsidRPr="00A33B9F">
              <w:rPr>
                <w:rFonts w:ascii="Times New Roman" w:hAnsi="Times New Roman"/>
                <w:noProof/>
                <w:color w:val="000000" w:themeColor="text1"/>
                <w:sz w:val="18"/>
              </w:rPr>
              <w:t>artego procesu, dostępnego dla wszystkich sektorów przemysłu.</w:t>
            </w:r>
          </w:p>
        </w:tc>
      </w:tr>
      <w:tr w:rsidR="008C116B" w:rsidRPr="00A33B9F" w14:paraId="1B7917D7" w14:textId="77777777" w:rsidTr="1CE0CE0C">
        <w:trPr>
          <w:trHeight w:val="313"/>
        </w:trPr>
        <w:tc>
          <w:tcPr>
            <w:tcW w:w="821" w:type="dxa"/>
            <w:shd w:val="clear" w:color="auto" w:fill="C6EFCE"/>
          </w:tcPr>
          <w:p w14:paraId="215315CF"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B4L</w:t>
            </w:r>
          </w:p>
        </w:tc>
        <w:tc>
          <w:tcPr>
            <w:tcW w:w="1745" w:type="dxa"/>
            <w:shd w:val="clear" w:color="auto" w:fill="C6EFCE"/>
          </w:tcPr>
          <w:p w14:paraId="0B785F99" w14:textId="5B13D81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B2.3 Wsparcie inwestycji</w:t>
            </w:r>
            <w:r w:rsidR="00A33B9F" w:rsidRPr="00A33B9F">
              <w:rPr>
                <w:rFonts w:ascii="Times New Roman" w:hAnsi="Times New Roman"/>
                <w:noProof/>
                <w:color w:val="000000" w:themeColor="text1"/>
                <w:sz w:val="18"/>
              </w:rPr>
              <w:t xml:space="preserve"> w obs</w:t>
            </w:r>
            <w:r w:rsidRPr="00A33B9F">
              <w:rPr>
                <w:rFonts w:ascii="Times New Roman" w:hAnsi="Times New Roman"/>
                <w:noProof/>
                <w:color w:val="000000" w:themeColor="text1"/>
                <w:sz w:val="18"/>
              </w:rPr>
              <w:t>zarze morskich farm wiatrowych</w:t>
            </w:r>
          </w:p>
        </w:tc>
        <w:tc>
          <w:tcPr>
            <w:tcW w:w="1021" w:type="dxa"/>
            <w:shd w:val="clear" w:color="auto" w:fill="C6EFCE"/>
          </w:tcPr>
          <w:p w14:paraId="23F8294E"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02555C13" w14:textId="6D20785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rozporządzeń wykonawczych</w:t>
            </w:r>
            <w:r w:rsidR="00A33B9F" w:rsidRPr="00A33B9F">
              <w:rPr>
                <w:rFonts w:ascii="Times New Roman" w:hAnsi="Times New Roman"/>
                <w:noProof/>
                <w:color w:val="000000"/>
                <w:sz w:val="18"/>
              </w:rPr>
              <w:t xml:space="preserve"> w nas</w:t>
            </w:r>
            <w:r w:rsidRPr="00A33B9F">
              <w:rPr>
                <w:rFonts w:ascii="Times New Roman" w:hAnsi="Times New Roman"/>
                <w:noProof/>
                <w:color w:val="000000"/>
                <w:sz w:val="18"/>
              </w:rPr>
              <w:t>tępstwie ustawy</w:t>
            </w:r>
            <w:r w:rsidR="00A33B9F" w:rsidRPr="00A33B9F">
              <w:rPr>
                <w:rFonts w:ascii="Times New Roman" w:hAnsi="Times New Roman"/>
                <w:noProof/>
                <w:color w:val="000000"/>
                <w:sz w:val="18"/>
              </w:rPr>
              <w:t xml:space="preserve"> o pro</w:t>
            </w:r>
            <w:r w:rsidRPr="00A33B9F">
              <w:rPr>
                <w:rFonts w:ascii="Times New Roman" w:hAnsi="Times New Roman"/>
                <w:noProof/>
                <w:color w:val="000000"/>
                <w:sz w:val="18"/>
              </w:rPr>
              <w:t>mowaniu wytwarzania energii elektrycznej</w:t>
            </w:r>
            <w:r w:rsidR="00A33B9F" w:rsidRPr="00A33B9F">
              <w:rPr>
                <w:rFonts w:ascii="Times New Roman" w:hAnsi="Times New Roman"/>
                <w:noProof/>
                <w:color w:val="000000"/>
                <w:sz w:val="18"/>
              </w:rPr>
              <w:t xml:space="preserve"> w mor</w:t>
            </w:r>
            <w:r w:rsidRPr="00A33B9F">
              <w:rPr>
                <w:rFonts w:ascii="Times New Roman" w:hAnsi="Times New Roman"/>
                <w:noProof/>
                <w:color w:val="000000"/>
                <w:sz w:val="18"/>
              </w:rPr>
              <w:t xml:space="preserve">skich farmach wiatrowych. </w:t>
            </w:r>
          </w:p>
        </w:tc>
        <w:tc>
          <w:tcPr>
            <w:tcW w:w="1567" w:type="dxa"/>
            <w:shd w:val="clear" w:color="auto" w:fill="C6EFCE"/>
          </w:tcPr>
          <w:p w14:paraId="1FB9E400" w14:textId="7C4EB2D8"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porządzeniach wskazujący na ich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shd w:val="clear" w:color="auto" w:fill="C6EFCE"/>
          </w:tcPr>
          <w:p w14:paraId="396C961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15C6C2C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052B1EA5"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624344F4"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688" w:type="dxa"/>
            <w:shd w:val="clear" w:color="auto" w:fill="C6EFCE"/>
          </w:tcPr>
          <w:p w14:paraId="49B93A81"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4146" w:type="dxa"/>
            <w:shd w:val="clear" w:color="auto" w:fill="C6EFCE"/>
          </w:tcPr>
          <w:p w14:paraId="620635FC" w14:textId="1031378E"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Wejdą</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dwa rozporządzenie wykonawcze: </w:t>
            </w:r>
          </w:p>
          <w:p w14:paraId="2351FD8F" w14:textId="02E8051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1. rozporządzenie Ministra Klimatu</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dowiska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wymagań dla elementów zespołu urządzeń służących do wyprowadzania mocy oraz dla elementów morskich podstacji – Ponadto</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porządzeniu zostanie zagwarantowana odpowiednia jakość infrastruktury</w:t>
            </w:r>
            <w:r w:rsidR="00A33B9F" w:rsidRPr="00A33B9F">
              <w:rPr>
                <w:rFonts w:ascii="Times New Roman" w:hAnsi="Times New Roman"/>
                <w:noProof/>
                <w:color w:val="000000" w:themeColor="text1"/>
                <w:sz w:val="18"/>
              </w:rPr>
              <w:t xml:space="preserve"> w kon</w:t>
            </w:r>
            <w:r w:rsidRPr="00A33B9F">
              <w:rPr>
                <w:rFonts w:ascii="Times New Roman" w:hAnsi="Times New Roman"/>
                <w:noProof/>
                <w:color w:val="000000" w:themeColor="text1"/>
                <w:sz w:val="18"/>
              </w:rPr>
              <w:t>tekście jej ewentualnej integracji</w:t>
            </w:r>
            <w:r w:rsidR="00A33B9F" w:rsidRPr="00A33B9F">
              <w:rPr>
                <w:rFonts w:ascii="Times New Roman" w:hAnsi="Times New Roman"/>
                <w:noProof/>
                <w:color w:val="000000" w:themeColor="text1"/>
                <w:sz w:val="18"/>
              </w:rPr>
              <w:t xml:space="preserve"> z sie</w:t>
            </w:r>
            <w:r w:rsidRPr="00A33B9F">
              <w:rPr>
                <w:rFonts w:ascii="Times New Roman" w:hAnsi="Times New Roman"/>
                <w:noProof/>
                <w:color w:val="000000" w:themeColor="text1"/>
                <w:sz w:val="18"/>
              </w:rPr>
              <w:t>cią energetyczną</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przesyłania mocy wyjściowej</w:t>
            </w:r>
            <w:r w:rsidR="00A33B9F" w:rsidRPr="00A33B9F">
              <w:rPr>
                <w:rFonts w:ascii="Times New Roman" w:hAnsi="Times New Roman"/>
                <w:noProof/>
                <w:color w:val="000000" w:themeColor="text1"/>
                <w:sz w:val="18"/>
              </w:rPr>
              <w:t xml:space="preserve"> z mor</w:t>
            </w:r>
            <w:r w:rsidRPr="00A33B9F">
              <w:rPr>
                <w:rFonts w:ascii="Times New Roman" w:hAnsi="Times New Roman"/>
                <w:noProof/>
                <w:color w:val="000000" w:themeColor="text1"/>
                <w:sz w:val="18"/>
              </w:rPr>
              <w:t>skich farm wiatrowych,</w:t>
            </w:r>
            <w:r w:rsidR="00A33B9F" w:rsidRPr="00A33B9F">
              <w:rPr>
                <w:rFonts w:ascii="Times New Roman" w:hAnsi="Times New Roman"/>
                <w:noProof/>
                <w:color w:val="000000" w:themeColor="text1"/>
                <w:sz w:val="18"/>
              </w:rPr>
              <w:t xml:space="preserve"> o czy</w:t>
            </w:r>
            <w:r w:rsidRPr="00A33B9F">
              <w:rPr>
                <w:rFonts w:ascii="Times New Roman" w:hAnsi="Times New Roman"/>
                <w:noProof/>
                <w:color w:val="000000" w:themeColor="text1"/>
                <w:sz w:val="18"/>
              </w:rPr>
              <w:t>m mowa</w:t>
            </w:r>
            <w:r w:rsidR="00A33B9F" w:rsidRPr="00A33B9F">
              <w:rPr>
                <w:rFonts w:ascii="Times New Roman" w:hAnsi="Times New Roman"/>
                <w:noProof/>
                <w:color w:val="000000" w:themeColor="text1"/>
                <w:sz w:val="18"/>
              </w:rPr>
              <w:t xml:space="preserve"> w art</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58–60 ustawy</w:t>
            </w:r>
            <w:r w:rsidR="00A33B9F" w:rsidRPr="00A33B9F">
              <w:rPr>
                <w:rFonts w:ascii="Times New Roman" w:hAnsi="Times New Roman"/>
                <w:noProof/>
                <w:color w:val="000000" w:themeColor="text1"/>
                <w:sz w:val="18"/>
              </w:rPr>
              <w:t xml:space="preserve"> o mor</w:t>
            </w:r>
            <w:r w:rsidRPr="00A33B9F">
              <w:rPr>
                <w:rFonts w:ascii="Times New Roman" w:hAnsi="Times New Roman"/>
                <w:noProof/>
                <w:color w:val="000000" w:themeColor="text1"/>
                <w:sz w:val="18"/>
              </w:rPr>
              <w:t>skiej energetyce wiatrowej;</w:t>
            </w:r>
            <w:r w:rsidRPr="00A33B9F">
              <w:rPr>
                <w:noProof/>
              </w:rPr>
              <w:t xml:space="preserve"> </w:t>
            </w:r>
            <w:r w:rsidRPr="00A33B9F">
              <w:rPr>
                <w:noProof/>
              </w:rPr>
              <w:br/>
            </w:r>
            <w:r w:rsidRPr="00A33B9F">
              <w:rPr>
                <w:rFonts w:ascii="Times New Roman" w:hAnsi="Times New Roman"/>
                <w:noProof/>
                <w:color w:val="000000" w:themeColor="text1"/>
                <w:sz w:val="18"/>
              </w:rPr>
              <w:t>2. rozporządzenie Ministra Klimatu</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dowiska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ceny maksymalnej</w:t>
            </w:r>
            <w:r w:rsidR="00A33B9F" w:rsidRPr="00A33B9F">
              <w:rPr>
                <w:rFonts w:ascii="Times New Roman" w:hAnsi="Times New Roman"/>
                <w:noProof/>
                <w:color w:val="000000" w:themeColor="text1"/>
                <w:sz w:val="18"/>
              </w:rPr>
              <w:t xml:space="preserve"> w zło</w:t>
            </w:r>
            <w:r w:rsidRPr="00A33B9F">
              <w:rPr>
                <w:rFonts w:ascii="Times New Roman" w:hAnsi="Times New Roman"/>
                <w:noProof/>
                <w:color w:val="000000" w:themeColor="text1"/>
                <w:sz w:val="18"/>
              </w:rPr>
              <w:t>tych za</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 MWh, która może być podana</w:t>
            </w:r>
            <w:r w:rsidR="00A33B9F" w:rsidRPr="00A33B9F">
              <w:rPr>
                <w:rFonts w:ascii="Times New Roman" w:hAnsi="Times New Roman"/>
                <w:noProof/>
                <w:color w:val="000000" w:themeColor="text1"/>
                <w:sz w:val="18"/>
              </w:rPr>
              <w:t xml:space="preserve"> w ofe</w:t>
            </w:r>
            <w:r w:rsidRPr="00A33B9F">
              <w:rPr>
                <w:rFonts w:ascii="Times New Roman" w:hAnsi="Times New Roman"/>
                <w:noProof/>
                <w:color w:val="000000" w:themeColor="text1"/>
                <w:sz w:val="18"/>
              </w:rPr>
              <w:t>rtach składanych</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aukcji przez wytwórców.</w:t>
            </w:r>
          </w:p>
        </w:tc>
      </w:tr>
      <w:tr w:rsidR="008C116B" w:rsidRPr="00A33B9F" w14:paraId="61BF8A97" w14:textId="77777777" w:rsidTr="1CE0CE0C">
        <w:trPr>
          <w:trHeight w:val="313"/>
        </w:trPr>
        <w:tc>
          <w:tcPr>
            <w:tcW w:w="821" w:type="dxa"/>
            <w:shd w:val="clear" w:color="auto" w:fill="C6EFCE"/>
          </w:tcPr>
          <w:p w14:paraId="0F94522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B5L</w:t>
            </w:r>
          </w:p>
        </w:tc>
        <w:tc>
          <w:tcPr>
            <w:tcW w:w="1745" w:type="dxa"/>
            <w:shd w:val="clear" w:color="auto" w:fill="C6EFCE"/>
          </w:tcPr>
          <w:p w14:paraId="481F3FE2" w14:textId="7C37F9AB"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B2.3 Wsparcie inwestycji</w:t>
            </w:r>
            <w:r w:rsidR="00A33B9F" w:rsidRPr="00A33B9F">
              <w:rPr>
                <w:rFonts w:ascii="Times New Roman" w:hAnsi="Times New Roman"/>
                <w:noProof/>
                <w:color w:val="000000" w:themeColor="text1"/>
                <w:sz w:val="18"/>
              </w:rPr>
              <w:t xml:space="preserve"> w obs</w:t>
            </w:r>
            <w:r w:rsidRPr="00A33B9F">
              <w:rPr>
                <w:rFonts w:ascii="Times New Roman" w:hAnsi="Times New Roman"/>
                <w:noProof/>
                <w:color w:val="000000" w:themeColor="text1"/>
                <w:sz w:val="18"/>
              </w:rPr>
              <w:t>zarze morskich farm wiatrowych</w:t>
            </w:r>
          </w:p>
        </w:tc>
        <w:tc>
          <w:tcPr>
            <w:tcW w:w="1021" w:type="dxa"/>
            <w:shd w:val="clear" w:color="auto" w:fill="C6EFCE"/>
          </w:tcPr>
          <w:p w14:paraId="71E2AC0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1FEE43BD" w14:textId="63ED72D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Organizacja aukcji na energię elektryczną</w:t>
            </w:r>
            <w:r w:rsidR="00A33B9F" w:rsidRPr="00A33B9F">
              <w:rPr>
                <w:rFonts w:ascii="Times New Roman" w:hAnsi="Times New Roman"/>
                <w:noProof/>
                <w:color w:val="000000"/>
                <w:sz w:val="18"/>
              </w:rPr>
              <w:t xml:space="preserve"> z mor</w:t>
            </w:r>
            <w:r w:rsidRPr="00A33B9F">
              <w:rPr>
                <w:rFonts w:ascii="Times New Roman" w:hAnsi="Times New Roman"/>
                <w:noProof/>
                <w:color w:val="000000"/>
                <w:sz w:val="18"/>
              </w:rPr>
              <w:t>skich farm wiatrowych</w:t>
            </w:r>
          </w:p>
        </w:tc>
        <w:tc>
          <w:tcPr>
            <w:tcW w:w="1567" w:type="dxa"/>
            <w:shd w:val="clear" w:color="auto" w:fill="C6EFCE"/>
          </w:tcPr>
          <w:p w14:paraId="12A97052"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Publikacja wyników aukcji</w:t>
            </w:r>
          </w:p>
        </w:tc>
        <w:tc>
          <w:tcPr>
            <w:tcW w:w="950" w:type="dxa"/>
            <w:shd w:val="clear" w:color="auto" w:fill="C6EFCE"/>
          </w:tcPr>
          <w:p w14:paraId="0946B84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7918685C"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38689931"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1FC9CBB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688" w:type="dxa"/>
            <w:shd w:val="clear" w:color="auto" w:fill="C6EFCE"/>
          </w:tcPr>
          <w:p w14:paraId="1B99CA7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4146" w:type="dxa"/>
            <w:shd w:val="clear" w:color="auto" w:fill="C6EFCE"/>
          </w:tcPr>
          <w:p w14:paraId="75F8B834" w14:textId="005C7D4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 ustawie</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17 grudnia 2020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pro</w:t>
            </w:r>
            <w:r w:rsidRPr="00A33B9F">
              <w:rPr>
                <w:rFonts w:ascii="Times New Roman" w:hAnsi="Times New Roman"/>
                <w:noProof/>
                <w:color w:val="000000" w:themeColor="text1"/>
                <w:sz w:val="18"/>
              </w:rPr>
              <w:t>mowaniu wytwarzania energii elektrycznej</w:t>
            </w:r>
            <w:r w:rsidR="00A33B9F" w:rsidRPr="00A33B9F">
              <w:rPr>
                <w:rFonts w:ascii="Times New Roman" w:hAnsi="Times New Roman"/>
                <w:noProof/>
                <w:color w:val="000000" w:themeColor="text1"/>
                <w:sz w:val="18"/>
              </w:rPr>
              <w:t xml:space="preserve"> w mor</w:t>
            </w:r>
            <w:r w:rsidRPr="00A33B9F">
              <w:rPr>
                <w:rFonts w:ascii="Times New Roman" w:hAnsi="Times New Roman"/>
                <w:noProof/>
                <w:color w:val="000000" w:themeColor="text1"/>
                <w:sz w:val="18"/>
              </w:rPr>
              <w:t>skich farmach wiatrowych (Dz.U. 2021 poz.</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234) znajduje się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29, którym wprowadzono obowiązek przeprowadzenia</w:t>
            </w:r>
            <w:r w:rsidR="00A33B9F" w:rsidRPr="00A33B9F">
              <w:rPr>
                <w:rFonts w:ascii="Times New Roman" w:hAnsi="Times New Roman"/>
                <w:noProof/>
                <w:color w:val="000000" w:themeColor="text1"/>
                <w:sz w:val="18"/>
              </w:rPr>
              <w:t xml:space="preserve"> w 2</w:t>
            </w:r>
            <w:r w:rsidRPr="00A33B9F">
              <w:rPr>
                <w:rFonts w:ascii="Times New Roman" w:hAnsi="Times New Roman"/>
                <w:noProof/>
                <w:color w:val="000000" w:themeColor="text1"/>
                <w:sz w:val="18"/>
              </w:rPr>
              <w:t>025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aukcji przez Prezesa Urzędu Regulacji Energetyki. Maksymalna łączna zainstalowana moc elektryczna morskich farm wiatrowych,</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których może zostać przyznane prawo do pokrycia ujemnego salda</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aukcji</w:t>
            </w:r>
            <w:r w:rsidR="00A33B9F" w:rsidRPr="00A33B9F">
              <w:rPr>
                <w:rFonts w:ascii="Times New Roman" w:hAnsi="Times New Roman"/>
                <w:noProof/>
                <w:color w:val="000000" w:themeColor="text1"/>
                <w:sz w:val="18"/>
              </w:rPr>
              <w:t xml:space="preserve"> w 2</w:t>
            </w:r>
            <w:r w:rsidRPr="00A33B9F">
              <w:rPr>
                <w:rFonts w:ascii="Times New Roman" w:hAnsi="Times New Roman"/>
                <w:noProof/>
                <w:color w:val="000000" w:themeColor="text1"/>
                <w:sz w:val="18"/>
              </w:rPr>
              <w:t>025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wynosi 2,5 GW.</w:t>
            </w:r>
            <w:r w:rsidR="00C3621A" w:rsidRPr="00A33B9F">
              <w:rPr>
                <w:rFonts w:ascii="Times New Roman" w:hAnsi="Times New Roman"/>
                <w:noProof/>
                <w:color w:val="000000" w:themeColor="text1"/>
                <w:sz w:val="18"/>
              </w:rPr>
              <w:t xml:space="preserve"> </w:t>
            </w:r>
          </w:p>
        </w:tc>
      </w:tr>
      <w:tr w:rsidR="008C116B" w:rsidRPr="00A33B9F" w14:paraId="4DC91688" w14:textId="77777777" w:rsidTr="1CE0CE0C">
        <w:trPr>
          <w:trHeight w:val="313"/>
        </w:trPr>
        <w:tc>
          <w:tcPr>
            <w:tcW w:w="821" w:type="dxa"/>
            <w:shd w:val="clear" w:color="auto" w:fill="C6EFCE"/>
          </w:tcPr>
          <w:p w14:paraId="0C34ABAF"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B6L</w:t>
            </w:r>
          </w:p>
        </w:tc>
        <w:tc>
          <w:tcPr>
            <w:tcW w:w="1745" w:type="dxa"/>
            <w:shd w:val="clear" w:color="auto" w:fill="C6EFCE"/>
          </w:tcPr>
          <w:p w14:paraId="5BAB1078" w14:textId="514E2EC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B2.3 Wsparcie inwestycji</w:t>
            </w:r>
            <w:r w:rsidR="00A33B9F" w:rsidRPr="00A33B9F">
              <w:rPr>
                <w:rFonts w:ascii="Times New Roman" w:hAnsi="Times New Roman"/>
                <w:noProof/>
                <w:color w:val="000000" w:themeColor="text1"/>
                <w:sz w:val="18"/>
              </w:rPr>
              <w:t xml:space="preserve"> w obs</w:t>
            </w:r>
            <w:r w:rsidRPr="00A33B9F">
              <w:rPr>
                <w:rFonts w:ascii="Times New Roman" w:hAnsi="Times New Roman"/>
                <w:noProof/>
                <w:color w:val="000000" w:themeColor="text1"/>
                <w:sz w:val="18"/>
              </w:rPr>
              <w:t>zarze morskich farm wiatrowych</w:t>
            </w:r>
          </w:p>
        </w:tc>
        <w:tc>
          <w:tcPr>
            <w:tcW w:w="1021" w:type="dxa"/>
            <w:shd w:val="clear" w:color="auto" w:fill="C6EFCE"/>
          </w:tcPr>
          <w:p w14:paraId="4CA3B8C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3FF403A1" w14:textId="0F606B14"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zmienionego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szczegółowych warunków funkcjonowania systemu energetycznego, którego skutkiem będzie zmiana krajowych przepisów dotyczących bilansowania</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zmniejszenia</w:t>
            </w:r>
            <w:r w:rsidR="00A33B9F" w:rsidRPr="00A33B9F">
              <w:rPr>
                <w:rFonts w:ascii="Times New Roman" w:hAnsi="Times New Roman"/>
                <w:noProof/>
                <w:color w:val="000000" w:themeColor="text1"/>
                <w:sz w:val="18"/>
              </w:rPr>
              <w:t xml:space="preserve"> w jak</w:t>
            </w:r>
            <w:r w:rsidRPr="00A33B9F">
              <w:rPr>
                <w:rFonts w:ascii="Times New Roman" w:hAnsi="Times New Roman"/>
                <w:noProof/>
                <w:color w:val="000000" w:themeColor="text1"/>
                <w:sz w:val="18"/>
              </w:rPr>
              <w:t xml:space="preserve"> największym stopniu wpływu ograniczeń alokacji</w:t>
            </w:r>
          </w:p>
        </w:tc>
        <w:tc>
          <w:tcPr>
            <w:tcW w:w="1567" w:type="dxa"/>
            <w:shd w:val="clear" w:color="auto" w:fill="C6EFCE"/>
          </w:tcPr>
          <w:p w14:paraId="0F3C1BD2" w14:textId="378DF19D"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rozporządzenia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shd w:val="clear" w:color="auto" w:fill="C6EFCE"/>
          </w:tcPr>
          <w:p w14:paraId="1004031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04F7148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15DB0EA2"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0FCD07F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688" w:type="dxa"/>
            <w:shd w:val="clear" w:color="auto" w:fill="C6EFCE"/>
          </w:tcPr>
          <w:p w14:paraId="47B646AC"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4146" w:type="dxa"/>
            <w:shd w:val="clear" w:color="auto" w:fill="C6EFCE"/>
          </w:tcPr>
          <w:p w14:paraId="36C20F13" w14:textId="56CC16D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 ramach reformy rynku energii zasady funkcjonowania rynku bilansującego należy zmienić</w:t>
            </w:r>
            <w:r w:rsidR="00A33B9F" w:rsidRPr="00A33B9F">
              <w:rPr>
                <w:rFonts w:ascii="Times New Roman" w:hAnsi="Times New Roman"/>
                <w:noProof/>
                <w:color w:val="000000" w:themeColor="text1"/>
                <w:sz w:val="18"/>
              </w:rPr>
              <w:t xml:space="preserve"> w tak</w:t>
            </w:r>
            <w:r w:rsidRPr="00A33B9F">
              <w:rPr>
                <w:rFonts w:ascii="Times New Roman" w:hAnsi="Times New Roman"/>
                <w:noProof/>
                <w:color w:val="000000" w:themeColor="text1"/>
                <w:sz w:val="18"/>
              </w:rPr>
              <w:t>i sposób, aby uwzględnić</w:t>
            </w:r>
            <w:r w:rsidR="00A33B9F" w:rsidRPr="00A33B9F">
              <w:rPr>
                <w:rFonts w:ascii="Times New Roman" w:hAnsi="Times New Roman"/>
                <w:noProof/>
                <w:color w:val="000000" w:themeColor="text1"/>
                <w:sz w:val="18"/>
              </w:rPr>
              <w:t xml:space="preserve"> w nic</w:t>
            </w:r>
            <w:r w:rsidRPr="00A33B9F">
              <w:rPr>
                <w:rFonts w:ascii="Times New Roman" w:hAnsi="Times New Roman"/>
                <w:noProof/>
                <w:color w:val="000000" w:themeColor="text1"/>
                <w:sz w:val="18"/>
              </w:rPr>
              <w:t>h jawne zamawianie rezerw przed jednolitym łączeniem rynków dnia następnego. Rozwiązanie to zaproponowała Agencja ds. Współpracy Organów Regulacji Energetyki</w:t>
            </w:r>
            <w:r w:rsidR="00A33B9F" w:rsidRPr="00A33B9F">
              <w:rPr>
                <w:rFonts w:ascii="Times New Roman" w:hAnsi="Times New Roman"/>
                <w:noProof/>
                <w:color w:val="000000" w:themeColor="text1"/>
                <w:sz w:val="18"/>
              </w:rPr>
              <w:t xml:space="preserve"> w met</w:t>
            </w:r>
            <w:r w:rsidRPr="00A33B9F">
              <w:rPr>
                <w:rFonts w:ascii="Times New Roman" w:hAnsi="Times New Roman"/>
                <w:noProof/>
                <w:color w:val="000000" w:themeColor="text1"/>
                <w:sz w:val="18"/>
              </w:rPr>
              <w:t>odyce CORE CCM (decyzja ACER 02/2019) jako jedno</w:t>
            </w:r>
            <w:r w:rsidR="00A33B9F" w:rsidRPr="00A33B9F">
              <w:rPr>
                <w:rFonts w:ascii="Times New Roman" w:hAnsi="Times New Roman"/>
                <w:noProof/>
                <w:color w:val="000000" w:themeColor="text1"/>
                <w:sz w:val="18"/>
              </w:rPr>
              <w:t xml:space="preserve"> z moż</w:t>
            </w:r>
            <w:r w:rsidRPr="00A33B9F">
              <w:rPr>
                <w:rFonts w:ascii="Times New Roman" w:hAnsi="Times New Roman"/>
                <w:noProof/>
                <w:color w:val="000000" w:themeColor="text1"/>
                <w:sz w:val="18"/>
              </w:rPr>
              <w:t>liwych rozwiązań mających na celu zmniejszenie</w:t>
            </w:r>
            <w:r w:rsidR="00A33B9F" w:rsidRPr="00A33B9F">
              <w:rPr>
                <w:rFonts w:ascii="Times New Roman" w:hAnsi="Times New Roman"/>
                <w:noProof/>
                <w:color w:val="000000" w:themeColor="text1"/>
                <w:sz w:val="18"/>
              </w:rPr>
              <w:t xml:space="preserve"> w mak</w:t>
            </w:r>
            <w:r w:rsidRPr="00A33B9F">
              <w:rPr>
                <w:rFonts w:ascii="Times New Roman" w:hAnsi="Times New Roman"/>
                <w:noProof/>
                <w:color w:val="000000" w:themeColor="text1"/>
                <w:sz w:val="18"/>
              </w:rPr>
              <w:t>symalnym możliwym stopniu wpływu ograniczeń alokacji</w:t>
            </w:r>
            <w:r w:rsidR="00A33B9F" w:rsidRPr="00A33B9F">
              <w:rPr>
                <w:rFonts w:ascii="Times New Roman" w:hAnsi="Times New Roman"/>
                <w:noProof/>
                <w:color w:val="000000" w:themeColor="text1"/>
                <w:sz w:val="18"/>
              </w:rPr>
              <w:t>. W cel</w:t>
            </w:r>
            <w:r w:rsidRPr="00A33B9F">
              <w:rPr>
                <w:rFonts w:ascii="Times New Roman" w:hAnsi="Times New Roman"/>
                <w:noProof/>
                <w:color w:val="000000" w:themeColor="text1"/>
                <w:sz w:val="18"/>
              </w:rPr>
              <w:t>u realizacji tej reformy minister właściwy do spraw energii dokona zmiany rozporządzenia Ministra Gospodarki</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4 maja 2007</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szczegółowych warunków funkcjonowania systemu elektroenergetycznego. Organ regulacji energetyki będzie monitorował ograniczenia alokacji zgodnie</w:t>
            </w:r>
            <w:r w:rsidR="00A33B9F" w:rsidRPr="00A33B9F">
              <w:rPr>
                <w:rFonts w:ascii="Times New Roman" w:hAnsi="Times New Roman"/>
                <w:noProof/>
                <w:color w:val="000000" w:themeColor="text1"/>
                <w:sz w:val="18"/>
              </w:rPr>
              <w:t xml:space="preserve"> z obo</w:t>
            </w:r>
            <w:r w:rsidRPr="00A33B9F">
              <w:rPr>
                <w:rFonts w:ascii="Times New Roman" w:hAnsi="Times New Roman"/>
                <w:noProof/>
                <w:color w:val="000000" w:themeColor="text1"/>
                <w:sz w:val="18"/>
              </w:rPr>
              <w:t>wiązującymi przepisami UE. Organ regulacji przeprowadzi badanie optymalizacji proponowanych działań służących wprowadzeniu limitu</w:t>
            </w:r>
            <w:r w:rsidR="00A33B9F" w:rsidRPr="00A33B9F">
              <w:rPr>
                <w:rFonts w:ascii="Times New Roman" w:hAnsi="Times New Roman"/>
                <w:noProof/>
                <w:color w:val="000000" w:themeColor="text1"/>
                <w:sz w:val="18"/>
              </w:rPr>
              <w:t xml:space="preserve"> w sto</w:t>
            </w:r>
            <w:r w:rsidRPr="00A33B9F">
              <w:rPr>
                <w:rFonts w:ascii="Times New Roman" w:hAnsi="Times New Roman"/>
                <w:noProof/>
                <w:color w:val="000000" w:themeColor="text1"/>
                <w:sz w:val="18"/>
              </w:rPr>
              <w:t>sunku do ograniczeń alokacji</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skim systemie elektroenergetycznym</w:t>
            </w:r>
            <w:r w:rsidR="00A33B9F" w:rsidRPr="00A33B9F">
              <w:rPr>
                <w:rFonts w:ascii="Times New Roman" w:hAnsi="Times New Roman"/>
                <w:noProof/>
                <w:color w:val="000000" w:themeColor="text1"/>
                <w:sz w:val="18"/>
              </w:rPr>
              <w:t xml:space="preserve"> i jeg</w:t>
            </w:r>
            <w:r w:rsidRPr="00A33B9F">
              <w:rPr>
                <w:rFonts w:ascii="Times New Roman" w:hAnsi="Times New Roman"/>
                <w:noProof/>
                <w:color w:val="000000" w:themeColor="text1"/>
                <w:sz w:val="18"/>
              </w:rPr>
              <w:t>o zalecenia zostaną uwzględnione</w:t>
            </w:r>
            <w:r w:rsidR="00A33B9F" w:rsidRPr="00A33B9F">
              <w:rPr>
                <w:rFonts w:ascii="Times New Roman" w:hAnsi="Times New Roman"/>
                <w:noProof/>
                <w:color w:val="000000" w:themeColor="text1"/>
                <w:sz w:val="18"/>
              </w:rPr>
              <w:t xml:space="preserve"> w dal</w:t>
            </w:r>
            <w:r w:rsidRPr="00A33B9F">
              <w:rPr>
                <w:rFonts w:ascii="Times New Roman" w:hAnsi="Times New Roman"/>
                <w:noProof/>
                <w:color w:val="000000" w:themeColor="text1"/>
                <w:sz w:val="18"/>
              </w:rPr>
              <w:t xml:space="preserve">szych pracach. </w:t>
            </w:r>
          </w:p>
        </w:tc>
      </w:tr>
      <w:tr w:rsidR="008C116B" w:rsidRPr="00A33B9F" w14:paraId="2661DC80" w14:textId="77777777" w:rsidTr="1CE0CE0C">
        <w:trPr>
          <w:trHeight w:val="313"/>
        </w:trPr>
        <w:tc>
          <w:tcPr>
            <w:tcW w:w="821" w:type="dxa"/>
            <w:shd w:val="clear" w:color="auto" w:fill="C6EFCE"/>
          </w:tcPr>
          <w:p w14:paraId="367235F3"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B10L</w:t>
            </w:r>
          </w:p>
        </w:tc>
        <w:tc>
          <w:tcPr>
            <w:tcW w:w="1745" w:type="dxa"/>
            <w:shd w:val="clear" w:color="auto" w:fill="C6EFCE"/>
          </w:tcPr>
          <w:p w14:paraId="568C7D3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B2.4 Ramy prawne dla rozwoju magazynów energii</w:t>
            </w:r>
          </w:p>
        </w:tc>
        <w:tc>
          <w:tcPr>
            <w:tcW w:w="1021" w:type="dxa"/>
            <w:shd w:val="clear" w:color="auto" w:fill="C6EFCE"/>
          </w:tcPr>
          <w:p w14:paraId="66ADCF2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34F0C8E9" w14:textId="0B944A1D"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 ustawy – Prawo energetyczne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magazynowania energii</w:t>
            </w:r>
          </w:p>
        </w:tc>
        <w:tc>
          <w:tcPr>
            <w:tcW w:w="1567" w:type="dxa"/>
            <w:shd w:val="clear" w:color="auto" w:fill="C6EFCE"/>
          </w:tcPr>
          <w:p w14:paraId="14585FE6" w14:textId="4A8AD27F"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anach ustawy – Prawo energetyczne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shd w:val="clear" w:color="auto" w:fill="C6EFCE"/>
          </w:tcPr>
          <w:p w14:paraId="1D63B87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15A7C89B"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60C797F5"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641D6DF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688" w:type="dxa"/>
            <w:shd w:val="clear" w:color="auto" w:fill="C6EFCE"/>
          </w:tcPr>
          <w:p w14:paraId="580F8B8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2021</w:t>
            </w:r>
          </w:p>
        </w:tc>
        <w:tc>
          <w:tcPr>
            <w:tcW w:w="4146" w:type="dxa"/>
            <w:shd w:val="clear" w:color="auto" w:fill="C6EFCE"/>
          </w:tcPr>
          <w:p w14:paraId="67684667" w14:textId="7AA410CF"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Zmiany mają ułatwić rozwój magazynów energii,</w:t>
            </w:r>
            <w:r w:rsidR="00A33B9F" w:rsidRPr="00A33B9F">
              <w:rPr>
                <w:rFonts w:ascii="Times New Roman" w:hAnsi="Times New Roman"/>
                <w:noProof/>
                <w:color w:val="000000" w:themeColor="text1"/>
                <w:sz w:val="18"/>
              </w:rPr>
              <w:t xml:space="preserve"> w tym w szc</w:t>
            </w:r>
            <w:r w:rsidRPr="00A33B9F">
              <w:rPr>
                <w:rFonts w:ascii="Times New Roman" w:hAnsi="Times New Roman"/>
                <w:noProof/>
                <w:color w:val="000000" w:themeColor="text1"/>
                <w:sz w:val="18"/>
              </w:rPr>
              <w:t>zególności zwolnienie</w:t>
            </w:r>
            <w:r w:rsidR="00A33B9F" w:rsidRPr="00A33B9F">
              <w:rPr>
                <w:rFonts w:ascii="Times New Roman" w:hAnsi="Times New Roman"/>
                <w:noProof/>
                <w:color w:val="000000" w:themeColor="text1"/>
                <w:sz w:val="18"/>
              </w:rPr>
              <w:t xml:space="preserve"> z zob</w:t>
            </w:r>
            <w:r w:rsidRPr="00A33B9F">
              <w:rPr>
                <w:rFonts w:ascii="Times New Roman" w:hAnsi="Times New Roman"/>
                <w:noProof/>
                <w:color w:val="000000" w:themeColor="text1"/>
                <w:sz w:val="18"/>
              </w:rPr>
              <w:t>owiązania taryfowego, zniesienie podwójnych opłat sieciowych, częściowe zwolnienie</w:t>
            </w:r>
            <w:r w:rsidR="00A33B9F" w:rsidRPr="00A33B9F">
              <w:rPr>
                <w:rFonts w:ascii="Times New Roman" w:hAnsi="Times New Roman"/>
                <w:noProof/>
                <w:color w:val="000000" w:themeColor="text1"/>
                <w:sz w:val="18"/>
              </w:rPr>
              <w:t xml:space="preserve"> z opł</w:t>
            </w:r>
            <w:r w:rsidRPr="00A33B9F">
              <w:rPr>
                <w:rFonts w:ascii="Times New Roman" w:hAnsi="Times New Roman"/>
                <w:noProof/>
                <w:color w:val="000000" w:themeColor="text1"/>
                <w:sz w:val="18"/>
              </w:rPr>
              <w:t>at za przyłączenie magazynu do sieci, zwolnienie</w:t>
            </w:r>
            <w:r w:rsidR="00A33B9F" w:rsidRPr="00A33B9F">
              <w:rPr>
                <w:rFonts w:ascii="Times New Roman" w:hAnsi="Times New Roman"/>
                <w:noProof/>
                <w:color w:val="000000" w:themeColor="text1"/>
                <w:sz w:val="18"/>
              </w:rPr>
              <w:t xml:space="preserve"> z obo</w:t>
            </w:r>
            <w:r w:rsidRPr="00A33B9F">
              <w:rPr>
                <w:rFonts w:ascii="Times New Roman" w:hAnsi="Times New Roman"/>
                <w:noProof/>
                <w:color w:val="000000" w:themeColor="text1"/>
                <w:sz w:val="18"/>
              </w:rPr>
              <w:t>wiązku przedstawiania świadectw pochodzenia oraz</w:t>
            </w:r>
            <w:r w:rsidR="00A33B9F" w:rsidRPr="00A33B9F">
              <w:rPr>
                <w:rFonts w:ascii="Times New Roman" w:hAnsi="Times New Roman"/>
                <w:noProof/>
                <w:color w:val="000000" w:themeColor="text1"/>
                <w:sz w:val="18"/>
              </w:rPr>
              <w:t xml:space="preserve"> z nie</w:t>
            </w:r>
            <w:r w:rsidRPr="00A33B9F">
              <w:rPr>
                <w:rFonts w:ascii="Times New Roman" w:hAnsi="Times New Roman"/>
                <w:noProof/>
                <w:color w:val="000000" w:themeColor="text1"/>
                <w:sz w:val="18"/>
              </w:rPr>
              <w:t>których opłat</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magazynowanej energii elektrycznej. Proponowane ramy taryfowe dla magazynowania powinny być niedyskryminacyjne</w:t>
            </w:r>
            <w:r w:rsidR="00A33B9F" w:rsidRPr="00A33B9F">
              <w:rPr>
                <w:rFonts w:ascii="Times New Roman" w:hAnsi="Times New Roman"/>
                <w:noProof/>
                <w:color w:val="000000" w:themeColor="text1"/>
                <w:sz w:val="18"/>
              </w:rPr>
              <w:t xml:space="preserve"> i odz</w:t>
            </w:r>
            <w:r w:rsidRPr="00A33B9F">
              <w:rPr>
                <w:rFonts w:ascii="Times New Roman" w:hAnsi="Times New Roman"/>
                <w:noProof/>
                <w:color w:val="000000" w:themeColor="text1"/>
                <w:sz w:val="18"/>
              </w:rPr>
              <w:t>wierciedlać koszty.</w:t>
            </w:r>
          </w:p>
        </w:tc>
      </w:tr>
      <w:tr w:rsidR="008C116B" w:rsidRPr="00A33B9F" w14:paraId="38ACB0B6" w14:textId="77777777" w:rsidTr="1CE0CE0C">
        <w:trPr>
          <w:trHeight w:val="313"/>
        </w:trPr>
        <w:tc>
          <w:tcPr>
            <w:tcW w:w="821" w:type="dxa"/>
            <w:shd w:val="clear" w:color="auto" w:fill="C6EFCE"/>
          </w:tcPr>
          <w:p w14:paraId="1354D06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B14L</w:t>
            </w:r>
          </w:p>
        </w:tc>
        <w:tc>
          <w:tcPr>
            <w:tcW w:w="1745" w:type="dxa"/>
            <w:shd w:val="clear" w:color="auto" w:fill="C6EFCE"/>
          </w:tcPr>
          <w:p w14:paraId="37CABD5B" w14:textId="4AA431D4"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B3.2 Wsparcie renaturalizacji</w:t>
            </w:r>
            <w:r w:rsidR="00A33B9F" w:rsidRPr="00A33B9F">
              <w:rPr>
                <w:rFonts w:ascii="Times New Roman" w:hAnsi="Times New Roman"/>
                <w:noProof/>
                <w:color w:val="000000"/>
                <w:sz w:val="18"/>
              </w:rPr>
              <w:t xml:space="preserve"> i zab</w:t>
            </w:r>
            <w:r w:rsidRPr="00A33B9F">
              <w:rPr>
                <w:rFonts w:ascii="Times New Roman" w:hAnsi="Times New Roman"/>
                <w:noProof/>
                <w:color w:val="000000"/>
                <w:sz w:val="18"/>
              </w:rPr>
              <w:t>ezpieczenia przed substancjami niebezpiecznymi</w:t>
            </w:r>
          </w:p>
        </w:tc>
        <w:tc>
          <w:tcPr>
            <w:tcW w:w="1021" w:type="dxa"/>
            <w:shd w:val="clear" w:color="auto" w:fill="C6EFCE"/>
          </w:tcPr>
          <w:p w14:paraId="77CF14A9"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5E5897F8" w14:textId="434780E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 ułatwiającej kompleksową eliminację negatywnego wpływu na środowisko wielkoobszarowych terenów poprzemysłowych</w:t>
            </w:r>
            <w:r w:rsidRPr="00A33B9F">
              <w:rPr>
                <w:noProof/>
              </w:rPr>
              <w:t xml:space="preserve"> </w:t>
            </w:r>
            <w:r w:rsidRPr="00A33B9F">
              <w:rPr>
                <w:noProof/>
              </w:rPr>
              <w:br/>
            </w:r>
          </w:p>
        </w:tc>
        <w:tc>
          <w:tcPr>
            <w:tcW w:w="1567" w:type="dxa"/>
            <w:shd w:val="clear" w:color="auto" w:fill="C6EFCE"/>
          </w:tcPr>
          <w:p w14:paraId="07CAF99C" w14:textId="405F1BA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shd w:val="clear" w:color="auto" w:fill="C6EFCE"/>
          </w:tcPr>
          <w:p w14:paraId="10D69A7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50" w:type="dxa"/>
            <w:shd w:val="clear" w:color="auto" w:fill="C6EFCE"/>
          </w:tcPr>
          <w:p w14:paraId="13F04A9B"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77" w:type="dxa"/>
            <w:shd w:val="clear" w:color="auto" w:fill="C6EFCE"/>
          </w:tcPr>
          <w:p w14:paraId="046AD675"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964" w:type="dxa"/>
            <w:shd w:val="clear" w:color="auto" w:fill="C6EFCE"/>
          </w:tcPr>
          <w:p w14:paraId="11B1F82F"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688" w:type="dxa"/>
            <w:shd w:val="clear" w:color="auto" w:fill="C6EFCE"/>
          </w:tcPr>
          <w:p w14:paraId="738AE6F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4146" w:type="dxa"/>
            <w:shd w:val="clear" w:color="auto" w:fill="C6EFCE"/>
          </w:tcPr>
          <w:p w14:paraId="32CB3493" w14:textId="070D0A14"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 której celem jest zwiększenie bezpieczeństwa dla zdrowia ludzi oraz poprawa stanu środowiska. Ustawa ma usunąć bariery organizacyjne</w:t>
            </w:r>
            <w:r w:rsidR="00A33B9F" w:rsidRPr="00A33B9F">
              <w:rPr>
                <w:rFonts w:ascii="Times New Roman" w:hAnsi="Times New Roman"/>
                <w:noProof/>
                <w:color w:val="000000" w:themeColor="text1"/>
                <w:sz w:val="18"/>
              </w:rPr>
              <w:t xml:space="preserve"> i pra</w:t>
            </w:r>
            <w:r w:rsidRPr="00A33B9F">
              <w:rPr>
                <w:rFonts w:ascii="Times New Roman" w:hAnsi="Times New Roman"/>
                <w:noProof/>
                <w:color w:val="000000" w:themeColor="text1"/>
                <w:sz w:val="18"/>
              </w:rPr>
              <w:t>wne występujące na drodze do kompleksowej eliminacji negatywnego wpływu na środowisko wielkoobszarowych terenów poprzemysłowych.</w:t>
            </w:r>
            <w:r w:rsidRPr="00A33B9F">
              <w:rPr>
                <w:noProof/>
              </w:rPr>
              <w:t xml:space="preserve"> </w:t>
            </w:r>
            <w:r w:rsidRPr="00A33B9F">
              <w:rPr>
                <w:noProof/>
              </w:rPr>
              <w:br/>
            </w:r>
            <w:r w:rsidRPr="00A33B9F">
              <w:rPr>
                <w:rFonts w:ascii="Times New Roman" w:hAnsi="Times New Roman"/>
                <w:noProof/>
                <w:color w:val="000000" w:themeColor="text1"/>
                <w:sz w:val="18"/>
              </w:rPr>
              <w:t>Jest to forma pilotażu dla wcześniej określonych lokalizacji.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W ustawie zostaną przewidziane przepisy dotyczące czterech niezależnych komponentów terenowych (różne lokalizacje</w:t>
            </w:r>
            <w:r w:rsidR="00A33B9F" w:rsidRPr="00A33B9F">
              <w:rPr>
                <w:rFonts w:ascii="Times New Roman" w:hAnsi="Times New Roman"/>
                <w:noProof/>
                <w:color w:val="000000" w:themeColor="text1"/>
                <w:sz w:val="18"/>
              </w:rPr>
              <w:t xml:space="preserve"> i zak</w:t>
            </w:r>
            <w:r w:rsidRPr="00A33B9F">
              <w:rPr>
                <w:rFonts w:ascii="Times New Roman" w:hAnsi="Times New Roman"/>
                <w:noProof/>
                <w:color w:val="000000" w:themeColor="text1"/>
                <w:sz w:val="18"/>
              </w:rPr>
              <w:t>resy prac): 1) byłych Zakładów Chemicznych „Tarnowskie Góry”</w:t>
            </w:r>
            <w:r w:rsidR="00A33B9F" w:rsidRPr="00A33B9F">
              <w:rPr>
                <w:rFonts w:ascii="Times New Roman" w:hAnsi="Times New Roman"/>
                <w:noProof/>
                <w:color w:val="000000" w:themeColor="text1"/>
                <w:sz w:val="18"/>
              </w:rPr>
              <w:t xml:space="preserve"> w Tar</w:t>
            </w:r>
            <w:r w:rsidRPr="00A33B9F">
              <w:rPr>
                <w:rFonts w:ascii="Times New Roman" w:hAnsi="Times New Roman"/>
                <w:noProof/>
                <w:color w:val="000000" w:themeColor="text1"/>
                <w:sz w:val="18"/>
              </w:rPr>
              <w:t>nowskich Górach; 2) dawnych Zakładów Chemicznych „Zachem”</w:t>
            </w:r>
            <w:r w:rsidR="00A33B9F" w:rsidRPr="00A33B9F">
              <w:rPr>
                <w:rFonts w:ascii="Times New Roman" w:hAnsi="Times New Roman"/>
                <w:noProof/>
                <w:color w:val="000000" w:themeColor="text1"/>
                <w:sz w:val="18"/>
              </w:rPr>
              <w:t xml:space="preserve"> w Byd</w:t>
            </w:r>
            <w:r w:rsidRPr="00A33B9F">
              <w:rPr>
                <w:rFonts w:ascii="Times New Roman" w:hAnsi="Times New Roman"/>
                <w:noProof/>
                <w:color w:val="000000" w:themeColor="text1"/>
                <w:sz w:val="18"/>
              </w:rPr>
              <w:t>goszczy; 3) Zakładów Chemicznych „Organika-Azot”</w:t>
            </w:r>
            <w:r w:rsidR="00A33B9F" w:rsidRPr="00A33B9F">
              <w:rPr>
                <w:rFonts w:ascii="Times New Roman" w:hAnsi="Times New Roman"/>
                <w:noProof/>
                <w:color w:val="000000" w:themeColor="text1"/>
                <w:sz w:val="18"/>
              </w:rPr>
              <w:t xml:space="preserve"> w Jaw</w:t>
            </w:r>
            <w:r w:rsidRPr="00A33B9F">
              <w:rPr>
                <w:rFonts w:ascii="Times New Roman" w:hAnsi="Times New Roman"/>
                <w:noProof/>
                <w:color w:val="000000" w:themeColor="text1"/>
                <w:sz w:val="18"/>
              </w:rPr>
              <w:t>orznie; 4) byłych Zakładów Przemysłu Barwników „Boruta”</w:t>
            </w:r>
            <w:r w:rsidR="00A33B9F" w:rsidRPr="00A33B9F">
              <w:rPr>
                <w:rFonts w:ascii="Times New Roman" w:hAnsi="Times New Roman"/>
                <w:noProof/>
                <w:color w:val="000000" w:themeColor="text1"/>
                <w:sz w:val="18"/>
              </w:rPr>
              <w:t xml:space="preserve"> w Zgi</w:t>
            </w:r>
            <w:r w:rsidRPr="00A33B9F">
              <w:rPr>
                <w:rFonts w:ascii="Times New Roman" w:hAnsi="Times New Roman"/>
                <w:noProof/>
                <w:color w:val="000000" w:themeColor="text1"/>
                <w:sz w:val="18"/>
              </w:rPr>
              <w:t>erzu.</w:t>
            </w:r>
            <w:r w:rsidRPr="00A33B9F">
              <w:rPr>
                <w:noProof/>
              </w:rPr>
              <w:t xml:space="preserve"> </w:t>
            </w:r>
            <w:r w:rsidRPr="00A33B9F">
              <w:rPr>
                <w:noProof/>
              </w:rPr>
              <w:br/>
            </w:r>
            <w:r w:rsidRPr="00A33B9F">
              <w:rPr>
                <w:rFonts w:ascii="Times New Roman" w:hAnsi="Times New Roman"/>
                <w:noProof/>
                <w:color w:val="000000" w:themeColor="text1"/>
                <w:sz w:val="18"/>
              </w:rPr>
              <w:t>Zakres projektu obejmuje rozpoznanie</w:t>
            </w:r>
            <w:r w:rsidR="00A33B9F" w:rsidRPr="00A33B9F">
              <w:rPr>
                <w:rFonts w:ascii="Times New Roman" w:hAnsi="Times New Roman"/>
                <w:noProof/>
                <w:color w:val="000000" w:themeColor="text1"/>
                <w:sz w:val="18"/>
              </w:rPr>
              <w:t xml:space="preserve"> i inw</w:t>
            </w:r>
            <w:r w:rsidRPr="00A33B9F">
              <w:rPr>
                <w:rFonts w:ascii="Times New Roman" w:hAnsi="Times New Roman"/>
                <w:noProof/>
                <w:color w:val="000000" w:themeColor="text1"/>
                <w:sz w:val="18"/>
              </w:rPr>
              <w:t>entaryzację terenów, przygotowanie</w:t>
            </w:r>
            <w:r w:rsidR="00A33B9F" w:rsidRPr="00A33B9F">
              <w:rPr>
                <w:rFonts w:ascii="Times New Roman" w:hAnsi="Times New Roman"/>
                <w:noProof/>
                <w:color w:val="000000" w:themeColor="text1"/>
                <w:sz w:val="18"/>
              </w:rPr>
              <w:t xml:space="preserve"> i oce</w:t>
            </w:r>
            <w:r w:rsidRPr="00A33B9F">
              <w:rPr>
                <w:rFonts w:ascii="Times New Roman" w:hAnsi="Times New Roman"/>
                <w:noProof/>
                <w:color w:val="000000" w:themeColor="text1"/>
                <w:sz w:val="18"/>
              </w:rPr>
              <w:t>nę skali problemów związanych</w:t>
            </w:r>
            <w:r w:rsidR="00A33B9F" w:rsidRPr="00A33B9F">
              <w:rPr>
                <w:rFonts w:ascii="Times New Roman" w:hAnsi="Times New Roman"/>
                <w:noProof/>
                <w:color w:val="000000" w:themeColor="text1"/>
                <w:sz w:val="18"/>
              </w:rPr>
              <w:t xml:space="preserve"> z ogr</w:t>
            </w:r>
            <w:r w:rsidRPr="00A33B9F">
              <w:rPr>
                <w:rFonts w:ascii="Times New Roman" w:hAnsi="Times New Roman"/>
                <w:noProof/>
                <w:color w:val="000000" w:themeColor="text1"/>
                <w:sz w:val="18"/>
              </w:rPr>
              <w:t>aniczeniem oddziaływania na środowisko dużych terenów zdegradowanych oraz opracowanie kompleksowej dokumentacji inwestycyjnej dla tych terenów.</w:t>
            </w:r>
          </w:p>
        </w:tc>
      </w:tr>
      <w:tr w:rsidR="008C116B" w:rsidRPr="00A33B9F" w14:paraId="2A651C9E" w14:textId="77777777" w:rsidTr="1CE0CE0C">
        <w:trPr>
          <w:trHeight w:val="313"/>
        </w:trPr>
        <w:tc>
          <w:tcPr>
            <w:tcW w:w="821" w:type="dxa"/>
            <w:shd w:val="clear" w:color="auto" w:fill="C6EFCE"/>
          </w:tcPr>
          <w:p w14:paraId="540410A1"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B15L</w:t>
            </w:r>
          </w:p>
        </w:tc>
        <w:tc>
          <w:tcPr>
            <w:tcW w:w="1745" w:type="dxa"/>
            <w:shd w:val="clear" w:color="auto" w:fill="C6EFCE"/>
          </w:tcPr>
          <w:p w14:paraId="3AFEDA83" w14:textId="0BBDB4EE"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B3.2 Wsparcie renaturalizacji</w:t>
            </w:r>
            <w:r w:rsidR="00A33B9F" w:rsidRPr="00A33B9F">
              <w:rPr>
                <w:rFonts w:ascii="Times New Roman" w:hAnsi="Times New Roman"/>
                <w:noProof/>
                <w:color w:val="000000" w:themeColor="text1"/>
                <w:sz w:val="18"/>
              </w:rPr>
              <w:t xml:space="preserve"> i zab</w:t>
            </w:r>
            <w:r w:rsidRPr="00A33B9F">
              <w:rPr>
                <w:rFonts w:ascii="Times New Roman" w:hAnsi="Times New Roman"/>
                <w:noProof/>
                <w:color w:val="000000" w:themeColor="text1"/>
                <w:sz w:val="18"/>
              </w:rPr>
              <w:t>ezpieczenia przed substancjami niebezpiecznymi</w:t>
            </w:r>
          </w:p>
        </w:tc>
        <w:tc>
          <w:tcPr>
            <w:tcW w:w="1021" w:type="dxa"/>
            <w:shd w:val="clear" w:color="auto" w:fill="C6EFCE"/>
          </w:tcPr>
          <w:p w14:paraId="5E11AE40"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Kamień milowy</w:t>
            </w:r>
          </w:p>
        </w:tc>
        <w:tc>
          <w:tcPr>
            <w:tcW w:w="1875" w:type="dxa"/>
            <w:shd w:val="clear" w:color="auto" w:fill="C6EFCE"/>
          </w:tcPr>
          <w:p w14:paraId="6756C535" w14:textId="72EC59D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prawnego dotyczącego materiałów niebezpiecznych zalegających</w:t>
            </w:r>
            <w:r w:rsidR="00A33B9F" w:rsidRPr="00A33B9F">
              <w:rPr>
                <w:rFonts w:ascii="Times New Roman" w:hAnsi="Times New Roman"/>
                <w:noProof/>
                <w:color w:val="000000" w:themeColor="text1"/>
                <w:sz w:val="18"/>
              </w:rPr>
              <w:t xml:space="preserve"> w Mor</w:t>
            </w:r>
            <w:r w:rsidRPr="00A33B9F">
              <w:rPr>
                <w:rFonts w:ascii="Times New Roman" w:hAnsi="Times New Roman"/>
                <w:noProof/>
                <w:color w:val="000000" w:themeColor="text1"/>
                <w:sz w:val="18"/>
              </w:rPr>
              <w:t xml:space="preserve">zu Bałtyckim </w:t>
            </w:r>
          </w:p>
        </w:tc>
        <w:tc>
          <w:tcPr>
            <w:tcW w:w="1567" w:type="dxa"/>
            <w:shd w:val="clear" w:color="auto" w:fill="C6EFCE"/>
          </w:tcPr>
          <w:p w14:paraId="06D87B0B" w14:textId="37FCBF3E"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shd w:val="clear" w:color="auto" w:fill="C6EFCE"/>
          </w:tcPr>
          <w:p w14:paraId="39F500FB"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50" w:type="dxa"/>
            <w:shd w:val="clear" w:color="auto" w:fill="C6EFCE"/>
          </w:tcPr>
          <w:p w14:paraId="07336891"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77" w:type="dxa"/>
            <w:shd w:val="clear" w:color="auto" w:fill="C6EFCE"/>
          </w:tcPr>
          <w:p w14:paraId="5A3F2BCF"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964" w:type="dxa"/>
            <w:shd w:val="clear" w:color="auto" w:fill="C6EFCE"/>
          </w:tcPr>
          <w:p w14:paraId="448099B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688" w:type="dxa"/>
            <w:shd w:val="clear" w:color="auto" w:fill="C6EFCE"/>
          </w:tcPr>
          <w:p w14:paraId="1494C796"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2025</w:t>
            </w:r>
          </w:p>
        </w:tc>
        <w:tc>
          <w:tcPr>
            <w:tcW w:w="4146" w:type="dxa"/>
            <w:shd w:val="clear" w:color="auto" w:fill="C6EFCE"/>
          </w:tcPr>
          <w:p w14:paraId="2AB98662" w14:textId="47D38B63" w:rsidR="00D50B18" w:rsidRPr="00A33B9F" w:rsidRDefault="00D50B18">
            <w:pPr>
              <w:pStyle w:val="Normal0"/>
              <w:pBdr>
                <w:top w:val="nil"/>
                <w:left w:val="nil"/>
                <w:bottom w:val="nil"/>
                <w:right w:val="nil"/>
                <w:between w:val="nil"/>
              </w:pBdr>
              <w:spacing w:after="0" w:line="240" w:lineRule="auto"/>
              <w:rPr>
                <w:rFonts w:ascii="Times New Roman" w:hAnsi="Times New Roman" w:cs="Times New Roman"/>
                <w:noProof/>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prawnego, którego celem jest zwiększenie bezpieczeństwa dla zdrowia ludzi oraz poprawa stanu środowiska, zawierającego:</w:t>
            </w:r>
            <w:r w:rsidRPr="00A33B9F">
              <w:rPr>
                <w:noProof/>
              </w:rPr>
              <w:t xml:space="preserve"> </w:t>
            </w:r>
            <w:r w:rsidRPr="00A33B9F">
              <w:rPr>
                <w:noProof/>
              </w:rPr>
              <w:br/>
            </w:r>
            <w:r w:rsidRPr="00A33B9F">
              <w:rPr>
                <w:rFonts w:ascii="Times New Roman" w:hAnsi="Times New Roman"/>
                <w:noProof/>
                <w:color w:val="000000" w:themeColor="text1"/>
                <w:sz w:val="18"/>
              </w:rPr>
              <w:t>– precyzyjny opis kompetencji organów publicznych</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episach prawa;</w:t>
            </w:r>
            <w:r w:rsidRPr="00A33B9F">
              <w:rPr>
                <w:noProof/>
              </w:rPr>
              <w:t xml:space="preserve"> </w:t>
            </w:r>
            <w:r w:rsidRPr="00A33B9F">
              <w:rPr>
                <w:noProof/>
              </w:rPr>
              <w:br/>
            </w:r>
            <w:r w:rsidRPr="00A33B9F">
              <w:rPr>
                <w:rFonts w:ascii="Times New Roman" w:hAnsi="Times New Roman"/>
                <w:noProof/>
                <w:color w:val="000000" w:themeColor="text1"/>
                <w:sz w:val="18"/>
              </w:rPr>
              <w:t>– wskazanie podmiotów wiodących</w:t>
            </w:r>
            <w:r w:rsidR="00A33B9F" w:rsidRPr="00A33B9F">
              <w:rPr>
                <w:rFonts w:ascii="Times New Roman" w:hAnsi="Times New Roman"/>
                <w:noProof/>
                <w:color w:val="000000" w:themeColor="text1"/>
                <w:sz w:val="18"/>
              </w:rPr>
              <w:t xml:space="preserve"> i wsp</w:t>
            </w:r>
            <w:r w:rsidRPr="00A33B9F">
              <w:rPr>
                <w:rFonts w:ascii="Times New Roman" w:hAnsi="Times New Roman"/>
                <w:noProof/>
                <w:color w:val="000000" w:themeColor="text1"/>
                <w:sz w:val="18"/>
              </w:rPr>
              <w:t>ółpracujących</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awach związanych ze składowaniem materiałów niebezpiecznych na obszarach morskich Rzeczypospolitej Polskiej;</w:t>
            </w:r>
            <w:r w:rsidRPr="00A33B9F">
              <w:rPr>
                <w:noProof/>
              </w:rPr>
              <w:t xml:space="preserve"> </w:t>
            </w:r>
            <w:r w:rsidRPr="00A33B9F">
              <w:rPr>
                <w:noProof/>
              </w:rPr>
              <w:br/>
            </w:r>
            <w:r w:rsidRPr="00A33B9F">
              <w:rPr>
                <w:rFonts w:ascii="Times New Roman" w:hAnsi="Times New Roman"/>
                <w:noProof/>
                <w:color w:val="000000" w:themeColor="text1"/>
                <w:sz w:val="18"/>
              </w:rPr>
              <w:t>– opracowanie szczegółowego planu działania administracji publicznej oraz jednostek nadzorowanych</w:t>
            </w:r>
            <w:r w:rsidR="00A33B9F" w:rsidRPr="00A33B9F">
              <w:rPr>
                <w:rFonts w:ascii="Times New Roman" w:hAnsi="Times New Roman"/>
                <w:noProof/>
                <w:color w:val="000000" w:themeColor="text1"/>
                <w:sz w:val="18"/>
              </w:rPr>
              <w:t xml:space="preserve"> i pod</w:t>
            </w:r>
            <w:r w:rsidRPr="00A33B9F">
              <w:rPr>
                <w:rFonts w:ascii="Times New Roman" w:hAnsi="Times New Roman"/>
                <w:noProof/>
                <w:color w:val="000000" w:themeColor="text1"/>
                <w:sz w:val="18"/>
              </w:rPr>
              <w:t>ległych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problematyki materiałów niebezpiecznych składowanych na obszarach morskich, wraz ze wskazaniem podmiotów odpowiedzialnych za realizację poszczególnych zadań;</w:t>
            </w:r>
            <w:r w:rsidRPr="00A33B9F">
              <w:rPr>
                <w:noProof/>
              </w:rPr>
              <w:t xml:space="preserve"> </w:t>
            </w:r>
            <w:r w:rsidRPr="00A33B9F">
              <w:rPr>
                <w:noProof/>
              </w:rPr>
              <w:br/>
            </w:r>
            <w:r w:rsidRPr="00A33B9F">
              <w:rPr>
                <w:rFonts w:ascii="Times New Roman" w:hAnsi="Times New Roman"/>
                <w:noProof/>
                <w:color w:val="000000" w:themeColor="text1"/>
                <w:sz w:val="18"/>
              </w:rPr>
              <w:t>– wprowadzenie zmian prawnych umożliwiających monitorowanie, identyfikację oraz ewentualne wydobycie</w:t>
            </w:r>
            <w:r w:rsidR="00A33B9F" w:rsidRPr="00A33B9F">
              <w:rPr>
                <w:rFonts w:ascii="Times New Roman" w:hAnsi="Times New Roman"/>
                <w:noProof/>
                <w:color w:val="000000" w:themeColor="text1"/>
                <w:sz w:val="18"/>
              </w:rPr>
              <w:t xml:space="preserve"> i uni</w:t>
            </w:r>
            <w:r w:rsidRPr="00A33B9F">
              <w:rPr>
                <w:rFonts w:ascii="Times New Roman" w:hAnsi="Times New Roman"/>
                <w:noProof/>
                <w:color w:val="000000" w:themeColor="text1"/>
                <w:sz w:val="18"/>
              </w:rPr>
              <w:t>eszkodliwienie materiałów niebezpiecznych</w:t>
            </w:r>
            <w:r w:rsidR="00A33B9F" w:rsidRPr="00A33B9F">
              <w:rPr>
                <w:rFonts w:ascii="Times New Roman" w:hAnsi="Times New Roman"/>
                <w:noProof/>
                <w:color w:val="000000" w:themeColor="text1"/>
                <w:sz w:val="18"/>
              </w:rPr>
              <w:t xml:space="preserve"> w sko</w:t>
            </w:r>
            <w:r w:rsidRPr="00A33B9F">
              <w:rPr>
                <w:rFonts w:ascii="Times New Roman" w:hAnsi="Times New Roman"/>
                <w:noProof/>
                <w:color w:val="000000" w:themeColor="text1"/>
                <w:sz w:val="18"/>
              </w:rPr>
              <w:t>ordynowany</w:t>
            </w:r>
            <w:r w:rsidR="00A33B9F" w:rsidRPr="00A33B9F">
              <w:rPr>
                <w:rFonts w:ascii="Times New Roman" w:hAnsi="Times New Roman"/>
                <w:noProof/>
                <w:color w:val="000000" w:themeColor="text1"/>
                <w:sz w:val="18"/>
              </w:rPr>
              <w:t xml:space="preserve"> i zap</w:t>
            </w:r>
            <w:r w:rsidRPr="00A33B9F">
              <w:rPr>
                <w:rFonts w:ascii="Times New Roman" w:hAnsi="Times New Roman"/>
                <w:noProof/>
                <w:color w:val="000000" w:themeColor="text1"/>
                <w:sz w:val="18"/>
              </w:rPr>
              <w:t>lanowany sposób.</w:t>
            </w:r>
          </w:p>
        </w:tc>
      </w:tr>
      <w:tr w:rsidR="008C116B" w:rsidRPr="00A33B9F" w14:paraId="7BA98003" w14:textId="77777777" w:rsidTr="1CE0CE0C">
        <w:trPr>
          <w:trHeight w:val="313"/>
        </w:trPr>
        <w:tc>
          <w:tcPr>
            <w:tcW w:w="821" w:type="dxa"/>
            <w:shd w:val="clear" w:color="auto" w:fill="C6EFCE"/>
          </w:tcPr>
          <w:p w14:paraId="0407AA06"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B16L</w:t>
            </w:r>
          </w:p>
        </w:tc>
        <w:tc>
          <w:tcPr>
            <w:tcW w:w="1745" w:type="dxa"/>
            <w:shd w:val="clear" w:color="auto" w:fill="C6EFCE"/>
          </w:tcPr>
          <w:p w14:paraId="35126CBD" w14:textId="73AA8768"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B3.2.1 Inwestycje</w:t>
            </w:r>
            <w:r w:rsidR="00A33B9F" w:rsidRPr="00A33B9F">
              <w:rPr>
                <w:rFonts w:ascii="Times New Roman" w:hAnsi="Times New Roman"/>
                <w:noProof/>
                <w:color w:val="000000"/>
                <w:sz w:val="18"/>
              </w:rPr>
              <w:t xml:space="preserve"> w neu</w:t>
            </w:r>
            <w:r w:rsidRPr="00A33B9F">
              <w:rPr>
                <w:rFonts w:ascii="Times New Roman" w:hAnsi="Times New Roman"/>
                <w:noProof/>
                <w:color w:val="000000"/>
                <w:sz w:val="18"/>
              </w:rPr>
              <w:t>tralizację zagrożeń oraz odnowę wielkoobszarowych terenów zdegradowanych</w:t>
            </w:r>
            <w:r w:rsidR="00A33B9F" w:rsidRPr="00A33B9F">
              <w:rPr>
                <w:rFonts w:ascii="Times New Roman" w:hAnsi="Times New Roman"/>
                <w:noProof/>
                <w:color w:val="000000"/>
                <w:sz w:val="18"/>
              </w:rPr>
              <w:t xml:space="preserve"> i Mor</w:t>
            </w:r>
            <w:r w:rsidRPr="00A33B9F">
              <w:rPr>
                <w:rFonts w:ascii="Times New Roman" w:hAnsi="Times New Roman"/>
                <w:noProof/>
                <w:color w:val="000000"/>
                <w:sz w:val="18"/>
              </w:rPr>
              <w:t>za Bałtyckiego</w:t>
            </w:r>
          </w:p>
        </w:tc>
        <w:tc>
          <w:tcPr>
            <w:tcW w:w="1021" w:type="dxa"/>
            <w:shd w:val="clear" w:color="auto" w:fill="C6EFCE"/>
          </w:tcPr>
          <w:p w14:paraId="1EE2703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875" w:type="dxa"/>
            <w:shd w:val="clear" w:color="auto" w:fill="C6EFCE"/>
          </w:tcPr>
          <w:p w14:paraId="6FF7DAD9" w14:textId="14A23F9E"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Zbiory dokumentacji przygotowane na potrzeby inwestycji związanych</w:t>
            </w:r>
            <w:r w:rsidR="00A33B9F" w:rsidRPr="00A33B9F">
              <w:rPr>
                <w:rFonts w:ascii="Times New Roman" w:hAnsi="Times New Roman"/>
                <w:noProof/>
                <w:color w:val="000000"/>
                <w:sz w:val="18"/>
              </w:rPr>
              <w:t xml:space="preserve"> z neg</w:t>
            </w:r>
            <w:r w:rsidRPr="00A33B9F">
              <w:rPr>
                <w:rFonts w:ascii="Times New Roman" w:hAnsi="Times New Roman"/>
                <w:noProof/>
                <w:color w:val="000000"/>
                <w:sz w:val="18"/>
              </w:rPr>
              <w:t>atywnym oddziaływaniem na środowisko wybranych wielkoobszarowych terenów zdegradowanych oraz materiałów niebezpiecznych zatopionych na dnie Morza Bałtyckiego</w:t>
            </w:r>
          </w:p>
        </w:tc>
        <w:tc>
          <w:tcPr>
            <w:tcW w:w="1567" w:type="dxa"/>
            <w:shd w:val="clear" w:color="auto" w:fill="C6EFCE"/>
          </w:tcPr>
          <w:p w14:paraId="1293B41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47718AFC"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950" w:type="dxa"/>
            <w:shd w:val="clear" w:color="auto" w:fill="C6EFCE"/>
          </w:tcPr>
          <w:p w14:paraId="69EDC634"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77" w:type="dxa"/>
            <w:shd w:val="clear" w:color="auto" w:fill="C6EFCE"/>
          </w:tcPr>
          <w:p w14:paraId="61D99EDE"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9</w:t>
            </w:r>
          </w:p>
        </w:tc>
        <w:tc>
          <w:tcPr>
            <w:tcW w:w="964" w:type="dxa"/>
            <w:shd w:val="clear" w:color="auto" w:fill="C6EFCE"/>
          </w:tcPr>
          <w:p w14:paraId="74B08CA7"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688" w:type="dxa"/>
            <w:shd w:val="clear" w:color="auto" w:fill="C6EFCE"/>
          </w:tcPr>
          <w:p w14:paraId="3410D2F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4146" w:type="dxa"/>
            <w:shd w:val="clear" w:color="auto" w:fill="C6EFCE"/>
          </w:tcPr>
          <w:p w14:paraId="047AF22E" w14:textId="63747DEF"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Zbiory pełnej dokumentacji inwestycyjnej dla dziewięciu wcześniej określonych lokalizacji – na lądzie</w:t>
            </w:r>
            <w:r w:rsidR="00A33B9F" w:rsidRPr="00A33B9F">
              <w:rPr>
                <w:rFonts w:ascii="Times New Roman" w:hAnsi="Times New Roman"/>
                <w:noProof/>
                <w:color w:val="000000"/>
                <w:sz w:val="18"/>
              </w:rPr>
              <w:t xml:space="preserve"> i mor</w:t>
            </w:r>
            <w:r w:rsidRPr="00A33B9F">
              <w:rPr>
                <w:rFonts w:ascii="Times New Roman" w:hAnsi="Times New Roman"/>
                <w:noProof/>
                <w:color w:val="000000"/>
                <w:sz w:val="18"/>
              </w:rPr>
              <w:t>zu jako różnych części programu –</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ypadku których występują znaczące problemy</w:t>
            </w:r>
            <w:r w:rsidR="00A33B9F" w:rsidRPr="00A33B9F">
              <w:rPr>
                <w:rFonts w:ascii="Times New Roman" w:hAnsi="Times New Roman"/>
                <w:noProof/>
                <w:color w:val="000000"/>
                <w:sz w:val="18"/>
              </w:rPr>
              <w:t xml:space="preserve"> z obe</w:t>
            </w:r>
            <w:r w:rsidRPr="00A33B9F">
              <w:rPr>
                <w:rFonts w:ascii="Times New Roman" w:hAnsi="Times New Roman"/>
                <w:noProof/>
                <w:color w:val="000000"/>
                <w:sz w:val="18"/>
              </w:rPr>
              <w:t>cnością substancji zanieczyszczających lub niebezpiecznych na dużym obszarze.</w:t>
            </w:r>
            <w:r w:rsidRPr="00A33B9F">
              <w:rPr>
                <w:noProof/>
              </w:rPr>
              <w:t xml:space="preserve"> </w:t>
            </w:r>
            <w:r w:rsidRPr="00A33B9F">
              <w:rPr>
                <w:noProof/>
              </w:rPr>
              <w:br/>
            </w:r>
          </w:p>
        </w:tc>
      </w:tr>
      <w:tr w:rsidR="008C116B" w:rsidRPr="00A33B9F" w14:paraId="60079326" w14:textId="77777777" w:rsidTr="1CE0CE0C">
        <w:trPr>
          <w:trHeight w:val="313"/>
        </w:trPr>
        <w:tc>
          <w:tcPr>
            <w:tcW w:w="821" w:type="dxa"/>
            <w:shd w:val="clear" w:color="auto" w:fill="C6EFCE"/>
          </w:tcPr>
          <w:p w14:paraId="30A0E0DC"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B17L</w:t>
            </w:r>
          </w:p>
        </w:tc>
        <w:tc>
          <w:tcPr>
            <w:tcW w:w="1745" w:type="dxa"/>
            <w:shd w:val="clear" w:color="auto" w:fill="C6EFCE"/>
          </w:tcPr>
          <w:p w14:paraId="26DF35CF" w14:textId="656E0D5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B3.2.1 Inwestycje</w:t>
            </w:r>
            <w:r w:rsidR="00A33B9F" w:rsidRPr="00A33B9F">
              <w:rPr>
                <w:rFonts w:ascii="Times New Roman" w:hAnsi="Times New Roman"/>
                <w:noProof/>
                <w:color w:val="000000"/>
                <w:sz w:val="18"/>
              </w:rPr>
              <w:t xml:space="preserve"> w neu</w:t>
            </w:r>
            <w:r w:rsidRPr="00A33B9F">
              <w:rPr>
                <w:rFonts w:ascii="Times New Roman" w:hAnsi="Times New Roman"/>
                <w:noProof/>
                <w:color w:val="000000"/>
                <w:sz w:val="18"/>
              </w:rPr>
              <w:t>tralizację zagrożeń oraz odnowę wielkoobszarowych terenów zdegradowanych</w:t>
            </w:r>
            <w:r w:rsidR="00A33B9F" w:rsidRPr="00A33B9F">
              <w:rPr>
                <w:rFonts w:ascii="Times New Roman" w:hAnsi="Times New Roman"/>
                <w:noProof/>
                <w:color w:val="000000"/>
                <w:sz w:val="18"/>
              </w:rPr>
              <w:t xml:space="preserve"> i Mor</w:t>
            </w:r>
            <w:r w:rsidRPr="00A33B9F">
              <w:rPr>
                <w:rFonts w:ascii="Times New Roman" w:hAnsi="Times New Roman"/>
                <w:noProof/>
                <w:color w:val="000000"/>
                <w:sz w:val="18"/>
              </w:rPr>
              <w:t>za Bałtyckiego</w:t>
            </w:r>
          </w:p>
        </w:tc>
        <w:tc>
          <w:tcPr>
            <w:tcW w:w="1021" w:type="dxa"/>
            <w:shd w:val="clear" w:color="auto" w:fill="C6EFCE"/>
          </w:tcPr>
          <w:p w14:paraId="5C20108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875" w:type="dxa"/>
            <w:shd w:val="clear" w:color="auto" w:fill="C6EFCE"/>
          </w:tcPr>
          <w:p w14:paraId="5526EC13" w14:textId="7C83C4A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Obszary lądowe, dla których zrealizowano badania terenowe związane</w:t>
            </w:r>
            <w:r w:rsidR="00A33B9F" w:rsidRPr="00A33B9F">
              <w:rPr>
                <w:rFonts w:ascii="Times New Roman" w:hAnsi="Times New Roman"/>
                <w:noProof/>
                <w:color w:val="000000"/>
                <w:sz w:val="18"/>
              </w:rPr>
              <w:t xml:space="preserve"> z wys</w:t>
            </w:r>
            <w:r w:rsidRPr="00A33B9F">
              <w:rPr>
                <w:rFonts w:ascii="Times New Roman" w:hAnsi="Times New Roman"/>
                <w:noProof/>
                <w:color w:val="000000"/>
                <w:sz w:val="18"/>
              </w:rPr>
              <w:t>tępowaniem substancji zanieczyszczających</w:t>
            </w:r>
            <w:r w:rsidR="00A33B9F" w:rsidRPr="00A33B9F">
              <w:rPr>
                <w:rFonts w:ascii="Times New Roman" w:hAnsi="Times New Roman"/>
                <w:noProof/>
                <w:color w:val="000000"/>
                <w:sz w:val="18"/>
              </w:rPr>
              <w:t xml:space="preserve"> i mat</w:t>
            </w:r>
            <w:r w:rsidRPr="00A33B9F">
              <w:rPr>
                <w:rFonts w:ascii="Times New Roman" w:hAnsi="Times New Roman"/>
                <w:noProof/>
                <w:color w:val="000000"/>
                <w:sz w:val="18"/>
              </w:rPr>
              <w:t xml:space="preserve">eriałów niebezpiecznych </w:t>
            </w:r>
          </w:p>
        </w:tc>
        <w:tc>
          <w:tcPr>
            <w:tcW w:w="1567" w:type="dxa"/>
            <w:shd w:val="clear" w:color="auto" w:fill="C6EFCE"/>
          </w:tcPr>
          <w:p w14:paraId="513B775B"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715ED1D2"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950" w:type="dxa"/>
            <w:shd w:val="clear" w:color="auto" w:fill="C6EFCE"/>
          </w:tcPr>
          <w:p w14:paraId="5DA4577A"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77" w:type="dxa"/>
            <w:shd w:val="clear" w:color="auto" w:fill="C6EFCE"/>
          </w:tcPr>
          <w:p w14:paraId="04BCDCA2"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5</w:t>
            </w:r>
          </w:p>
        </w:tc>
        <w:tc>
          <w:tcPr>
            <w:tcW w:w="964" w:type="dxa"/>
            <w:shd w:val="clear" w:color="auto" w:fill="C6EFCE"/>
          </w:tcPr>
          <w:p w14:paraId="5C68E94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688" w:type="dxa"/>
            <w:shd w:val="clear" w:color="auto" w:fill="C6EFCE"/>
          </w:tcPr>
          <w:p w14:paraId="3FC9112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4146" w:type="dxa"/>
            <w:shd w:val="clear" w:color="auto" w:fill="C6EFCE"/>
          </w:tcPr>
          <w:p w14:paraId="1FA38A91" w14:textId="117EECA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Opracowanie badań terenowych, badań</w:t>
            </w:r>
            <w:r w:rsidR="00A33B9F" w:rsidRPr="00A33B9F">
              <w:rPr>
                <w:rFonts w:ascii="Times New Roman" w:hAnsi="Times New Roman"/>
                <w:noProof/>
                <w:color w:val="000000" w:themeColor="text1"/>
                <w:sz w:val="18"/>
              </w:rPr>
              <w:t xml:space="preserve"> i inw</w:t>
            </w:r>
            <w:r w:rsidRPr="00A33B9F">
              <w:rPr>
                <w:rFonts w:ascii="Times New Roman" w:hAnsi="Times New Roman"/>
                <w:noProof/>
                <w:color w:val="000000" w:themeColor="text1"/>
                <w:sz w:val="18"/>
              </w:rPr>
              <w:t>entaryzacji terenu jako wstępny, ale podstawowy krok prowadzący do przygotowania pełnej dokumentacji inwestycyjnej na kolejnych etapach programu</w:t>
            </w:r>
          </w:p>
        </w:tc>
      </w:tr>
      <w:tr w:rsidR="008C116B" w:rsidRPr="00A33B9F" w14:paraId="774227C3" w14:textId="77777777" w:rsidTr="1CE0CE0C">
        <w:trPr>
          <w:trHeight w:val="313"/>
        </w:trPr>
        <w:tc>
          <w:tcPr>
            <w:tcW w:w="821" w:type="dxa"/>
            <w:shd w:val="clear" w:color="auto" w:fill="C6EFCE"/>
          </w:tcPr>
          <w:p w14:paraId="1DA4F4AB"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B18L</w:t>
            </w:r>
          </w:p>
        </w:tc>
        <w:tc>
          <w:tcPr>
            <w:tcW w:w="1745" w:type="dxa"/>
            <w:shd w:val="clear" w:color="auto" w:fill="C6EFCE"/>
          </w:tcPr>
          <w:p w14:paraId="5C4B121F" w14:textId="47112DCD"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B3.2.1 Inwestycje</w:t>
            </w:r>
            <w:r w:rsidR="00A33B9F" w:rsidRPr="00A33B9F">
              <w:rPr>
                <w:rFonts w:ascii="Times New Roman" w:hAnsi="Times New Roman"/>
                <w:noProof/>
                <w:color w:val="000000"/>
                <w:sz w:val="18"/>
              </w:rPr>
              <w:t xml:space="preserve"> w neu</w:t>
            </w:r>
            <w:r w:rsidRPr="00A33B9F">
              <w:rPr>
                <w:rFonts w:ascii="Times New Roman" w:hAnsi="Times New Roman"/>
                <w:noProof/>
                <w:color w:val="000000"/>
                <w:sz w:val="18"/>
              </w:rPr>
              <w:t>tralizację zagrożeń oraz odnowę wielkoobszarowych terenów zdegradowanych</w:t>
            </w:r>
            <w:r w:rsidR="00A33B9F" w:rsidRPr="00A33B9F">
              <w:rPr>
                <w:rFonts w:ascii="Times New Roman" w:hAnsi="Times New Roman"/>
                <w:noProof/>
                <w:color w:val="000000"/>
                <w:sz w:val="18"/>
              </w:rPr>
              <w:t xml:space="preserve"> i Mor</w:t>
            </w:r>
            <w:r w:rsidRPr="00A33B9F">
              <w:rPr>
                <w:rFonts w:ascii="Times New Roman" w:hAnsi="Times New Roman"/>
                <w:noProof/>
                <w:color w:val="000000"/>
                <w:sz w:val="18"/>
              </w:rPr>
              <w:t>za Bałtyckiego</w:t>
            </w:r>
          </w:p>
        </w:tc>
        <w:tc>
          <w:tcPr>
            <w:tcW w:w="1021" w:type="dxa"/>
            <w:shd w:val="clear" w:color="auto" w:fill="C6EFCE"/>
          </w:tcPr>
          <w:p w14:paraId="47030C79"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875" w:type="dxa"/>
            <w:shd w:val="clear" w:color="auto" w:fill="C6EFCE"/>
          </w:tcPr>
          <w:p w14:paraId="5B02564C" w14:textId="5EAB6710"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Lokalizacje na polskich obszarach morskich (w tym wraki),</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ypadku których przeprowadzono inwentaryzację</w:t>
            </w:r>
            <w:r w:rsidR="00A33B9F" w:rsidRPr="00A33B9F">
              <w:rPr>
                <w:rFonts w:ascii="Times New Roman" w:hAnsi="Times New Roman"/>
                <w:noProof/>
                <w:color w:val="000000"/>
                <w:sz w:val="18"/>
              </w:rPr>
              <w:t xml:space="preserve"> i bad</w:t>
            </w:r>
            <w:r w:rsidRPr="00A33B9F">
              <w:rPr>
                <w:rFonts w:ascii="Times New Roman" w:hAnsi="Times New Roman"/>
                <w:noProof/>
                <w:color w:val="000000"/>
                <w:sz w:val="18"/>
              </w:rPr>
              <w:t>ania terenowe na obecność materiałów niebezpiecznych</w:t>
            </w:r>
          </w:p>
        </w:tc>
        <w:tc>
          <w:tcPr>
            <w:tcW w:w="1567" w:type="dxa"/>
            <w:shd w:val="clear" w:color="auto" w:fill="C6EFCE"/>
          </w:tcPr>
          <w:p w14:paraId="03B5815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6530D23B"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950" w:type="dxa"/>
            <w:shd w:val="clear" w:color="auto" w:fill="C6EFCE"/>
          </w:tcPr>
          <w:p w14:paraId="1CFE0E88"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77" w:type="dxa"/>
            <w:shd w:val="clear" w:color="auto" w:fill="C6EFCE"/>
          </w:tcPr>
          <w:p w14:paraId="59803CDD"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4</w:t>
            </w:r>
          </w:p>
        </w:tc>
        <w:tc>
          <w:tcPr>
            <w:tcW w:w="964" w:type="dxa"/>
            <w:shd w:val="clear" w:color="auto" w:fill="C6EFCE"/>
          </w:tcPr>
          <w:p w14:paraId="27ABD2B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688" w:type="dxa"/>
            <w:shd w:val="clear" w:color="auto" w:fill="C6EFCE"/>
          </w:tcPr>
          <w:p w14:paraId="05C0581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4146" w:type="dxa"/>
            <w:shd w:val="clear" w:color="auto" w:fill="C6EFCE"/>
          </w:tcPr>
          <w:p w14:paraId="3EFFD2AE" w14:textId="43C21D6B"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Szczegółowe kampanie rozpoznawcze</w:t>
            </w:r>
            <w:r w:rsidR="00A33B9F" w:rsidRPr="00A33B9F">
              <w:rPr>
                <w:rFonts w:ascii="Times New Roman" w:hAnsi="Times New Roman"/>
                <w:noProof/>
                <w:color w:val="000000" w:themeColor="text1"/>
                <w:sz w:val="18"/>
              </w:rPr>
              <w:t xml:space="preserve"> i pom</w:t>
            </w:r>
            <w:r w:rsidRPr="00A33B9F">
              <w:rPr>
                <w:rFonts w:ascii="Times New Roman" w:hAnsi="Times New Roman"/>
                <w:noProof/>
                <w:color w:val="000000" w:themeColor="text1"/>
                <w:sz w:val="18"/>
              </w:rPr>
              <w:t>iarowe na morzu, jak również analizę uzyskanych danych jako niezbędny krok prowadzący do przygotowania kompletnej dokumentacji na potrzeby planów neutralizacji</w:t>
            </w:r>
          </w:p>
        </w:tc>
      </w:tr>
      <w:tr w:rsidR="008C116B" w:rsidRPr="00A33B9F" w14:paraId="07CE92EF" w14:textId="77777777" w:rsidTr="1CE0CE0C">
        <w:trPr>
          <w:trHeight w:val="313"/>
        </w:trPr>
        <w:tc>
          <w:tcPr>
            <w:tcW w:w="821" w:type="dxa"/>
            <w:shd w:val="clear" w:color="auto" w:fill="C6EFCE"/>
          </w:tcPr>
          <w:p w14:paraId="3FFC59C7"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B21L</w:t>
            </w:r>
          </w:p>
        </w:tc>
        <w:tc>
          <w:tcPr>
            <w:tcW w:w="1745" w:type="dxa"/>
            <w:shd w:val="clear" w:color="auto" w:fill="C6EFCE"/>
          </w:tcPr>
          <w:p w14:paraId="4F0CFD89" w14:textId="1881D11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B3.3 Wsparcie dla zrównoważonego gospodarowania zasobami wodnymi</w:t>
            </w:r>
            <w:r w:rsidR="00A33B9F" w:rsidRPr="00A33B9F">
              <w:rPr>
                <w:rFonts w:ascii="Times New Roman" w:hAnsi="Times New Roman"/>
                <w:noProof/>
                <w:color w:val="000000"/>
                <w:sz w:val="18"/>
              </w:rPr>
              <w:t xml:space="preserve"> w rol</w:t>
            </w:r>
            <w:r w:rsidRPr="00A33B9F">
              <w:rPr>
                <w:rFonts w:ascii="Times New Roman" w:hAnsi="Times New Roman"/>
                <w:noProof/>
                <w:color w:val="000000"/>
                <w:sz w:val="18"/>
              </w:rPr>
              <w:t xml:space="preserve">nictwie i na obszarach wiejskich </w:t>
            </w:r>
          </w:p>
        </w:tc>
        <w:tc>
          <w:tcPr>
            <w:tcW w:w="1021" w:type="dxa"/>
            <w:shd w:val="clear" w:color="auto" w:fill="C6EFCE"/>
          </w:tcPr>
          <w:p w14:paraId="40674D3B"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560AAFD1" w14:textId="61EF5BB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u w:val="single"/>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zmian</w:t>
            </w:r>
            <w:r w:rsidR="00A33B9F" w:rsidRPr="00A33B9F">
              <w:rPr>
                <w:rFonts w:ascii="Times New Roman" w:hAnsi="Times New Roman"/>
                <w:noProof/>
                <w:sz w:val="18"/>
              </w:rPr>
              <w:t xml:space="preserve"> w prz</w:t>
            </w:r>
            <w:r w:rsidRPr="00A33B9F">
              <w:rPr>
                <w:rFonts w:ascii="Times New Roman" w:hAnsi="Times New Roman"/>
                <w:noProof/>
                <w:sz w:val="18"/>
              </w:rPr>
              <w:t>episach krajowych, które są niezbędne do poprawy warunków odnoszących się do odpornej gospodarki wodnej</w:t>
            </w:r>
            <w:r w:rsidR="00A33B9F" w:rsidRPr="00A33B9F">
              <w:rPr>
                <w:rFonts w:ascii="Times New Roman" w:hAnsi="Times New Roman"/>
                <w:noProof/>
                <w:sz w:val="18"/>
              </w:rPr>
              <w:t xml:space="preserve"> w rol</w:t>
            </w:r>
            <w:r w:rsidRPr="00A33B9F">
              <w:rPr>
                <w:rFonts w:ascii="Times New Roman" w:hAnsi="Times New Roman"/>
                <w:noProof/>
                <w:sz w:val="18"/>
              </w:rPr>
              <w:t>nictwie i na obszarach wiejskich.</w:t>
            </w:r>
          </w:p>
        </w:tc>
        <w:tc>
          <w:tcPr>
            <w:tcW w:w="1567" w:type="dxa"/>
            <w:shd w:val="clear" w:color="auto" w:fill="C6EFCE"/>
          </w:tcPr>
          <w:p w14:paraId="7307C787" w14:textId="74D50FF0"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anach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shd w:val="clear" w:color="auto" w:fill="C6EFCE"/>
          </w:tcPr>
          <w:p w14:paraId="0C7E87B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6D2A6E0B"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0FCC9D0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37B0C0E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688" w:type="dxa"/>
            <w:shd w:val="clear" w:color="auto" w:fill="C6EFCE"/>
          </w:tcPr>
          <w:p w14:paraId="12E6247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2022</w:t>
            </w:r>
          </w:p>
        </w:tc>
        <w:tc>
          <w:tcPr>
            <w:tcW w:w="4146" w:type="dxa"/>
            <w:shd w:val="clear" w:color="auto" w:fill="C6EFCE"/>
          </w:tcPr>
          <w:p w14:paraId="2211669C" w14:textId="6A92EBFD"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 które przyczynią się do zwiększenia odporności rolnictwa na suszę oraz zapobiegania powodziom na użytkach rolnych; poprawy racjonalności gospodarki wodnej dzięki odpowiedniemu regulowaniu stosunków wodnych na użytkach rolnych</w:t>
            </w:r>
            <w:r w:rsidR="00A33B9F" w:rsidRPr="00A33B9F">
              <w:rPr>
                <w:rFonts w:ascii="Times New Roman" w:hAnsi="Times New Roman"/>
                <w:noProof/>
                <w:color w:val="000000" w:themeColor="text1"/>
                <w:sz w:val="18"/>
              </w:rPr>
              <w:t xml:space="preserve"> i ogr</w:t>
            </w:r>
            <w:r w:rsidRPr="00A33B9F">
              <w:rPr>
                <w:rFonts w:ascii="Times New Roman" w:hAnsi="Times New Roman"/>
                <w:noProof/>
                <w:color w:val="000000" w:themeColor="text1"/>
                <w:sz w:val="18"/>
              </w:rPr>
              <w:t>aniczeniu odpływu wody; oraz zwiększenia retencji wód. Zmiany są zgodne</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ogami określonymi</w:t>
            </w:r>
            <w:r w:rsidR="00A33B9F" w:rsidRPr="00A33B9F">
              <w:rPr>
                <w:rFonts w:ascii="Times New Roman" w:hAnsi="Times New Roman"/>
                <w:noProof/>
                <w:color w:val="000000" w:themeColor="text1"/>
                <w:sz w:val="18"/>
              </w:rPr>
              <w:t xml:space="preserve"> w wyt</w:t>
            </w:r>
            <w:r w:rsidRPr="00A33B9F">
              <w:rPr>
                <w:rFonts w:ascii="Times New Roman" w:hAnsi="Times New Roman"/>
                <w:noProof/>
                <w:color w:val="000000" w:themeColor="text1"/>
                <w:sz w:val="18"/>
              </w:rPr>
              <w:t>ycznych technicznych dotyczących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zapewnią one zgodność</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episami UE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ochrony środowiska,</w:t>
            </w:r>
            <w:r w:rsidR="00A33B9F" w:rsidRPr="00A33B9F">
              <w:rPr>
                <w:rFonts w:ascii="Times New Roman" w:hAnsi="Times New Roman"/>
                <w:noProof/>
                <w:color w:val="000000" w:themeColor="text1"/>
                <w:sz w:val="18"/>
              </w:rPr>
              <w:t xml:space="preserve"> w tym z dyr</w:t>
            </w:r>
            <w:r w:rsidRPr="00A33B9F">
              <w:rPr>
                <w:rFonts w:ascii="Times New Roman" w:hAnsi="Times New Roman"/>
                <w:noProof/>
                <w:color w:val="000000" w:themeColor="text1"/>
                <w:sz w:val="18"/>
              </w:rPr>
              <w:t>ektywą</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OOŚ</w:t>
            </w:r>
            <w:r w:rsidR="00A33B9F" w:rsidRPr="00A33B9F">
              <w:rPr>
                <w:rFonts w:ascii="Times New Roman" w:hAnsi="Times New Roman"/>
                <w:noProof/>
                <w:color w:val="000000" w:themeColor="text1"/>
                <w:sz w:val="18"/>
              </w:rPr>
              <w:t xml:space="preserve"> i ram</w:t>
            </w:r>
            <w:r w:rsidRPr="00A33B9F">
              <w:rPr>
                <w:rFonts w:ascii="Times New Roman" w:hAnsi="Times New Roman"/>
                <w:noProof/>
                <w:color w:val="000000" w:themeColor="text1"/>
                <w:sz w:val="18"/>
              </w:rPr>
              <w:t>ową dyrektywą wodną.</w:t>
            </w:r>
            <w:r w:rsidR="00C3621A" w:rsidRPr="00A33B9F">
              <w:rPr>
                <w:rFonts w:ascii="Times New Roman" w:hAnsi="Times New Roman"/>
                <w:noProof/>
                <w:color w:val="000000" w:themeColor="text1"/>
                <w:sz w:val="18"/>
              </w:rPr>
              <w:t xml:space="preserve"> </w:t>
            </w:r>
          </w:p>
          <w:p w14:paraId="109A3ACD" w14:textId="596B49C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rPr>
            </w:pPr>
            <w:r w:rsidRPr="00A33B9F">
              <w:rPr>
                <w:rFonts w:ascii="Times New Roman" w:hAnsi="Times New Roman"/>
                <w:noProof/>
                <w:color w:val="000000" w:themeColor="text1"/>
                <w:sz w:val="18"/>
              </w:rPr>
              <w:t>Zmiany nie będą prowadzić do pogorszenia poziomu zgodności</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episami UE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ochrony środowiska,</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inwestycji uznawanych za znaczące lub potencjalnie znaczące zgodnie</w:t>
            </w:r>
            <w:r w:rsidR="00A33B9F" w:rsidRPr="00A33B9F">
              <w:rPr>
                <w:rFonts w:ascii="Times New Roman" w:hAnsi="Times New Roman"/>
                <w:noProof/>
                <w:color w:val="000000" w:themeColor="text1"/>
                <w:sz w:val="18"/>
              </w:rPr>
              <w:t xml:space="preserve"> z roz</w:t>
            </w:r>
            <w:r w:rsidRPr="00A33B9F">
              <w:rPr>
                <w:rFonts w:ascii="Times New Roman" w:hAnsi="Times New Roman"/>
                <w:noProof/>
                <w:color w:val="000000" w:themeColor="text1"/>
                <w:sz w:val="18"/>
              </w:rPr>
              <w:t>porządzeniem Rady Ministrów</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przedsięwzięć mogących znacząco oddziaływać na środowisko oraz inwestycji na obszarach Natura 2000 lub mających na nie wpływ. Ponadto zmiany te nie zmienią obecnie wiążących przepisów dotyczących poboru wody.</w:t>
            </w:r>
          </w:p>
        </w:tc>
      </w:tr>
      <w:tr w:rsidR="008C116B" w:rsidRPr="00A33B9F" w14:paraId="71C2B112" w14:textId="77777777" w:rsidTr="1CE0CE0C">
        <w:trPr>
          <w:trHeight w:val="313"/>
        </w:trPr>
        <w:tc>
          <w:tcPr>
            <w:tcW w:w="821" w:type="dxa"/>
            <w:shd w:val="clear" w:color="auto" w:fill="C6EFCE"/>
          </w:tcPr>
          <w:p w14:paraId="1AE780B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B22L</w:t>
            </w:r>
          </w:p>
        </w:tc>
        <w:tc>
          <w:tcPr>
            <w:tcW w:w="1745" w:type="dxa"/>
            <w:shd w:val="clear" w:color="auto" w:fill="C6EFCE"/>
          </w:tcPr>
          <w:p w14:paraId="3E42A90E" w14:textId="09EC79B1"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B3.3.1 Inwestycje</w:t>
            </w:r>
            <w:r w:rsidR="00A33B9F" w:rsidRPr="00A33B9F">
              <w:rPr>
                <w:rFonts w:ascii="Times New Roman" w:hAnsi="Times New Roman"/>
                <w:noProof/>
                <w:color w:val="000000"/>
                <w:sz w:val="18"/>
              </w:rPr>
              <w:t xml:space="preserve"> w zwi</w:t>
            </w:r>
            <w:r w:rsidRPr="00A33B9F">
              <w:rPr>
                <w:rFonts w:ascii="Times New Roman" w:hAnsi="Times New Roman"/>
                <w:noProof/>
                <w:color w:val="000000"/>
                <w:sz w:val="18"/>
              </w:rPr>
              <w:t>ększanie potencjału zrównoważonej gospodarki wodnej na obszarach wiejskich</w:t>
            </w:r>
          </w:p>
        </w:tc>
        <w:tc>
          <w:tcPr>
            <w:tcW w:w="1021" w:type="dxa"/>
            <w:shd w:val="clear" w:color="auto" w:fill="C6EFCE"/>
          </w:tcPr>
          <w:p w14:paraId="1E5C4220"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54617667" w14:textId="60D2F63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Przyjęcie kryteriów kwalifikacji</w:t>
            </w:r>
            <w:r w:rsidR="00A33B9F" w:rsidRPr="00A33B9F">
              <w:rPr>
                <w:rFonts w:ascii="Times New Roman" w:hAnsi="Times New Roman"/>
                <w:noProof/>
                <w:color w:val="000000"/>
                <w:sz w:val="18"/>
              </w:rPr>
              <w:t xml:space="preserve"> w odn</w:t>
            </w:r>
            <w:r w:rsidRPr="00A33B9F">
              <w:rPr>
                <w:rFonts w:ascii="Times New Roman" w:hAnsi="Times New Roman"/>
                <w:noProof/>
                <w:color w:val="000000"/>
                <w:sz w:val="18"/>
              </w:rPr>
              <w:t xml:space="preserve">iesieniu do zaproszeń do składania wniosków </w:t>
            </w:r>
          </w:p>
        </w:tc>
        <w:tc>
          <w:tcPr>
            <w:tcW w:w="1567" w:type="dxa"/>
            <w:shd w:val="clear" w:color="auto" w:fill="C6EFCE"/>
          </w:tcPr>
          <w:p w14:paraId="3A0830C6" w14:textId="50244773"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Przyjęcie kryteriów przez Ministerstwo Rolnictwa</w:t>
            </w:r>
            <w:r w:rsidR="00A33B9F" w:rsidRPr="00A33B9F">
              <w:rPr>
                <w:rFonts w:ascii="Times New Roman" w:hAnsi="Times New Roman"/>
                <w:noProof/>
                <w:color w:val="000000"/>
                <w:sz w:val="18"/>
              </w:rPr>
              <w:t xml:space="preserve"> i Roz</w:t>
            </w:r>
            <w:r w:rsidRPr="00A33B9F">
              <w:rPr>
                <w:rFonts w:ascii="Times New Roman" w:hAnsi="Times New Roman"/>
                <w:noProof/>
                <w:color w:val="000000"/>
                <w:sz w:val="18"/>
              </w:rPr>
              <w:t xml:space="preserve">woju Wsi </w:t>
            </w:r>
          </w:p>
          <w:p w14:paraId="6743F039"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shd w:val="clear" w:color="auto" w:fill="C6EFCE"/>
          </w:tcPr>
          <w:p w14:paraId="3463A1C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6D4359A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4BD2C171"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6F53F65F"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688" w:type="dxa"/>
            <w:shd w:val="clear" w:color="auto" w:fill="C6EFCE"/>
          </w:tcPr>
          <w:p w14:paraId="031F910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2022</w:t>
            </w:r>
          </w:p>
        </w:tc>
        <w:tc>
          <w:tcPr>
            <w:tcW w:w="4146" w:type="dxa"/>
            <w:shd w:val="clear" w:color="auto" w:fill="C6EFCE"/>
          </w:tcPr>
          <w:p w14:paraId="6D0C60FC" w14:textId="4F6DD11C"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Inwestycje zostaną wybrane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 xml:space="preserve">dze szczegółowych zaproszeń do składania wniosków na podstawie kryteriów środowiskowych. </w:t>
            </w:r>
          </w:p>
          <w:p w14:paraId="0EF18569" w14:textId="56D3531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Projekt przyczyni się do zwiększenia odporności rolnictwa na suszę oraz zapobiegania powodziom na użytkach rolnych; poprawy racjonalności gospodarki wodnej dzięki odpowiedniemu regulowaniu stosunków wodnych na użytkach rolnych</w:t>
            </w:r>
            <w:r w:rsidR="00A33B9F" w:rsidRPr="00A33B9F">
              <w:rPr>
                <w:rFonts w:ascii="Times New Roman" w:hAnsi="Times New Roman"/>
                <w:noProof/>
                <w:color w:val="000000" w:themeColor="text1"/>
                <w:sz w:val="18"/>
              </w:rPr>
              <w:t xml:space="preserve"> i ogr</w:t>
            </w:r>
            <w:r w:rsidRPr="00A33B9F">
              <w:rPr>
                <w:rFonts w:ascii="Times New Roman" w:hAnsi="Times New Roman"/>
                <w:noProof/>
                <w:color w:val="000000" w:themeColor="text1"/>
                <w:sz w:val="18"/>
              </w:rPr>
              <w:t>aniczeniu odpływu wody; oraz zwiększenia retencji wód, pod warunkiem że ich potrzeba</w:t>
            </w:r>
            <w:r w:rsidR="00A33B9F" w:rsidRPr="00A33B9F">
              <w:rPr>
                <w:rFonts w:ascii="Times New Roman" w:hAnsi="Times New Roman"/>
                <w:noProof/>
                <w:color w:val="000000" w:themeColor="text1"/>
                <w:sz w:val="18"/>
              </w:rPr>
              <w:t xml:space="preserve"> i cha</w:t>
            </w:r>
            <w:r w:rsidRPr="00A33B9F">
              <w:rPr>
                <w:rFonts w:ascii="Times New Roman" w:hAnsi="Times New Roman"/>
                <w:noProof/>
                <w:color w:val="000000" w:themeColor="text1"/>
                <w:sz w:val="18"/>
              </w:rPr>
              <w:t>rakter są odpowiednio uzasadnione.</w:t>
            </w:r>
          </w:p>
          <w:p w14:paraId="6297B9E0" w14:textId="12C5C98E"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Pierwszeństwo mają rozwiązania oparte na przyrodzie</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e rozwiązania odporne na zmianę klimatu. Wspierane będą wyłącznie projekty, które nie prowadzą do pogorszenia stanu wód powierzchniowych</w:t>
            </w:r>
            <w:r w:rsidR="00A33B9F" w:rsidRPr="00A33B9F">
              <w:rPr>
                <w:rFonts w:ascii="Times New Roman" w:hAnsi="Times New Roman"/>
                <w:noProof/>
                <w:color w:val="000000" w:themeColor="text1"/>
                <w:sz w:val="18"/>
              </w:rPr>
              <w:t xml:space="preserve"> i gru</w:t>
            </w:r>
            <w:r w:rsidRPr="00A33B9F">
              <w:rPr>
                <w:rFonts w:ascii="Times New Roman" w:hAnsi="Times New Roman"/>
                <w:noProof/>
                <w:color w:val="000000" w:themeColor="text1"/>
                <w:sz w:val="18"/>
              </w:rPr>
              <w:t xml:space="preserve">ntowych oraz nie uniemożliwiają poprawy stanu lub potencjału ekologicznego odnośnych jednolitych części wód. </w:t>
            </w:r>
          </w:p>
        </w:tc>
      </w:tr>
      <w:tr w:rsidR="008C116B" w:rsidRPr="00A33B9F" w14:paraId="6BDC07D4" w14:textId="77777777" w:rsidTr="1CE0CE0C">
        <w:trPr>
          <w:trHeight w:val="313"/>
        </w:trPr>
        <w:tc>
          <w:tcPr>
            <w:tcW w:w="821" w:type="dxa"/>
            <w:shd w:val="clear" w:color="auto" w:fill="C6EFCE"/>
          </w:tcPr>
          <w:p w14:paraId="550FF28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B23L</w:t>
            </w:r>
          </w:p>
        </w:tc>
        <w:tc>
          <w:tcPr>
            <w:tcW w:w="1745" w:type="dxa"/>
            <w:shd w:val="clear" w:color="auto" w:fill="C6EFCE"/>
          </w:tcPr>
          <w:p w14:paraId="5FD90488" w14:textId="0A595E4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B3.3.1 Inwestycje</w:t>
            </w:r>
            <w:r w:rsidR="00A33B9F" w:rsidRPr="00A33B9F">
              <w:rPr>
                <w:rFonts w:ascii="Times New Roman" w:hAnsi="Times New Roman"/>
                <w:noProof/>
                <w:color w:val="000000"/>
                <w:sz w:val="18"/>
              </w:rPr>
              <w:t xml:space="preserve"> w zwi</w:t>
            </w:r>
            <w:r w:rsidRPr="00A33B9F">
              <w:rPr>
                <w:rFonts w:ascii="Times New Roman" w:hAnsi="Times New Roman"/>
                <w:noProof/>
                <w:color w:val="000000"/>
                <w:sz w:val="18"/>
              </w:rPr>
              <w:t>ększanie potencjału zrównoważonej gospodarki wodnej na obszarach wiejskich</w:t>
            </w:r>
          </w:p>
        </w:tc>
        <w:tc>
          <w:tcPr>
            <w:tcW w:w="1021" w:type="dxa"/>
            <w:shd w:val="clear" w:color="auto" w:fill="C6EFCE"/>
          </w:tcPr>
          <w:p w14:paraId="238FB22B"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75" w:type="dxa"/>
            <w:shd w:val="clear" w:color="auto" w:fill="C6EFCE"/>
          </w:tcPr>
          <w:p w14:paraId="5AB2F083" w14:textId="0BF0F38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Obszar gruntów rolnych/leśnych (w hektarach) korzystających</w:t>
            </w:r>
            <w:r w:rsidR="00A33B9F" w:rsidRPr="00A33B9F">
              <w:rPr>
                <w:rFonts w:ascii="Times New Roman" w:hAnsi="Times New Roman"/>
                <w:noProof/>
                <w:sz w:val="18"/>
              </w:rPr>
              <w:t xml:space="preserve"> z ule</w:t>
            </w:r>
            <w:r w:rsidRPr="00A33B9F">
              <w:rPr>
                <w:rFonts w:ascii="Times New Roman" w:hAnsi="Times New Roman"/>
                <w:noProof/>
                <w:sz w:val="18"/>
              </w:rPr>
              <w:t xml:space="preserve">pszonego potencjału retencyjnego </w:t>
            </w:r>
          </w:p>
        </w:tc>
        <w:tc>
          <w:tcPr>
            <w:tcW w:w="1567" w:type="dxa"/>
            <w:shd w:val="clear" w:color="auto" w:fill="C6EFCE"/>
          </w:tcPr>
          <w:p w14:paraId="1DC1CA1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50" w:type="dxa"/>
            <w:shd w:val="clear" w:color="auto" w:fill="C6EFCE"/>
          </w:tcPr>
          <w:p w14:paraId="2E7217B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0" w:type="dxa"/>
            <w:shd w:val="clear" w:color="auto" w:fill="C6EFCE"/>
          </w:tcPr>
          <w:p w14:paraId="6A058985"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77" w:type="dxa"/>
            <w:shd w:val="clear" w:color="auto" w:fill="C6EFCE"/>
          </w:tcPr>
          <w:p w14:paraId="7179A7AD"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858 568 </w:t>
            </w:r>
          </w:p>
        </w:tc>
        <w:tc>
          <w:tcPr>
            <w:tcW w:w="964" w:type="dxa"/>
            <w:shd w:val="clear" w:color="auto" w:fill="C6EFCE"/>
          </w:tcPr>
          <w:p w14:paraId="63229B6B"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IV kw.</w:t>
            </w:r>
          </w:p>
        </w:tc>
        <w:tc>
          <w:tcPr>
            <w:tcW w:w="688" w:type="dxa"/>
            <w:shd w:val="clear" w:color="auto" w:fill="C6EFCE"/>
          </w:tcPr>
          <w:p w14:paraId="41B15693"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2025</w:t>
            </w:r>
          </w:p>
        </w:tc>
        <w:tc>
          <w:tcPr>
            <w:tcW w:w="4146" w:type="dxa"/>
            <w:shd w:val="clear" w:color="auto" w:fill="C6EFCE"/>
          </w:tcPr>
          <w:p w14:paraId="4B532529" w14:textId="6EB4AEFC"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858 568 hektarów gruntów rolnych lub leśnych korzystających</w:t>
            </w:r>
            <w:r w:rsidR="00A33B9F" w:rsidRPr="00A33B9F">
              <w:rPr>
                <w:rFonts w:ascii="Times New Roman" w:hAnsi="Times New Roman"/>
                <w:noProof/>
                <w:color w:val="000000" w:themeColor="text1"/>
                <w:sz w:val="18"/>
              </w:rPr>
              <w:t xml:space="preserve"> z ule</w:t>
            </w:r>
            <w:r w:rsidRPr="00A33B9F">
              <w:rPr>
                <w:rFonts w:ascii="Times New Roman" w:hAnsi="Times New Roman"/>
                <w:noProof/>
                <w:color w:val="000000" w:themeColor="text1"/>
                <w:sz w:val="18"/>
              </w:rPr>
              <w:t>pszonego potencjału retencyjnego dzięki interwencjom poprawiającym długoterminową odporność sektora rolnictwa na skutki zmiany klimatu,</w:t>
            </w:r>
            <w:r w:rsidR="00A33B9F" w:rsidRPr="00A33B9F">
              <w:rPr>
                <w:rFonts w:ascii="Times New Roman" w:hAnsi="Times New Roman"/>
                <w:noProof/>
                <w:color w:val="000000" w:themeColor="text1"/>
                <w:sz w:val="18"/>
              </w:rPr>
              <w:t xml:space="preserve"> a mia</w:t>
            </w:r>
            <w:r w:rsidRPr="00A33B9F">
              <w:rPr>
                <w:rFonts w:ascii="Times New Roman" w:hAnsi="Times New Roman"/>
                <w:noProof/>
                <w:color w:val="000000" w:themeColor="text1"/>
                <w:sz w:val="18"/>
              </w:rPr>
              <w:t>nowicie susze</w:t>
            </w:r>
            <w:r w:rsidR="00A33B9F" w:rsidRPr="00A33B9F">
              <w:rPr>
                <w:rFonts w:ascii="Times New Roman" w:hAnsi="Times New Roman"/>
                <w:noProof/>
                <w:color w:val="000000" w:themeColor="text1"/>
                <w:sz w:val="18"/>
              </w:rPr>
              <w:t xml:space="preserve"> i pow</w:t>
            </w:r>
            <w:r w:rsidRPr="00A33B9F">
              <w:rPr>
                <w:rFonts w:ascii="Times New Roman" w:hAnsi="Times New Roman"/>
                <w:noProof/>
                <w:color w:val="000000" w:themeColor="text1"/>
                <w:sz w:val="18"/>
              </w:rPr>
              <w:t>odzie, oraz wspierającym różnorodność biologiczną.</w:t>
            </w:r>
            <w:r w:rsidR="00C3621A" w:rsidRPr="00A33B9F">
              <w:rPr>
                <w:rFonts w:ascii="Times New Roman" w:hAnsi="Times New Roman"/>
                <w:noProof/>
                <w:color w:val="000000" w:themeColor="text1"/>
                <w:sz w:val="18"/>
              </w:rPr>
              <w:t xml:space="preserve"> </w:t>
            </w:r>
            <w:r w:rsidRPr="00A33B9F">
              <w:rPr>
                <w:noProof/>
              </w:rPr>
              <w:br/>
              <w:t xml:space="preserve"> </w:t>
            </w:r>
            <w:r w:rsidRPr="00A33B9F">
              <w:rPr>
                <w:noProof/>
              </w:rPr>
              <w:br/>
            </w:r>
            <w:r w:rsidRPr="00A33B9F">
              <w:rPr>
                <w:rFonts w:ascii="Times New Roman" w:hAnsi="Times New Roman"/>
                <w:noProof/>
                <w:color w:val="000000" w:themeColor="text1"/>
                <w:sz w:val="18"/>
              </w:rPr>
              <w:t>Inwestycja będzie zgodna</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ogami określonymi</w:t>
            </w:r>
            <w:r w:rsidR="00A33B9F" w:rsidRPr="00A33B9F">
              <w:rPr>
                <w:rFonts w:ascii="Times New Roman" w:hAnsi="Times New Roman"/>
                <w:noProof/>
                <w:color w:val="000000" w:themeColor="text1"/>
                <w:sz w:val="18"/>
              </w:rPr>
              <w:t xml:space="preserve"> w wyt</w:t>
            </w:r>
            <w:r w:rsidRPr="00A33B9F">
              <w:rPr>
                <w:rFonts w:ascii="Times New Roman" w:hAnsi="Times New Roman"/>
                <w:noProof/>
                <w:color w:val="000000" w:themeColor="text1"/>
                <w:sz w:val="18"/>
              </w:rPr>
              <w:t>ycznych technicznych dotyczących stosowania zasady „nie czyń poważnych szkód” (2021/C 58/01). Wszystkie nowe projekty, które wymagają OOŚ, uzyskują zezwolenie na podstawie ustawy</w:t>
            </w:r>
            <w:r w:rsidR="00A33B9F" w:rsidRPr="00A33B9F">
              <w:rPr>
                <w:rFonts w:ascii="Times New Roman" w:hAnsi="Times New Roman"/>
                <w:noProof/>
                <w:color w:val="000000" w:themeColor="text1"/>
                <w:sz w:val="18"/>
              </w:rPr>
              <w:t xml:space="preserve"> o udo</w:t>
            </w:r>
            <w:r w:rsidRPr="00A33B9F">
              <w:rPr>
                <w:rFonts w:ascii="Times New Roman" w:hAnsi="Times New Roman"/>
                <w:noProof/>
                <w:color w:val="000000" w:themeColor="text1"/>
                <w:sz w:val="18"/>
              </w:rPr>
              <w:t>stępnianiu informacji</w:t>
            </w:r>
            <w:r w:rsidR="00A33B9F" w:rsidRPr="00A33B9F">
              <w:rPr>
                <w:rFonts w:ascii="Times New Roman" w:hAnsi="Times New Roman"/>
                <w:noProof/>
                <w:color w:val="000000" w:themeColor="text1"/>
                <w:sz w:val="18"/>
              </w:rPr>
              <w:t xml:space="preserve"> o śro</w:t>
            </w:r>
            <w:r w:rsidRPr="00A33B9F">
              <w:rPr>
                <w:rFonts w:ascii="Times New Roman" w:hAnsi="Times New Roman"/>
                <w:noProof/>
                <w:color w:val="000000" w:themeColor="text1"/>
                <w:sz w:val="18"/>
              </w:rPr>
              <w:t>dowisku</w:t>
            </w:r>
            <w:r w:rsidR="00A33B9F" w:rsidRPr="00A33B9F">
              <w:rPr>
                <w:rFonts w:ascii="Times New Roman" w:hAnsi="Times New Roman"/>
                <w:noProof/>
                <w:color w:val="000000" w:themeColor="text1"/>
                <w:sz w:val="18"/>
              </w:rPr>
              <w:t xml:space="preserve"> i jeg</w:t>
            </w:r>
            <w:r w:rsidRPr="00A33B9F">
              <w:rPr>
                <w:rFonts w:ascii="Times New Roman" w:hAnsi="Times New Roman"/>
                <w:noProof/>
                <w:color w:val="000000" w:themeColor="text1"/>
                <w:sz w:val="18"/>
              </w:rPr>
              <w:t>o ochronie, udziale społeczeństwa</w:t>
            </w:r>
            <w:r w:rsidR="00A33B9F" w:rsidRPr="00A33B9F">
              <w:rPr>
                <w:rFonts w:ascii="Times New Roman" w:hAnsi="Times New Roman"/>
                <w:noProof/>
                <w:color w:val="000000" w:themeColor="text1"/>
                <w:sz w:val="18"/>
              </w:rPr>
              <w:t xml:space="preserve"> w och</w:t>
            </w:r>
            <w:r w:rsidRPr="00A33B9F">
              <w:rPr>
                <w:rFonts w:ascii="Times New Roman" w:hAnsi="Times New Roman"/>
                <w:noProof/>
                <w:color w:val="000000" w:themeColor="text1"/>
                <w:sz w:val="18"/>
              </w:rPr>
              <w:t>ronie środowiska oraz</w:t>
            </w:r>
            <w:r w:rsidR="00A33B9F" w:rsidRPr="00A33B9F">
              <w:rPr>
                <w:rFonts w:ascii="Times New Roman" w:hAnsi="Times New Roman"/>
                <w:noProof/>
                <w:color w:val="000000" w:themeColor="text1"/>
                <w:sz w:val="18"/>
              </w:rPr>
              <w:t xml:space="preserve"> o oce</w:t>
            </w:r>
            <w:r w:rsidRPr="00A33B9F">
              <w:rPr>
                <w:rFonts w:ascii="Times New Roman" w:hAnsi="Times New Roman"/>
                <w:noProof/>
                <w:color w:val="000000" w:themeColor="text1"/>
                <w:sz w:val="18"/>
              </w:rPr>
              <w:t>nach oddziaływania na środowisko, zmienionej ustawą</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30 marca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tej ustawy oraz niektórych innych ustaw. Przy realizacji wszystkich projektów inwestycyjnych,</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których wniosek</w:t>
            </w:r>
            <w:r w:rsidR="00A33B9F" w:rsidRPr="00A33B9F">
              <w:rPr>
                <w:rFonts w:ascii="Times New Roman" w:hAnsi="Times New Roman"/>
                <w:noProof/>
                <w:color w:val="000000" w:themeColor="text1"/>
                <w:sz w:val="18"/>
              </w:rPr>
              <w:t xml:space="preserve"> o wyd</w:t>
            </w:r>
            <w:r w:rsidRPr="00A33B9F">
              <w:rPr>
                <w:rFonts w:ascii="Times New Roman" w:hAnsi="Times New Roman"/>
                <w:noProof/>
                <w:color w:val="000000" w:themeColor="text1"/>
                <w:sz w:val="18"/>
              </w:rPr>
              <w:t>anie decyzji środowiskowej lub pozwolenia na budowę lub rozbudowę złożono przed wejściem</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30 marca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uwzględnia się przepisy określone w „Wytycznych</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działań naprawczych</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projektów współfinansowanych</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duszy UE, których dotyczy naruszenie 2016/2046”, przekazanych Polsce</w:t>
            </w:r>
            <w:r w:rsidR="00A33B9F" w:rsidRPr="00A33B9F">
              <w:rPr>
                <w:rFonts w:ascii="Times New Roman" w:hAnsi="Times New Roman"/>
                <w:noProof/>
                <w:color w:val="000000" w:themeColor="text1"/>
                <w:sz w:val="18"/>
              </w:rPr>
              <w:t xml:space="preserve"> w 2</w:t>
            </w:r>
            <w:r w:rsidRPr="00A33B9F">
              <w:rPr>
                <w:rFonts w:ascii="Times New Roman" w:hAnsi="Times New Roman"/>
                <w:noProof/>
                <w:color w:val="000000" w:themeColor="text1"/>
                <w:sz w:val="18"/>
              </w:rPr>
              <w:t>3 lutego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(nr ref. Ares(2021)1423319). Wspierane będą wyłącznie projekty, które nie prowadzą do pogorszenia stanu wód powierzchniowych</w:t>
            </w:r>
            <w:r w:rsidR="00A33B9F" w:rsidRPr="00A33B9F">
              <w:rPr>
                <w:rFonts w:ascii="Times New Roman" w:hAnsi="Times New Roman"/>
                <w:noProof/>
                <w:color w:val="000000" w:themeColor="text1"/>
                <w:sz w:val="18"/>
              </w:rPr>
              <w:t xml:space="preserve"> i gru</w:t>
            </w:r>
            <w:r w:rsidRPr="00A33B9F">
              <w:rPr>
                <w:rFonts w:ascii="Times New Roman" w:hAnsi="Times New Roman"/>
                <w:noProof/>
                <w:color w:val="000000" w:themeColor="text1"/>
                <w:sz w:val="18"/>
              </w:rPr>
              <w:t>ntowych oraz nie uniemożliwiają poprawy stanu lub potencjału ekologicznego odnośnych jednolitych części wód.</w:t>
            </w:r>
          </w:p>
          <w:p w14:paraId="4FC574FA" w14:textId="77777777"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p>
          <w:p w14:paraId="652587EA" w14:textId="18F91562" w:rsidR="00D50B18" w:rsidRPr="00A33B9F" w:rsidRDefault="00D50B18" w:rsidP="7819510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 przypadku poboru wody właściwy organ musiał udzielić odpowiedniego pozwolenia na pobór wody</w:t>
            </w:r>
            <w:r w:rsidR="00A33B9F" w:rsidRPr="00A33B9F">
              <w:rPr>
                <w:rFonts w:ascii="Times New Roman" w:hAnsi="Times New Roman"/>
                <w:noProof/>
                <w:color w:val="000000" w:themeColor="text1"/>
                <w:sz w:val="18"/>
              </w:rPr>
              <w:t xml:space="preserve"> i okr</w:t>
            </w:r>
            <w:r w:rsidRPr="00A33B9F">
              <w:rPr>
                <w:rFonts w:ascii="Times New Roman" w:hAnsi="Times New Roman"/>
                <w:noProof/>
                <w:color w:val="000000" w:themeColor="text1"/>
                <w:sz w:val="18"/>
              </w:rPr>
              <w:t>eślić warunki poboru wody, aby nie dopuścić do pogorszenia się stanu wód</w:t>
            </w:r>
            <w:r w:rsidR="00A33B9F" w:rsidRPr="00A33B9F">
              <w:rPr>
                <w:rFonts w:ascii="Times New Roman" w:hAnsi="Times New Roman"/>
                <w:noProof/>
                <w:color w:val="000000" w:themeColor="text1"/>
                <w:sz w:val="18"/>
              </w:rPr>
              <w:t xml:space="preserve"> i aby</w:t>
            </w:r>
            <w:r w:rsidRPr="00A33B9F">
              <w:rPr>
                <w:rFonts w:ascii="Times New Roman" w:hAnsi="Times New Roman"/>
                <w:noProof/>
                <w:color w:val="000000" w:themeColor="text1"/>
                <w:sz w:val="18"/>
              </w:rPr>
              <w:t xml:space="preserve"> zagwarantować, że odnośne zbiorniki wodne będą miały dobry stan ekologiczny zgodnie</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ogami dyrektywy 2000/60/WE, czego dowodem będą najnowsze odpowiednie dane potwierdzające. Należy unikać poboru wody,</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gdy stan lub potencjał odnośnych jednolitych części wód (powierzchniowych lub gruntowych) jest gorszy niż dobry lub gdy przewiduje się (w kontekście nasilającej się zmiany klimatu), że będzie on gorszy niż dobry.</w:t>
            </w:r>
          </w:p>
        </w:tc>
      </w:tr>
      <w:tr w:rsidR="008C116B" w:rsidRPr="00A33B9F" w14:paraId="37028628" w14:textId="77777777" w:rsidTr="1CE0CE0C">
        <w:trPr>
          <w:trHeight w:val="313"/>
        </w:trPr>
        <w:tc>
          <w:tcPr>
            <w:tcW w:w="821" w:type="dxa"/>
            <w:shd w:val="clear" w:color="auto" w:fill="C6EFCE"/>
          </w:tcPr>
          <w:p w14:paraId="73253876"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B24L</w:t>
            </w:r>
          </w:p>
        </w:tc>
        <w:tc>
          <w:tcPr>
            <w:tcW w:w="1745" w:type="dxa"/>
            <w:shd w:val="clear" w:color="auto" w:fill="C6EFCE"/>
          </w:tcPr>
          <w:p w14:paraId="75F40F29"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B3.4 Inwestycje na rzecz kompleksowej zielonej transformacji miast</w:t>
            </w:r>
          </w:p>
        </w:tc>
        <w:tc>
          <w:tcPr>
            <w:tcW w:w="1021" w:type="dxa"/>
            <w:shd w:val="clear" w:color="auto" w:fill="C6EFCE"/>
          </w:tcPr>
          <w:p w14:paraId="2EF68152"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41CBF025" w14:textId="7879898F"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ustawy</w:t>
            </w:r>
            <w:r w:rsidR="00A33B9F" w:rsidRPr="00A33B9F">
              <w:rPr>
                <w:rFonts w:ascii="Times New Roman" w:hAnsi="Times New Roman"/>
                <w:noProof/>
                <w:color w:val="000000"/>
                <w:sz w:val="18"/>
              </w:rPr>
              <w:t xml:space="preserve"> o zró</w:t>
            </w:r>
            <w:r w:rsidRPr="00A33B9F">
              <w:rPr>
                <w:rFonts w:ascii="Times New Roman" w:hAnsi="Times New Roman"/>
                <w:noProof/>
                <w:color w:val="000000"/>
                <w:sz w:val="18"/>
              </w:rPr>
              <w:t xml:space="preserve">wnoważonym rozwoju obszarów miejskich służącej wyznaczeniu celów, kierunków, zasad realizacji oraz mechanizmów koordynacji zielonej transformacji miast </w:t>
            </w:r>
          </w:p>
        </w:tc>
        <w:tc>
          <w:tcPr>
            <w:tcW w:w="1567" w:type="dxa"/>
            <w:shd w:val="clear" w:color="auto" w:fill="C6EFCE"/>
          </w:tcPr>
          <w:p w14:paraId="47C88E9D" w14:textId="40A1310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50" w:type="dxa"/>
            <w:shd w:val="clear" w:color="auto" w:fill="C6EFCE"/>
          </w:tcPr>
          <w:p w14:paraId="7413E85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3AC51A2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368883F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2E3B46A4"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688" w:type="dxa"/>
            <w:shd w:val="clear" w:color="auto" w:fill="C6EFCE"/>
          </w:tcPr>
          <w:p w14:paraId="3311C5F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4146" w:type="dxa"/>
            <w:shd w:val="clear" w:color="auto" w:fill="C6EFCE"/>
          </w:tcPr>
          <w:p w14:paraId="4BE54E88" w14:textId="5FD3988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ustawy mającej na celu wspieranie zdolności obszarów miejskich do inwestowania</w:t>
            </w:r>
            <w:r w:rsidR="00A33B9F" w:rsidRPr="00A33B9F">
              <w:rPr>
                <w:rFonts w:ascii="Times New Roman" w:hAnsi="Times New Roman"/>
                <w:noProof/>
                <w:color w:val="000000"/>
                <w:sz w:val="18"/>
              </w:rPr>
              <w:t xml:space="preserve"> w zie</w:t>
            </w:r>
            <w:r w:rsidRPr="00A33B9F">
              <w:rPr>
                <w:rFonts w:ascii="Times New Roman" w:hAnsi="Times New Roman"/>
                <w:noProof/>
                <w:color w:val="000000"/>
                <w:sz w:val="18"/>
              </w:rPr>
              <w:t>loną transformację. Zapewni ona lepsze uwzględnienie aspektów zrównoważonego rozwoju</w:t>
            </w:r>
            <w:r w:rsidR="00A33B9F" w:rsidRPr="00A33B9F">
              <w:rPr>
                <w:rFonts w:ascii="Times New Roman" w:hAnsi="Times New Roman"/>
                <w:noProof/>
                <w:color w:val="000000"/>
                <w:sz w:val="18"/>
              </w:rPr>
              <w:t xml:space="preserve"> w pro</w:t>
            </w:r>
            <w:r w:rsidRPr="00A33B9F">
              <w:rPr>
                <w:rFonts w:ascii="Times New Roman" w:hAnsi="Times New Roman"/>
                <w:noProof/>
                <w:color w:val="000000"/>
                <w:sz w:val="18"/>
              </w:rPr>
              <w:t>cedurach planowania przestrzeni miejskiej. Zapewni odpowiednie konsultacje</w:t>
            </w:r>
            <w:r w:rsidR="00A33B9F" w:rsidRPr="00A33B9F">
              <w:rPr>
                <w:rFonts w:ascii="Times New Roman" w:hAnsi="Times New Roman"/>
                <w:noProof/>
                <w:color w:val="000000"/>
                <w:sz w:val="18"/>
              </w:rPr>
              <w:t xml:space="preserve"> z zai</w:t>
            </w:r>
            <w:r w:rsidRPr="00A33B9F">
              <w:rPr>
                <w:rFonts w:ascii="Times New Roman" w:hAnsi="Times New Roman"/>
                <w:noProof/>
                <w:color w:val="000000"/>
                <w:sz w:val="18"/>
              </w:rPr>
              <w:t>nteresowanymi stronami</w:t>
            </w:r>
            <w:r w:rsidR="00A33B9F" w:rsidRPr="00A33B9F">
              <w:rPr>
                <w:rFonts w:ascii="Times New Roman" w:hAnsi="Times New Roman"/>
                <w:noProof/>
                <w:color w:val="000000"/>
                <w:sz w:val="18"/>
              </w:rPr>
              <w:t xml:space="preserve"> w ram</w:t>
            </w:r>
            <w:r w:rsidRPr="00A33B9F">
              <w:rPr>
                <w:rFonts w:ascii="Times New Roman" w:hAnsi="Times New Roman"/>
                <w:noProof/>
                <w:color w:val="000000"/>
                <w:sz w:val="18"/>
              </w:rPr>
              <w:t>ach tych procedur</w:t>
            </w:r>
            <w:r w:rsidR="00A33B9F" w:rsidRPr="00A33B9F">
              <w:rPr>
                <w:rFonts w:ascii="Times New Roman" w:hAnsi="Times New Roman"/>
                <w:noProof/>
                <w:color w:val="000000"/>
                <w:sz w:val="18"/>
              </w:rPr>
              <w:t>. W jej</w:t>
            </w:r>
            <w:r w:rsidRPr="00A33B9F">
              <w:rPr>
                <w:rFonts w:ascii="Times New Roman" w:hAnsi="Times New Roman"/>
                <w:noProof/>
                <w:color w:val="000000"/>
                <w:sz w:val="18"/>
              </w:rPr>
              <w:t xml:space="preserve"> ramach przewidziano wspieranie potencjału instytucji samorządowych na szczeblu lokalnym</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 xml:space="preserve">u realizacji takich projektów. </w:t>
            </w:r>
          </w:p>
        </w:tc>
      </w:tr>
      <w:tr w:rsidR="008C116B" w:rsidRPr="00A33B9F" w14:paraId="1939EB18" w14:textId="77777777" w:rsidTr="1CE0CE0C">
        <w:trPr>
          <w:trHeight w:val="313"/>
        </w:trPr>
        <w:tc>
          <w:tcPr>
            <w:tcW w:w="821" w:type="dxa"/>
            <w:shd w:val="clear" w:color="auto" w:fill="C6EFCE"/>
          </w:tcPr>
          <w:p w14:paraId="76E182B2"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B25L</w:t>
            </w:r>
          </w:p>
        </w:tc>
        <w:tc>
          <w:tcPr>
            <w:tcW w:w="1745" w:type="dxa"/>
            <w:shd w:val="clear" w:color="auto" w:fill="C6EFCE"/>
          </w:tcPr>
          <w:p w14:paraId="445FE285"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B3.4 Inwestycje na rzecz kompleksowej zielonej transformacji miast</w:t>
            </w:r>
          </w:p>
        </w:tc>
        <w:tc>
          <w:tcPr>
            <w:tcW w:w="1021" w:type="dxa"/>
            <w:shd w:val="clear" w:color="auto" w:fill="C6EFCE"/>
          </w:tcPr>
          <w:p w14:paraId="2D81EBE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75" w:type="dxa"/>
            <w:shd w:val="clear" w:color="auto" w:fill="C6EFCE"/>
          </w:tcPr>
          <w:p w14:paraId="6C43996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Instrument na rzecz Zielonej Transformacji Miast</w:t>
            </w:r>
          </w:p>
        </w:tc>
        <w:tc>
          <w:tcPr>
            <w:tcW w:w="1567" w:type="dxa"/>
            <w:shd w:val="clear" w:color="auto" w:fill="C6EFCE"/>
          </w:tcPr>
          <w:p w14:paraId="78606C10" w14:textId="0052E5F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Utworzenie Instrumentu na rzecz Zielonej Transformacji Miast</w:t>
            </w:r>
            <w:r w:rsidR="00A33B9F" w:rsidRPr="00A33B9F">
              <w:rPr>
                <w:rFonts w:ascii="Times New Roman" w:hAnsi="Times New Roman"/>
                <w:noProof/>
                <w:color w:val="000000"/>
                <w:sz w:val="18"/>
              </w:rPr>
              <w:t xml:space="preserve"> i prz</w:t>
            </w:r>
            <w:r w:rsidRPr="00A33B9F">
              <w:rPr>
                <w:rFonts w:ascii="Times New Roman" w:hAnsi="Times New Roman"/>
                <w:noProof/>
                <w:color w:val="000000"/>
                <w:sz w:val="18"/>
              </w:rPr>
              <w:t>yjęcie jego szczegółowego regulaminu</w:t>
            </w:r>
            <w:r w:rsidR="00A33B9F" w:rsidRPr="00A33B9F">
              <w:rPr>
                <w:rFonts w:ascii="Times New Roman" w:hAnsi="Times New Roman"/>
                <w:noProof/>
                <w:color w:val="000000"/>
                <w:sz w:val="18"/>
              </w:rPr>
              <w:t xml:space="preserve"> i pro</w:t>
            </w:r>
            <w:r w:rsidRPr="00A33B9F">
              <w:rPr>
                <w:rFonts w:ascii="Times New Roman" w:hAnsi="Times New Roman"/>
                <w:noProof/>
                <w:color w:val="000000"/>
                <w:sz w:val="18"/>
              </w:rPr>
              <w:t>cedur</w:t>
            </w:r>
            <w:r w:rsidR="00A33B9F" w:rsidRPr="00A33B9F">
              <w:rPr>
                <w:rFonts w:ascii="Times New Roman" w:hAnsi="Times New Roman"/>
                <w:noProof/>
                <w:color w:val="000000"/>
                <w:sz w:val="18"/>
              </w:rPr>
              <w:t xml:space="preserve"> w por</w:t>
            </w:r>
            <w:r w:rsidRPr="00A33B9F">
              <w:rPr>
                <w:rFonts w:ascii="Times New Roman" w:hAnsi="Times New Roman"/>
                <w:noProof/>
                <w:color w:val="000000"/>
                <w:sz w:val="18"/>
              </w:rPr>
              <w:t>ozumieniu ze wszystkimi zainteresowanymi stronami</w:t>
            </w:r>
            <w:r w:rsidRPr="00A33B9F">
              <w:rPr>
                <w:rFonts w:ascii="Times New Roman" w:hAnsi="Times New Roman"/>
                <w:noProof/>
                <w:color w:val="FF0000"/>
                <w:sz w:val="18"/>
              </w:rPr>
              <w:t xml:space="preserve"> </w:t>
            </w:r>
          </w:p>
        </w:tc>
        <w:tc>
          <w:tcPr>
            <w:tcW w:w="950" w:type="dxa"/>
            <w:shd w:val="clear" w:color="auto" w:fill="C6EFCE"/>
          </w:tcPr>
          <w:p w14:paraId="261EA0D1"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50" w:type="dxa"/>
            <w:shd w:val="clear" w:color="auto" w:fill="C6EFCE"/>
          </w:tcPr>
          <w:p w14:paraId="000C474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77" w:type="dxa"/>
            <w:shd w:val="clear" w:color="auto" w:fill="C6EFCE"/>
          </w:tcPr>
          <w:p w14:paraId="7216F7A2"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7626EC53"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688" w:type="dxa"/>
            <w:shd w:val="clear" w:color="auto" w:fill="C6EFCE"/>
          </w:tcPr>
          <w:p w14:paraId="4E4517F9"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4146" w:type="dxa"/>
            <w:shd w:val="clear" w:color="auto" w:fill="C6EFCE"/>
          </w:tcPr>
          <w:p w14:paraId="4BB593FB" w14:textId="32DEA0DB" w:rsidR="00D50B18" w:rsidRPr="00A33B9F" w:rsidRDefault="00D57E86">
            <w:pPr>
              <w:spacing w:after="0" w:line="257"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Utworzenie Instrumentu na rzecz Zielonej Transformacji Miast</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wsparcia a) zielonej transformacji miast oraz b) inwestycji</w:t>
            </w:r>
            <w:r w:rsidR="00A33B9F" w:rsidRPr="00A33B9F">
              <w:rPr>
                <w:rFonts w:ascii="Times New Roman" w:hAnsi="Times New Roman"/>
                <w:noProof/>
                <w:color w:val="000000" w:themeColor="text1"/>
                <w:sz w:val="18"/>
              </w:rPr>
              <w:t xml:space="preserve"> w zie</w:t>
            </w:r>
            <w:r w:rsidRPr="00A33B9F">
              <w:rPr>
                <w:rFonts w:ascii="Times New Roman" w:hAnsi="Times New Roman"/>
                <w:noProof/>
                <w:color w:val="000000" w:themeColor="text1"/>
                <w:sz w:val="18"/>
              </w:rPr>
              <w:t>loną cyfryzację miast przy wykorzystaniu przyjętych procedur. Instrument na rzecz Zielonej Transformacji Miast będzie zgodny</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Aby zapewnić zgodność środka</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 kryteria kwalifikowalności projektów wykluczają następujący wykaz działań: (i) działania związane</w:t>
            </w:r>
            <w:r w:rsidR="00A33B9F" w:rsidRPr="00A33B9F">
              <w:rPr>
                <w:rFonts w:ascii="Times New Roman" w:hAnsi="Times New Roman"/>
                <w:noProof/>
                <w:color w:val="000000" w:themeColor="text1"/>
                <w:sz w:val="18"/>
              </w:rPr>
              <w:t xml:space="preserve"> z pal</w:t>
            </w:r>
            <w:r w:rsidRPr="00A33B9F">
              <w:rPr>
                <w:rFonts w:ascii="Times New Roman" w:hAnsi="Times New Roman"/>
                <w:noProof/>
                <w:color w:val="000000" w:themeColor="text1"/>
                <w:sz w:val="18"/>
              </w:rPr>
              <w:t>iwami kopalnymi,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zastosowania niższego szczebla; (ii) działania</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unijnego systemu handlu uprawnieniami do emisji (ETS) prowadzące do osiągnięcia prognozowanych emisji gazów cieplarnianych nie niższych niż odpowiednie wskaźniki emisyjności; (iii) działalność związana ze składowiskami odpadów, spalarniami</w:t>
            </w:r>
            <w:r w:rsidR="00A33B9F" w:rsidRPr="00A33B9F">
              <w:rPr>
                <w:rFonts w:ascii="Times New Roman" w:hAnsi="Times New Roman"/>
                <w:noProof/>
                <w:color w:val="000000" w:themeColor="text1"/>
                <w:sz w:val="18"/>
              </w:rPr>
              <w:t xml:space="preserve"> i zak</w:t>
            </w:r>
            <w:r w:rsidRPr="00A33B9F">
              <w:rPr>
                <w:rFonts w:ascii="Times New Roman" w:hAnsi="Times New Roman"/>
                <w:noProof/>
                <w:color w:val="000000" w:themeColor="text1"/>
                <w:sz w:val="18"/>
              </w:rPr>
              <w:t>ładami mechaniczno-biologicznego przetwarzania odpadów oraz (iv) działania,</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których długoterminowe unieszkodliwianie odpadów może szkodzić środowisku naturalnemu</w:t>
            </w:r>
            <w:r w:rsidR="00A33B9F" w:rsidRPr="00A33B9F">
              <w:rPr>
                <w:rFonts w:ascii="Times New Roman" w:hAnsi="Times New Roman"/>
                <w:noProof/>
                <w:color w:val="000000" w:themeColor="text1"/>
                <w:sz w:val="18"/>
              </w:rPr>
              <w:t>. W zak</w:t>
            </w:r>
            <w:r w:rsidRPr="00A33B9F">
              <w:rPr>
                <w:rFonts w:ascii="Times New Roman" w:hAnsi="Times New Roman"/>
                <w:noProof/>
                <w:color w:val="000000" w:themeColor="text1"/>
                <w:sz w:val="18"/>
              </w:rPr>
              <w:t>resie zadań znajduje się dodatkowy wymóg, aby wybierane były tylko te działania, które są zgodne</w:t>
            </w:r>
            <w:r w:rsidR="00A33B9F" w:rsidRPr="00A33B9F">
              <w:rPr>
                <w:rFonts w:ascii="Times New Roman" w:hAnsi="Times New Roman"/>
                <w:noProof/>
                <w:color w:val="000000" w:themeColor="text1"/>
                <w:sz w:val="18"/>
              </w:rPr>
              <w:t xml:space="preserve"> z odp</w:t>
            </w:r>
            <w:r w:rsidRPr="00A33B9F">
              <w:rPr>
                <w:rFonts w:ascii="Times New Roman" w:hAnsi="Times New Roman"/>
                <w:noProof/>
                <w:color w:val="000000" w:themeColor="text1"/>
                <w:sz w:val="18"/>
              </w:rPr>
              <w:t>owiednimi unijnymi</w:t>
            </w:r>
            <w:r w:rsidR="00A33B9F" w:rsidRPr="00A33B9F">
              <w:rPr>
                <w:rFonts w:ascii="Times New Roman" w:hAnsi="Times New Roman"/>
                <w:noProof/>
                <w:color w:val="000000" w:themeColor="text1"/>
                <w:sz w:val="18"/>
              </w:rPr>
              <w:t xml:space="preserve"> i kra</w:t>
            </w:r>
            <w:r w:rsidRPr="00A33B9F">
              <w:rPr>
                <w:rFonts w:ascii="Times New Roman" w:hAnsi="Times New Roman"/>
                <w:noProof/>
                <w:color w:val="000000" w:themeColor="text1"/>
                <w:sz w:val="18"/>
              </w:rPr>
              <w:t>jowymi przepisami dotyczącymi ochrony środowiska.</w:t>
            </w:r>
            <w:r w:rsidR="00C3621A" w:rsidRPr="00A33B9F">
              <w:rPr>
                <w:rFonts w:ascii="Times New Roman" w:hAnsi="Times New Roman"/>
                <w:noProof/>
                <w:color w:val="000000" w:themeColor="text1"/>
                <w:sz w:val="18"/>
              </w:rPr>
              <w:t xml:space="preserve"> </w:t>
            </w:r>
          </w:p>
          <w:p w14:paraId="14ED9DD4" w14:textId="098C4D5D" w:rsidR="00D50B18" w:rsidRPr="00A33B9F" w:rsidRDefault="00D50B18" w:rsidP="46C2CB11">
            <w:pPr>
              <w:spacing w:after="0" w:line="257" w:lineRule="auto"/>
              <w:rPr>
                <w:rFonts w:ascii="Times New Roman" w:eastAsia="Times New Roman" w:hAnsi="Times New Roman" w:cs="Times New Roman"/>
                <w:noProof/>
                <w:color w:val="000000" w:themeColor="text1"/>
                <w:sz w:val="18"/>
                <w:szCs w:val="18"/>
              </w:rPr>
            </w:pPr>
          </w:p>
          <w:p w14:paraId="7ACC9A11" w14:textId="7FDBFA1B" w:rsidR="00D50B18" w:rsidRPr="00A33B9F" w:rsidRDefault="00D50B18">
            <w:pPr>
              <w:spacing w:after="0" w:line="257" w:lineRule="auto"/>
              <w:rPr>
                <w:noProof/>
              </w:rPr>
            </w:pPr>
            <w:r w:rsidRPr="00A33B9F">
              <w:rPr>
                <w:rFonts w:ascii="Times New Roman" w:hAnsi="Times New Roman"/>
                <w:noProof/>
                <w:color w:val="000000" w:themeColor="text1"/>
                <w:sz w:val="18"/>
              </w:rPr>
              <w:t>Instrument na rzecz Zielonej Transformacji Miast zagwarantuje, aby wszelkie środki powracające (tj. odsetki od pożyczek, stopa zwrotu</w:t>
            </w:r>
            <w:r w:rsidR="00A33B9F" w:rsidRPr="00A33B9F">
              <w:rPr>
                <w:rFonts w:ascii="Times New Roman" w:hAnsi="Times New Roman"/>
                <w:noProof/>
                <w:color w:val="000000" w:themeColor="text1"/>
                <w:sz w:val="18"/>
              </w:rPr>
              <w:t xml:space="preserve"> z kap</w:t>
            </w:r>
            <w:r w:rsidRPr="00A33B9F">
              <w:rPr>
                <w:rFonts w:ascii="Times New Roman" w:hAnsi="Times New Roman"/>
                <w:noProof/>
                <w:color w:val="000000" w:themeColor="text1"/>
                <w:sz w:val="18"/>
              </w:rPr>
              <w:t>itału własnego lub spłacona kwota główna, pomniejszone</w:t>
            </w:r>
            <w:r w:rsidR="00A33B9F" w:rsidRPr="00A33B9F">
              <w:rPr>
                <w:rFonts w:ascii="Times New Roman" w:hAnsi="Times New Roman"/>
                <w:noProof/>
                <w:color w:val="000000" w:themeColor="text1"/>
                <w:sz w:val="18"/>
              </w:rPr>
              <w:t xml:space="preserve"> o kwo</w:t>
            </w:r>
            <w:r w:rsidRPr="00A33B9F">
              <w:rPr>
                <w:rFonts w:ascii="Times New Roman" w:hAnsi="Times New Roman"/>
                <w:noProof/>
                <w:color w:val="000000" w:themeColor="text1"/>
                <w:sz w:val="18"/>
              </w:rPr>
              <w:t>tę towarzyszących im kosztów) powiązane</w:t>
            </w:r>
            <w:r w:rsidR="00A33B9F" w:rsidRPr="00A33B9F">
              <w:rPr>
                <w:rFonts w:ascii="Times New Roman" w:hAnsi="Times New Roman"/>
                <w:noProof/>
                <w:color w:val="000000" w:themeColor="text1"/>
                <w:sz w:val="18"/>
              </w:rPr>
              <w:t xml:space="preserve"> z tym</w:t>
            </w:r>
            <w:r w:rsidRPr="00A33B9F">
              <w:rPr>
                <w:rFonts w:ascii="Times New Roman" w:hAnsi="Times New Roman"/>
                <w:noProof/>
                <w:color w:val="000000" w:themeColor="text1"/>
                <w:sz w:val="18"/>
              </w:rPr>
              <w:t xml:space="preserve"> instrumentem były wykorzystywane do realizacji tych samych celów polityki,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po roku 2026, lub do spłaty pożyczki z RRF.</w:t>
            </w:r>
          </w:p>
          <w:p w14:paraId="163F660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r>
      <w:tr w:rsidR="008C116B" w:rsidRPr="00A33B9F" w14:paraId="6E64E061" w14:textId="77777777" w:rsidTr="1CE0CE0C">
        <w:trPr>
          <w:trHeight w:val="313"/>
        </w:trPr>
        <w:tc>
          <w:tcPr>
            <w:tcW w:w="821" w:type="dxa"/>
            <w:shd w:val="clear" w:color="auto" w:fill="C6EFCE"/>
          </w:tcPr>
          <w:p w14:paraId="5DFCB54F"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B26L</w:t>
            </w:r>
          </w:p>
        </w:tc>
        <w:tc>
          <w:tcPr>
            <w:tcW w:w="1745" w:type="dxa"/>
            <w:shd w:val="clear" w:color="auto" w:fill="C6EFCE"/>
          </w:tcPr>
          <w:p w14:paraId="42C47D61" w14:textId="2E34BBC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B3.4.1 Inwestycje na rzecz zielonej transformacji miast</w:t>
            </w:r>
          </w:p>
        </w:tc>
        <w:tc>
          <w:tcPr>
            <w:tcW w:w="1021" w:type="dxa"/>
            <w:shd w:val="clear" w:color="auto" w:fill="C6EFCE"/>
          </w:tcPr>
          <w:p w14:paraId="070AB860"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875" w:type="dxa"/>
            <w:shd w:val="clear" w:color="auto" w:fill="C6EFCE"/>
          </w:tcPr>
          <w:p w14:paraId="414FEEF3" w14:textId="5AFF5A6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T1 – Podpisanie umów pożyczki na inwestycje</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jekty zielonego rozwoju obszarów miejskich</w:t>
            </w:r>
            <w:r w:rsidR="00C3621A" w:rsidRPr="00A33B9F">
              <w:rPr>
                <w:rFonts w:ascii="Times New Roman" w:hAnsi="Times New Roman"/>
                <w:noProof/>
                <w:color w:val="000000" w:themeColor="text1"/>
                <w:sz w:val="18"/>
              </w:rPr>
              <w:t xml:space="preserve"> </w:t>
            </w:r>
          </w:p>
        </w:tc>
        <w:tc>
          <w:tcPr>
            <w:tcW w:w="1567" w:type="dxa"/>
            <w:shd w:val="clear" w:color="auto" w:fill="C6EFCE"/>
          </w:tcPr>
          <w:p w14:paraId="328EC355"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shd w:val="clear" w:color="auto" w:fill="C6EFCE"/>
          </w:tcPr>
          <w:p w14:paraId="29E872AA"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50" w:type="dxa"/>
            <w:shd w:val="clear" w:color="auto" w:fill="C6EFCE"/>
          </w:tcPr>
          <w:p w14:paraId="5583B4FB"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877" w:type="dxa"/>
            <w:shd w:val="clear" w:color="auto" w:fill="C6EFCE"/>
          </w:tcPr>
          <w:p w14:paraId="38C2D721"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201</w:t>
            </w:r>
          </w:p>
        </w:tc>
        <w:tc>
          <w:tcPr>
            <w:tcW w:w="964" w:type="dxa"/>
            <w:shd w:val="clear" w:color="auto" w:fill="C6EFCE"/>
          </w:tcPr>
          <w:p w14:paraId="25C3CD94"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IV kw.</w:t>
            </w:r>
          </w:p>
        </w:tc>
        <w:tc>
          <w:tcPr>
            <w:tcW w:w="688" w:type="dxa"/>
            <w:shd w:val="clear" w:color="auto" w:fill="C6EFCE"/>
          </w:tcPr>
          <w:p w14:paraId="63B2704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2024</w:t>
            </w:r>
          </w:p>
        </w:tc>
        <w:tc>
          <w:tcPr>
            <w:tcW w:w="4146" w:type="dxa"/>
            <w:shd w:val="clear" w:color="auto" w:fill="C6EFCE"/>
          </w:tcPr>
          <w:p w14:paraId="4F89E82C" w14:textId="064C2ACC" w:rsidR="00D50B18" w:rsidRPr="00A33B9F" w:rsidRDefault="63885323" w:rsidP="1CE0CE0C">
            <w:pPr>
              <w:spacing w:after="0"/>
              <w:rPr>
                <w:rFonts w:ascii="Times New Roman" w:hAnsi="Times New Roman"/>
                <w:noProof/>
                <w:color w:val="000000" w:themeColor="text1"/>
                <w:sz w:val="18"/>
                <w:szCs w:val="18"/>
              </w:rPr>
            </w:pPr>
            <w:r w:rsidRPr="00A33B9F">
              <w:rPr>
                <w:rFonts w:ascii="Times New Roman" w:hAnsi="Times New Roman"/>
                <w:noProof/>
                <w:color w:val="000000" w:themeColor="text1"/>
                <w:sz w:val="18"/>
              </w:rPr>
              <w:t>Wartość docelowa odnosi się do liczby umów podpisanych</w:t>
            </w:r>
            <w:r w:rsidR="00A33B9F" w:rsidRPr="00A33B9F">
              <w:rPr>
                <w:rFonts w:ascii="Times New Roman" w:hAnsi="Times New Roman"/>
                <w:noProof/>
                <w:color w:val="000000" w:themeColor="text1"/>
                <w:sz w:val="18"/>
              </w:rPr>
              <w:t xml:space="preserve"> z odb</w:t>
            </w:r>
            <w:r w:rsidRPr="00A33B9F">
              <w:rPr>
                <w:rFonts w:ascii="Times New Roman" w:hAnsi="Times New Roman"/>
                <w:noProof/>
                <w:color w:val="000000" w:themeColor="text1"/>
                <w:sz w:val="18"/>
              </w:rPr>
              <w:t>iorcami. Wsparcie zostanie przekazane za pośrednictwem Instrumentu na rzecz Zielonej Transformacji Miast</w:t>
            </w:r>
            <w:r w:rsidR="00A33B9F" w:rsidRPr="00A33B9F">
              <w:rPr>
                <w:rFonts w:ascii="Times New Roman" w:hAnsi="Times New Roman"/>
                <w:noProof/>
                <w:color w:val="000000" w:themeColor="text1"/>
                <w:sz w:val="18"/>
              </w:rPr>
              <w:t xml:space="preserve"> i zgo</w:t>
            </w:r>
            <w:r w:rsidRPr="00A33B9F">
              <w:rPr>
                <w:rFonts w:ascii="Times New Roman" w:hAnsi="Times New Roman"/>
                <w:noProof/>
                <w:color w:val="000000" w:themeColor="text1"/>
                <w:sz w:val="18"/>
              </w:rPr>
              <w:t>dnie</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yjętymi procedurami.</w:t>
            </w:r>
            <w:r w:rsidR="00C3621A" w:rsidRPr="00A33B9F">
              <w:rPr>
                <w:rFonts w:ascii="Times New Roman" w:hAnsi="Times New Roman"/>
                <w:noProof/>
                <w:color w:val="000000" w:themeColor="text1"/>
                <w:sz w:val="18"/>
              </w:rPr>
              <w:t xml:space="preserve"> </w:t>
            </w:r>
          </w:p>
          <w:p w14:paraId="789CC968" w14:textId="77777777" w:rsidR="00D50B18" w:rsidRPr="00A33B9F" w:rsidRDefault="63885323" w:rsidP="1CE0CE0C">
            <w:pPr>
              <w:spacing w:after="0"/>
              <w:rPr>
                <w:rFonts w:ascii="Times New Roman" w:hAnsi="Times New Roman"/>
                <w:noProof/>
                <w:color w:val="000000" w:themeColor="text1"/>
                <w:sz w:val="18"/>
                <w:szCs w:val="18"/>
              </w:rPr>
            </w:pPr>
            <w:r w:rsidRPr="00A33B9F">
              <w:rPr>
                <w:rFonts w:ascii="Times New Roman" w:hAnsi="Times New Roman"/>
                <w:noProof/>
                <w:color w:val="000000" w:themeColor="text1"/>
                <w:sz w:val="18"/>
              </w:rPr>
              <w:t xml:space="preserve"> </w:t>
            </w:r>
          </w:p>
          <w:p w14:paraId="31E78A6D" w14:textId="0CA3FB44" w:rsidR="00D50B18" w:rsidRPr="00A33B9F" w:rsidRDefault="63885323" w:rsidP="1CE0CE0C">
            <w:pPr>
              <w:spacing w:after="0"/>
              <w:rPr>
                <w:rFonts w:ascii="Times New Roman" w:hAnsi="Times New Roman"/>
                <w:noProof/>
                <w:color w:val="000000" w:themeColor="text1"/>
                <w:sz w:val="18"/>
                <w:szCs w:val="18"/>
              </w:rPr>
            </w:pPr>
            <w:r w:rsidRPr="00A33B9F">
              <w:rPr>
                <w:rFonts w:ascii="Times New Roman" w:hAnsi="Times New Roman"/>
                <w:noProof/>
                <w:color w:val="000000" w:themeColor="text1"/>
                <w:sz w:val="18"/>
              </w:rPr>
              <w:t>Podmioty będące beneficjentami są wybierane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otwartego, przejrzystego</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kurencyjnego zaproszenia do składania wniosków dotyczących projektów realizowanych we wszystkich miastach.</w:t>
            </w:r>
            <w:r w:rsidR="00C3621A" w:rsidRPr="00A33B9F">
              <w:rPr>
                <w:rFonts w:ascii="Times New Roman" w:hAnsi="Times New Roman"/>
                <w:noProof/>
                <w:color w:val="000000" w:themeColor="text1"/>
                <w:sz w:val="18"/>
              </w:rPr>
              <w:t xml:space="preserve"> </w:t>
            </w:r>
          </w:p>
          <w:p w14:paraId="1AB643F4" w14:textId="77777777" w:rsidR="00D50B18" w:rsidRPr="00A33B9F" w:rsidRDefault="63885323" w:rsidP="1CE0CE0C">
            <w:pPr>
              <w:spacing w:after="0"/>
              <w:rPr>
                <w:rFonts w:ascii="Times New Roman" w:hAnsi="Times New Roman"/>
                <w:noProof/>
                <w:color w:val="000000" w:themeColor="text1"/>
                <w:sz w:val="18"/>
                <w:szCs w:val="18"/>
              </w:rPr>
            </w:pPr>
            <w:r w:rsidRPr="00A33B9F">
              <w:rPr>
                <w:rFonts w:ascii="Times New Roman" w:hAnsi="Times New Roman"/>
                <w:noProof/>
                <w:color w:val="000000" w:themeColor="text1"/>
                <w:sz w:val="18"/>
              </w:rPr>
              <w:t xml:space="preserve"> </w:t>
            </w:r>
          </w:p>
          <w:p w14:paraId="5D599EA3" w14:textId="0E2B96A1" w:rsidR="00D50B18" w:rsidRPr="00A33B9F" w:rsidRDefault="63885323" w:rsidP="1CE0CE0C">
            <w:pPr>
              <w:spacing w:after="0"/>
              <w:rPr>
                <w:rFonts w:ascii="Times New Roman" w:hAnsi="Times New Roman"/>
                <w:noProof/>
                <w:color w:val="000000" w:themeColor="text1"/>
                <w:sz w:val="18"/>
                <w:szCs w:val="18"/>
              </w:rPr>
            </w:pPr>
            <w:r w:rsidRPr="00A33B9F">
              <w:rPr>
                <w:rFonts w:ascii="Times New Roman" w:hAnsi="Times New Roman"/>
                <w:noProof/>
                <w:color w:val="000000" w:themeColor="text1"/>
                <w:sz w:val="18"/>
              </w:rPr>
              <w:t>Kryteria wyboru podmiotów będących beneficjentami odzwierciedlają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potrzebę złagodzenia wpływu miast na zmianę klimatu</w:t>
            </w:r>
            <w:r w:rsidR="00A33B9F" w:rsidRPr="00A33B9F">
              <w:rPr>
                <w:rFonts w:ascii="Times New Roman" w:hAnsi="Times New Roman"/>
                <w:noProof/>
                <w:color w:val="000000" w:themeColor="text1"/>
                <w:sz w:val="18"/>
              </w:rPr>
              <w:t xml:space="preserve"> i zdr</w:t>
            </w:r>
            <w:r w:rsidRPr="00A33B9F">
              <w:rPr>
                <w:rFonts w:ascii="Times New Roman" w:hAnsi="Times New Roman"/>
                <w:noProof/>
                <w:color w:val="000000" w:themeColor="text1"/>
                <w:sz w:val="18"/>
              </w:rPr>
              <w:t>owie ich mieszkańców poprzez obniżenie emisji gazów cieplarnianych</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ych zanieczyszczeń. Wskaźniki rezultatu zostaną określone zgodnie ze szczególnym charakterem projektów objętych wsparciem. Rodzaje projektów kwalifikowalnych obejmują: (i) zwiększenie powierzchni biologicznie czynnej</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estrzeniach miast</w:t>
            </w:r>
            <w:r w:rsidR="00A33B9F" w:rsidRPr="00A33B9F">
              <w:rPr>
                <w:rFonts w:ascii="Times New Roman" w:hAnsi="Times New Roman"/>
                <w:noProof/>
                <w:color w:val="000000" w:themeColor="text1"/>
                <w:sz w:val="18"/>
              </w:rPr>
              <w:t xml:space="preserve"> i obs</w:t>
            </w:r>
            <w:r w:rsidRPr="00A33B9F">
              <w:rPr>
                <w:rFonts w:ascii="Times New Roman" w:hAnsi="Times New Roman"/>
                <w:noProof/>
                <w:color w:val="000000" w:themeColor="text1"/>
                <w:sz w:val="18"/>
              </w:rPr>
              <w:t>zarów funkcjonalnych oraz ograniczanie zasklepiania gleby; (ii) inwestycje miejskie oparte na przyrodzie (NBS),</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wprowadzono rozwiązania dot. roślinności towarzyszącej; (iii) zrównoważone systemy gospodarowania wodami opadowymi</w:t>
            </w:r>
            <w:r w:rsidR="00A33B9F" w:rsidRPr="00A33B9F">
              <w:rPr>
                <w:rFonts w:ascii="Times New Roman" w:hAnsi="Times New Roman"/>
                <w:noProof/>
                <w:color w:val="000000" w:themeColor="text1"/>
                <w:sz w:val="18"/>
              </w:rPr>
              <w:t xml:space="preserve"> z udz</w:t>
            </w:r>
            <w:r w:rsidRPr="00A33B9F">
              <w:rPr>
                <w:rFonts w:ascii="Times New Roman" w:hAnsi="Times New Roman"/>
                <w:noProof/>
                <w:color w:val="000000" w:themeColor="text1"/>
                <w:sz w:val="18"/>
              </w:rPr>
              <w:t>iałem zielono-błękitnej infrastruktury oraz rozwiązań opartych na przyrodzie; (iv) poprawę jakości powietrza</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rozwój energetyki rozproszonej</w:t>
            </w:r>
            <w:r w:rsidR="00A33B9F" w:rsidRPr="00A33B9F">
              <w:rPr>
                <w:rFonts w:ascii="Times New Roman" w:hAnsi="Times New Roman"/>
                <w:noProof/>
                <w:color w:val="000000" w:themeColor="text1"/>
                <w:sz w:val="18"/>
              </w:rPr>
              <w:t xml:space="preserve"> i oby</w:t>
            </w:r>
            <w:r w:rsidRPr="00A33B9F">
              <w:rPr>
                <w:rFonts w:ascii="Times New Roman" w:hAnsi="Times New Roman"/>
                <w:noProof/>
                <w:color w:val="000000" w:themeColor="text1"/>
                <w:sz w:val="18"/>
              </w:rPr>
              <w:t>watelskiej; (v) tworzenie stref niskoemisyjnych, wprowadzanie zrównoważonej multimodalnej mobilności miejskiej, realizację planów efektywnej mobilności, ustanowienie zielonych stref na obszarach miejskich; (vi) rozwój klastrów energii</w:t>
            </w:r>
            <w:r w:rsidR="00A33B9F" w:rsidRPr="00A33B9F">
              <w:rPr>
                <w:rFonts w:ascii="Times New Roman" w:hAnsi="Times New Roman"/>
                <w:noProof/>
                <w:color w:val="000000" w:themeColor="text1"/>
                <w:sz w:val="18"/>
              </w:rPr>
              <w:t xml:space="preserve"> i spó</w:t>
            </w:r>
            <w:r w:rsidRPr="00A33B9F">
              <w:rPr>
                <w:rFonts w:ascii="Times New Roman" w:hAnsi="Times New Roman"/>
                <w:noProof/>
                <w:color w:val="000000" w:themeColor="text1"/>
                <w:sz w:val="18"/>
              </w:rPr>
              <w:t>łdzielni energetycznych; (vii) zwiększenie wykorzystania OZE jako źródła energii</w:t>
            </w:r>
            <w:r w:rsidR="00A33B9F" w:rsidRPr="00A33B9F">
              <w:rPr>
                <w:rFonts w:ascii="Times New Roman" w:hAnsi="Times New Roman"/>
                <w:noProof/>
                <w:color w:val="000000" w:themeColor="text1"/>
                <w:sz w:val="18"/>
              </w:rPr>
              <w:t xml:space="preserve"> w mie</w:t>
            </w:r>
            <w:r w:rsidRPr="00A33B9F">
              <w:rPr>
                <w:rFonts w:ascii="Times New Roman" w:hAnsi="Times New Roman"/>
                <w:noProof/>
                <w:color w:val="000000" w:themeColor="text1"/>
                <w:sz w:val="18"/>
              </w:rPr>
              <w:t>ście; (viii) rozwój infrastruktury transportu zeroemisyjnego (pieszego, rowerowego) zintegrowanego</w:t>
            </w:r>
            <w:r w:rsidR="00A33B9F" w:rsidRPr="00A33B9F">
              <w:rPr>
                <w:rFonts w:ascii="Times New Roman" w:hAnsi="Times New Roman"/>
                <w:noProof/>
                <w:color w:val="000000" w:themeColor="text1"/>
                <w:sz w:val="18"/>
              </w:rPr>
              <w:t xml:space="preserve"> z tra</w:t>
            </w:r>
            <w:r w:rsidRPr="00A33B9F">
              <w:rPr>
                <w:rFonts w:ascii="Times New Roman" w:hAnsi="Times New Roman"/>
                <w:noProof/>
                <w:color w:val="000000" w:themeColor="text1"/>
                <w:sz w:val="18"/>
              </w:rPr>
              <w:t>nsportem zbiorowym; (ix) wdrażanie energooszczędnych technologii oświetlenia dróg</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estrzeni publicznych; (x) edukację oraz budowanie świadomości mieszkańców dotyczącej konieczności transformacji miast</w:t>
            </w:r>
            <w:r w:rsidR="00A33B9F" w:rsidRPr="00A33B9F">
              <w:rPr>
                <w:rFonts w:ascii="Times New Roman" w:hAnsi="Times New Roman"/>
                <w:noProof/>
                <w:color w:val="000000" w:themeColor="text1"/>
                <w:sz w:val="18"/>
              </w:rPr>
              <w:t xml:space="preserve"> w kie</w:t>
            </w:r>
            <w:r w:rsidRPr="00A33B9F">
              <w:rPr>
                <w:rFonts w:ascii="Times New Roman" w:hAnsi="Times New Roman"/>
                <w:noProof/>
                <w:color w:val="000000" w:themeColor="text1"/>
                <w:sz w:val="18"/>
              </w:rPr>
              <w:t>runku neutralności klimatycznej</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adaptacji do zmian klimatu oraz (xi) rewitalizację budynków</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estrzeni miejskich. Koszt działań,</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rych mowa</w:t>
            </w:r>
            <w:r w:rsidR="00A33B9F" w:rsidRPr="00A33B9F">
              <w:rPr>
                <w:rFonts w:ascii="Times New Roman" w:hAnsi="Times New Roman"/>
                <w:noProof/>
                <w:color w:val="000000" w:themeColor="text1"/>
                <w:sz w:val="18"/>
              </w:rPr>
              <w:t xml:space="preserve"> w ppk</w:t>
            </w:r>
            <w:r w:rsidRPr="00A33B9F">
              <w:rPr>
                <w:rFonts w:ascii="Times New Roman" w:hAnsi="Times New Roman"/>
                <w:noProof/>
                <w:color w:val="000000" w:themeColor="text1"/>
                <w:sz w:val="18"/>
              </w:rPr>
              <w:t>t (x), nie może przekraczać 10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xml:space="preserve">% kosztów inwestycji B3.4.1. </w:t>
            </w:r>
          </w:p>
          <w:p w14:paraId="5227B97E" w14:textId="77777777" w:rsidR="00D50B18" w:rsidRPr="00A33B9F" w:rsidRDefault="00D50B18" w:rsidP="1CE0CE0C">
            <w:pPr>
              <w:spacing w:after="0"/>
              <w:rPr>
                <w:rFonts w:ascii="Times New Roman" w:hAnsi="Times New Roman"/>
                <w:noProof/>
                <w:color w:val="000000" w:themeColor="text1"/>
                <w:sz w:val="18"/>
                <w:szCs w:val="18"/>
              </w:rPr>
            </w:pPr>
          </w:p>
          <w:p w14:paraId="5903EE4A" w14:textId="54903F40" w:rsidR="00D50B18" w:rsidRPr="00A33B9F" w:rsidRDefault="63885323" w:rsidP="1CE0CE0C">
            <w:pPr>
              <w:spacing w:after="0"/>
              <w:rPr>
                <w:rFonts w:ascii="Times New Roman" w:hAnsi="Times New Roman"/>
                <w:noProof/>
                <w:color w:val="000000" w:themeColor="text1"/>
                <w:sz w:val="18"/>
                <w:szCs w:val="18"/>
              </w:rPr>
            </w:pPr>
            <w:r w:rsidRPr="00A33B9F">
              <w:rPr>
                <w:rFonts w:ascii="Times New Roman" w:hAnsi="Times New Roman"/>
                <w:noProof/>
                <w:color w:val="000000" w:themeColor="text1"/>
                <w:sz w:val="18"/>
              </w:rPr>
              <w:t>Miasta,</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tego rodzaju projekty zostały lub mają zostać wdrożone, będą traktowane priorytetowo. Przydzielanie projektów podmiotom będącym beneficjentami zapewnia zrównoważony podział między podmioty</w:t>
            </w:r>
            <w:r w:rsidR="00A33B9F" w:rsidRPr="00A33B9F">
              <w:rPr>
                <w:rFonts w:ascii="Times New Roman" w:hAnsi="Times New Roman"/>
                <w:noProof/>
                <w:color w:val="000000" w:themeColor="text1"/>
                <w:sz w:val="18"/>
              </w:rPr>
              <w:t xml:space="preserve"> w cał</w:t>
            </w:r>
            <w:r w:rsidRPr="00A33B9F">
              <w:rPr>
                <w:rFonts w:ascii="Times New Roman" w:hAnsi="Times New Roman"/>
                <w:noProof/>
                <w:color w:val="000000" w:themeColor="text1"/>
                <w:sz w:val="18"/>
              </w:rPr>
              <w:t>ym kraju</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liczby ludności</w:t>
            </w:r>
            <w:r w:rsidR="00A33B9F" w:rsidRPr="00A33B9F">
              <w:rPr>
                <w:rFonts w:ascii="Times New Roman" w:hAnsi="Times New Roman"/>
                <w:noProof/>
                <w:color w:val="000000" w:themeColor="text1"/>
                <w:sz w:val="18"/>
              </w:rPr>
              <w:t xml:space="preserve"> i zas</w:t>
            </w:r>
            <w:r w:rsidRPr="00A33B9F">
              <w:rPr>
                <w:rFonts w:ascii="Times New Roman" w:hAnsi="Times New Roman"/>
                <w:noProof/>
                <w:color w:val="000000" w:themeColor="text1"/>
                <w:sz w:val="18"/>
              </w:rPr>
              <w:t>ięgu geograficznego. Od odbiorców końcowych ani od instytucji samorządowych na szczeblu lokalnym nie można wymagać wnoszenia wkładów</w:t>
            </w:r>
            <w:r w:rsidR="00A33B9F" w:rsidRPr="00A33B9F">
              <w:rPr>
                <w:rFonts w:ascii="Times New Roman" w:hAnsi="Times New Roman"/>
                <w:noProof/>
                <w:color w:val="000000" w:themeColor="text1"/>
                <w:sz w:val="18"/>
              </w:rPr>
              <w:t xml:space="preserve"> w jak</w:t>
            </w:r>
            <w:r w:rsidRPr="00A33B9F">
              <w:rPr>
                <w:rFonts w:ascii="Times New Roman" w:hAnsi="Times New Roman"/>
                <w:noProof/>
                <w:color w:val="000000" w:themeColor="text1"/>
                <w:sz w:val="18"/>
              </w:rPr>
              <w:t>iejkolwiek formie na poczet pokrycia kosztów spłaty pożyczki.</w:t>
            </w:r>
            <w:r w:rsidR="00C3621A" w:rsidRPr="00A33B9F">
              <w:rPr>
                <w:rFonts w:ascii="Times New Roman" w:hAnsi="Times New Roman"/>
                <w:noProof/>
                <w:color w:val="000000" w:themeColor="text1"/>
                <w:sz w:val="18"/>
              </w:rPr>
              <w:t xml:space="preserve"> </w:t>
            </w:r>
          </w:p>
          <w:p w14:paraId="06D96CB8" w14:textId="77777777" w:rsidR="00D50B18" w:rsidRPr="00A33B9F" w:rsidRDefault="63885323" w:rsidP="1CE0CE0C">
            <w:pPr>
              <w:spacing w:after="0"/>
              <w:rPr>
                <w:rFonts w:ascii="Times New Roman" w:hAnsi="Times New Roman"/>
                <w:noProof/>
                <w:color w:val="000000" w:themeColor="text1"/>
                <w:sz w:val="18"/>
                <w:szCs w:val="18"/>
              </w:rPr>
            </w:pPr>
            <w:r w:rsidRPr="00A33B9F">
              <w:rPr>
                <w:rFonts w:ascii="Times New Roman" w:hAnsi="Times New Roman"/>
                <w:noProof/>
                <w:color w:val="000000" w:themeColor="text1"/>
                <w:sz w:val="18"/>
              </w:rPr>
              <w:t xml:space="preserve">Przepisu tego nie stosuje się do projektów inwestycyjnych generujących odpowiednie dochody lub oszczędności kosztów. </w:t>
            </w:r>
          </w:p>
          <w:p w14:paraId="5E2C8E8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r>
      <w:tr w:rsidR="008C116B" w:rsidRPr="00A33B9F" w14:paraId="00EF364B" w14:textId="77777777" w:rsidTr="1CE0CE0C">
        <w:trPr>
          <w:trHeight w:val="313"/>
        </w:trPr>
        <w:tc>
          <w:tcPr>
            <w:tcW w:w="821" w:type="dxa"/>
            <w:shd w:val="clear" w:color="auto" w:fill="C6EFCE"/>
          </w:tcPr>
          <w:p w14:paraId="2F00D57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sidRPr="00A33B9F">
              <w:rPr>
                <w:rFonts w:ascii="Times New Roman" w:hAnsi="Times New Roman"/>
                <w:noProof/>
                <w:sz w:val="18"/>
              </w:rPr>
              <w:t>B27L</w:t>
            </w:r>
          </w:p>
          <w:p w14:paraId="4E08E841" w14:textId="77777777" w:rsidR="00D50B18" w:rsidRPr="00A33B9F" w:rsidRDefault="00D50B18">
            <w:pPr>
              <w:pStyle w:val="Normal0"/>
              <w:spacing w:line="240" w:lineRule="auto"/>
              <w:jc w:val="center"/>
              <w:rPr>
                <w:rFonts w:ascii="Times New Roman" w:hAnsi="Times New Roman" w:cs="Times New Roman"/>
                <w:noProof/>
                <w:sz w:val="18"/>
                <w:szCs w:val="18"/>
              </w:rPr>
            </w:pPr>
          </w:p>
        </w:tc>
        <w:tc>
          <w:tcPr>
            <w:tcW w:w="1745" w:type="dxa"/>
            <w:shd w:val="clear" w:color="auto" w:fill="C6EFCE"/>
          </w:tcPr>
          <w:p w14:paraId="46C2D2CA"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B3.4.1 Inwestycje na rzecz zielonej transformacji miast</w:t>
            </w:r>
          </w:p>
          <w:p w14:paraId="3B1D6CAB" w14:textId="77777777" w:rsidR="00D50B18" w:rsidRPr="00A33B9F" w:rsidRDefault="00D50B18">
            <w:pPr>
              <w:pStyle w:val="Normal0"/>
              <w:spacing w:line="240" w:lineRule="auto"/>
              <w:rPr>
                <w:rFonts w:ascii="Times New Roman" w:eastAsia="Times New Roman" w:hAnsi="Times New Roman" w:cs="Times New Roman"/>
                <w:noProof/>
                <w:color w:val="000000" w:themeColor="text1"/>
                <w:sz w:val="18"/>
                <w:szCs w:val="18"/>
              </w:rPr>
            </w:pPr>
          </w:p>
        </w:tc>
        <w:tc>
          <w:tcPr>
            <w:tcW w:w="1021" w:type="dxa"/>
            <w:shd w:val="clear" w:color="auto" w:fill="C6EFCE"/>
          </w:tcPr>
          <w:p w14:paraId="72DEBB6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p w14:paraId="65C94699" w14:textId="77777777" w:rsidR="00D50B18" w:rsidRPr="00A33B9F" w:rsidRDefault="00D50B18">
            <w:pPr>
              <w:pStyle w:val="Normal0"/>
              <w:spacing w:line="240" w:lineRule="auto"/>
              <w:rPr>
                <w:rFonts w:ascii="Times New Roman" w:eastAsia="Times New Roman" w:hAnsi="Times New Roman" w:cs="Times New Roman"/>
                <w:noProof/>
                <w:color w:val="000000" w:themeColor="text1"/>
                <w:sz w:val="18"/>
                <w:szCs w:val="18"/>
              </w:rPr>
            </w:pPr>
          </w:p>
        </w:tc>
        <w:tc>
          <w:tcPr>
            <w:tcW w:w="1875" w:type="dxa"/>
            <w:shd w:val="clear" w:color="auto" w:fill="C6EFCE"/>
          </w:tcPr>
          <w:p w14:paraId="75A63B1D" w14:textId="2749F732" w:rsidR="00D50B18" w:rsidRPr="00A33B9F" w:rsidRDefault="00D50B18">
            <w:pPr>
              <w:pStyle w:val="Normal0"/>
              <w:spacing w:line="240" w:lineRule="auto"/>
              <w:rPr>
                <w:noProof/>
              </w:rPr>
            </w:pPr>
            <w:r w:rsidRPr="00A33B9F">
              <w:rPr>
                <w:rFonts w:ascii="Times New Roman" w:hAnsi="Times New Roman"/>
                <w:noProof/>
                <w:color w:val="000000" w:themeColor="text1"/>
                <w:sz w:val="18"/>
              </w:rPr>
              <w:t>T2 – Podpisanie umów pożyczki na inwestycje</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jekty zielonego rozwoju obszarów miejskich</w:t>
            </w:r>
            <w:r w:rsidR="00C3621A" w:rsidRPr="00A33B9F">
              <w:rPr>
                <w:rFonts w:ascii="Times New Roman" w:hAnsi="Times New Roman"/>
                <w:noProof/>
                <w:color w:val="000000" w:themeColor="text1"/>
                <w:sz w:val="18"/>
              </w:rPr>
              <w:t xml:space="preserve"> </w:t>
            </w:r>
          </w:p>
        </w:tc>
        <w:tc>
          <w:tcPr>
            <w:tcW w:w="1567" w:type="dxa"/>
            <w:shd w:val="clear" w:color="auto" w:fill="C6EFCE"/>
          </w:tcPr>
          <w:p w14:paraId="0536B815" w14:textId="77777777" w:rsidR="00D50B18" w:rsidRPr="00A33B9F" w:rsidRDefault="00D50B18">
            <w:pPr>
              <w:pStyle w:val="Normal0"/>
              <w:spacing w:after="0" w:line="240" w:lineRule="auto"/>
              <w:jc w:val="center"/>
              <w:rPr>
                <w:rFonts w:ascii="Times New Roman" w:eastAsia="Times New Roman" w:hAnsi="Times New Roman" w:cs="Times New Roman"/>
                <w:noProof/>
                <w:color w:val="000000" w:themeColor="text1"/>
                <w:sz w:val="18"/>
                <w:szCs w:val="18"/>
              </w:rPr>
            </w:pPr>
          </w:p>
        </w:tc>
        <w:tc>
          <w:tcPr>
            <w:tcW w:w="950" w:type="dxa"/>
            <w:shd w:val="clear" w:color="auto" w:fill="C6EFCE"/>
          </w:tcPr>
          <w:p w14:paraId="1F40AA83" w14:textId="77777777" w:rsidR="00D50B18" w:rsidRPr="00A33B9F" w:rsidRDefault="00D50B18">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950" w:type="dxa"/>
            <w:shd w:val="clear" w:color="auto" w:fill="C6EFCE"/>
          </w:tcPr>
          <w:p w14:paraId="0EDA35DD" w14:textId="77777777" w:rsidR="00D50B18" w:rsidRPr="00A33B9F" w:rsidRDefault="00D50B18">
            <w:pPr>
              <w:pStyle w:val="Normal0"/>
              <w:spacing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tc>
        <w:tc>
          <w:tcPr>
            <w:tcW w:w="877" w:type="dxa"/>
            <w:shd w:val="clear" w:color="auto" w:fill="C6EFCE"/>
          </w:tcPr>
          <w:p w14:paraId="645123B1" w14:textId="77777777" w:rsidR="00D50B18" w:rsidRPr="00A33B9F" w:rsidRDefault="00D50B18">
            <w:pPr>
              <w:pStyle w:val="Normal0"/>
              <w:spacing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438</w:t>
            </w:r>
          </w:p>
        </w:tc>
        <w:tc>
          <w:tcPr>
            <w:tcW w:w="964" w:type="dxa"/>
            <w:shd w:val="clear" w:color="auto" w:fill="C6EFCE"/>
          </w:tcPr>
          <w:p w14:paraId="17D33749" w14:textId="77777777" w:rsidR="00D50B18" w:rsidRPr="00A33B9F" w:rsidRDefault="00D50B18">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688" w:type="dxa"/>
            <w:shd w:val="clear" w:color="auto" w:fill="C6EFCE"/>
          </w:tcPr>
          <w:p w14:paraId="1CFCBA46" w14:textId="77777777" w:rsidR="00D50B18" w:rsidRPr="00A33B9F" w:rsidRDefault="00D50B18">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2025</w:t>
            </w:r>
          </w:p>
        </w:tc>
        <w:tc>
          <w:tcPr>
            <w:tcW w:w="4146" w:type="dxa"/>
            <w:shd w:val="clear" w:color="auto" w:fill="C6EFCE"/>
          </w:tcPr>
          <w:p w14:paraId="2682BF3C" w14:textId="6EC2FBAE" w:rsidR="00D50B18" w:rsidRPr="00A33B9F" w:rsidRDefault="00D50B18">
            <w:pPr>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oparciu</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enioną kwotę przydzielonych środków budżetowych, liczba dodatkowych podpisanych</w:t>
            </w:r>
            <w:r w:rsidR="00A33B9F" w:rsidRPr="00A33B9F">
              <w:rPr>
                <w:rFonts w:ascii="Times New Roman" w:hAnsi="Times New Roman"/>
                <w:noProof/>
                <w:color w:val="000000" w:themeColor="text1"/>
                <w:sz w:val="18"/>
              </w:rPr>
              <w:t xml:space="preserve"> z odb</w:t>
            </w:r>
            <w:r w:rsidRPr="00A33B9F">
              <w:rPr>
                <w:rFonts w:ascii="Times New Roman" w:hAnsi="Times New Roman"/>
                <w:noProof/>
                <w:color w:val="000000" w:themeColor="text1"/>
                <w:sz w:val="18"/>
              </w:rPr>
              <w:t>iorcami umów</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ielenie zamówienia dotyczących inwestycji spełniających kryteria określone</w:t>
            </w:r>
            <w:r w:rsidR="00A33B9F" w:rsidRPr="00A33B9F">
              <w:rPr>
                <w:rFonts w:ascii="Times New Roman" w:hAnsi="Times New Roman"/>
                <w:noProof/>
                <w:color w:val="000000" w:themeColor="text1"/>
                <w:sz w:val="18"/>
              </w:rPr>
              <w:t xml:space="preserve"> w poz</w:t>
            </w:r>
            <w:r w:rsidRPr="00A33B9F">
              <w:rPr>
                <w:rFonts w:ascii="Times New Roman" w:hAnsi="Times New Roman"/>
                <w:noProof/>
                <w:color w:val="000000" w:themeColor="text1"/>
                <w:sz w:val="18"/>
              </w:rPr>
              <w:t>ycji B26L.</w:t>
            </w:r>
          </w:p>
        </w:tc>
      </w:tr>
      <w:tr w:rsidR="008C116B" w:rsidRPr="00A33B9F" w14:paraId="1CFEB59C" w14:textId="77777777" w:rsidTr="1CE0CE0C">
        <w:trPr>
          <w:trHeight w:val="313"/>
        </w:trPr>
        <w:tc>
          <w:tcPr>
            <w:tcW w:w="821" w:type="dxa"/>
            <w:shd w:val="clear" w:color="auto" w:fill="C6EFCE"/>
          </w:tcPr>
          <w:p w14:paraId="74029862" w14:textId="34C1E921"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sidRPr="00A33B9F">
              <w:rPr>
                <w:rFonts w:ascii="Times New Roman" w:hAnsi="Times New Roman"/>
                <w:noProof/>
                <w:sz w:val="18"/>
              </w:rPr>
              <w:t>B27aL</w:t>
            </w:r>
          </w:p>
          <w:p w14:paraId="229CF033" w14:textId="77777777" w:rsidR="00D50B18" w:rsidRPr="00A33B9F" w:rsidRDefault="00D50B18">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p>
        </w:tc>
        <w:tc>
          <w:tcPr>
            <w:tcW w:w="1745" w:type="dxa"/>
            <w:shd w:val="clear" w:color="auto" w:fill="C6EFCE"/>
          </w:tcPr>
          <w:p w14:paraId="79B798A2"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B3.4.1 Inwestycje na rzecz zielonej transformacji miast</w:t>
            </w:r>
          </w:p>
          <w:p w14:paraId="1367835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021" w:type="dxa"/>
            <w:shd w:val="clear" w:color="auto" w:fill="C6EFCE"/>
          </w:tcPr>
          <w:p w14:paraId="0525E66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p w14:paraId="1A0438A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875" w:type="dxa"/>
            <w:shd w:val="clear" w:color="auto" w:fill="C6EFCE"/>
          </w:tcPr>
          <w:p w14:paraId="2EFD826F" w14:textId="57CF757C" w:rsidR="00D50B18" w:rsidRPr="00A33B9F" w:rsidRDefault="00D50B18">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T3 – Zrealizowane projekty wspierające inwestycje</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jekty zielonego rozwoju obszarów miejskich</w:t>
            </w:r>
            <w:r w:rsidR="00C3621A" w:rsidRPr="00A33B9F">
              <w:rPr>
                <w:noProof/>
                <w:color w:val="000000" w:themeColor="text1"/>
              </w:rPr>
              <w:t xml:space="preserve"> </w:t>
            </w:r>
          </w:p>
        </w:tc>
        <w:tc>
          <w:tcPr>
            <w:tcW w:w="1567" w:type="dxa"/>
            <w:shd w:val="clear" w:color="auto" w:fill="C6EFCE"/>
          </w:tcPr>
          <w:p w14:paraId="4E819F29" w14:textId="77777777" w:rsidR="00D50B18" w:rsidRPr="00A33B9F" w:rsidRDefault="00D50B18">
            <w:pPr>
              <w:pStyle w:val="Normal0"/>
              <w:spacing w:line="240" w:lineRule="auto"/>
              <w:rPr>
                <w:rFonts w:ascii="Times New Roman" w:eastAsia="Times New Roman" w:hAnsi="Times New Roman" w:cs="Times New Roman"/>
                <w:noProof/>
                <w:color w:val="000000" w:themeColor="text1"/>
                <w:sz w:val="18"/>
                <w:szCs w:val="18"/>
              </w:rPr>
            </w:pPr>
          </w:p>
        </w:tc>
        <w:tc>
          <w:tcPr>
            <w:tcW w:w="950" w:type="dxa"/>
            <w:shd w:val="clear" w:color="auto" w:fill="C6EFCE"/>
          </w:tcPr>
          <w:p w14:paraId="5DC3C2A2" w14:textId="77777777" w:rsidR="00D50B18" w:rsidRPr="00A33B9F" w:rsidRDefault="00D50B18">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950" w:type="dxa"/>
            <w:shd w:val="clear" w:color="auto" w:fill="C6EFCE"/>
          </w:tcPr>
          <w:p w14:paraId="3A0E996B" w14:textId="77777777" w:rsidR="00D50B18" w:rsidRPr="00A33B9F" w:rsidRDefault="00D50B18">
            <w:pPr>
              <w:pStyle w:val="Normal0"/>
              <w:spacing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tc>
        <w:tc>
          <w:tcPr>
            <w:tcW w:w="877" w:type="dxa"/>
            <w:shd w:val="clear" w:color="auto" w:fill="C6EFCE"/>
          </w:tcPr>
          <w:p w14:paraId="5D206C2B" w14:textId="77777777" w:rsidR="00D50B18" w:rsidRPr="00A33B9F" w:rsidRDefault="00D50B18">
            <w:pPr>
              <w:pStyle w:val="Normal0"/>
              <w:spacing w:line="240" w:lineRule="auto"/>
              <w:jc w:val="right"/>
              <w:rPr>
                <w:rFonts w:ascii="Times New Roman" w:eastAsia="Times New Roman" w:hAnsi="Times New Roman" w:cs="Times New Roman"/>
                <w:noProof/>
                <w:color w:val="000000" w:themeColor="text1"/>
                <w:sz w:val="18"/>
                <w:szCs w:val="18"/>
                <w:highlight w:val="green"/>
              </w:rPr>
            </w:pPr>
            <w:r w:rsidRPr="00A33B9F">
              <w:rPr>
                <w:rFonts w:ascii="Times New Roman" w:hAnsi="Times New Roman"/>
                <w:noProof/>
                <w:color w:val="000000" w:themeColor="text1"/>
                <w:sz w:val="18"/>
              </w:rPr>
              <w:t>390</w:t>
            </w:r>
          </w:p>
        </w:tc>
        <w:tc>
          <w:tcPr>
            <w:tcW w:w="964" w:type="dxa"/>
            <w:shd w:val="clear" w:color="auto" w:fill="C6EFCE"/>
          </w:tcPr>
          <w:p w14:paraId="3FE2A6B5" w14:textId="77777777" w:rsidR="00D50B18" w:rsidRPr="00A33B9F" w:rsidRDefault="00D50B18">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688" w:type="dxa"/>
            <w:shd w:val="clear" w:color="auto" w:fill="C6EFCE"/>
          </w:tcPr>
          <w:p w14:paraId="7522359B" w14:textId="77777777" w:rsidR="00D50B18" w:rsidRPr="00A33B9F" w:rsidRDefault="00D50B18">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2026</w:t>
            </w:r>
          </w:p>
        </w:tc>
        <w:tc>
          <w:tcPr>
            <w:tcW w:w="4146" w:type="dxa"/>
            <w:shd w:val="clear" w:color="auto" w:fill="C6EFCE"/>
          </w:tcPr>
          <w:p w14:paraId="3C6F82EE" w14:textId="77777777" w:rsidR="00D50B18" w:rsidRPr="00A33B9F" w:rsidRDefault="00D50B18">
            <w:pPr>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projektów zrealizowanych przez odbiorców wsparcia przekazanego za pośrednictwem Instrumentu na rzecz Zielonej Transformacji Miast po zmianie kwoty przydzielonych środków budżetowych.</w:t>
            </w:r>
          </w:p>
        </w:tc>
      </w:tr>
      <w:tr w:rsidR="008C116B" w:rsidRPr="00A33B9F" w14:paraId="1E1E9A23" w14:textId="77777777" w:rsidTr="1CE0CE0C">
        <w:trPr>
          <w:trHeight w:val="313"/>
        </w:trPr>
        <w:tc>
          <w:tcPr>
            <w:tcW w:w="821" w:type="dxa"/>
            <w:shd w:val="clear" w:color="auto" w:fill="C6EFCE"/>
          </w:tcPr>
          <w:p w14:paraId="7289F0A5"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B28L</w:t>
            </w:r>
          </w:p>
        </w:tc>
        <w:tc>
          <w:tcPr>
            <w:tcW w:w="1745" w:type="dxa"/>
            <w:shd w:val="clear" w:color="auto" w:fill="C6EFCE"/>
          </w:tcPr>
          <w:p w14:paraId="30E1D504" w14:textId="3105ABC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B3.5 Reforma budownictwa mieszkaniowego dla osób</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dnich dochodach,</w:t>
            </w:r>
          </w:p>
          <w:p w14:paraId="62B5C3A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z uwzględnieniem wyższej efektywności energetycznej budynków</w:t>
            </w:r>
          </w:p>
        </w:tc>
        <w:tc>
          <w:tcPr>
            <w:tcW w:w="1021" w:type="dxa"/>
            <w:shd w:val="clear" w:color="auto" w:fill="C6EFCE"/>
          </w:tcPr>
          <w:p w14:paraId="721FEFA0"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Kamień milowy</w:t>
            </w:r>
          </w:p>
        </w:tc>
        <w:tc>
          <w:tcPr>
            <w:tcW w:w="1875" w:type="dxa"/>
            <w:shd w:val="clear" w:color="auto" w:fill="C6EFCE"/>
          </w:tcPr>
          <w:p w14:paraId="4E38C708" w14:textId="2C9C5301"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8 grudnia 2006</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fin</w:t>
            </w:r>
            <w:r w:rsidRPr="00A33B9F">
              <w:rPr>
                <w:rFonts w:ascii="Times New Roman" w:hAnsi="Times New Roman"/>
                <w:noProof/>
                <w:color w:val="000000" w:themeColor="text1"/>
                <w:sz w:val="18"/>
              </w:rPr>
              <w:t>ansowym wsparciu tworzenia lokali mieszkalnych na wynajem, mieszkań chronionych, noclegowni, schronisk dla bezdomnych, ogrzewalni</w:t>
            </w:r>
            <w:r w:rsidR="00A33B9F" w:rsidRPr="00A33B9F">
              <w:rPr>
                <w:rFonts w:ascii="Times New Roman" w:hAnsi="Times New Roman"/>
                <w:noProof/>
                <w:color w:val="000000" w:themeColor="text1"/>
                <w:sz w:val="18"/>
              </w:rPr>
              <w:t xml:space="preserve"> i tym</w:t>
            </w:r>
            <w:r w:rsidRPr="00A33B9F">
              <w:rPr>
                <w:rFonts w:ascii="Times New Roman" w:hAnsi="Times New Roman"/>
                <w:noProof/>
                <w:color w:val="000000" w:themeColor="text1"/>
                <w:sz w:val="18"/>
              </w:rPr>
              <w:t>czasowych pomieszczeń</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owadzenie powiązanych</w:t>
            </w:r>
            <w:r w:rsidR="00A33B9F" w:rsidRPr="00A33B9F">
              <w:rPr>
                <w:rFonts w:ascii="Times New Roman" w:hAnsi="Times New Roman"/>
                <w:noProof/>
                <w:color w:val="000000" w:themeColor="text1"/>
                <w:sz w:val="18"/>
              </w:rPr>
              <w:t xml:space="preserve"> z tym</w:t>
            </w:r>
            <w:r w:rsidRPr="00A33B9F">
              <w:rPr>
                <w:rFonts w:ascii="Times New Roman" w:hAnsi="Times New Roman"/>
                <w:noProof/>
                <w:color w:val="000000" w:themeColor="text1"/>
                <w:sz w:val="18"/>
              </w:rPr>
              <w:t xml:space="preserve"> faktem zmian</w:t>
            </w:r>
            <w:r w:rsidR="00A33B9F" w:rsidRPr="00A33B9F">
              <w:rPr>
                <w:rFonts w:ascii="Times New Roman" w:hAnsi="Times New Roman"/>
                <w:noProof/>
                <w:color w:val="000000" w:themeColor="text1"/>
                <w:sz w:val="18"/>
              </w:rPr>
              <w:t xml:space="preserve"> w inn</w:t>
            </w:r>
            <w:r w:rsidRPr="00A33B9F">
              <w:rPr>
                <w:rFonts w:ascii="Times New Roman" w:hAnsi="Times New Roman"/>
                <w:noProof/>
                <w:color w:val="000000" w:themeColor="text1"/>
                <w:sz w:val="18"/>
              </w:rPr>
              <w:t>ych ustawach</w:t>
            </w:r>
          </w:p>
          <w:p w14:paraId="73386C1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567" w:type="dxa"/>
            <w:shd w:val="clear" w:color="auto" w:fill="C6EFCE"/>
          </w:tcPr>
          <w:p w14:paraId="5698E8E2" w14:textId="5FD1537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Zawarcie</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8 grudnia 2006</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fin</w:t>
            </w:r>
            <w:r w:rsidRPr="00A33B9F">
              <w:rPr>
                <w:rFonts w:ascii="Times New Roman" w:hAnsi="Times New Roman"/>
                <w:noProof/>
                <w:color w:val="000000" w:themeColor="text1"/>
                <w:sz w:val="18"/>
              </w:rPr>
              <w:t>ansowym wsparciu tworzenia lokali mieszkalnych na wynajem, mieszkań chronionych, noclegowni, schronisk dla bezdomnych, ogrzewalni</w:t>
            </w:r>
            <w:r w:rsidR="00A33B9F" w:rsidRPr="00A33B9F">
              <w:rPr>
                <w:rFonts w:ascii="Times New Roman" w:hAnsi="Times New Roman"/>
                <w:noProof/>
                <w:color w:val="000000" w:themeColor="text1"/>
                <w:sz w:val="18"/>
              </w:rPr>
              <w:t xml:space="preserve"> i tym</w:t>
            </w:r>
            <w:r w:rsidRPr="00A33B9F">
              <w:rPr>
                <w:rFonts w:ascii="Times New Roman" w:hAnsi="Times New Roman"/>
                <w:noProof/>
                <w:color w:val="000000" w:themeColor="text1"/>
                <w:sz w:val="18"/>
              </w:rPr>
              <w:t>czasowych pomieszczeń przepisu określającego termin jej wejścia</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r w:rsidR="00A33B9F" w:rsidRPr="00A33B9F">
              <w:rPr>
                <w:rFonts w:ascii="Times New Roman" w:hAnsi="Times New Roman"/>
                <w:noProof/>
                <w:color w:val="000000" w:themeColor="text1"/>
                <w:sz w:val="18"/>
              </w:rPr>
              <w:t xml:space="preserve"> i wpr</w:t>
            </w:r>
            <w:r w:rsidRPr="00A33B9F">
              <w:rPr>
                <w:rFonts w:ascii="Times New Roman" w:hAnsi="Times New Roman"/>
                <w:noProof/>
                <w:color w:val="000000" w:themeColor="text1"/>
                <w:sz w:val="18"/>
              </w:rPr>
              <w:t>owadzenie powiązanych</w:t>
            </w:r>
            <w:r w:rsidR="00A33B9F" w:rsidRPr="00A33B9F">
              <w:rPr>
                <w:rFonts w:ascii="Times New Roman" w:hAnsi="Times New Roman"/>
                <w:noProof/>
                <w:color w:val="000000" w:themeColor="text1"/>
                <w:sz w:val="18"/>
              </w:rPr>
              <w:t xml:space="preserve"> z tym</w:t>
            </w:r>
            <w:r w:rsidRPr="00A33B9F">
              <w:rPr>
                <w:rFonts w:ascii="Times New Roman" w:hAnsi="Times New Roman"/>
                <w:noProof/>
                <w:color w:val="000000" w:themeColor="text1"/>
                <w:sz w:val="18"/>
              </w:rPr>
              <w:t xml:space="preserve"> faktem zmian</w:t>
            </w:r>
            <w:r w:rsidR="00A33B9F" w:rsidRPr="00A33B9F">
              <w:rPr>
                <w:rFonts w:ascii="Times New Roman" w:hAnsi="Times New Roman"/>
                <w:noProof/>
                <w:color w:val="000000" w:themeColor="text1"/>
                <w:sz w:val="18"/>
              </w:rPr>
              <w:t xml:space="preserve"> w inn</w:t>
            </w:r>
            <w:r w:rsidRPr="00A33B9F">
              <w:rPr>
                <w:rFonts w:ascii="Times New Roman" w:hAnsi="Times New Roman"/>
                <w:noProof/>
                <w:color w:val="000000" w:themeColor="text1"/>
                <w:sz w:val="18"/>
              </w:rPr>
              <w:t>ych ustawach</w:t>
            </w:r>
          </w:p>
        </w:tc>
        <w:tc>
          <w:tcPr>
            <w:tcW w:w="950" w:type="dxa"/>
            <w:shd w:val="clear" w:color="auto" w:fill="C6EFCE"/>
          </w:tcPr>
          <w:p w14:paraId="432AF740"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shd w:val="clear" w:color="auto" w:fill="C6EFCE"/>
          </w:tcPr>
          <w:p w14:paraId="625C2139"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77" w:type="dxa"/>
            <w:shd w:val="clear" w:color="auto" w:fill="C6EFCE"/>
          </w:tcPr>
          <w:p w14:paraId="037372C9"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64" w:type="dxa"/>
            <w:shd w:val="clear" w:color="auto" w:fill="C6EFCE"/>
          </w:tcPr>
          <w:p w14:paraId="7F072BC8"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688" w:type="dxa"/>
            <w:shd w:val="clear" w:color="auto" w:fill="C6EFCE"/>
          </w:tcPr>
          <w:p w14:paraId="5127A2A6"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2022</w:t>
            </w:r>
          </w:p>
        </w:tc>
        <w:tc>
          <w:tcPr>
            <w:tcW w:w="4146" w:type="dxa"/>
            <w:shd w:val="clear" w:color="auto" w:fill="C6EFCE"/>
          </w:tcPr>
          <w:p w14:paraId="7897920B" w14:textId="4C7F31DC"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Zmiany wprowadzone</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 przewidują zwiększenie wsparcia na rzecz inwestycji</w:t>
            </w:r>
            <w:r w:rsidR="00A33B9F" w:rsidRPr="00A33B9F">
              <w:rPr>
                <w:rFonts w:ascii="Times New Roman" w:hAnsi="Times New Roman"/>
                <w:noProof/>
                <w:color w:val="000000" w:themeColor="text1"/>
                <w:sz w:val="18"/>
              </w:rPr>
              <w:t xml:space="preserve"> w bud</w:t>
            </w:r>
            <w:r w:rsidRPr="00A33B9F">
              <w:rPr>
                <w:rFonts w:ascii="Times New Roman" w:hAnsi="Times New Roman"/>
                <w:noProof/>
                <w:color w:val="000000" w:themeColor="text1"/>
                <w:sz w:val="18"/>
              </w:rPr>
              <w:t>owę budynków</w:t>
            </w:r>
            <w:r w:rsidR="00A33B9F" w:rsidRPr="00A33B9F">
              <w:rPr>
                <w:rFonts w:ascii="Times New Roman" w:hAnsi="Times New Roman"/>
                <w:noProof/>
                <w:color w:val="000000" w:themeColor="text1"/>
                <w:sz w:val="18"/>
              </w:rPr>
              <w:t xml:space="preserve"> o sta</w:t>
            </w:r>
            <w:r w:rsidRPr="00A33B9F">
              <w:rPr>
                <w:rFonts w:ascii="Times New Roman" w:hAnsi="Times New Roman"/>
                <w:noProof/>
                <w:color w:val="000000" w:themeColor="text1"/>
                <w:sz w:val="18"/>
              </w:rPr>
              <w:t>ndardzie energii wyższym</w:t>
            </w:r>
            <w:r w:rsidR="00A33B9F" w:rsidRPr="00A33B9F">
              <w:rPr>
                <w:rFonts w:ascii="Times New Roman" w:hAnsi="Times New Roman"/>
                <w:noProof/>
                <w:color w:val="000000" w:themeColor="text1"/>
                <w:sz w:val="18"/>
              </w:rPr>
              <w:t xml:space="preserve"> o 2</w:t>
            </w:r>
            <w:r w:rsidRPr="00A33B9F">
              <w:rPr>
                <w:rFonts w:ascii="Times New Roman" w:hAnsi="Times New Roman"/>
                <w:noProof/>
                <w:color w:val="000000" w:themeColor="text1"/>
                <w:sz w:val="18"/>
              </w:rPr>
              <w:t>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od budynku</w:t>
            </w:r>
            <w:r w:rsidR="00A33B9F" w:rsidRPr="00A33B9F">
              <w:rPr>
                <w:rFonts w:ascii="Times New Roman" w:hAnsi="Times New Roman"/>
                <w:noProof/>
                <w:color w:val="000000" w:themeColor="text1"/>
                <w:sz w:val="18"/>
              </w:rPr>
              <w:t xml:space="preserve"> o nie</w:t>
            </w:r>
            <w:r w:rsidRPr="00A33B9F">
              <w:rPr>
                <w:rFonts w:ascii="Times New Roman" w:hAnsi="Times New Roman"/>
                <w:noProof/>
                <w:color w:val="000000" w:themeColor="text1"/>
                <w:sz w:val="18"/>
              </w:rPr>
              <w:t>mal zerowym zużyciu energii. Planuje się zwiększyć wsparcie</w:t>
            </w:r>
            <w:r w:rsidR="00A33B9F" w:rsidRPr="00A33B9F">
              <w:rPr>
                <w:rFonts w:ascii="Times New Roman" w:hAnsi="Times New Roman"/>
                <w:noProof/>
                <w:color w:val="000000" w:themeColor="text1"/>
                <w:sz w:val="18"/>
              </w:rPr>
              <w:t xml:space="preserve"> w por</w:t>
            </w:r>
            <w:r w:rsidRPr="00A33B9F">
              <w:rPr>
                <w:rFonts w:ascii="Times New Roman" w:hAnsi="Times New Roman"/>
                <w:noProof/>
                <w:color w:val="000000" w:themeColor="text1"/>
                <w:sz w:val="18"/>
              </w:rPr>
              <w:t>ównaniu ze standardowymi mieszkaniami</w:t>
            </w:r>
            <w:r w:rsidR="00A33B9F" w:rsidRPr="00A33B9F">
              <w:rPr>
                <w:rFonts w:ascii="Times New Roman" w:hAnsi="Times New Roman"/>
                <w:noProof/>
                <w:color w:val="000000" w:themeColor="text1"/>
                <w:sz w:val="18"/>
              </w:rPr>
              <w:t xml:space="preserve"> z poz</w:t>
            </w:r>
            <w:r w:rsidRPr="00A33B9F">
              <w:rPr>
                <w:rFonts w:ascii="Times New Roman" w:hAnsi="Times New Roman"/>
                <w:noProof/>
                <w:color w:val="000000" w:themeColor="text1"/>
                <w:sz w:val="18"/>
              </w:rPr>
              <w:t>iomu 80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do poziomu 95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 dochodach</w:t>
            </w:r>
            <w:r w:rsidR="00A33B9F" w:rsidRPr="00A33B9F">
              <w:rPr>
                <w:rFonts w:ascii="Times New Roman" w:hAnsi="Times New Roman"/>
                <w:noProof/>
                <w:color w:val="000000" w:themeColor="text1"/>
                <w:sz w:val="18"/>
              </w:rPr>
              <w:t xml:space="preserve"> i z poz</w:t>
            </w:r>
            <w:r w:rsidRPr="00A33B9F">
              <w:rPr>
                <w:rFonts w:ascii="Times New Roman" w:hAnsi="Times New Roman"/>
                <w:noProof/>
                <w:color w:val="000000" w:themeColor="text1"/>
                <w:sz w:val="18"/>
              </w:rPr>
              <w:t>iomu 35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do poziomu 60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gospodarstw domowych</w:t>
            </w:r>
            <w:r w:rsidR="00A33B9F" w:rsidRPr="00A33B9F">
              <w:rPr>
                <w:rFonts w:ascii="Times New Roman" w:hAnsi="Times New Roman"/>
                <w:noProof/>
                <w:color w:val="000000" w:themeColor="text1"/>
                <w:sz w:val="18"/>
              </w:rPr>
              <w:t xml:space="preserve"> o śre</w:t>
            </w:r>
            <w:r w:rsidRPr="00A33B9F">
              <w:rPr>
                <w:rFonts w:ascii="Times New Roman" w:hAnsi="Times New Roman"/>
                <w:noProof/>
                <w:color w:val="000000" w:themeColor="text1"/>
                <w:sz w:val="18"/>
              </w:rPr>
              <w:t>dnich dochodach. Przepisy te będą miały zastosowanie do wszystkich źródeł wsparcia publicznego.</w:t>
            </w:r>
          </w:p>
          <w:p w14:paraId="69CAA4BB"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r>
      <w:tr w:rsidR="008C116B" w:rsidRPr="00A33B9F" w14:paraId="49AD8375" w14:textId="77777777" w:rsidTr="1CE0CE0C">
        <w:trPr>
          <w:trHeight w:val="567"/>
        </w:trPr>
        <w:tc>
          <w:tcPr>
            <w:tcW w:w="821" w:type="dxa"/>
            <w:shd w:val="clear" w:color="auto" w:fill="C6EFCE"/>
          </w:tcPr>
          <w:p w14:paraId="170C0264" w14:textId="77777777" w:rsidR="00D50B18" w:rsidRPr="00A33B9F" w:rsidRDefault="00D50B18">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B29L</w:t>
            </w:r>
          </w:p>
        </w:tc>
        <w:tc>
          <w:tcPr>
            <w:tcW w:w="1745" w:type="dxa"/>
            <w:shd w:val="clear" w:color="auto" w:fill="C6EFCE"/>
          </w:tcPr>
          <w:p w14:paraId="42C4695B" w14:textId="2B62AD82"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B3.5.1 Inwestycje</w:t>
            </w:r>
            <w:r w:rsidR="00A33B9F" w:rsidRPr="00A33B9F">
              <w:rPr>
                <w:rFonts w:ascii="Times New Roman" w:hAnsi="Times New Roman"/>
                <w:noProof/>
                <w:color w:val="000000" w:themeColor="text1"/>
                <w:sz w:val="18"/>
              </w:rPr>
              <w:t xml:space="preserve"> w ene</w:t>
            </w:r>
            <w:r w:rsidRPr="00A33B9F">
              <w:rPr>
                <w:rFonts w:ascii="Times New Roman" w:hAnsi="Times New Roman"/>
                <w:noProof/>
                <w:color w:val="000000" w:themeColor="text1"/>
                <w:sz w:val="18"/>
              </w:rPr>
              <w:t>rgooszczędne mieszkania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dnich dochodach</w:t>
            </w:r>
          </w:p>
        </w:tc>
        <w:tc>
          <w:tcPr>
            <w:tcW w:w="1021" w:type="dxa"/>
            <w:shd w:val="clear" w:color="auto" w:fill="C6EFCE"/>
          </w:tcPr>
          <w:p w14:paraId="040A964A"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1875" w:type="dxa"/>
            <w:shd w:val="clear" w:color="auto" w:fill="C6EFCE"/>
          </w:tcPr>
          <w:p w14:paraId="25343A46" w14:textId="3EF60F53"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T1 – Liczba mieszkań kwalifikujących się do objęcia dofinansowaniem przeznaczonym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 xml:space="preserve">dnich dochodach </w:t>
            </w:r>
          </w:p>
        </w:tc>
        <w:tc>
          <w:tcPr>
            <w:tcW w:w="1567" w:type="dxa"/>
            <w:shd w:val="clear" w:color="auto" w:fill="C6EFCE"/>
          </w:tcPr>
          <w:p w14:paraId="5FAC5B6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shd w:val="clear" w:color="auto" w:fill="C6EFCE"/>
          </w:tcPr>
          <w:p w14:paraId="723B85A9"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w:t>
            </w:r>
          </w:p>
        </w:tc>
        <w:tc>
          <w:tcPr>
            <w:tcW w:w="950" w:type="dxa"/>
            <w:shd w:val="clear" w:color="auto" w:fill="C6EFCE"/>
          </w:tcPr>
          <w:p w14:paraId="70839F46"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877" w:type="dxa"/>
            <w:shd w:val="clear" w:color="auto" w:fill="C6EFCE"/>
          </w:tcPr>
          <w:p w14:paraId="04823C71"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7820 </w:t>
            </w:r>
          </w:p>
        </w:tc>
        <w:tc>
          <w:tcPr>
            <w:tcW w:w="964" w:type="dxa"/>
            <w:shd w:val="clear" w:color="auto" w:fill="C6EFCE"/>
          </w:tcPr>
          <w:p w14:paraId="13555FD8"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IV kw.</w:t>
            </w:r>
          </w:p>
        </w:tc>
        <w:tc>
          <w:tcPr>
            <w:tcW w:w="688" w:type="dxa"/>
            <w:shd w:val="clear" w:color="auto" w:fill="C6EFCE"/>
          </w:tcPr>
          <w:p w14:paraId="4D4A9C10"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2024</w:t>
            </w:r>
          </w:p>
        </w:tc>
        <w:tc>
          <w:tcPr>
            <w:tcW w:w="4146" w:type="dxa"/>
            <w:shd w:val="clear" w:color="auto" w:fill="C6EFCE"/>
          </w:tcPr>
          <w:p w14:paraId="4251ED4D" w14:textId="21B5A53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mieszkań kwalifikujących się do objęcia dofinansowaniem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 xml:space="preserve">dnich dochodach). </w:t>
            </w:r>
          </w:p>
          <w:p w14:paraId="5C09747E" w14:textId="5EBA599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Inwestycje realizują jednostki samorządu terytorialnego oraz inwestorzy inwestujący</w:t>
            </w:r>
            <w:r w:rsidR="00A33B9F" w:rsidRPr="00A33B9F">
              <w:rPr>
                <w:rFonts w:ascii="Times New Roman" w:hAnsi="Times New Roman"/>
                <w:noProof/>
                <w:color w:val="000000" w:themeColor="text1"/>
                <w:sz w:val="18"/>
              </w:rPr>
              <w:t xml:space="preserve"> w mie</w:t>
            </w:r>
            <w:r w:rsidRPr="00A33B9F">
              <w:rPr>
                <w:rFonts w:ascii="Times New Roman" w:hAnsi="Times New Roman"/>
                <w:noProof/>
                <w:color w:val="000000" w:themeColor="text1"/>
                <w:sz w:val="18"/>
              </w:rPr>
              <w:t>szkalnictwo socjalne (głównie towarzystwa budownictwa socjalnego</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łeczne inicjatywy mieszkaniowe).</w:t>
            </w:r>
          </w:p>
          <w:p w14:paraId="71C6F79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79153252" w14:textId="619CD2F0"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umowach podpisywanych</w:t>
            </w:r>
            <w:r w:rsidR="00A33B9F" w:rsidRPr="00A33B9F">
              <w:rPr>
                <w:rFonts w:ascii="Times New Roman" w:hAnsi="Times New Roman"/>
                <w:noProof/>
                <w:color w:val="000000" w:themeColor="text1"/>
                <w:sz w:val="18"/>
              </w:rPr>
              <w:t xml:space="preserve"> z pod</w:t>
            </w:r>
            <w:r w:rsidRPr="00A33B9F">
              <w:rPr>
                <w:rFonts w:ascii="Times New Roman" w:hAnsi="Times New Roman"/>
                <w:noProof/>
                <w:color w:val="000000" w:themeColor="text1"/>
                <w:sz w:val="18"/>
              </w:rPr>
              <w:t>miotami będącymi beneficjentami (jednostkami samorządu terytorialnego oraz inwestorami inwestującymi</w:t>
            </w:r>
            <w:r w:rsidR="00A33B9F" w:rsidRPr="00A33B9F">
              <w:rPr>
                <w:rFonts w:ascii="Times New Roman" w:hAnsi="Times New Roman"/>
                <w:noProof/>
                <w:color w:val="000000" w:themeColor="text1"/>
                <w:sz w:val="18"/>
              </w:rPr>
              <w:t xml:space="preserve"> w mie</w:t>
            </w:r>
            <w:r w:rsidRPr="00A33B9F">
              <w:rPr>
                <w:rFonts w:ascii="Times New Roman" w:hAnsi="Times New Roman"/>
                <w:noProof/>
                <w:color w:val="000000" w:themeColor="text1"/>
                <w:sz w:val="18"/>
              </w:rPr>
              <w:t>szkalnictwo socjalne (głównie towarzystwami budownictwa socjalnego</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łecznymi inicjatywami mieszkaniowymi)) stwierdza się, że:</w:t>
            </w:r>
          </w:p>
          <w:p w14:paraId="3D38654E" w14:textId="221F9296" w:rsidR="00D50B18" w:rsidRPr="00A33B9F" w:rsidRDefault="00D50B18" w:rsidP="00D50B18">
            <w:pPr>
              <w:pStyle w:val="Normal0"/>
              <w:numPr>
                <w:ilvl w:val="0"/>
                <w:numId w:val="23"/>
              </w:numPr>
              <w:pBdr>
                <w:top w:val="nil"/>
                <w:left w:val="nil"/>
                <w:bottom w:val="nil"/>
                <w:right w:val="nil"/>
                <w:between w:val="nil"/>
              </w:pBdr>
              <w:spacing w:after="0" w:line="240" w:lineRule="auto"/>
              <w:rPr>
                <w:noProof/>
                <w:color w:val="000000" w:themeColor="text1"/>
                <w:sz w:val="18"/>
                <w:szCs w:val="18"/>
              </w:rPr>
            </w:pPr>
            <w:r w:rsidRPr="00A33B9F">
              <w:rPr>
                <w:rFonts w:ascii="Times New Roman" w:hAnsi="Times New Roman"/>
                <w:noProof/>
                <w:color w:val="000000" w:themeColor="text1"/>
                <w:sz w:val="18"/>
              </w:rPr>
              <w:t>co najmniej 75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tych mieszkań zostanie przydzielone tym osobom ubiegającym się</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ydział mieszkania, które znajdują się</w:t>
            </w:r>
            <w:r w:rsidR="00A33B9F" w:rsidRPr="00A33B9F">
              <w:rPr>
                <w:rFonts w:ascii="Times New Roman" w:hAnsi="Times New Roman"/>
                <w:noProof/>
                <w:color w:val="000000" w:themeColor="text1"/>
                <w:sz w:val="18"/>
              </w:rPr>
              <w:t xml:space="preserve"> w dol</w:t>
            </w:r>
            <w:r w:rsidRPr="00A33B9F">
              <w:rPr>
                <w:rFonts w:ascii="Times New Roman" w:hAnsi="Times New Roman"/>
                <w:noProof/>
                <w:color w:val="000000" w:themeColor="text1"/>
                <w:sz w:val="18"/>
              </w:rPr>
              <w:t>nej połowie listy wnioskodawców sporządzonej na podstawie kryterium poziomu dochodów,</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rej wnioskodawców ułożono</w:t>
            </w:r>
            <w:r w:rsidR="00A33B9F" w:rsidRPr="00A33B9F">
              <w:rPr>
                <w:rFonts w:ascii="Times New Roman" w:hAnsi="Times New Roman"/>
                <w:noProof/>
                <w:color w:val="000000" w:themeColor="text1"/>
                <w:sz w:val="18"/>
              </w:rPr>
              <w:t xml:space="preserve"> w por</w:t>
            </w:r>
            <w:r w:rsidRPr="00A33B9F">
              <w:rPr>
                <w:rFonts w:ascii="Times New Roman" w:hAnsi="Times New Roman"/>
                <w:noProof/>
                <w:color w:val="000000" w:themeColor="text1"/>
                <w:sz w:val="18"/>
              </w:rPr>
              <w:t xml:space="preserve">ządku malejącym, oraz </w:t>
            </w:r>
          </w:p>
          <w:p w14:paraId="3793425E" w14:textId="7A5E8622" w:rsidR="00D50B18" w:rsidRPr="00A33B9F" w:rsidRDefault="00D50B18" w:rsidP="00D50B18">
            <w:pPr>
              <w:pStyle w:val="Normal0"/>
              <w:numPr>
                <w:ilvl w:val="0"/>
                <w:numId w:val="23"/>
              </w:numPr>
              <w:pBdr>
                <w:top w:val="nil"/>
                <w:left w:val="nil"/>
                <w:bottom w:val="nil"/>
                <w:right w:val="nil"/>
                <w:between w:val="nil"/>
              </w:pBdr>
              <w:spacing w:after="0" w:line="240" w:lineRule="auto"/>
              <w:rPr>
                <w:noProof/>
                <w:color w:val="000000" w:themeColor="text1"/>
                <w:sz w:val="18"/>
                <w:szCs w:val="18"/>
              </w:rPr>
            </w:pPr>
            <w:r w:rsidRPr="00A33B9F">
              <w:rPr>
                <w:rFonts w:ascii="Times New Roman" w:hAnsi="Times New Roman"/>
                <w:noProof/>
                <w:color w:val="000000" w:themeColor="text1"/>
                <w:sz w:val="18"/>
              </w:rPr>
              <w:t>mieszkania będą budowane zgodnie</w:t>
            </w:r>
            <w:r w:rsidR="00A33B9F" w:rsidRPr="00A33B9F">
              <w:rPr>
                <w:rFonts w:ascii="Times New Roman" w:hAnsi="Times New Roman"/>
                <w:noProof/>
                <w:color w:val="000000" w:themeColor="text1"/>
                <w:sz w:val="18"/>
              </w:rPr>
              <w:t xml:space="preserve"> z nor</w:t>
            </w:r>
            <w:r w:rsidRPr="00A33B9F">
              <w:rPr>
                <w:rFonts w:ascii="Times New Roman" w:hAnsi="Times New Roman"/>
                <w:noProof/>
                <w:color w:val="000000" w:themeColor="text1"/>
                <w:sz w:val="18"/>
              </w:rPr>
              <w:t>mą efektywności energetycznej</w:t>
            </w:r>
            <w:r w:rsidR="00A33B9F" w:rsidRPr="00A33B9F">
              <w:rPr>
                <w:rFonts w:ascii="Times New Roman" w:hAnsi="Times New Roman"/>
                <w:noProof/>
                <w:color w:val="000000" w:themeColor="text1"/>
                <w:sz w:val="18"/>
              </w:rPr>
              <w:t xml:space="preserve"> o 2</w:t>
            </w:r>
            <w:r w:rsidRPr="00A33B9F">
              <w:rPr>
                <w:rFonts w:ascii="Times New Roman" w:hAnsi="Times New Roman"/>
                <w:noProof/>
                <w:color w:val="000000" w:themeColor="text1"/>
                <w:sz w:val="18"/>
              </w:rPr>
              <w:t>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bardziej ambitną niż minimalna norma efektywności energetycznej obowiązująca</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(norma dotycząca budynków</w:t>
            </w:r>
            <w:r w:rsidR="00A33B9F" w:rsidRPr="00A33B9F">
              <w:rPr>
                <w:rFonts w:ascii="Times New Roman" w:hAnsi="Times New Roman"/>
                <w:noProof/>
                <w:color w:val="000000" w:themeColor="text1"/>
                <w:sz w:val="18"/>
              </w:rPr>
              <w:t xml:space="preserve"> o nie</w:t>
            </w:r>
            <w:r w:rsidRPr="00A33B9F">
              <w:rPr>
                <w:rFonts w:ascii="Times New Roman" w:hAnsi="Times New Roman"/>
                <w:noProof/>
                <w:color w:val="000000" w:themeColor="text1"/>
                <w:sz w:val="18"/>
              </w:rPr>
              <w:t xml:space="preserve">mal zerowym zużyciu energii). </w:t>
            </w:r>
          </w:p>
          <w:p w14:paraId="2765F29B" w14:textId="77777777" w:rsidR="00D50B18" w:rsidRPr="00A33B9F" w:rsidRDefault="00D50B18">
            <w:pPr>
              <w:pStyle w:val="Normal0"/>
              <w:pBdr>
                <w:top w:val="nil"/>
                <w:left w:val="nil"/>
                <w:bottom w:val="nil"/>
                <w:right w:val="nil"/>
                <w:between w:val="nil"/>
              </w:pBdr>
              <w:spacing w:after="0" w:line="240" w:lineRule="auto"/>
              <w:ind w:left="360"/>
              <w:rPr>
                <w:noProof/>
                <w:color w:val="000000" w:themeColor="text1"/>
                <w:sz w:val="18"/>
                <w:szCs w:val="18"/>
              </w:rPr>
            </w:pPr>
          </w:p>
          <w:p w14:paraId="0D18F1B7" w14:textId="1565FCC7" w:rsidR="00D50B18" w:rsidRPr="00A33B9F" w:rsidRDefault="00D50B18">
            <w:pPr>
              <w:pStyle w:val="Normal0"/>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sidRPr="00A33B9F">
              <w:rPr>
                <w:rFonts w:ascii="Times New Roman" w:hAnsi="Times New Roman"/>
                <w:noProof/>
                <w:color w:val="000000" w:themeColor="text1"/>
                <w:sz w:val="18"/>
              </w:rPr>
              <w:t>Podmioty będące beneficjentami są wybierane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przejrzystego</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kurencyjnego zaproszenia do składania wniosków otwartego dla wszystkich jednostek samorządu terytorialnego oraz wszystkich inwestorów inwestujących</w:t>
            </w:r>
            <w:r w:rsidR="00A33B9F" w:rsidRPr="00A33B9F">
              <w:rPr>
                <w:rFonts w:ascii="Times New Roman" w:hAnsi="Times New Roman"/>
                <w:noProof/>
                <w:color w:val="000000" w:themeColor="text1"/>
                <w:sz w:val="18"/>
              </w:rPr>
              <w:t xml:space="preserve"> w mie</w:t>
            </w:r>
            <w:r w:rsidRPr="00A33B9F">
              <w:rPr>
                <w:rFonts w:ascii="Times New Roman" w:hAnsi="Times New Roman"/>
                <w:noProof/>
                <w:color w:val="000000" w:themeColor="text1"/>
                <w:sz w:val="18"/>
              </w:rPr>
              <w:t>szkalnictwo socjalne (głównie towarzystw budownictwa socjalnego</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łecznych inicjatyw mieszkaniowych). Kryteria wyboru podmiotów będących beneficjentami odzwierciedlają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potrzebę zwiększenia podaży energooszczędnych mieszkań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dnich dochodach.</w:t>
            </w:r>
          </w:p>
          <w:p w14:paraId="10FD9EF3" w14:textId="77777777" w:rsidR="00D50B18" w:rsidRPr="00A33B9F" w:rsidRDefault="00D50B18">
            <w:pPr>
              <w:pStyle w:val="Normal0"/>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p>
          <w:p w14:paraId="6CC77CDB" w14:textId="31ADFA4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Wspomniane zaproszenia do składania wniosków obejmują kryteria kwalifikowalności zapewniające zgodność wybranych projektów</w:t>
            </w:r>
            <w:r w:rsidR="00A33B9F" w:rsidRPr="00A33B9F">
              <w:rPr>
                <w:rFonts w:ascii="Times New Roman" w:hAnsi="Times New Roman"/>
                <w:noProof/>
                <w:color w:val="000000" w:themeColor="text1"/>
                <w:sz w:val="18"/>
              </w:rPr>
              <w:t xml:space="preserve"> z wym</w:t>
            </w:r>
            <w:r w:rsidRPr="00A33B9F">
              <w:rPr>
                <w:rFonts w:ascii="Times New Roman" w:hAnsi="Times New Roman"/>
                <w:noProof/>
                <w:color w:val="000000" w:themeColor="text1"/>
                <w:sz w:val="18"/>
              </w:rPr>
              <w:t>ogami nakładającymi obowiązek niepowodowania poważnych szkód dla celów środowiskowych</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umieniu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17 rozporządzenia (UE) 2020/852, biorąc pod uwagę opis działania</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dków ograniczających ryzyko</w:t>
            </w:r>
            <w:r w:rsidR="00A33B9F" w:rsidRPr="00A33B9F">
              <w:rPr>
                <w:rFonts w:ascii="Times New Roman" w:hAnsi="Times New Roman"/>
                <w:noProof/>
                <w:color w:val="000000" w:themeColor="text1"/>
                <w:sz w:val="18"/>
              </w:rPr>
              <w:t xml:space="preserve"> w pla</w:t>
            </w:r>
            <w:r w:rsidRPr="00A33B9F">
              <w:rPr>
                <w:rFonts w:ascii="Times New Roman" w:hAnsi="Times New Roman"/>
                <w:noProof/>
                <w:color w:val="000000" w:themeColor="text1"/>
                <w:sz w:val="18"/>
              </w:rPr>
              <w:t>nie odbudowy</w:t>
            </w:r>
            <w:r w:rsidR="00A33B9F" w:rsidRPr="00A33B9F">
              <w:rPr>
                <w:rFonts w:ascii="Times New Roman" w:hAnsi="Times New Roman"/>
                <w:noProof/>
                <w:color w:val="000000" w:themeColor="text1"/>
                <w:sz w:val="18"/>
              </w:rPr>
              <w:t xml:space="preserve"> i zwi</w:t>
            </w:r>
            <w:r w:rsidRPr="00A33B9F">
              <w:rPr>
                <w:rFonts w:ascii="Times New Roman" w:hAnsi="Times New Roman"/>
                <w:noProof/>
                <w:color w:val="000000" w:themeColor="text1"/>
                <w:sz w:val="18"/>
              </w:rPr>
              <w:t>ększania odporności zgodnie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p>
          <w:p w14:paraId="3C0DE0A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7B716E9D" w14:textId="402F1CE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 przypadku gdy nowa działalność budowlana jest prowadzona na obszarach wrażliwych pod względem różnorodności biologicznej lub</w:t>
            </w:r>
            <w:r w:rsidR="00A33B9F" w:rsidRPr="00A33B9F">
              <w:rPr>
                <w:rFonts w:ascii="Times New Roman" w:hAnsi="Times New Roman"/>
                <w:noProof/>
                <w:color w:val="000000" w:themeColor="text1"/>
                <w:sz w:val="18"/>
              </w:rPr>
              <w:t xml:space="preserve"> w ich</w:t>
            </w:r>
            <w:r w:rsidRPr="00A33B9F">
              <w:rPr>
                <w:rFonts w:ascii="Times New Roman" w:hAnsi="Times New Roman"/>
                <w:noProof/>
                <w:color w:val="000000" w:themeColor="text1"/>
                <w:sz w:val="18"/>
              </w:rPr>
              <w:t xml:space="preserve"> pobliżu (uwzględniając sieć obszarów chronionych Natura 2000, miejsca światowego dziedzictwa UNESCO</w:t>
            </w:r>
            <w:r w:rsidR="00A33B9F" w:rsidRPr="00A33B9F">
              <w:rPr>
                <w:rFonts w:ascii="Times New Roman" w:hAnsi="Times New Roman"/>
                <w:noProof/>
                <w:color w:val="000000" w:themeColor="text1"/>
                <w:sz w:val="18"/>
              </w:rPr>
              <w:t xml:space="preserve"> i obs</w:t>
            </w:r>
            <w:r w:rsidRPr="00A33B9F">
              <w:rPr>
                <w:rFonts w:ascii="Times New Roman" w:hAnsi="Times New Roman"/>
                <w:noProof/>
                <w:color w:val="000000" w:themeColor="text1"/>
                <w:sz w:val="18"/>
              </w:rPr>
              <w:t>zary</w:t>
            </w:r>
            <w:r w:rsidR="00A33B9F" w:rsidRPr="00A33B9F">
              <w:rPr>
                <w:rFonts w:ascii="Times New Roman" w:hAnsi="Times New Roman"/>
                <w:noProof/>
                <w:color w:val="000000" w:themeColor="text1"/>
                <w:sz w:val="18"/>
              </w:rPr>
              <w:t xml:space="preserve"> o zas</w:t>
            </w:r>
            <w:r w:rsidRPr="00A33B9F">
              <w:rPr>
                <w:rFonts w:ascii="Times New Roman" w:hAnsi="Times New Roman"/>
                <w:noProof/>
                <w:color w:val="000000" w:themeColor="text1"/>
                <w:sz w:val="18"/>
              </w:rPr>
              <w:t>adniczym znaczeniu dla różnorodności biologicznej, jak również inne obszary chronione) należy zapewnić zgodność</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episami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6 ust.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w:t>
            </w:r>
            <w:r w:rsidR="00A33B9F" w:rsidRPr="00A33B9F">
              <w:rPr>
                <w:rFonts w:ascii="Times New Roman" w:hAnsi="Times New Roman"/>
                <w:noProof/>
                <w:color w:val="000000" w:themeColor="text1"/>
                <w:sz w:val="18"/>
              </w:rPr>
              <w:t xml:space="preserve"> i art</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12 dyrektywy siedliskowej oraz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5 dyrektywy ptasiej, przy czym</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ypadkach wymaganych zgodnie</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episami dyrektywy</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OOŚ należy przeprowadzić ocenę oddziaływania na środowisko (OOŚ) lub kontrolę. Wszystkie projekty inwestycyjne finansowane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komponentu, które wymagają decyzji</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OOŚ, muszą być zgodne</w:t>
            </w:r>
            <w:r w:rsidR="00A33B9F" w:rsidRPr="00A33B9F">
              <w:rPr>
                <w:rFonts w:ascii="Times New Roman" w:hAnsi="Times New Roman"/>
                <w:noProof/>
                <w:color w:val="000000" w:themeColor="text1"/>
                <w:sz w:val="18"/>
              </w:rPr>
              <w:t xml:space="preserve"> z dyr</w:t>
            </w:r>
            <w:r w:rsidRPr="00A33B9F">
              <w:rPr>
                <w:rFonts w:ascii="Times New Roman" w:hAnsi="Times New Roman"/>
                <w:noProof/>
                <w:color w:val="000000" w:themeColor="text1"/>
                <w:sz w:val="18"/>
              </w:rPr>
              <w:t>ektywą 2011/92/UE zmienioną dyrektywą 2014/52/UE</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wszystkie nowe projekty, które wymagają OOŚ, muszą uzyskać zezwolenie na podstawie ustawy</w:t>
            </w:r>
            <w:r w:rsidR="00A33B9F" w:rsidRPr="00A33B9F">
              <w:rPr>
                <w:rFonts w:ascii="Times New Roman" w:hAnsi="Times New Roman"/>
                <w:noProof/>
                <w:color w:val="000000" w:themeColor="text1"/>
                <w:sz w:val="18"/>
              </w:rPr>
              <w:t xml:space="preserve"> o udo</w:t>
            </w:r>
            <w:r w:rsidRPr="00A33B9F">
              <w:rPr>
                <w:rFonts w:ascii="Times New Roman" w:hAnsi="Times New Roman"/>
                <w:noProof/>
                <w:color w:val="000000" w:themeColor="text1"/>
                <w:sz w:val="18"/>
              </w:rPr>
              <w:t>stępnianiu informacji</w:t>
            </w:r>
            <w:r w:rsidR="00A33B9F" w:rsidRPr="00A33B9F">
              <w:rPr>
                <w:rFonts w:ascii="Times New Roman" w:hAnsi="Times New Roman"/>
                <w:noProof/>
                <w:color w:val="000000" w:themeColor="text1"/>
                <w:sz w:val="18"/>
              </w:rPr>
              <w:t xml:space="preserve"> o śro</w:t>
            </w:r>
            <w:r w:rsidRPr="00A33B9F">
              <w:rPr>
                <w:rFonts w:ascii="Times New Roman" w:hAnsi="Times New Roman"/>
                <w:noProof/>
                <w:color w:val="000000" w:themeColor="text1"/>
                <w:sz w:val="18"/>
              </w:rPr>
              <w:t>dowisku</w:t>
            </w:r>
            <w:r w:rsidR="00A33B9F" w:rsidRPr="00A33B9F">
              <w:rPr>
                <w:rFonts w:ascii="Times New Roman" w:hAnsi="Times New Roman"/>
                <w:noProof/>
                <w:color w:val="000000" w:themeColor="text1"/>
                <w:sz w:val="18"/>
              </w:rPr>
              <w:t xml:space="preserve"> i jeg</w:t>
            </w:r>
            <w:r w:rsidRPr="00A33B9F">
              <w:rPr>
                <w:rFonts w:ascii="Times New Roman" w:hAnsi="Times New Roman"/>
                <w:noProof/>
                <w:color w:val="000000" w:themeColor="text1"/>
                <w:sz w:val="18"/>
              </w:rPr>
              <w:t>o ochronie, udziale społeczeństwa</w:t>
            </w:r>
            <w:r w:rsidR="00A33B9F" w:rsidRPr="00A33B9F">
              <w:rPr>
                <w:rFonts w:ascii="Times New Roman" w:hAnsi="Times New Roman"/>
                <w:noProof/>
                <w:color w:val="000000" w:themeColor="text1"/>
                <w:sz w:val="18"/>
              </w:rPr>
              <w:t xml:space="preserve"> w och</w:t>
            </w:r>
            <w:r w:rsidRPr="00A33B9F">
              <w:rPr>
                <w:rFonts w:ascii="Times New Roman" w:hAnsi="Times New Roman"/>
                <w:noProof/>
                <w:color w:val="000000" w:themeColor="text1"/>
                <w:sz w:val="18"/>
              </w:rPr>
              <w:t>ronie środowiska oraz</w:t>
            </w:r>
            <w:r w:rsidR="00A33B9F" w:rsidRPr="00A33B9F">
              <w:rPr>
                <w:rFonts w:ascii="Times New Roman" w:hAnsi="Times New Roman"/>
                <w:noProof/>
                <w:color w:val="000000" w:themeColor="text1"/>
                <w:sz w:val="18"/>
              </w:rPr>
              <w:t xml:space="preserve"> o oce</w:t>
            </w:r>
            <w:r w:rsidRPr="00A33B9F">
              <w:rPr>
                <w:rFonts w:ascii="Times New Roman" w:hAnsi="Times New Roman"/>
                <w:noProof/>
                <w:color w:val="000000" w:themeColor="text1"/>
                <w:sz w:val="18"/>
              </w:rPr>
              <w:t>nach oddziaływania na środowisko, zmienionej ustawą</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30 marca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tej ustawy oraz niektórych innych ustaw. Przy realizacji wszystkich projektów inwestycyjnych,</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których wniosek</w:t>
            </w:r>
            <w:r w:rsidR="00A33B9F" w:rsidRPr="00A33B9F">
              <w:rPr>
                <w:rFonts w:ascii="Times New Roman" w:hAnsi="Times New Roman"/>
                <w:noProof/>
                <w:color w:val="000000" w:themeColor="text1"/>
                <w:sz w:val="18"/>
              </w:rPr>
              <w:t xml:space="preserve"> o wyd</w:t>
            </w:r>
            <w:r w:rsidRPr="00A33B9F">
              <w:rPr>
                <w:rFonts w:ascii="Times New Roman" w:hAnsi="Times New Roman"/>
                <w:noProof/>
                <w:color w:val="000000" w:themeColor="text1"/>
                <w:sz w:val="18"/>
              </w:rPr>
              <w:t>anie decyzji środowiskowej lub pozwolenia na budowę lub rozbudowę złożono przed wejściem</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30 marca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uwzględnia się przepisy określone w „Wytycznych</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działań naprawczych</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projektów współfinansowanych</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duszy UE, których dotyczy naruszenie 2016/2046”, przekazanych Polsce</w:t>
            </w:r>
            <w:r w:rsidR="00A33B9F" w:rsidRPr="00A33B9F">
              <w:rPr>
                <w:rFonts w:ascii="Times New Roman" w:hAnsi="Times New Roman"/>
                <w:noProof/>
                <w:color w:val="000000" w:themeColor="text1"/>
                <w:sz w:val="18"/>
              </w:rPr>
              <w:t xml:space="preserve"> w 2</w:t>
            </w:r>
            <w:r w:rsidRPr="00A33B9F">
              <w:rPr>
                <w:rFonts w:ascii="Times New Roman" w:hAnsi="Times New Roman"/>
                <w:noProof/>
                <w:color w:val="000000" w:themeColor="text1"/>
                <w:sz w:val="18"/>
              </w:rPr>
              <w:t>3 lutego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(nr ref. Ares(2021)1423319).</w:t>
            </w:r>
          </w:p>
        </w:tc>
      </w:tr>
      <w:tr w:rsidR="008C116B" w:rsidRPr="00A33B9F" w14:paraId="0180366B" w14:textId="77777777" w:rsidTr="1CE0CE0C">
        <w:trPr>
          <w:trHeight w:val="313"/>
        </w:trPr>
        <w:tc>
          <w:tcPr>
            <w:tcW w:w="821" w:type="dxa"/>
            <w:shd w:val="clear" w:color="auto" w:fill="C6EFCE"/>
          </w:tcPr>
          <w:p w14:paraId="2098F440" w14:textId="4F87388C" w:rsidR="00D50B18" w:rsidRPr="00A33B9F" w:rsidRDefault="00D50B18">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B30L</w:t>
            </w:r>
          </w:p>
        </w:tc>
        <w:tc>
          <w:tcPr>
            <w:tcW w:w="1745" w:type="dxa"/>
            <w:shd w:val="clear" w:color="auto" w:fill="C6EFCE"/>
          </w:tcPr>
          <w:p w14:paraId="26DEFF70" w14:textId="2D0EB730"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B3.5.1 Inwestycje</w:t>
            </w:r>
            <w:r w:rsidR="00A33B9F" w:rsidRPr="00A33B9F">
              <w:rPr>
                <w:rFonts w:ascii="Times New Roman" w:hAnsi="Times New Roman"/>
                <w:noProof/>
                <w:color w:val="000000" w:themeColor="text1"/>
                <w:sz w:val="18"/>
              </w:rPr>
              <w:t xml:space="preserve"> w ene</w:t>
            </w:r>
            <w:r w:rsidRPr="00A33B9F">
              <w:rPr>
                <w:rFonts w:ascii="Times New Roman" w:hAnsi="Times New Roman"/>
                <w:noProof/>
                <w:color w:val="000000" w:themeColor="text1"/>
                <w:sz w:val="18"/>
              </w:rPr>
              <w:t>rgooszczędne mieszkania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dnich dochodach</w:t>
            </w:r>
          </w:p>
        </w:tc>
        <w:tc>
          <w:tcPr>
            <w:tcW w:w="1021" w:type="dxa"/>
            <w:shd w:val="clear" w:color="auto" w:fill="C6EFCE"/>
          </w:tcPr>
          <w:p w14:paraId="53FA2A6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1875" w:type="dxa"/>
            <w:shd w:val="clear" w:color="auto" w:fill="C6EFCE"/>
          </w:tcPr>
          <w:p w14:paraId="3F398C88" w14:textId="39B73FB1"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T2 – Liczba oddanych mieszkań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dnich dochodach</w:t>
            </w:r>
          </w:p>
        </w:tc>
        <w:tc>
          <w:tcPr>
            <w:tcW w:w="1567" w:type="dxa"/>
            <w:shd w:val="clear" w:color="auto" w:fill="C6EFCE"/>
          </w:tcPr>
          <w:p w14:paraId="1DD1127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shd w:val="clear" w:color="auto" w:fill="C6EFCE"/>
          </w:tcPr>
          <w:p w14:paraId="78BDA5D5"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w:t>
            </w:r>
          </w:p>
        </w:tc>
        <w:tc>
          <w:tcPr>
            <w:tcW w:w="950" w:type="dxa"/>
            <w:shd w:val="clear" w:color="auto" w:fill="C6EFCE"/>
          </w:tcPr>
          <w:p w14:paraId="1E8FD757"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p w14:paraId="0F44DAEF"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p>
        </w:tc>
        <w:tc>
          <w:tcPr>
            <w:tcW w:w="877" w:type="dxa"/>
            <w:shd w:val="clear" w:color="auto" w:fill="C6EFCE"/>
          </w:tcPr>
          <w:p w14:paraId="5F8FAA62"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7820</w:t>
            </w:r>
          </w:p>
          <w:p w14:paraId="25886E36"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64" w:type="dxa"/>
            <w:shd w:val="clear" w:color="auto" w:fill="C6EFCE"/>
          </w:tcPr>
          <w:p w14:paraId="7DF8C3B6"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688" w:type="dxa"/>
            <w:shd w:val="clear" w:color="auto" w:fill="C6EFCE"/>
          </w:tcPr>
          <w:p w14:paraId="4B7922D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4146" w:type="dxa"/>
            <w:shd w:val="clear" w:color="auto" w:fill="C6EFCE"/>
          </w:tcPr>
          <w:p w14:paraId="013B5AF8" w14:textId="46082D43"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oddanych mieszkań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 xml:space="preserve">dnich dochodach). </w:t>
            </w:r>
          </w:p>
          <w:p w14:paraId="5D1D9809" w14:textId="7B20FFAD"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Inwestycje realizują jednostki samorządu terytorialnego oraz inwestorzy inwestujący</w:t>
            </w:r>
            <w:r w:rsidR="00A33B9F" w:rsidRPr="00A33B9F">
              <w:rPr>
                <w:rFonts w:ascii="Times New Roman" w:hAnsi="Times New Roman"/>
                <w:noProof/>
                <w:color w:val="000000" w:themeColor="text1"/>
                <w:sz w:val="18"/>
              </w:rPr>
              <w:t xml:space="preserve"> w mie</w:t>
            </w:r>
            <w:r w:rsidRPr="00A33B9F">
              <w:rPr>
                <w:rFonts w:ascii="Times New Roman" w:hAnsi="Times New Roman"/>
                <w:noProof/>
                <w:color w:val="000000" w:themeColor="text1"/>
                <w:sz w:val="18"/>
              </w:rPr>
              <w:t>szkalnictwo socjalne (głównie towarzystwa budownictwa socjalnego</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łeczne inicjatywy mieszkaniowe).</w:t>
            </w:r>
          </w:p>
          <w:p w14:paraId="535E7719" w14:textId="77777777" w:rsidR="00D50B18" w:rsidRPr="00A33B9F" w:rsidRDefault="00D50B18">
            <w:pPr>
              <w:pStyle w:val="Normal0"/>
              <w:spacing w:after="0" w:line="240" w:lineRule="auto"/>
              <w:rPr>
                <w:noProof/>
                <w:color w:val="000000" w:themeColor="text1"/>
                <w:sz w:val="18"/>
                <w:szCs w:val="18"/>
              </w:rPr>
            </w:pPr>
          </w:p>
          <w:p w14:paraId="6A0BD99D" w14:textId="72656F87" w:rsidR="00D50B18" w:rsidRPr="00A33B9F" w:rsidRDefault="00D50B18">
            <w:pPr>
              <w:pStyle w:val="Normal0"/>
              <w:spacing w:after="0" w:line="240" w:lineRule="auto"/>
              <w:rPr>
                <w:rFonts w:ascii="Times New Roman" w:hAnsi="Times New Roman" w:cs="Times New Roman"/>
                <w:noProof/>
                <w:color w:val="000000" w:themeColor="text1"/>
                <w:sz w:val="18"/>
                <w:szCs w:val="18"/>
              </w:rPr>
            </w:pPr>
            <w:r w:rsidRPr="00A33B9F">
              <w:rPr>
                <w:rFonts w:ascii="Times New Roman" w:hAnsi="Times New Roman"/>
                <w:noProof/>
                <w:color w:val="000000" w:themeColor="text1"/>
                <w:sz w:val="18"/>
              </w:rPr>
              <w:t>Podmioty będące beneficjentami są wybierane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przejrzystego</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kurencyjnego zaproszenia do składania wniosków otwartego dla wszystkich władz lokalnych</w:t>
            </w:r>
            <w:r w:rsidR="00A33B9F" w:rsidRPr="00A33B9F">
              <w:rPr>
                <w:rFonts w:ascii="Times New Roman" w:hAnsi="Times New Roman"/>
                <w:noProof/>
                <w:color w:val="000000" w:themeColor="text1"/>
                <w:sz w:val="18"/>
              </w:rPr>
              <w:t xml:space="preserve"> i lok</w:t>
            </w:r>
            <w:r w:rsidRPr="00A33B9F">
              <w:rPr>
                <w:rFonts w:ascii="Times New Roman" w:hAnsi="Times New Roman"/>
                <w:noProof/>
                <w:color w:val="000000" w:themeColor="text1"/>
                <w:sz w:val="18"/>
              </w:rPr>
              <w:t>alnych towarzystw mieszkaniowych. Kryteria wyboru podmiotów będących beneficjentami odzwierciedlają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potrzebę zwiększenia podaży energooszczędnych mieszkań dla gospodarstw domowych</w:t>
            </w:r>
            <w:r w:rsidR="00A33B9F" w:rsidRPr="00A33B9F">
              <w:rPr>
                <w:rFonts w:ascii="Times New Roman" w:hAnsi="Times New Roman"/>
                <w:noProof/>
                <w:color w:val="000000" w:themeColor="text1"/>
                <w:sz w:val="18"/>
              </w:rPr>
              <w:t xml:space="preserve"> o nis</w:t>
            </w:r>
            <w:r w:rsidRPr="00A33B9F">
              <w:rPr>
                <w:rFonts w:ascii="Times New Roman" w:hAnsi="Times New Roman"/>
                <w:noProof/>
                <w:color w:val="000000" w:themeColor="text1"/>
                <w:sz w:val="18"/>
              </w:rPr>
              <w:t>kich</w:t>
            </w:r>
            <w:r w:rsidR="00A33B9F" w:rsidRPr="00A33B9F">
              <w:rPr>
                <w:rFonts w:ascii="Times New Roman" w:hAnsi="Times New Roman"/>
                <w:noProof/>
                <w:color w:val="000000" w:themeColor="text1"/>
                <w:sz w:val="18"/>
              </w:rPr>
              <w:t xml:space="preserve"> i śre</w:t>
            </w:r>
            <w:r w:rsidRPr="00A33B9F">
              <w:rPr>
                <w:rFonts w:ascii="Times New Roman" w:hAnsi="Times New Roman"/>
                <w:noProof/>
                <w:color w:val="000000" w:themeColor="text1"/>
                <w:sz w:val="18"/>
              </w:rPr>
              <w:t>dnich dochodach.</w:t>
            </w:r>
          </w:p>
          <w:p w14:paraId="63A84C93" w14:textId="77777777"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p>
          <w:p w14:paraId="4A8E9CDC" w14:textId="68FB5DD8"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Mieszkania zostaną wybudowane</w:t>
            </w:r>
            <w:r w:rsidR="00A33B9F" w:rsidRPr="00A33B9F">
              <w:rPr>
                <w:rFonts w:ascii="Times New Roman" w:hAnsi="Times New Roman"/>
                <w:noProof/>
                <w:color w:val="000000" w:themeColor="text1"/>
                <w:sz w:val="18"/>
              </w:rPr>
              <w:t xml:space="preserve"> w tak</w:t>
            </w:r>
            <w:r w:rsidRPr="00A33B9F">
              <w:rPr>
                <w:rFonts w:ascii="Times New Roman" w:hAnsi="Times New Roman"/>
                <w:noProof/>
                <w:color w:val="000000" w:themeColor="text1"/>
                <w:sz w:val="18"/>
              </w:rPr>
              <w:t>i sposób, by nie spowodowało to poważnych szkód dla celów środowiskowych</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umieniu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17 rozporządzenia (UE) 2020/852, biorąc pod uwagę opis środka</w:t>
            </w:r>
            <w:r w:rsidR="00A33B9F" w:rsidRPr="00A33B9F">
              <w:rPr>
                <w:rFonts w:ascii="Times New Roman" w:hAnsi="Times New Roman"/>
                <w:noProof/>
                <w:color w:val="000000" w:themeColor="text1"/>
                <w:sz w:val="18"/>
              </w:rPr>
              <w:t xml:space="preserve"> i dzi</w:t>
            </w:r>
            <w:r w:rsidRPr="00A33B9F">
              <w:rPr>
                <w:rFonts w:ascii="Times New Roman" w:hAnsi="Times New Roman"/>
                <w:noProof/>
                <w:color w:val="000000" w:themeColor="text1"/>
                <w:sz w:val="18"/>
              </w:rPr>
              <w:t>ałań ograniczających ryzyko</w:t>
            </w:r>
            <w:r w:rsidR="00A33B9F" w:rsidRPr="00A33B9F">
              <w:rPr>
                <w:rFonts w:ascii="Times New Roman" w:hAnsi="Times New Roman"/>
                <w:noProof/>
                <w:color w:val="000000" w:themeColor="text1"/>
                <w:sz w:val="18"/>
              </w:rPr>
              <w:t xml:space="preserve"> w pla</w:t>
            </w:r>
            <w:r w:rsidRPr="00A33B9F">
              <w:rPr>
                <w:rFonts w:ascii="Times New Roman" w:hAnsi="Times New Roman"/>
                <w:noProof/>
                <w:color w:val="000000" w:themeColor="text1"/>
                <w:sz w:val="18"/>
              </w:rPr>
              <w:t>nie odbudowy</w:t>
            </w:r>
            <w:r w:rsidR="00A33B9F" w:rsidRPr="00A33B9F">
              <w:rPr>
                <w:rFonts w:ascii="Times New Roman" w:hAnsi="Times New Roman"/>
                <w:noProof/>
                <w:color w:val="000000" w:themeColor="text1"/>
                <w:sz w:val="18"/>
              </w:rPr>
              <w:t xml:space="preserve"> i zwi</w:t>
            </w:r>
            <w:r w:rsidRPr="00A33B9F">
              <w:rPr>
                <w:rFonts w:ascii="Times New Roman" w:hAnsi="Times New Roman"/>
                <w:noProof/>
                <w:color w:val="000000" w:themeColor="text1"/>
                <w:sz w:val="18"/>
              </w:rPr>
              <w:t>ększania odporności zgodnie</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p>
          <w:p w14:paraId="5C248E9E" w14:textId="608147D9"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przypadku gdy nowa działalność budowlana jest prowadzona na obszarach wrażliwych pod względem różnorodności biologicznej lub</w:t>
            </w:r>
            <w:r w:rsidR="00A33B9F" w:rsidRPr="00A33B9F">
              <w:rPr>
                <w:rFonts w:ascii="Times New Roman" w:hAnsi="Times New Roman"/>
                <w:noProof/>
                <w:color w:val="000000" w:themeColor="text1"/>
                <w:sz w:val="18"/>
              </w:rPr>
              <w:t xml:space="preserve"> w ich</w:t>
            </w:r>
            <w:r w:rsidRPr="00A33B9F">
              <w:rPr>
                <w:rFonts w:ascii="Times New Roman" w:hAnsi="Times New Roman"/>
                <w:noProof/>
                <w:color w:val="000000" w:themeColor="text1"/>
                <w:sz w:val="18"/>
              </w:rPr>
              <w:t xml:space="preserve"> pobliżu (uwzględniając sieć obszarów chronionych Natura 2000, miejsca światowego dziedzictwa UNESCO</w:t>
            </w:r>
            <w:r w:rsidR="00A33B9F" w:rsidRPr="00A33B9F">
              <w:rPr>
                <w:rFonts w:ascii="Times New Roman" w:hAnsi="Times New Roman"/>
                <w:noProof/>
                <w:color w:val="000000" w:themeColor="text1"/>
                <w:sz w:val="18"/>
              </w:rPr>
              <w:t xml:space="preserve"> i obs</w:t>
            </w:r>
            <w:r w:rsidRPr="00A33B9F">
              <w:rPr>
                <w:rFonts w:ascii="Times New Roman" w:hAnsi="Times New Roman"/>
                <w:noProof/>
                <w:color w:val="000000" w:themeColor="text1"/>
                <w:sz w:val="18"/>
              </w:rPr>
              <w:t>zary</w:t>
            </w:r>
            <w:r w:rsidR="00A33B9F" w:rsidRPr="00A33B9F">
              <w:rPr>
                <w:rFonts w:ascii="Times New Roman" w:hAnsi="Times New Roman"/>
                <w:noProof/>
                <w:color w:val="000000" w:themeColor="text1"/>
                <w:sz w:val="18"/>
              </w:rPr>
              <w:t xml:space="preserve"> o zas</w:t>
            </w:r>
            <w:r w:rsidRPr="00A33B9F">
              <w:rPr>
                <w:rFonts w:ascii="Times New Roman" w:hAnsi="Times New Roman"/>
                <w:noProof/>
                <w:color w:val="000000" w:themeColor="text1"/>
                <w:sz w:val="18"/>
              </w:rPr>
              <w:t>adniczym znaczeniu dla różnorodności biologicznej, jak również inne obszary chronione) należy zapewnić zgodność</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episami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6 ust.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w:t>
            </w:r>
            <w:r w:rsidR="00A33B9F" w:rsidRPr="00A33B9F">
              <w:rPr>
                <w:rFonts w:ascii="Times New Roman" w:hAnsi="Times New Roman"/>
                <w:noProof/>
                <w:color w:val="000000" w:themeColor="text1"/>
                <w:sz w:val="18"/>
              </w:rPr>
              <w:t xml:space="preserve"> i art</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12 dyrektywy siedliskowej oraz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5 dyrektywy ptasiej, przy czym</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ypadkach wymaganych zgodnie</w:t>
            </w:r>
            <w:r w:rsidR="00A33B9F" w:rsidRPr="00A33B9F">
              <w:rPr>
                <w:rFonts w:ascii="Times New Roman" w:hAnsi="Times New Roman"/>
                <w:noProof/>
                <w:color w:val="000000" w:themeColor="text1"/>
                <w:sz w:val="18"/>
              </w:rPr>
              <w:t xml:space="preserve"> z prz</w:t>
            </w:r>
            <w:r w:rsidRPr="00A33B9F">
              <w:rPr>
                <w:rFonts w:ascii="Times New Roman" w:hAnsi="Times New Roman"/>
                <w:noProof/>
                <w:color w:val="000000" w:themeColor="text1"/>
                <w:sz w:val="18"/>
              </w:rPr>
              <w:t>episami dyrektywy</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OOŚ należy przeprowadzić ocenę oddziaływania na środowisko (OOŚ) lub kontrolę. Wszystkie projekty inwestycyjne finansowane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komponentu, które wymagają decyzji</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OOŚ, muszą być zgodne</w:t>
            </w:r>
            <w:r w:rsidR="00A33B9F" w:rsidRPr="00A33B9F">
              <w:rPr>
                <w:rFonts w:ascii="Times New Roman" w:hAnsi="Times New Roman"/>
                <w:noProof/>
                <w:color w:val="000000" w:themeColor="text1"/>
                <w:sz w:val="18"/>
              </w:rPr>
              <w:t xml:space="preserve"> z dyr</w:t>
            </w:r>
            <w:r w:rsidRPr="00A33B9F">
              <w:rPr>
                <w:rFonts w:ascii="Times New Roman" w:hAnsi="Times New Roman"/>
                <w:noProof/>
                <w:color w:val="000000" w:themeColor="text1"/>
                <w:sz w:val="18"/>
              </w:rPr>
              <w:t>ektywą 2011/92/UE zmienioną dyrektywą 2014/52/UE</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wszystkie nowe projekty, które wymagają OOŚ, muszą uzyskać zezwolenie na podstawie ustawy</w:t>
            </w:r>
            <w:r w:rsidR="00A33B9F" w:rsidRPr="00A33B9F">
              <w:rPr>
                <w:rFonts w:ascii="Times New Roman" w:hAnsi="Times New Roman"/>
                <w:noProof/>
                <w:color w:val="000000" w:themeColor="text1"/>
                <w:sz w:val="18"/>
              </w:rPr>
              <w:t xml:space="preserve"> o udo</w:t>
            </w:r>
            <w:r w:rsidRPr="00A33B9F">
              <w:rPr>
                <w:rFonts w:ascii="Times New Roman" w:hAnsi="Times New Roman"/>
                <w:noProof/>
                <w:color w:val="000000" w:themeColor="text1"/>
                <w:sz w:val="18"/>
              </w:rPr>
              <w:t>stępnianiu informacji</w:t>
            </w:r>
            <w:r w:rsidR="00A33B9F" w:rsidRPr="00A33B9F">
              <w:rPr>
                <w:rFonts w:ascii="Times New Roman" w:hAnsi="Times New Roman"/>
                <w:noProof/>
                <w:color w:val="000000" w:themeColor="text1"/>
                <w:sz w:val="18"/>
              </w:rPr>
              <w:t xml:space="preserve"> o śro</w:t>
            </w:r>
            <w:r w:rsidRPr="00A33B9F">
              <w:rPr>
                <w:rFonts w:ascii="Times New Roman" w:hAnsi="Times New Roman"/>
                <w:noProof/>
                <w:color w:val="000000" w:themeColor="text1"/>
                <w:sz w:val="18"/>
              </w:rPr>
              <w:t>dowisku</w:t>
            </w:r>
            <w:r w:rsidR="00A33B9F" w:rsidRPr="00A33B9F">
              <w:rPr>
                <w:rFonts w:ascii="Times New Roman" w:hAnsi="Times New Roman"/>
                <w:noProof/>
                <w:color w:val="000000" w:themeColor="text1"/>
                <w:sz w:val="18"/>
              </w:rPr>
              <w:t xml:space="preserve"> i jeg</w:t>
            </w:r>
            <w:r w:rsidRPr="00A33B9F">
              <w:rPr>
                <w:rFonts w:ascii="Times New Roman" w:hAnsi="Times New Roman"/>
                <w:noProof/>
                <w:color w:val="000000" w:themeColor="text1"/>
                <w:sz w:val="18"/>
              </w:rPr>
              <w:t>o ochronie, udziale społeczeństwa</w:t>
            </w:r>
            <w:r w:rsidR="00A33B9F" w:rsidRPr="00A33B9F">
              <w:rPr>
                <w:rFonts w:ascii="Times New Roman" w:hAnsi="Times New Roman"/>
                <w:noProof/>
                <w:color w:val="000000" w:themeColor="text1"/>
                <w:sz w:val="18"/>
              </w:rPr>
              <w:t xml:space="preserve"> w och</w:t>
            </w:r>
            <w:r w:rsidRPr="00A33B9F">
              <w:rPr>
                <w:rFonts w:ascii="Times New Roman" w:hAnsi="Times New Roman"/>
                <w:noProof/>
                <w:color w:val="000000" w:themeColor="text1"/>
                <w:sz w:val="18"/>
              </w:rPr>
              <w:t>ronie środowiska oraz</w:t>
            </w:r>
            <w:r w:rsidR="00A33B9F" w:rsidRPr="00A33B9F">
              <w:rPr>
                <w:rFonts w:ascii="Times New Roman" w:hAnsi="Times New Roman"/>
                <w:noProof/>
                <w:color w:val="000000" w:themeColor="text1"/>
                <w:sz w:val="18"/>
              </w:rPr>
              <w:t xml:space="preserve"> o oce</w:t>
            </w:r>
            <w:r w:rsidRPr="00A33B9F">
              <w:rPr>
                <w:rFonts w:ascii="Times New Roman" w:hAnsi="Times New Roman"/>
                <w:noProof/>
                <w:color w:val="000000" w:themeColor="text1"/>
                <w:sz w:val="18"/>
              </w:rPr>
              <w:t>nach oddziaływania na środowisko, zmienionej ustawą</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30 marca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tej ustawy oraz niektórych innych ustaw. Przy realizacji wszystkich projektów inwestycyjnych,</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których wniosek</w:t>
            </w:r>
            <w:r w:rsidR="00A33B9F" w:rsidRPr="00A33B9F">
              <w:rPr>
                <w:rFonts w:ascii="Times New Roman" w:hAnsi="Times New Roman"/>
                <w:noProof/>
                <w:color w:val="000000" w:themeColor="text1"/>
                <w:sz w:val="18"/>
              </w:rPr>
              <w:t xml:space="preserve"> o wyd</w:t>
            </w:r>
            <w:r w:rsidRPr="00A33B9F">
              <w:rPr>
                <w:rFonts w:ascii="Times New Roman" w:hAnsi="Times New Roman"/>
                <w:noProof/>
                <w:color w:val="000000" w:themeColor="text1"/>
                <w:sz w:val="18"/>
              </w:rPr>
              <w:t>anie decyzji środowiskowej lub pozwolenia na budowę lub rozbudowę złożono przed wejściem</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30 marca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uwzględnia się przepisy określone w „Wytycznych</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działań naprawczych</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projektów współfinansowanych</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duszy UE, których dotyczy naruszenie 2016/2046”, przekazanych Polsce</w:t>
            </w:r>
            <w:r w:rsidR="00A33B9F" w:rsidRPr="00A33B9F">
              <w:rPr>
                <w:rFonts w:ascii="Times New Roman" w:hAnsi="Times New Roman"/>
                <w:noProof/>
                <w:color w:val="000000" w:themeColor="text1"/>
                <w:sz w:val="18"/>
              </w:rPr>
              <w:t xml:space="preserve"> w 2</w:t>
            </w:r>
            <w:r w:rsidRPr="00A33B9F">
              <w:rPr>
                <w:rFonts w:ascii="Times New Roman" w:hAnsi="Times New Roman"/>
                <w:noProof/>
                <w:color w:val="000000" w:themeColor="text1"/>
                <w:sz w:val="18"/>
              </w:rPr>
              <w:t>3 lutego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(nr ref. Ares(2021)1423319).</w:t>
            </w:r>
          </w:p>
        </w:tc>
      </w:tr>
      <w:tr w:rsidR="008C116B" w:rsidRPr="00A33B9F" w14:paraId="18FD87A2"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B45361" w14:textId="19D0C8A1"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B32L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EF860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F5C56C" w14:textId="6D4DA26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r w:rsidR="00C3621A" w:rsidRPr="00A33B9F">
              <w:rPr>
                <w:rFonts w:ascii="Times New Roman" w:hAnsi="Times New Roman"/>
                <w:noProof/>
                <w:color w:val="000000" w:themeColor="text1"/>
                <w:sz w:val="18"/>
              </w:rPr>
              <w:t xml:space="preserve">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A3A098" w14:textId="13BC622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ram legislacyjnych dotyczących społeczności energetycznych działających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energii odnawialnej</w:t>
            </w:r>
            <w:r w:rsidR="00A33B9F" w:rsidRPr="00A33B9F">
              <w:rPr>
                <w:rFonts w:ascii="Times New Roman" w:hAnsi="Times New Roman"/>
                <w:noProof/>
                <w:color w:val="000000" w:themeColor="text1"/>
                <w:sz w:val="18"/>
              </w:rPr>
              <w:t xml:space="preserve"> i bio</w:t>
            </w:r>
            <w:r w:rsidRPr="00A33B9F">
              <w:rPr>
                <w:rFonts w:ascii="Times New Roman" w:hAnsi="Times New Roman"/>
                <w:noProof/>
                <w:color w:val="000000" w:themeColor="text1"/>
                <w:sz w:val="18"/>
              </w:rPr>
              <w:t>metanu: Zmiana ustawy</w:t>
            </w:r>
            <w:r w:rsidR="00A33B9F" w:rsidRPr="00A33B9F">
              <w:rPr>
                <w:rFonts w:ascii="Times New Roman" w:hAnsi="Times New Roman"/>
                <w:noProof/>
                <w:color w:val="000000" w:themeColor="text1"/>
                <w:sz w:val="18"/>
              </w:rPr>
              <w:t xml:space="preserve"> o odn</w:t>
            </w:r>
            <w:r w:rsidRPr="00A33B9F">
              <w:rPr>
                <w:rFonts w:ascii="Times New Roman" w:hAnsi="Times New Roman"/>
                <w:noProof/>
                <w:color w:val="000000" w:themeColor="text1"/>
                <w:sz w:val="18"/>
              </w:rPr>
              <w:t>awialnych źródłach energii, zmiana przepisów dotyczących rynku energii oraz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wykonawczego do ustawy</w:t>
            </w:r>
            <w:r w:rsidR="00A33B9F" w:rsidRPr="00A33B9F">
              <w:rPr>
                <w:rFonts w:ascii="Times New Roman" w:hAnsi="Times New Roman"/>
                <w:noProof/>
                <w:color w:val="000000" w:themeColor="text1"/>
                <w:sz w:val="18"/>
              </w:rPr>
              <w:t xml:space="preserve"> o odn</w:t>
            </w:r>
            <w:r w:rsidRPr="00A33B9F">
              <w:rPr>
                <w:rFonts w:ascii="Times New Roman" w:hAnsi="Times New Roman"/>
                <w:noProof/>
                <w:color w:val="000000" w:themeColor="text1"/>
                <w:sz w:val="18"/>
              </w:rPr>
              <w:t>awialnych źródłach energii</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4B152" w14:textId="430A7363"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Przepisy</w:t>
            </w:r>
            <w:r w:rsidR="00A33B9F" w:rsidRPr="00A33B9F">
              <w:rPr>
                <w:rFonts w:ascii="Times New Roman" w:hAnsi="Times New Roman"/>
                <w:noProof/>
                <w:color w:val="000000"/>
                <w:sz w:val="18"/>
              </w:rPr>
              <w:t xml:space="preserve"> w akt</w:t>
            </w:r>
            <w:r w:rsidRPr="00A33B9F">
              <w:rPr>
                <w:rFonts w:ascii="Times New Roman" w:hAnsi="Times New Roman"/>
                <w:noProof/>
                <w:color w:val="000000"/>
                <w:sz w:val="18"/>
              </w:rPr>
              <w:t>ach zmieniających</w:t>
            </w:r>
            <w:r w:rsidR="00A33B9F" w:rsidRPr="00A33B9F">
              <w:rPr>
                <w:rFonts w:ascii="Times New Roman" w:hAnsi="Times New Roman"/>
                <w:noProof/>
                <w:color w:val="000000"/>
                <w:sz w:val="18"/>
              </w:rPr>
              <w:t xml:space="preserve"> i w roz</w:t>
            </w:r>
            <w:r w:rsidRPr="00A33B9F">
              <w:rPr>
                <w:rFonts w:ascii="Times New Roman" w:hAnsi="Times New Roman"/>
                <w:noProof/>
                <w:color w:val="000000"/>
                <w:sz w:val="18"/>
              </w:rPr>
              <w:t>porządzeniu wskazujące na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tych zmian</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23894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56579D"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6BEE4F"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A24974"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E8D18B"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2023</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BB7246" w14:textId="1886D2E3"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Przyjęcie</w:t>
            </w:r>
            <w:r w:rsidR="00A33B9F" w:rsidRPr="00A33B9F">
              <w:rPr>
                <w:rFonts w:ascii="Times New Roman" w:hAnsi="Times New Roman"/>
                <w:noProof/>
                <w:color w:val="000000" w:themeColor="text1"/>
                <w:sz w:val="18"/>
              </w:rPr>
              <w:t xml:space="preserve"> i wej</w:t>
            </w:r>
            <w:r w:rsidRPr="00A33B9F">
              <w:rPr>
                <w:rFonts w:ascii="Times New Roman" w:hAnsi="Times New Roman"/>
                <w:noProof/>
                <w:color w:val="000000" w:themeColor="text1"/>
                <w:sz w:val="18"/>
              </w:rPr>
              <w:t>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aktów zmieniających</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porządzenia,</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w:t>
            </w:r>
          </w:p>
          <w:p w14:paraId="1C1BCACA" w14:textId="1811D629"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w:t>
            </w:r>
            <w:r w:rsidR="00A33B9F" w:rsidRPr="00A33B9F">
              <w:rPr>
                <w:rFonts w:ascii="Times New Roman" w:hAnsi="Times New Roman"/>
                <w:noProof/>
                <w:color w:val="000000" w:themeColor="text1"/>
                <w:sz w:val="18"/>
              </w:rPr>
              <w:t>. W zmi</w:t>
            </w:r>
            <w:r w:rsidRPr="00A33B9F">
              <w:rPr>
                <w:rFonts w:ascii="Times New Roman" w:hAnsi="Times New Roman"/>
                <w:noProof/>
                <w:color w:val="000000" w:themeColor="text1"/>
                <w:sz w:val="18"/>
              </w:rPr>
              <w:t>enionej ustawie</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20 lutego 2015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odn</w:t>
            </w:r>
            <w:r w:rsidRPr="00A33B9F">
              <w:rPr>
                <w:rFonts w:ascii="Times New Roman" w:hAnsi="Times New Roman"/>
                <w:noProof/>
                <w:color w:val="000000" w:themeColor="text1"/>
                <w:sz w:val="18"/>
              </w:rPr>
              <w:t>awialnych źródłach energii na nowo określi się zasady działania klastrów energii (lepsze warunki do tworzenia takich podmiotów) poprzez zapewnienie: zasad, definicji lub pojęć, które dotyczą: zakresu, umów, przedmiotu działania klastra energii, rejestru klastra energii czy współpracy poszczególnych członków klastra energii</w:t>
            </w:r>
            <w:r w:rsidR="00A33B9F" w:rsidRPr="00A33B9F">
              <w:rPr>
                <w:rFonts w:ascii="Times New Roman" w:hAnsi="Times New Roman"/>
                <w:noProof/>
                <w:color w:val="000000" w:themeColor="text1"/>
                <w:sz w:val="18"/>
              </w:rPr>
              <w:t xml:space="preserve"> z ope</w:t>
            </w:r>
            <w:r w:rsidRPr="00A33B9F">
              <w:rPr>
                <w:rFonts w:ascii="Times New Roman" w:hAnsi="Times New Roman"/>
                <w:noProof/>
                <w:color w:val="000000" w:themeColor="text1"/>
                <w:sz w:val="18"/>
              </w:rPr>
              <w:t xml:space="preserve">ratorami systemów. </w:t>
            </w:r>
          </w:p>
          <w:p w14:paraId="713F5576" w14:textId="2A188253"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noProof/>
              </w:rPr>
              <w:t xml:space="preserve"> </w:t>
            </w:r>
            <w:r w:rsidRPr="00A33B9F">
              <w:rPr>
                <w:noProof/>
              </w:rPr>
              <w:br/>
            </w:r>
            <w:r w:rsidRPr="00A33B9F">
              <w:rPr>
                <w:rFonts w:ascii="Times New Roman" w:hAnsi="Times New Roman"/>
                <w:noProof/>
                <w:color w:val="000000" w:themeColor="text1"/>
                <w:sz w:val="18"/>
              </w:rPr>
              <w:t>2</w:t>
            </w:r>
            <w:r w:rsidR="00A33B9F" w:rsidRPr="00A33B9F">
              <w:rPr>
                <w:rFonts w:ascii="Times New Roman" w:hAnsi="Times New Roman"/>
                <w:noProof/>
                <w:color w:val="000000" w:themeColor="text1"/>
                <w:sz w:val="18"/>
              </w:rPr>
              <w:t>. W zmi</w:t>
            </w:r>
            <w:r w:rsidRPr="00A33B9F">
              <w:rPr>
                <w:rFonts w:ascii="Times New Roman" w:hAnsi="Times New Roman"/>
                <w:noProof/>
                <w:color w:val="000000" w:themeColor="text1"/>
                <w:sz w:val="18"/>
              </w:rPr>
              <w:t>enionej ustawie</w:t>
            </w:r>
            <w:r w:rsidR="00A33B9F" w:rsidRPr="00A33B9F">
              <w:rPr>
                <w:rFonts w:ascii="Times New Roman" w:hAnsi="Times New Roman"/>
                <w:noProof/>
                <w:color w:val="000000" w:themeColor="text1"/>
                <w:sz w:val="18"/>
              </w:rPr>
              <w:t xml:space="preserve"> o odn</w:t>
            </w:r>
            <w:r w:rsidRPr="00A33B9F">
              <w:rPr>
                <w:rFonts w:ascii="Times New Roman" w:hAnsi="Times New Roman"/>
                <w:noProof/>
                <w:color w:val="000000" w:themeColor="text1"/>
                <w:sz w:val="18"/>
              </w:rPr>
              <w:t>awialnych źródłach energii wprowadzone zostaną modele zbiorowe prosumentów energii.</w:t>
            </w:r>
            <w:r w:rsidRPr="00A33B9F">
              <w:rPr>
                <w:noProof/>
              </w:rPr>
              <w:t xml:space="preserve"> </w:t>
            </w:r>
            <w:r w:rsidRPr="00A33B9F">
              <w:rPr>
                <w:noProof/>
              </w:rPr>
              <w:br/>
              <w:t xml:space="preserve"> </w:t>
            </w:r>
            <w:r w:rsidRPr="00A33B9F">
              <w:rPr>
                <w:noProof/>
              </w:rPr>
              <w:br/>
            </w:r>
            <w:r w:rsidRPr="00A33B9F">
              <w:rPr>
                <w:rFonts w:ascii="Times New Roman" w:hAnsi="Times New Roman"/>
                <w:noProof/>
                <w:color w:val="000000" w:themeColor="text1"/>
                <w:sz w:val="18"/>
              </w:rPr>
              <w:t>3</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zmian aktów ustawodawczych dotyczących rynku energii wdrożone zostaną przepisy dotyczące nowych społeczności energetycznych działających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energii odnawialnej, co zapewni, aby odbiorcy końcowi,</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odbiorcy będący gospodarstwami domowymi, byli uprawnieni do uczestnictwa</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łeczności energetycznej działającej</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energii odnawialnej zgodnie</w:t>
            </w:r>
            <w:r w:rsidR="00A33B9F" w:rsidRPr="00A33B9F">
              <w:rPr>
                <w:rFonts w:ascii="Times New Roman" w:hAnsi="Times New Roman"/>
                <w:noProof/>
                <w:color w:val="000000" w:themeColor="text1"/>
                <w:sz w:val="18"/>
              </w:rPr>
              <w:t xml:space="preserve"> z dyr</w:t>
            </w:r>
            <w:r w:rsidRPr="00A33B9F">
              <w:rPr>
                <w:rFonts w:ascii="Times New Roman" w:hAnsi="Times New Roman"/>
                <w:noProof/>
                <w:color w:val="000000" w:themeColor="text1"/>
                <w:sz w:val="18"/>
              </w:rPr>
              <w:t>ektywą (UE) 2018/2001 przy jednoczesnym zachowaniu ich praw lub obowiązków jako odbiorców końcowych oraz bez podlegania nieuzasadnionym lub dyskryminacyjnym warunkom lub procedurom, które uniemożliwiałyby im uczestnictwo</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łeczności energetycznej działającej</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energii odnawialnej.</w:t>
            </w:r>
          </w:p>
          <w:p w14:paraId="25BE84E8" w14:textId="43004D75"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noProof/>
              </w:rPr>
              <w:t xml:space="preserve"> </w:t>
            </w:r>
            <w:r w:rsidRPr="00A33B9F">
              <w:rPr>
                <w:noProof/>
              </w:rPr>
              <w:br/>
            </w:r>
            <w:r w:rsidRPr="00A33B9F">
              <w:rPr>
                <w:rFonts w:ascii="Times New Roman" w:hAnsi="Times New Roman"/>
                <w:noProof/>
                <w:color w:val="000000" w:themeColor="text1"/>
                <w:sz w:val="18"/>
              </w:rPr>
              <w:t>4</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rozporządzenia do ustawy</w:t>
            </w:r>
            <w:r w:rsidR="00A33B9F" w:rsidRPr="00A33B9F">
              <w:rPr>
                <w:rFonts w:ascii="Times New Roman" w:hAnsi="Times New Roman"/>
                <w:noProof/>
                <w:color w:val="000000" w:themeColor="text1"/>
                <w:sz w:val="18"/>
              </w:rPr>
              <w:t xml:space="preserve"> o odn</w:t>
            </w:r>
            <w:r w:rsidRPr="00A33B9F">
              <w:rPr>
                <w:rFonts w:ascii="Times New Roman" w:hAnsi="Times New Roman"/>
                <w:noProof/>
                <w:color w:val="000000" w:themeColor="text1"/>
                <w:sz w:val="18"/>
              </w:rPr>
              <w:t>awialnych źródłach energii</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zasad rozliczania energii przez spółdzielnie energetyczne wprowadzone zostaną przepisy precyzujące zasady działania jednego</w:t>
            </w:r>
            <w:r w:rsidR="00A33B9F" w:rsidRPr="00A33B9F">
              <w:rPr>
                <w:rFonts w:ascii="Times New Roman" w:hAnsi="Times New Roman"/>
                <w:noProof/>
                <w:color w:val="000000" w:themeColor="text1"/>
                <w:sz w:val="18"/>
              </w:rPr>
              <w:t xml:space="preserve"> z mod</w:t>
            </w:r>
            <w:r w:rsidRPr="00A33B9F">
              <w:rPr>
                <w:rFonts w:ascii="Times New Roman" w:hAnsi="Times New Roman"/>
                <w:noProof/>
                <w:color w:val="000000" w:themeColor="text1"/>
                <w:sz w:val="18"/>
              </w:rPr>
              <w:t>eli społeczności energetycznej działającej</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energii odnawialnej.</w:t>
            </w:r>
            <w:r w:rsidRPr="00A33B9F">
              <w:rPr>
                <w:noProof/>
              </w:rPr>
              <w:t xml:space="preserve"> </w:t>
            </w:r>
            <w:r w:rsidRPr="00A33B9F">
              <w:rPr>
                <w:noProof/>
              </w:rPr>
              <w:br/>
              <w:t xml:space="preserve"> </w:t>
            </w:r>
            <w:r w:rsidRPr="00A33B9F">
              <w:rPr>
                <w:noProof/>
              </w:rPr>
              <w:br/>
            </w:r>
            <w:r w:rsidRPr="00A33B9F">
              <w:rPr>
                <w:rFonts w:ascii="Times New Roman" w:hAnsi="Times New Roman"/>
                <w:noProof/>
                <w:color w:val="000000" w:themeColor="text1"/>
                <w:sz w:val="18"/>
              </w:rPr>
              <w:t>5. Zmiany ustawy</w:t>
            </w:r>
            <w:r w:rsidR="00A33B9F" w:rsidRPr="00A33B9F">
              <w:rPr>
                <w:rFonts w:ascii="Times New Roman" w:hAnsi="Times New Roman"/>
                <w:noProof/>
                <w:color w:val="000000" w:themeColor="text1"/>
                <w:sz w:val="18"/>
              </w:rPr>
              <w:t xml:space="preserve"> o odn</w:t>
            </w:r>
            <w:r w:rsidRPr="00A33B9F">
              <w:rPr>
                <w:rFonts w:ascii="Times New Roman" w:hAnsi="Times New Roman"/>
                <w:noProof/>
                <w:color w:val="000000" w:themeColor="text1"/>
                <w:sz w:val="18"/>
              </w:rPr>
              <w:t>awialnych źródłach energii,</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to zmianach ureguluje się zasady prowadzenia działalności gospodarczej</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biometanu.</w:t>
            </w:r>
          </w:p>
        </w:tc>
      </w:tr>
      <w:tr w:rsidR="008C116B" w:rsidRPr="00A33B9F" w14:paraId="4966BC57"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49130A" w14:textId="79AD7D03"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B33L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6C418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1A71D3" w14:textId="2429961C"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r w:rsidR="00C3621A" w:rsidRPr="00A33B9F">
              <w:rPr>
                <w:rFonts w:ascii="Times New Roman" w:hAnsi="Times New Roman"/>
                <w:noProof/>
                <w:color w:val="000000" w:themeColor="text1"/>
                <w:sz w:val="18"/>
              </w:rPr>
              <w:t xml:space="preserve">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8D4B59" w14:textId="6C5FEDC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inw</w:t>
            </w:r>
            <w:r w:rsidRPr="00A33B9F">
              <w:rPr>
                <w:rFonts w:ascii="Times New Roman" w:hAnsi="Times New Roman"/>
                <w:noProof/>
                <w:color w:val="000000" w:themeColor="text1"/>
                <w:sz w:val="18"/>
              </w:rPr>
              <w:t>estycjach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lądowych farm wiatrowych</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9068CE" w14:textId="2898A5CF"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ust</w:t>
            </w:r>
            <w:r w:rsidRPr="00A33B9F">
              <w:rPr>
                <w:rFonts w:ascii="Times New Roman" w:hAnsi="Times New Roman"/>
                <w:noProof/>
                <w:color w:val="000000"/>
                <w:sz w:val="18"/>
              </w:rPr>
              <w:t>awie</w:t>
            </w:r>
            <w:r w:rsidR="00A33B9F" w:rsidRPr="00A33B9F">
              <w:rPr>
                <w:rFonts w:ascii="Times New Roman" w:hAnsi="Times New Roman"/>
                <w:noProof/>
                <w:color w:val="000000"/>
                <w:sz w:val="18"/>
              </w:rPr>
              <w:t xml:space="preserve"> o zmi</w:t>
            </w:r>
            <w:r w:rsidRPr="00A33B9F">
              <w:rPr>
                <w:rFonts w:ascii="Times New Roman" w:hAnsi="Times New Roman"/>
                <w:noProof/>
                <w:color w:val="000000"/>
                <w:sz w:val="18"/>
              </w:rPr>
              <w:t>anie ustawy</w:t>
            </w:r>
            <w:r w:rsidR="00A33B9F" w:rsidRPr="00A33B9F">
              <w:rPr>
                <w:rFonts w:ascii="Times New Roman" w:hAnsi="Times New Roman"/>
                <w:noProof/>
                <w:color w:val="000000"/>
                <w:sz w:val="18"/>
              </w:rPr>
              <w:t xml:space="preserve"> o inw</w:t>
            </w:r>
            <w:r w:rsidRPr="00A33B9F">
              <w:rPr>
                <w:rFonts w:ascii="Times New Roman" w:hAnsi="Times New Roman"/>
                <w:noProof/>
                <w:color w:val="000000"/>
                <w:sz w:val="18"/>
              </w:rPr>
              <w:t>estycjach</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lądowych farm wiatrowych wskazujący na jej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117EA6"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34A203"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3822BC"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995161"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3A9D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2862E6" w14:textId="68822482"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 zmieniającej, co przyczyni się do usunięcia formalnych barier dla inwestycji</w:t>
            </w:r>
            <w:r w:rsidR="00A33B9F" w:rsidRPr="00A33B9F">
              <w:rPr>
                <w:rFonts w:ascii="Times New Roman" w:hAnsi="Times New Roman"/>
                <w:noProof/>
                <w:color w:val="000000" w:themeColor="text1"/>
                <w:sz w:val="18"/>
              </w:rPr>
              <w:t xml:space="preserve"> w inf</w:t>
            </w:r>
            <w:r w:rsidRPr="00A33B9F">
              <w:rPr>
                <w:rFonts w:ascii="Times New Roman" w:hAnsi="Times New Roman"/>
                <w:noProof/>
                <w:color w:val="000000" w:themeColor="text1"/>
                <w:sz w:val="18"/>
              </w:rPr>
              <w:t>rastrukturę lądową</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zmiany zostanie uelastyczniona zasada odległości (minimalna odległość wiatraka od budynku mieszkalnego na poziomie dziesięciokrotności wysokości wiatraka, 10H), przyznając gminom większą władzę</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określania minimalnych odległości</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procedury zagospodarowania przestrzennego</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cedury planistycznej,</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regionalnym dyrekcjom ochrony środowiska</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procedury wydawania decyzji</w:t>
            </w:r>
            <w:r w:rsidR="00A33B9F" w:rsidRPr="00A33B9F">
              <w:rPr>
                <w:rFonts w:ascii="Times New Roman" w:hAnsi="Times New Roman"/>
                <w:noProof/>
                <w:color w:val="000000" w:themeColor="text1"/>
                <w:sz w:val="18"/>
              </w:rPr>
              <w:t xml:space="preserve"> o śro</w:t>
            </w:r>
            <w:r w:rsidRPr="00A33B9F">
              <w:rPr>
                <w:rFonts w:ascii="Times New Roman" w:hAnsi="Times New Roman"/>
                <w:noProof/>
                <w:color w:val="000000" w:themeColor="text1"/>
                <w:sz w:val="18"/>
              </w:rPr>
              <w:t>dowiskowych uwarunkowaniach.</w:t>
            </w:r>
            <w:r w:rsidRPr="00A33B9F">
              <w:rPr>
                <w:noProof/>
              </w:rPr>
              <w:t xml:space="preserve"> </w:t>
            </w:r>
            <w:r w:rsidRPr="00A33B9F">
              <w:rPr>
                <w:noProof/>
              </w:rPr>
              <w:br/>
            </w:r>
            <w:r w:rsidRPr="00A33B9F">
              <w:rPr>
                <w:rFonts w:ascii="Times New Roman" w:hAnsi="Times New Roman"/>
                <w:noProof/>
                <w:color w:val="000000" w:themeColor="text1"/>
                <w:sz w:val="18"/>
              </w:rPr>
              <w:t>Ogólna zasada 10H zostanie utrzymana przy równoczesnym umożliwieniu odchyleń od niej oraz przyznaniu poszczególnym gminom większej władzy</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określania lokalizacji farm wiatrowych</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procedury opracowywania miejscowego planu zagospodarowania przestrzennego (procedura planistyczna/zagospodarowania przestrzennego)</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miejscowego planu zagospodarowania przestrzennego możliwe będzie określanie mniejszej odległości farmy wiatrowej od budynku mieszkalnego, po uwzględnieniu</w:t>
            </w:r>
            <w:r w:rsidR="00C3621A" w:rsidRPr="00A33B9F">
              <w:rPr>
                <w:rFonts w:ascii="Times New Roman" w:hAnsi="Times New Roman"/>
                <w:noProof/>
                <w:color w:val="000000" w:themeColor="text1"/>
                <w:sz w:val="18"/>
              </w:rPr>
              <w:t xml:space="preserve"> </w:t>
            </w:r>
            <w:r w:rsidRPr="00A33B9F">
              <w:rPr>
                <w:rFonts w:ascii="Times New Roman" w:hAnsi="Times New Roman"/>
                <w:noProof/>
                <w:color w:val="000000" w:themeColor="text1"/>
                <w:sz w:val="18"/>
              </w:rPr>
              <w:t>zasięgu oddziaływania farm wiatrowych na podstawie prognozy wpływu na środowisko sporządzonej</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takiego planu. </w:t>
            </w:r>
          </w:p>
        </w:tc>
      </w:tr>
      <w:tr w:rsidR="008C116B" w:rsidRPr="00A33B9F" w14:paraId="595EF8CE"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542495" w14:textId="0FA1C298"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B34L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0C2CD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20FD3C" w14:textId="3A36466A"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r w:rsidR="00C3621A" w:rsidRPr="00A33B9F">
              <w:rPr>
                <w:rFonts w:ascii="Times New Roman" w:hAnsi="Times New Roman"/>
                <w:noProof/>
                <w:color w:val="000000" w:themeColor="text1"/>
                <w:sz w:val="18"/>
              </w:rPr>
              <w:t xml:space="preserve"> </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9FCB6D" w14:textId="7D51CCA9"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określającego plan aukcji na odnawialne źródła energii na lata 2022–2027</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4BEC43" w14:textId="175DEB76"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roz</w:t>
            </w:r>
            <w:r w:rsidRPr="00A33B9F">
              <w:rPr>
                <w:rFonts w:ascii="Times New Roman" w:hAnsi="Times New Roman"/>
                <w:noProof/>
                <w:color w:val="000000"/>
                <w:sz w:val="18"/>
              </w:rPr>
              <w:t>porządzeniu wskazujący na jego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B3B41C"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11740E"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E2DC7"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F0C53"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98AE9B"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6F6412" w14:textId="386C52A6"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określającego plan aukcji na odnawialne źródło energii</w:t>
            </w:r>
            <w:r w:rsidR="00A33B9F" w:rsidRPr="00A33B9F">
              <w:rPr>
                <w:rFonts w:ascii="Times New Roman" w:hAnsi="Times New Roman"/>
                <w:noProof/>
                <w:color w:val="000000" w:themeColor="text1"/>
                <w:sz w:val="18"/>
              </w:rPr>
              <w:t xml:space="preserve"> w pod</w:t>
            </w:r>
            <w:r w:rsidRPr="00A33B9F">
              <w:rPr>
                <w:rFonts w:ascii="Times New Roman" w:hAnsi="Times New Roman"/>
                <w:noProof/>
                <w:color w:val="000000" w:themeColor="text1"/>
                <w:sz w:val="18"/>
              </w:rPr>
              <w:t>ziale na technologie (w tym nowe lądowe farmy wiatrowe)</w:t>
            </w:r>
            <w:r w:rsidR="00A33B9F" w:rsidRPr="00A33B9F">
              <w:rPr>
                <w:rFonts w:ascii="Times New Roman" w:hAnsi="Times New Roman"/>
                <w:noProof/>
                <w:color w:val="000000" w:themeColor="text1"/>
                <w:sz w:val="18"/>
              </w:rPr>
              <w:t>. W pla</w:t>
            </w:r>
            <w:r w:rsidRPr="00A33B9F">
              <w:rPr>
                <w:rFonts w:ascii="Times New Roman" w:hAnsi="Times New Roman"/>
                <w:noProof/>
                <w:color w:val="000000" w:themeColor="text1"/>
                <w:sz w:val="18"/>
              </w:rPr>
              <w:t>nie określony zostanie budżet</w:t>
            </w:r>
            <w:r w:rsidR="00A33B9F" w:rsidRPr="00A33B9F">
              <w:rPr>
                <w:rFonts w:ascii="Times New Roman" w:hAnsi="Times New Roman"/>
                <w:noProof/>
                <w:color w:val="000000" w:themeColor="text1"/>
                <w:sz w:val="18"/>
              </w:rPr>
              <w:t xml:space="preserve"> i wol</w:t>
            </w:r>
            <w:r w:rsidRPr="00A33B9F">
              <w:rPr>
                <w:rFonts w:ascii="Times New Roman" w:hAnsi="Times New Roman"/>
                <w:noProof/>
                <w:color w:val="000000" w:themeColor="text1"/>
                <w:sz w:val="18"/>
              </w:rPr>
              <w:t>umen wytworzonej energii elektrycznej przeznaczony do sprzedaży</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aukcji na zasadach konkurencyjnych</w:t>
            </w:r>
            <w:r w:rsidR="00A33B9F" w:rsidRPr="00A33B9F">
              <w:rPr>
                <w:rFonts w:ascii="Times New Roman" w:hAnsi="Times New Roman"/>
                <w:noProof/>
                <w:color w:val="000000" w:themeColor="text1"/>
                <w:sz w:val="18"/>
              </w:rPr>
              <w:t xml:space="preserve"> w lat</w:t>
            </w:r>
            <w:r w:rsidRPr="00A33B9F">
              <w:rPr>
                <w:rFonts w:ascii="Times New Roman" w:hAnsi="Times New Roman"/>
                <w:noProof/>
                <w:color w:val="000000" w:themeColor="text1"/>
                <w:sz w:val="18"/>
              </w:rPr>
              <w:t>ach 2022–2027.</w:t>
            </w:r>
          </w:p>
        </w:tc>
      </w:tr>
      <w:tr w:rsidR="008C116B" w:rsidRPr="00A33B9F" w14:paraId="07D93CFF"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7BD0D4" w14:textId="4BB30747"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B35L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070E4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BAF17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CF1763" w14:textId="453819A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T1 – Moc zainstalowana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 (w GW)</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C0F5A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9DB6FA"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817973"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11,2</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1D0872"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18</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D9C4D1"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608A1A"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ECACF" w14:textId="31EA90B7"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Całkowita moc zainstalowana (w GW)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w:t>
            </w:r>
          </w:p>
          <w:p w14:paraId="7BD725FC" w14:textId="77777777"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p>
        </w:tc>
      </w:tr>
      <w:tr w:rsidR="008C116B" w:rsidRPr="00A33B9F" w14:paraId="1C9D9F43"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05AD46" w14:textId="2E2B0244"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B36L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D5177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F2238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4A7A3E" w14:textId="68C4F43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T2 – Moc zainstalowana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 (w GW)</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4061D5"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F619E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4C4726"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18</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525871"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17C683"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2752C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059B0" w14:textId="424B3C75"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Całkowita moc zainstalowana (w GW)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w:t>
            </w:r>
          </w:p>
        </w:tc>
      </w:tr>
      <w:tr w:rsidR="008C116B" w:rsidRPr="00A33B9F" w14:paraId="058710FF"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F39D83" w14:textId="4302AB84"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B37L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EE9211"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666A18"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010557" w14:textId="54576B9E"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T3 – Moc zainstalowana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 (w GW)</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36C6A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6FCBD0"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EAA78F"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2AC6E1"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23</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1CA3D9" w14:textId="587AC55D" w:rsidR="00D50B18" w:rsidRPr="00A33B9F" w:rsidRDefault="26CA7C9F" w:rsidP="5E8E5BDA">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C663D7" w14:textId="78F25587" w:rsidR="00D50B18" w:rsidRPr="00A33B9F" w:rsidRDefault="26CA7C9F" w:rsidP="5E8E5BDA">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2023</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F12F29" w14:textId="010FAE43"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Całkowita moc zainstalowana (w GW)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w:t>
            </w:r>
          </w:p>
          <w:p w14:paraId="47AAFBB4" w14:textId="77777777"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p>
        </w:tc>
      </w:tr>
      <w:tr w:rsidR="008C116B" w:rsidRPr="00A33B9F" w14:paraId="1228EF0D"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A3A9A1" w14:textId="03C80698"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B38L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AF58AA"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E916B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18998E" w14:textId="14CE4A1B"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T4 – Moc zainstalowana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 (w GW)</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C7D632"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710E83"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4682F8"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23</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1B3397"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23,5</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971D59" w14:textId="2BB1B416" w:rsidR="00D50B18" w:rsidRPr="00A33B9F" w:rsidRDefault="26CA7C9F" w:rsidP="5E8E5BDA">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4D8B9D"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2023</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F1ED4A" w14:textId="174BE7C1"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Całkowita moc zainstalowana (w GW) lądowych instalacji wiatrowych</w:t>
            </w:r>
            <w:r w:rsidR="00A33B9F" w:rsidRPr="00A33B9F">
              <w:rPr>
                <w:rFonts w:ascii="Times New Roman" w:hAnsi="Times New Roman"/>
                <w:noProof/>
                <w:color w:val="000000" w:themeColor="text1"/>
                <w:sz w:val="18"/>
              </w:rPr>
              <w:t xml:space="preserve"> i fot</w:t>
            </w:r>
            <w:r w:rsidRPr="00A33B9F">
              <w:rPr>
                <w:rFonts w:ascii="Times New Roman" w:hAnsi="Times New Roman"/>
                <w:noProof/>
                <w:color w:val="000000" w:themeColor="text1"/>
                <w:sz w:val="18"/>
              </w:rPr>
              <w:t>owoltaicznych</w:t>
            </w:r>
          </w:p>
        </w:tc>
      </w:tr>
      <w:tr w:rsidR="008C116B" w:rsidRPr="00A33B9F" w14:paraId="79DA9394"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677DEB" w14:textId="5B5672AD"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B39L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56830D"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EE6C07"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B32E5F" w14:textId="14819868"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wykonawczego</w:t>
            </w:r>
            <w:r w:rsidR="00A33B9F" w:rsidRPr="00A33B9F">
              <w:rPr>
                <w:rFonts w:ascii="Times New Roman" w:hAnsi="Times New Roman"/>
                <w:noProof/>
                <w:color w:val="000000" w:themeColor="text1"/>
                <w:sz w:val="18"/>
              </w:rPr>
              <w:t xml:space="preserve"> w nas</w:t>
            </w:r>
            <w:r w:rsidRPr="00A33B9F">
              <w:rPr>
                <w:rFonts w:ascii="Times New Roman" w:hAnsi="Times New Roman"/>
                <w:noProof/>
                <w:color w:val="000000" w:themeColor="text1"/>
                <w:sz w:val="18"/>
              </w:rPr>
              <w:t>tępstwie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17 grudnia 2020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pro</w:t>
            </w:r>
            <w:r w:rsidRPr="00A33B9F">
              <w:rPr>
                <w:rFonts w:ascii="Times New Roman" w:hAnsi="Times New Roman"/>
                <w:noProof/>
                <w:color w:val="000000" w:themeColor="text1"/>
                <w:sz w:val="18"/>
              </w:rPr>
              <w:t>mowaniu wytwarzania energii elektrycznej</w:t>
            </w:r>
            <w:r w:rsidR="00A33B9F" w:rsidRPr="00A33B9F">
              <w:rPr>
                <w:rFonts w:ascii="Times New Roman" w:hAnsi="Times New Roman"/>
                <w:noProof/>
                <w:color w:val="000000" w:themeColor="text1"/>
                <w:sz w:val="18"/>
              </w:rPr>
              <w:t xml:space="preserve"> w mor</w:t>
            </w:r>
            <w:r w:rsidRPr="00A33B9F">
              <w:rPr>
                <w:rFonts w:ascii="Times New Roman" w:hAnsi="Times New Roman"/>
                <w:noProof/>
                <w:color w:val="000000" w:themeColor="text1"/>
                <w:sz w:val="18"/>
              </w:rPr>
              <w:t xml:space="preserve">skich farmach wiatrowych </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06C695" w14:textId="5EAC5FCD"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roz</w:t>
            </w:r>
            <w:r w:rsidRPr="00A33B9F">
              <w:rPr>
                <w:rFonts w:ascii="Times New Roman" w:hAnsi="Times New Roman"/>
                <w:noProof/>
                <w:color w:val="000000"/>
                <w:sz w:val="18"/>
              </w:rPr>
              <w:t>porządzeniu wskazujący na jego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D145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0197F6"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2F69BE"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F892C2"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231C87"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0A5137" w14:textId="76A104A7"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Wejdzie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następujące rozporządzenie wykonawcze:</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Rozporządzenie Rady Ministrów</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opłaty koncesyjnej – zgodnie</w:t>
            </w:r>
            <w:r w:rsidR="00A33B9F" w:rsidRPr="00A33B9F">
              <w:rPr>
                <w:rFonts w:ascii="Times New Roman" w:hAnsi="Times New Roman"/>
                <w:noProof/>
                <w:color w:val="000000" w:themeColor="text1"/>
                <w:sz w:val="18"/>
              </w:rPr>
              <w:t xml:space="preserve"> z art</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34 ust.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2a ustawy Prawo energetyczne obowiązkiem uiszczania opłaty koncesyjnej na rzecz Prezesa Urzędu Regulacji Energetyki objęto również przedsiębiorstwa energetyczne prowadzące działalność gospodarczą</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wytwarzania energii elektrycznej</w:t>
            </w:r>
            <w:r w:rsidR="00A33B9F" w:rsidRPr="00A33B9F">
              <w:rPr>
                <w:rFonts w:ascii="Times New Roman" w:hAnsi="Times New Roman"/>
                <w:noProof/>
                <w:color w:val="000000" w:themeColor="text1"/>
                <w:sz w:val="18"/>
              </w:rPr>
              <w:t xml:space="preserve"> w mor</w:t>
            </w:r>
            <w:r w:rsidRPr="00A33B9F">
              <w:rPr>
                <w:rFonts w:ascii="Times New Roman" w:hAnsi="Times New Roman"/>
                <w:noProof/>
                <w:color w:val="000000" w:themeColor="text1"/>
                <w:sz w:val="18"/>
              </w:rPr>
              <w:t>skich farmach wiatrowych,</w:t>
            </w:r>
            <w:r w:rsidR="00A33B9F" w:rsidRPr="00A33B9F">
              <w:rPr>
                <w:rFonts w:ascii="Times New Roman" w:hAnsi="Times New Roman"/>
                <w:noProof/>
                <w:color w:val="000000" w:themeColor="text1"/>
                <w:sz w:val="18"/>
              </w:rPr>
              <w:t xml:space="preserve"> o któ</w:t>
            </w:r>
            <w:r w:rsidRPr="00A33B9F">
              <w:rPr>
                <w:rFonts w:ascii="Times New Roman" w:hAnsi="Times New Roman"/>
                <w:noProof/>
                <w:color w:val="000000" w:themeColor="text1"/>
                <w:sz w:val="18"/>
              </w:rPr>
              <w:t>rych mowa</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17 grudnia 2020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pro</w:t>
            </w:r>
            <w:r w:rsidRPr="00A33B9F">
              <w:rPr>
                <w:rFonts w:ascii="Times New Roman" w:hAnsi="Times New Roman"/>
                <w:noProof/>
                <w:color w:val="000000" w:themeColor="text1"/>
                <w:sz w:val="18"/>
              </w:rPr>
              <w:t>mowaniu wytwarzania energii elektrycznej</w:t>
            </w:r>
            <w:r w:rsidR="00A33B9F" w:rsidRPr="00A33B9F">
              <w:rPr>
                <w:rFonts w:ascii="Times New Roman" w:hAnsi="Times New Roman"/>
                <w:noProof/>
                <w:color w:val="000000" w:themeColor="text1"/>
                <w:sz w:val="18"/>
              </w:rPr>
              <w:t xml:space="preserve"> w mor</w:t>
            </w:r>
            <w:r w:rsidRPr="00A33B9F">
              <w:rPr>
                <w:rFonts w:ascii="Times New Roman" w:hAnsi="Times New Roman"/>
                <w:noProof/>
                <w:color w:val="000000" w:themeColor="text1"/>
                <w:sz w:val="18"/>
              </w:rPr>
              <w:t>skich farmach wiatrowych. Ponadto</w:t>
            </w:r>
            <w:r w:rsidR="00A33B9F" w:rsidRPr="00A33B9F">
              <w:rPr>
                <w:rFonts w:ascii="Times New Roman" w:hAnsi="Times New Roman"/>
                <w:noProof/>
                <w:color w:val="000000" w:themeColor="text1"/>
                <w:sz w:val="18"/>
              </w:rPr>
              <w:t xml:space="preserve"> w zwi</w:t>
            </w:r>
            <w:r w:rsidRPr="00A33B9F">
              <w:rPr>
                <w:rFonts w:ascii="Times New Roman" w:hAnsi="Times New Roman"/>
                <w:noProof/>
                <w:color w:val="000000" w:themeColor="text1"/>
                <w:sz w:val="18"/>
              </w:rPr>
              <w:t>ązku ze zmianą ustawy – Prawo energetyczne</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15 kwietnia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działalnością, która również zostanie objęta opłatą koncesyjną, jest magazynowanie energii elektrycznej.</w:t>
            </w:r>
          </w:p>
        </w:tc>
      </w:tr>
      <w:tr w:rsidR="008C116B" w:rsidRPr="00A33B9F" w14:paraId="23C91131" w14:textId="77777777" w:rsidTr="1CE0CE0C">
        <w:trPr>
          <w:trHeight w:val="313"/>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C847C" w14:textId="1E7A4A04" w:rsidR="00D50B18" w:rsidRPr="00A33B9F" w:rsidRDefault="26CA7C9F" w:rsidP="5E8E5BDA">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B40L</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535C4A"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B3.6 Poprawa warunków dla rozwoju odnawialnych źródeł energii</w:t>
            </w:r>
          </w:p>
          <w:p w14:paraId="4A087B84"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7761BA"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p w14:paraId="78ECF030"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C7568D" w14:textId="277E64DD"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wykonawczego</w:t>
            </w:r>
            <w:r w:rsidR="00A33B9F" w:rsidRPr="00A33B9F">
              <w:rPr>
                <w:rFonts w:ascii="Times New Roman" w:hAnsi="Times New Roman"/>
                <w:noProof/>
                <w:color w:val="000000" w:themeColor="text1"/>
                <w:sz w:val="18"/>
              </w:rPr>
              <w:t xml:space="preserve"> w nas</w:t>
            </w:r>
            <w:r w:rsidRPr="00A33B9F">
              <w:rPr>
                <w:rFonts w:ascii="Times New Roman" w:hAnsi="Times New Roman"/>
                <w:noProof/>
                <w:color w:val="000000" w:themeColor="text1"/>
                <w:sz w:val="18"/>
              </w:rPr>
              <w:t>tępstwie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17 grudnia 2020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pro</w:t>
            </w:r>
            <w:r w:rsidRPr="00A33B9F">
              <w:rPr>
                <w:rFonts w:ascii="Times New Roman" w:hAnsi="Times New Roman"/>
                <w:noProof/>
                <w:color w:val="000000" w:themeColor="text1"/>
                <w:sz w:val="18"/>
              </w:rPr>
              <w:t>mowaniu wytwarzania energii elektrycznej</w:t>
            </w:r>
            <w:r w:rsidR="00A33B9F" w:rsidRPr="00A33B9F">
              <w:rPr>
                <w:rFonts w:ascii="Times New Roman" w:hAnsi="Times New Roman"/>
                <w:noProof/>
                <w:color w:val="000000" w:themeColor="text1"/>
                <w:sz w:val="18"/>
              </w:rPr>
              <w:t xml:space="preserve"> w mor</w:t>
            </w:r>
            <w:r w:rsidRPr="00A33B9F">
              <w:rPr>
                <w:rFonts w:ascii="Times New Roman" w:hAnsi="Times New Roman"/>
                <w:noProof/>
                <w:color w:val="000000" w:themeColor="text1"/>
                <w:sz w:val="18"/>
              </w:rPr>
              <w:t>skich farmach wiatrowych</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503577" w14:textId="0097EE35"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roz</w:t>
            </w:r>
            <w:r w:rsidRPr="00A33B9F">
              <w:rPr>
                <w:rFonts w:ascii="Times New Roman" w:hAnsi="Times New Roman"/>
                <w:noProof/>
                <w:color w:val="000000"/>
                <w:sz w:val="18"/>
              </w:rPr>
              <w:t>porządzeniu wskazujący na jego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w:t>
            </w:r>
          </w:p>
          <w:p w14:paraId="461FF2B1"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E4FAF" w14:textId="77777777" w:rsidR="00D50B18" w:rsidRPr="00A33B9F" w:rsidRDefault="00D50B1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33CF2F" w14:textId="77777777" w:rsidR="00D50B18" w:rsidRPr="00A33B9F" w:rsidRDefault="00D50B18">
            <w:pPr>
              <w:pStyle w:val="Normal0"/>
              <w:spacing w:after="0" w:line="240" w:lineRule="auto"/>
              <w:jc w:val="right"/>
              <w:rPr>
                <w:rFonts w:ascii="Times New Roman" w:eastAsia="Times New Roman" w:hAnsi="Times New Roman" w:cs="Times New Roman"/>
                <w:noProof/>
                <w:color w:val="000000" w:themeColor="text1"/>
                <w:sz w:val="18"/>
                <w:szCs w:val="18"/>
              </w:rPr>
            </w:pPr>
          </w:p>
        </w:tc>
        <w:tc>
          <w:tcPr>
            <w:tcW w:w="8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9FF30C" w14:textId="77777777" w:rsidR="00D50B18" w:rsidRPr="00A33B9F" w:rsidRDefault="00D50B1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3BFD4E"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719364" w14:textId="77777777" w:rsidR="00D50B18" w:rsidRPr="00A33B9F" w:rsidRDefault="00D50B1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4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305F68" w14:textId="0418970F" w:rsidR="00D50B18" w:rsidRPr="00A33B9F" w:rsidRDefault="00D50B1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Rozporządzenie Ministra Klimatu</w:t>
            </w:r>
            <w:r w:rsidR="00A33B9F" w:rsidRPr="00A33B9F">
              <w:rPr>
                <w:rFonts w:ascii="Times New Roman" w:hAnsi="Times New Roman"/>
                <w:noProof/>
                <w:color w:val="000000" w:themeColor="text1"/>
                <w:sz w:val="18"/>
              </w:rPr>
              <w:t xml:space="preserve"> i Śro</w:t>
            </w:r>
            <w:r w:rsidRPr="00A33B9F">
              <w:rPr>
                <w:rFonts w:ascii="Times New Roman" w:hAnsi="Times New Roman"/>
                <w:noProof/>
                <w:color w:val="000000" w:themeColor="text1"/>
                <w:sz w:val="18"/>
              </w:rPr>
              <w:t>dowiska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rodzajów przepływów środków pieniężnych uwzględnianych przy obliczaniu ceny skorygowanej oraz szczegółowego sposobu obliczania ceny skorygowanej W rozporządzeniu zostaną określone uregulowanie rodzajów przepływów środków pieniężnych uwzględnianych przy obliczaniu ceny skorygowanej oraz wprowadzenie szczegółowego sposobu obliczania ceny skorygowanej</w:t>
            </w:r>
            <w:r w:rsidR="00A33B9F" w:rsidRPr="00A33B9F">
              <w:rPr>
                <w:rFonts w:ascii="Times New Roman" w:hAnsi="Times New Roman"/>
                <w:noProof/>
                <w:color w:val="000000" w:themeColor="text1"/>
                <w:sz w:val="18"/>
              </w:rPr>
              <w:t>. W tra</w:t>
            </w:r>
            <w:r w:rsidRPr="00A33B9F">
              <w:rPr>
                <w:rFonts w:ascii="Times New Roman" w:hAnsi="Times New Roman"/>
                <w:noProof/>
                <w:color w:val="000000" w:themeColor="text1"/>
                <w:sz w:val="18"/>
              </w:rPr>
              <w:t>kcie tego procesu uwzględnione zostaną takie czynniki jak pomoc inwestycyjna, termin udzielenia pomocy inwestycyjnej oraz zasady udzielania pomocy publicznej na ochronę środowiska</w:t>
            </w:r>
            <w:r w:rsidR="00A33B9F" w:rsidRPr="00A33B9F">
              <w:rPr>
                <w:rFonts w:ascii="Times New Roman" w:hAnsi="Times New Roman"/>
                <w:noProof/>
                <w:color w:val="000000" w:themeColor="text1"/>
                <w:sz w:val="18"/>
              </w:rPr>
              <w:t xml:space="preserve"> i cel</w:t>
            </w:r>
            <w:r w:rsidRPr="00A33B9F">
              <w:rPr>
                <w:rFonts w:ascii="Times New Roman" w:hAnsi="Times New Roman"/>
                <w:noProof/>
                <w:color w:val="000000" w:themeColor="text1"/>
                <w:sz w:val="18"/>
              </w:rPr>
              <w:t>e związane</w:t>
            </w:r>
            <w:r w:rsidR="00A33B9F" w:rsidRPr="00A33B9F">
              <w:rPr>
                <w:rFonts w:ascii="Times New Roman" w:hAnsi="Times New Roman"/>
                <w:noProof/>
                <w:color w:val="000000" w:themeColor="text1"/>
                <w:sz w:val="18"/>
              </w:rPr>
              <w:t xml:space="preserve"> z ene</w:t>
            </w:r>
            <w:r w:rsidRPr="00A33B9F">
              <w:rPr>
                <w:rFonts w:ascii="Times New Roman" w:hAnsi="Times New Roman"/>
                <w:noProof/>
                <w:color w:val="000000" w:themeColor="text1"/>
                <w:sz w:val="18"/>
              </w:rPr>
              <w:t>rgią. Celem jest uproszczenie wspomnianej procedury dla inwestorów morskich farm wiatrowych.</w:t>
            </w:r>
          </w:p>
        </w:tc>
      </w:tr>
    </w:tbl>
    <w:p w14:paraId="09165CDE" w14:textId="77777777" w:rsidR="00D50B18" w:rsidRPr="00A33B9F" w:rsidRDefault="00D50B18">
      <w:pPr>
        <w:pStyle w:val="Normal0"/>
        <w:pBdr>
          <w:top w:val="nil"/>
          <w:left w:val="nil"/>
          <w:bottom w:val="nil"/>
          <w:right w:val="nil"/>
          <w:between w:val="nil"/>
        </w:pBdr>
        <w:spacing w:line="240" w:lineRule="auto"/>
        <w:jc w:val="both"/>
        <w:rPr>
          <w:rFonts w:ascii="Times New Roman" w:eastAsia="Times New Roman" w:hAnsi="Times New Roman" w:cs="Times New Roman"/>
          <w:b/>
          <w:noProof/>
          <w:color w:val="000000"/>
          <w:sz w:val="24"/>
          <w:szCs w:val="24"/>
        </w:rPr>
      </w:pPr>
    </w:p>
    <w:p w14:paraId="64610752" w14:textId="77777777" w:rsidR="00D50B18" w:rsidRPr="00A33B9F" w:rsidRDefault="00D50B18">
      <w:pPr>
        <w:pStyle w:val="Normal0"/>
        <w:pBdr>
          <w:top w:val="nil"/>
          <w:left w:val="nil"/>
          <w:bottom w:val="nil"/>
          <w:right w:val="nil"/>
          <w:between w:val="nil"/>
        </w:pBdr>
        <w:spacing w:line="240" w:lineRule="auto"/>
        <w:jc w:val="both"/>
        <w:rPr>
          <w:rFonts w:ascii="Times New Roman" w:eastAsia="Times New Roman" w:hAnsi="Times New Roman" w:cs="Times New Roman"/>
          <w:b/>
          <w:noProof/>
          <w:color w:val="000000"/>
          <w:sz w:val="24"/>
          <w:szCs w:val="24"/>
        </w:rPr>
      </w:pPr>
    </w:p>
    <w:p w14:paraId="49206A88" w14:textId="77777777" w:rsidR="00BB26D6" w:rsidRPr="00A33B9F" w:rsidRDefault="00BB26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BB26D6" w:rsidRPr="00A33B9F">
          <w:headerReference w:type="even" r:id="rId73"/>
          <w:headerReference w:type="default" r:id="rId74"/>
          <w:footerReference w:type="even" r:id="rId75"/>
          <w:footerReference w:type="default" r:id="rId76"/>
          <w:headerReference w:type="first" r:id="rId77"/>
          <w:footerReference w:type="first" r:id="rId78"/>
          <w:pgSz w:w="16839" w:h="11907" w:orient="landscape"/>
          <w:pgMar w:top="1418" w:right="1134" w:bottom="1418" w:left="1134" w:header="709" w:footer="709" w:gutter="0"/>
          <w:cols w:space="720"/>
        </w:sectPr>
      </w:pPr>
    </w:p>
    <w:p w14:paraId="0618BFED" w14:textId="77777777" w:rsidR="007C4506" w:rsidRPr="00A33B9F"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noProof/>
          <w:color w:val="000000"/>
          <w:sz w:val="24"/>
          <w:szCs w:val="24"/>
        </w:rPr>
      </w:pPr>
      <w:r w:rsidRPr="00A33B9F">
        <w:rPr>
          <w:rFonts w:ascii="Times New Roman" w:hAnsi="Times New Roman"/>
          <w:b/>
          <w:smallCaps/>
          <w:noProof/>
          <w:color w:val="000000"/>
          <w:sz w:val="24"/>
        </w:rPr>
        <w:t>C. KOMPONENT C: „TRANSFORMACJA CYFROWA”</w:t>
      </w:r>
    </w:p>
    <w:p w14:paraId="688EA1F7" w14:textId="4220BEC8"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Komponent C polskiego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odnosi się do szeregu wyzwań. Po pierwsze, dotyczy on różnic między obszarami miejskimi</w:t>
      </w:r>
      <w:r w:rsidR="00A33B9F" w:rsidRPr="00A33B9F">
        <w:rPr>
          <w:rFonts w:ascii="Times New Roman" w:hAnsi="Times New Roman"/>
          <w:noProof/>
          <w:color w:val="000000" w:themeColor="text1"/>
          <w:sz w:val="24"/>
        </w:rPr>
        <w:t xml:space="preserve"> i wie</w:t>
      </w:r>
      <w:r w:rsidRPr="00A33B9F">
        <w:rPr>
          <w:rFonts w:ascii="Times New Roman" w:hAnsi="Times New Roman"/>
          <w:noProof/>
          <w:color w:val="000000" w:themeColor="text1"/>
          <w:sz w:val="24"/>
        </w:rPr>
        <w:t>jskimi pod względem łączności oraz dostępu do szybkiego</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zawodnego połączenia internetowego zarówno przewodowego, jak</w:t>
      </w:r>
      <w:r w:rsidR="00A33B9F" w:rsidRPr="00A33B9F">
        <w:rPr>
          <w:rFonts w:ascii="Times New Roman" w:hAnsi="Times New Roman"/>
          <w:noProof/>
          <w:color w:val="000000" w:themeColor="text1"/>
          <w:sz w:val="24"/>
        </w:rPr>
        <w:t xml:space="preserve"> i bez</w:t>
      </w:r>
      <w:r w:rsidRPr="00A33B9F">
        <w:rPr>
          <w:rFonts w:ascii="Times New Roman" w:hAnsi="Times New Roman"/>
          <w:noProof/>
          <w:color w:val="000000" w:themeColor="text1"/>
          <w:sz w:val="24"/>
        </w:rPr>
        <w:t>przewodowego; po drugie – konieczności szybszego</w:t>
      </w:r>
      <w:r w:rsidR="00A33B9F" w:rsidRPr="00A33B9F">
        <w:rPr>
          <w:rFonts w:ascii="Times New Roman" w:hAnsi="Times New Roman"/>
          <w:noProof/>
          <w:color w:val="000000" w:themeColor="text1"/>
          <w:sz w:val="24"/>
        </w:rPr>
        <w:t xml:space="preserve"> i bez</w:t>
      </w:r>
      <w:r w:rsidRPr="00A33B9F">
        <w:rPr>
          <w:rFonts w:ascii="Times New Roman" w:hAnsi="Times New Roman"/>
          <w:noProof/>
          <w:color w:val="000000" w:themeColor="text1"/>
          <w:sz w:val="24"/>
        </w:rPr>
        <w:t>pieczniejszego wykorzystywania usług cyfrowych</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publicznym; po trzecie – ogólnego braku ukierunkowanej strategii kształcenia</w:t>
      </w:r>
      <w:r w:rsidR="00A33B9F" w:rsidRPr="00A33B9F">
        <w:rPr>
          <w:rFonts w:ascii="Times New Roman" w:hAnsi="Times New Roman"/>
          <w:noProof/>
          <w:color w:val="000000" w:themeColor="text1"/>
          <w:sz w:val="24"/>
        </w:rPr>
        <w:t xml:space="preserve"> i szk</w:t>
      </w:r>
      <w:r w:rsidRPr="00A33B9F">
        <w:rPr>
          <w:rFonts w:ascii="Times New Roman" w:hAnsi="Times New Roman"/>
          <w:noProof/>
          <w:color w:val="000000" w:themeColor="text1"/>
          <w:sz w:val="24"/>
        </w:rPr>
        <w:t>olenia</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technologii cyfrowych, co</w:t>
      </w:r>
      <w:r w:rsidR="00A33B9F" w:rsidRPr="00A33B9F">
        <w:rPr>
          <w:rFonts w:ascii="Times New Roman" w:hAnsi="Times New Roman"/>
          <w:noProof/>
          <w:color w:val="000000" w:themeColor="text1"/>
          <w:sz w:val="24"/>
        </w:rPr>
        <w:t xml:space="preserve"> w cza</w:t>
      </w:r>
      <w:r w:rsidRPr="00A33B9F">
        <w:rPr>
          <w:rFonts w:ascii="Times New Roman" w:hAnsi="Times New Roman"/>
          <w:noProof/>
          <w:color w:val="000000" w:themeColor="text1"/>
          <w:sz w:val="24"/>
        </w:rPr>
        <w:t>sie pandemii COVID-19 wyraźnie uwidocznił niedostateczny poziom umiejętności cyfrowych uczniów</w:t>
      </w:r>
      <w:r w:rsidR="00A33B9F" w:rsidRPr="00A33B9F">
        <w:rPr>
          <w:rFonts w:ascii="Times New Roman" w:hAnsi="Times New Roman"/>
          <w:noProof/>
          <w:color w:val="000000" w:themeColor="text1"/>
          <w:sz w:val="24"/>
        </w:rPr>
        <w:t xml:space="preserve"> i nau</w:t>
      </w:r>
      <w:r w:rsidRPr="00A33B9F">
        <w:rPr>
          <w:rFonts w:ascii="Times New Roman" w:hAnsi="Times New Roman"/>
          <w:noProof/>
          <w:color w:val="000000" w:themeColor="text1"/>
          <w:sz w:val="24"/>
        </w:rPr>
        <w:t>czycieli</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wystarczająca ilość posiadanego przez nich sprzętu ICT. Ponadto</w:t>
      </w:r>
      <w:r w:rsidR="00A33B9F" w:rsidRPr="00A33B9F">
        <w:rPr>
          <w:rFonts w:ascii="Times New Roman" w:hAnsi="Times New Roman"/>
          <w:noProof/>
          <w:color w:val="000000" w:themeColor="text1"/>
          <w:sz w:val="24"/>
        </w:rPr>
        <w:t xml:space="preserve"> w kom</w:t>
      </w:r>
      <w:r w:rsidRPr="00A33B9F">
        <w:rPr>
          <w:rFonts w:ascii="Times New Roman" w:hAnsi="Times New Roman"/>
          <w:noProof/>
          <w:color w:val="000000" w:themeColor="text1"/>
          <w:sz w:val="24"/>
        </w:rPr>
        <w:t>ponencie tym uwzględniono konieczność zwiększenia cyberbezpieczeństwa publicznego systemu informacyjnego</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szybkiego reagowania na cyberataki</w:t>
      </w:r>
      <w:r w:rsidR="00A33B9F" w:rsidRPr="00A33B9F">
        <w:rPr>
          <w:rFonts w:ascii="Times New Roman" w:hAnsi="Times New Roman"/>
          <w:noProof/>
          <w:color w:val="000000" w:themeColor="text1"/>
          <w:sz w:val="24"/>
        </w:rPr>
        <w:t xml:space="preserve"> i inc</w:t>
      </w:r>
      <w:r w:rsidRPr="00A33B9F">
        <w:rPr>
          <w:rFonts w:ascii="Times New Roman" w:hAnsi="Times New Roman"/>
          <w:noProof/>
          <w:color w:val="000000" w:themeColor="text1"/>
          <w:sz w:val="24"/>
        </w:rPr>
        <w:t>ydenty związane</w:t>
      </w:r>
      <w:r w:rsidR="00A33B9F" w:rsidRPr="00A33B9F">
        <w:rPr>
          <w:rFonts w:ascii="Times New Roman" w:hAnsi="Times New Roman"/>
          <w:noProof/>
          <w:color w:val="000000" w:themeColor="text1"/>
          <w:sz w:val="24"/>
        </w:rPr>
        <w:t xml:space="preserve"> z bez</w:t>
      </w:r>
      <w:r w:rsidRPr="00A33B9F">
        <w:rPr>
          <w:rFonts w:ascii="Times New Roman" w:hAnsi="Times New Roman"/>
          <w:noProof/>
          <w:color w:val="000000" w:themeColor="text1"/>
          <w:sz w:val="24"/>
        </w:rPr>
        <w:t>pieczeństwem.</w:t>
      </w:r>
    </w:p>
    <w:p w14:paraId="02754BF2" w14:textId="6E084888" w:rsidR="007C4506" w:rsidRPr="00A33B9F" w:rsidRDefault="66E7BAD6" w:rsidP="00F7393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Komponent ten służy przyspieszeniu procesu cyfryzacji kraju poprzez transformację cyfrową sektora publicznego, gospodarki</w:t>
      </w:r>
      <w:r w:rsidR="00A33B9F" w:rsidRPr="00A33B9F">
        <w:rPr>
          <w:rFonts w:ascii="Times New Roman" w:hAnsi="Times New Roman"/>
          <w:noProof/>
          <w:color w:val="000000" w:themeColor="text1"/>
          <w:sz w:val="24"/>
        </w:rPr>
        <w:t xml:space="preserve"> i spo</w:t>
      </w:r>
      <w:r w:rsidRPr="00A33B9F">
        <w:rPr>
          <w:rFonts w:ascii="Times New Roman" w:hAnsi="Times New Roman"/>
          <w:noProof/>
          <w:color w:val="000000" w:themeColor="text1"/>
          <w:sz w:val="24"/>
        </w:rPr>
        <w:t>łeczeństwa. Składa się</w:t>
      </w:r>
      <w:r w:rsidR="00A33B9F" w:rsidRPr="00A33B9F">
        <w:rPr>
          <w:rFonts w:ascii="Times New Roman" w:hAnsi="Times New Roman"/>
          <w:noProof/>
          <w:color w:val="000000" w:themeColor="text1"/>
          <w:sz w:val="24"/>
        </w:rPr>
        <w:t xml:space="preserve"> z dzi</w:t>
      </w:r>
      <w:r w:rsidRPr="00A33B9F">
        <w:rPr>
          <w:rFonts w:ascii="Times New Roman" w:hAnsi="Times New Roman"/>
          <w:noProof/>
          <w:color w:val="000000" w:themeColor="text1"/>
          <w:sz w:val="24"/>
        </w:rPr>
        <w:t>ałań, których celem jest: poprawa dostępu do szybkiego internetu; opracowywanie e-usług</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ększanie ich dostępności</w:t>
      </w:r>
      <w:r w:rsidR="00A33B9F" w:rsidRPr="00A33B9F">
        <w:rPr>
          <w:rFonts w:ascii="Times New Roman" w:hAnsi="Times New Roman"/>
          <w:noProof/>
          <w:color w:val="000000" w:themeColor="text1"/>
          <w:sz w:val="24"/>
        </w:rPr>
        <w:t xml:space="preserve"> w apl</w:t>
      </w:r>
      <w:r w:rsidRPr="00A33B9F">
        <w:rPr>
          <w:rFonts w:ascii="Times New Roman" w:hAnsi="Times New Roman"/>
          <w:noProof/>
          <w:color w:val="000000" w:themeColor="text1"/>
          <w:sz w:val="24"/>
        </w:rPr>
        <w:t>ikacji mobilnej mObywatel oraz usprawnienie komunikacji między instytucjami publicznymi, obywatelami</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edsiębiorstwami; wzrost bezpieczeństwa</w:t>
      </w:r>
      <w:r w:rsidR="00A33B9F" w:rsidRPr="00A33B9F">
        <w:rPr>
          <w:rFonts w:ascii="Times New Roman" w:hAnsi="Times New Roman"/>
          <w:noProof/>
          <w:color w:val="000000" w:themeColor="text1"/>
          <w:sz w:val="24"/>
        </w:rPr>
        <w:t xml:space="preserve"> w cyb</w:t>
      </w:r>
      <w:r w:rsidRPr="00A33B9F">
        <w:rPr>
          <w:rFonts w:ascii="Times New Roman" w:hAnsi="Times New Roman"/>
          <w:noProof/>
          <w:color w:val="000000" w:themeColor="text1"/>
          <w:sz w:val="24"/>
        </w:rPr>
        <w:t>erprzestrzeni, zabezpieczenie infrastruktury przetwarzania danych oraz cyfryzacja infrastruktury służb odpowiedzialnych za bezpieczeństwo; wspieranie transformacji cyfrowej przedsiębiorstw dzięki wykorzystaniu technologii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w:t>
      </w:r>
      <w:r w:rsidR="00C3621A" w:rsidRPr="00A33B9F">
        <w:rPr>
          <w:rFonts w:ascii="Times New Roman" w:hAnsi="Times New Roman"/>
          <w:noProof/>
          <w:color w:val="000000" w:themeColor="text1"/>
          <w:sz w:val="24"/>
        </w:rPr>
        <w:t xml:space="preserve"> </w:t>
      </w:r>
    </w:p>
    <w:p w14:paraId="35DB3F80" w14:textId="54BD7784"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Reformy</w:t>
      </w:r>
      <w:r w:rsidR="00A33B9F" w:rsidRPr="00A33B9F">
        <w:rPr>
          <w:rFonts w:ascii="Times New Roman" w:hAnsi="Times New Roman"/>
          <w:noProof/>
          <w:color w:val="000000" w:themeColor="text1"/>
          <w:sz w:val="24"/>
        </w:rPr>
        <w:t xml:space="preserve"> i inw</w:t>
      </w:r>
      <w:r w:rsidRPr="00A33B9F">
        <w:rPr>
          <w:rFonts w:ascii="Times New Roman" w:hAnsi="Times New Roman"/>
          <w:noProof/>
          <w:color w:val="000000" w:themeColor="text1"/>
          <w:sz w:val="24"/>
        </w:rPr>
        <w:t>estycje opracowane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komponentu przyczyniają się do wykonania trzech zaleceń krajowych określonych dla Polski</w:t>
      </w:r>
      <w:r w:rsidR="00A33B9F" w:rsidRPr="00A33B9F">
        <w:rPr>
          <w:rFonts w:ascii="Times New Roman" w:hAnsi="Times New Roman"/>
          <w:noProof/>
          <w:color w:val="000000" w:themeColor="text1"/>
          <w:sz w:val="24"/>
        </w:rPr>
        <w:t xml:space="preserve"> w ost</w:t>
      </w:r>
      <w:r w:rsidRPr="00A33B9F">
        <w:rPr>
          <w:rFonts w:ascii="Times New Roman" w:hAnsi="Times New Roman"/>
          <w:noProof/>
          <w:color w:val="000000" w:themeColor="text1"/>
          <w:sz w:val="24"/>
        </w:rPr>
        <w:t>atnich dwóch latach, dotyczących konieczności ukierunkowania inwestycyjnej polityki gospodarczej na infrastrukturę cyfrową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019</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r w:rsidR="00A33B9F" w:rsidRPr="00A33B9F">
        <w:rPr>
          <w:rFonts w:ascii="Times New Roman" w:hAnsi="Times New Roman"/>
          <w:noProof/>
          <w:color w:val="000000" w:themeColor="text1"/>
          <w:sz w:val="24"/>
        </w:rPr>
        <w:t xml:space="preserve"> i tra</w:t>
      </w:r>
      <w:r w:rsidRPr="00A33B9F">
        <w:rPr>
          <w:rFonts w:ascii="Times New Roman" w:hAnsi="Times New Roman"/>
          <w:noProof/>
          <w:color w:val="000000" w:themeColor="text1"/>
          <w:sz w:val="24"/>
        </w:rPr>
        <w:t>nsformację cyfrową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020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jak również potrzeby podnoszenia umiejętności cyfrowych</w:t>
      </w:r>
      <w:r w:rsidR="00A33B9F" w:rsidRPr="00A33B9F">
        <w:rPr>
          <w:rFonts w:ascii="Times New Roman" w:hAnsi="Times New Roman"/>
          <w:noProof/>
          <w:color w:val="000000" w:themeColor="text1"/>
          <w:sz w:val="24"/>
        </w:rPr>
        <w:t xml:space="preserve"> i dal</w:t>
      </w:r>
      <w:r w:rsidRPr="00A33B9F">
        <w:rPr>
          <w:rFonts w:ascii="Times New Roman" w:hAnsi="Times New Roman"/>
          <w:noProof/>
          <w:color w:val="000000" w:themeColor="text1"/>
          <w:sz w:val="24"/>
        </w:rPr>
        <w:t>szego promowania transformacji cyfrowej przedsiębiorstw</w:t>
      </w:r>
      <w:r w:rsidR="00A33B9F" w:rsidRPr="00A33B9F">
        <w:rPr>
          <w:rFonts w:ascii="Times New Roman" w:hAnsi="Times New Roman"/>
          <w:noProof/>
          <w:color w:val="000000" w:themeColor="text1"/>
          <w:sz w:val="24"/>
        </w:rPr>
        <w:t xml:space="preserve"> i adm</w:t>
      </w:r>
      <w:r w:rsidRPr="00A33B9F">
        <w:rPr>
          <w:rFonts w:ascii="Times New Roman" w:hAnsi="Times New Roman"/>
          <w:noProof/>
          <w:color w:val="000000" w:themeColor="text1"/>
          <w:sz w:val="24"/>
        </w:rPr>
        <w:t>inistracji publicznej (zalecenia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2, 2020). </w:t>
      </w:r>
    </w:p>
    <w:p w14:paraId="7057CE24" w14:textId="006442A6" w:rsidR="007A3960" w:rsidRPr="00A33B9F" w:rsidRDefault="4CDD99F0" w:rsidP="4FB1767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Oczekuje się, że żaden ze środków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komponencie nie spowoduje poważnych szkód dla celów środowiskowych</w:t>
      </w:r>
      <w:r w:rsidR="00A33B9F" w:rsidRPr="00A33B9F">
        <w:rPr>
          <w:rFonts w:ascii="Times New Roman" w:hAnsi="Times New Roman"/>
          <w:noProof/>
          <w:color w:val="000000" w:themeColor="text1"/>
          <w:sz w:val="24"/>
        </w:rPr>
        <w:t xml:space="preserve"> w roz</w:t>
      </w:r>
      <w:r w:rsidRPr="00A33B9F">
        <w:rPr>
          <w:rFonts w:ascii="Times New Roman" w:hAnsi="Times New Roman"/>
          <w:noProof/>
          <w:color w:val="000000" w:themeColor="text1"/>
          <w:sz w:val="24"/>
        </w:rPr>
        <w:t>umieniu art.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17 rozporządzenia Parlamentu Europejskiego</w:t>
      </w:r>
      <w:r w:rsidR="00A33B9F" w:rsidRPr="00A33B9F">
        <w:rPr>
          <w:rFonts w:ascii="Times New Roman" w:hAnsi="Times New Roman"/>
          <w:noProof/>
          <w:color w:val="000000" w:themeColor="text1"/>
          <w:sz w:val="24"/>
        </w:rPr>
        <w:t xml:space="preserve"> i Rad</w:t>
      </w:r>
      <w:r w:rsidRPr="00A33B9F">
        <w:rPr>
          <w:rFonts w:ascii="Times New Roman" w:hAnsi="Times New Roman"/>
          <w:noProof/>
          <w:color w:val="000000" w:themeColor="text1"/>
          <w:sz w:val="24"/>
        </w:rPr>
        <w:t>y (UE) 2020/852, biorąc pod uwagę opis środków</w:t>
      </w:r>
      <w:r w:rsidR="00A33B9F" w:rsidRPr="00A33B9F">
        <w:rPr>
          <w:rFonts w:ascii="Times New Roman" w:hAnsi="Times New Roman"/>
          <w:noProof/>
          <w:color w:val="000000" w:themeColor="text1"/>
          <w:sz w:val="24"/>
        </w:rPr>
        <w:t xml:space="preserve"> i dzi</w:t>
      </w:r>
      <w:r w:rsidRPr="00A33B9F">
        <w:rPr>
          <w:rFonts w:ascii="Times New Roman" w:hAnsi="Times New Roman"/>
          <w:noProof/>
          <w:color w:val="000000" w:themeColor="text1"/>
          <w:sz w:val="24"/>
        </w:rPr>
        <w:t>ałań ograniczających ryzyko</w:t>
      </w:r>
      <w:r w:rsidR="00A33B9F" w:rsidRPr="00A33B9F">
        <w:rPr>
          <w:rFonts w:ascii="Times New Roman" w:hAnsi="Times New Roman"/>
          <w:noProof/>
          <w:color w:val="000000" w:themeColor="text1"/>
          <w:sz w:val="24"/>
        </w:rPr>
        <w:t xml:space="preserve"> w pla</w:t>
      </w:r>
      <w:r w:rsidRPr="00A33B9F">
        <w:rPr>
          <w:rFonts w:ascii="Times New Roman" w:hAnsi="Times New Roman"/>
          <w:noProof/>
          <w:color w:val="000000" w:themeColor="text1"/>
          <w:sz w:val="24"/>
        </w:rPr>
        <w:t>nie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zgodnie</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(2021/C 58/01).</w:t>
      </w:r>
    </w:p>
    <w:p w14:paraId="4E61B8F0" w14:textId="10863548" w:rsidR="007C4506" w:rsidRPr="00A33B9F" w:rsidRDefault="00B31839" w:rsidP="4FB1767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Oczekuje się, że komponent ten pomoże</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mowaniu transformacji cyfrowej poprzez rozwój infrastruktury szerokopasmowej sieci dostępu nowej generacji, zwiększenie wykorzystania narzędzi cyfrowych</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publicznym oraz podniesienie e-kompetencji</w:t>
      </w:r>
      <w:r w:rsidR="00A33B9F" w:rsidRPr="00A33B9F">
        <w:rPr>
          <w:rFonts w:ascii="Times New Roman" w:hAnsi="Times New Roman"/>
          <w:noProof/>
          <w:color w:val="000000" w:themeColor="text1"/>
          <w:sz w:val="24"/>
        </w:rPr>
        <w:t xml:space="preserve"> w spo</w:t>
      </w:r>
      <w:r w:rsidRPr="00A33B9F">
        <w:rPr>
          <w:rFonts w:ascii="Times New Roman" w:hAnsi="Times New Roman"/>
          <w:noProof/>
          <w:color w:val="000000" w:themeColor="text1"/>
          <w:sz w:val="24"/>
        </w:rPr>
        <w:t>łeczeństwie (przedsiębiorstw, administracji publicznej, nauczycieli</w:t>
      </w:r>
      <w:r w:rsidR="00A33B9F" w:rsidRPr="00A33B9F">
        <w:rPr>
          <w:rFonts w:ascii="Times New Roman" w:hAnsi="Times New Roman"/>
          <w:noProof/>
          <w:color w:val="000000" w:themeColor="text1"/>
          <w:sz w:val="24"/>
        </w:rPr>
        <w:t xml:space="preserve"> i ucz</w:t>
      </w:r>
      <w:r w:rsidRPr="00A33B9F">
        <w:rPr>
          <w:rFonts w:ascii="Times New Roman" w:hAnsi="Times New Roman"/>
          <w:noProof/>
          <w:color w:val="000000" w:themeColor="text1"/>
          <w:sz w:val="24"/>
        </w:rPr>
        <w:t>niów). Przyczyni się on do optymalizacji cyberbezpieczeństwa, zwiększenia efektywności przetwarzania danych</w:t>
      </w:r>
      <w:r w:rsidR="00A33B9F" w:rsidRPr="00A33B9F">
        <w:rPr>
          <w:rFonts w:ascii="Times New Roman" w:hAnsi="Times New Roman"/>
          <w:noProof/>
          <w:color w:val="000000" w:themeColor="text1"/>
          <w:sz w:val="24"/>
        </w:rPr>
        <w:t xml:space="preserve"> i mod</w:t>
      </w:r>
      <w:r w:rsidRPr="00A33B9F">
        <w:rPr>
          <w:rFonts w:ascii="Times New Roman" w:hAnsi="Times New Roman"/>
          <w:noProof/>
          <w:color w:val="000000" w:themeColor="text1"/>
          <w:sz w:val="24"/>
        </w:rPr>
        <w:t>ernizacji infrastruktury służb odpowiedzialnych za bezpieczeństwo. Ponadto ewentualne wdrożenie innowacyjnych rozwiązań chmurowych nowej generacji pozwoli stworzyć stabilne</w:t>
      </w:r>
      <w:r w:rsidR="00A33B9F" w:rsidRPr="00A33B9F">
        <w:rPr>
          <w:rFonts w:ascii="Times New Roman" w:hAnsi="Times New Roman"/>
          <w:noProof/>
          <w:color w:val="000000" w:themeColor="text1"/>
          <w:sz w:val="24"/>
        </w:rPr>
        <w:t xml:space="preserve"> i zró</w:t>
      </w:r>
      <w:r w:rsidRPr="00A33B9F">
        <w:rPr>
          <w:rFonts w:ascii="Times New Roman" w:hAnsi="Times New Roman"/>
          <w:noProof/>
          <w:color w:val="000000" w:themeColor="text1"/>
          <w:sz w:val="24"/>
        </w:rPr>
        <w:t>wnoważone infrastruktury chmurowe.</w:t>
      </w:r>
    </w:p>
    <w:p w14:paraId="67B7A70C"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3807EE3C" w14:textId="047DCD08"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4F81BD"/>
          <w:sz w:val="24"/>
          <w:szCs w:val="24"/>
        </w:rPr>
      </w:pPr>
      <w:r w:rsidRPr="00A33B9F">
        <w:rPr>
          <w:rFonts w:ascii="Times New Roman" w:hAnsi="Times New Roman"/>
          <w:b/>
          <w:noProof/>
          <w:color w:val="000000"/>
          <w:sz w:val="24"/>
        </w:rPr>
        <w:t xml:space="preserve">C.1. </w:t>
      </w:r>
      <w:r w:rsidRPr="00A33B9F">
        <w:rPr>
          <w:noProof/>
        </w:rPr>
        <w:tab/>
      </w:r>
      <w:r w:rsidRPr="00A33B9F">
        <w:rPr>
          <w:rFonts w:ascii="Times New Roman" w:hAnsi="Times New Roman"/>
          <w:b/>
          <w:noProof/>
          <w:color w:val="000000"/>
          <w:sz w:val="24"/>
        </w:rPr>
        <w:t>Opis reform</w:t>
      </w:r>
      <w:r w:rsidR="00A33B9F" w:rsidRPr="00A33B9F">
        <w:rPr>
          <w:rFonts w:ascii="Times New Roman" w:hAnsi="Times New Roman"/>
          <w:b/>
          <w:noProof/>
          <w:color w:val="000000"/>
          <w:sz w:val="24"/>
        </w:rPr>
        <w:t xml:space="preserve"> i inw</w:t>
      </w:r>
      <w:r w:rsidRPr="00A33B9F">
        <w:rPr>
          <w:rFonts w:ascii="Times New Roman" w:hAnsi="Times New Roman"/>
          <w:b/>
          <w:noProof/>
          <w:color w:val="000000"/>
          <w:sz w:val="24"/>
        </w:rPr>
        <w:t>estycji, które mają być finansowane</w:t>
      </w:r>
      <w:r w:rsidR="00A33B9F" w:rsidRPr="00A33B9F">
        <w:rPr>
          <w:rFonts w:ascii="Times New Roman" w:hAnsi="Times New Roman"/>
          <w:b/>
          <w:noProof/>
          <w:color w:val="000000"/>
          <w:sz w:val="24"/>
        </w:rPr>
        <w:t xml:space="preserve"> z bez</w:t>
      </w:r>
      <w:r w:rsidRPr="00A33B9F">
        <w:rPr>
          <w:rFonts w:ascii="Times New Roman" w:hAnsi="Times New Roman"/>
          <w:b/>
          <w:noProof/>
          <w:color w:val="000000"/>
          <w:sz w:val="24"/>
        </w:rPr>
        <w:t>zwrotnego wsparcia finansowego</w:t>
      </w:r>
    </w:p>
    <w:p w14:paraId="30CD01E6" w14:textId="4D2B8469"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Za pośrednictwem komponentu zostaną przeprowadzone 3 reformy</w:t>
      </w:r>
      <w:r w:rsidR="00A33B9F" w:rsidRPr="00A33B9F">
        <w:rPr>
          <w:rFonts w:ascii="Times New Roman" w:hAnsi="Times New Roman"/>
          <w:noProof/>
          <w:color w:val="000000"/>
          <w:sz w:val="24"/>
        </w:rPr>
        <w:t xml:space="preserve"> i 5</w:t>
      </w:r>
      <w:r w:rsidRPr="00A33B9F">
        <w:rPr>
          <w:rFonts w:ascii="Times New Roman" w:hAnsi="Times New Roman"/>
          <w:noProof/>
          <w:color w:val="000000"/>
          <w:sz w:val="24"/>
        </w:rPr>
        <w:t xml:space="preserve"> inwestycji</w:t>
      </w:r>
      <w:r w:rsidR="00A33B9F" w:rsidRPr="00A33B9F">
        <w:rPr>
          <w:rFonts w:ascii="Times New Roman" w:hAnsi="Times New Roman"/>
          <w:noProof/>
          <w:color w:val="000000"/>
          <w:sz w:val="24"/>
        </w:rPr>
        <w:t xml:space="preserve"> w ram</w:t>
      </w:r>
      <w:r w:rsidRPr="00A33B9F">
        <w:rPr>
          <w:rFonts w:ascii="Times New Roman" w:hAnsi="Times New Roman"/>
          <w:noProof/>
          <w:color w:val="000000"/>
          <w:sz w:val="24"/>
        </w:rPr>
        <w:t>ach części komponentu dotyczącej dotacji.</w:t>
      </w:r>
    </w:p>
    <w:p w14:paraId="71887C79"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10584BFE" w14:textId="476B9C8F"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C1.1. Ułatwienie rozwoju infrastruktury sieciowej</w:t>
      </w:r>
      <w:r w:rsidR="00A33B9F" w:rsidRPr="00A33B9F">
        <w:rPr>
          <w:rFonts w:ascii="Times New Roman" w:hAnsi="Times New Roman"/>
          <w:b/>
          <w:noProof/>
          <w:color w:val="000000"/>
          <w:sz w:val="24"/>
          <w:u w:val="single"/>
        </w:rPr>
        <w:t xml:space="preserve"> w cel</w:t>
      </w:r>
      <w:r w:rsidRPr="00A33B9F">
        <w:rPr>
          <w:rFonts w:ascii="Times New Roman" w:hAnsi="Times New Roman"/>
          <w:b/>
          <w:noProof/>
          <w:color w:val="000000"/>
          <w:sz w:val="24"/>
          <w:u w:val="single"/>
        </w:rPr>
        <w:t>u zapewnienia powszechnego dostępu do szybkiego internetu</w:t>
      </w:r>
    </w:p>
    <w:p w14:paraId="2B507DF1" w14:textId="6AF2678A" w:rsidR="007C4506" w:rsidRPr="00A33B9F"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ta ma na celu zagwarantowanie powszechnego dostępu do szybkiego internetu</w:t>
      </w:r>
      <w:r w:rsidR="00A33B9F" w:rsidRPr="00A33B9F">
        <w:rPr>
          <w:rFonts w:ascii="Times New Roman" w:hAnsi="Times New Roman"/>
          <w:noProof/>
          <w:color w:val="000000"/>
          <w:sz w:val="24"/>
        </w:rPr>
        <w:t xml:space="preserve"> i usł</w:t>
      </w:r>
      <w:r w:rsidRPr="00A33B9F">
        <w:rPr>
          <w:rFonts w:ascii="Times New Roman" w:hAnsi="Times New Roman"/>
          <w:noProof/>
          <w:color w:val="000000"/>
          <w:sz w:val="24"/>
        </w:rPr>
        <w:t>ug cyfrowych</w:t>
      </w:r>
      <w:r w:rsidR="00A33B9F" w:rsidRPr="00A33B9F">
        <w:rPr>
          <w:rFonts w:ascii="Times New Roman" w:hAnsi="Times New Roman"/>
          <w:noProof/>
          <w:color w:val="000000"/>
          <w:sz w:val="24"/>
        </w:rPr>
        <w:t xml:space="preserve"> w cał</w:t>
      </w:r>
      <w:r w:rsidRPr="00A33B9F">
        <w:rPr>
          <w:rFonts w:ascii="Times New Roman" w:hAnsi="Times New Roman"/>
          <w:noProof/>
          <w:color w:val="000000"/>
          <w:sz w:val="24"/>
        </w:rPr>
        <w:t>ej Polsce,</w:t>
      </w:r>
      <w:r w:rsidR="00A33B9F" w:rsidRPr="00A33B9F">
        <w:rPr>
          <w:rFonts w:ascii="Times New Roman" w:hAnsi="Times New Roman"/>
          <w:noProof/>
          <w:color w:val="000000"/>
          <w:sz w:val="24"/>
        </w:rPr>
        <w:t xml:space="preserve"> w tym</w:t>
      </w:r>
      <w:r w:rsidRPr="00A33B9F">
        <w:rPr>
          <w:rFonts w:ascii="Times New Roman" w:hAnsi="Times New Roman"/>
          <w:noProof/>
          <w:color w:val="000000"/>
          <w:sz w:val="24"/>
        </w:rPr>
        <w:t xml:space="preserve"> na obszarach tzw. „białych plam”</w:t>
      </w:r>
      <w:r w:rsidRPr="00A33B9F">
        <w:rPr>
          <w:rFonts w:ascii="Times New Roman" w:hAnsi="Times New Roman"/>
          <w:noProof/>
          <w:color w:val="000000"/>
          <w:sz w:val="18"/>
        </w:rPr>
        <w:t xml:space="preserve">, </w:t>
      </w:r>
      <w:r w:rsidRPr="00A33B9F">
        <w:rPr>
          <w:rFonts w:ascii="Times New Roman" w:hAnsi="Times New Roman"/>
          <w:noProof/>
          <w:color w:val="000000"/>
          <w:sz w:val="24"/>
        </w:rPr>
        <w:t>na których nie istnieje infrastruktura szerokopasmowa</w:t>
      </w:r>
      <w:r w:rsidR="00A33B9F" w:rsidRPr="00A33B9F">
        <w:rPr>
          <w:rFonts w:ascii="Times New Roman" w:hAnsi="Times New Roman"/>
          <w:noProof/>
          <w:color w:val="000000"/>
          <w:sz w:val="24"/>
        </w:rPr>
        <w:t xml:space="preserve"> o duż</w:t>
      </w:r>
      <w:r w:rsidRPr="00A33B9F">
        <w:rPr>
          <w:rFonts w:ascii="Times New Roman" w:hAnsi="Times New Roman"/>
          <w:noProof/>
          <w:color w:val="000000"/>
          <w:sz w:val="24"/>
        </w:rPr>
        <w:t xml:space="preserve">ej przepustowości. </w:t>
      </w:r>
    </w:p>
    <w:p w14:paraId="3B7FD67C" w14:textId="77777777" w:rsidR="007C4506" w:rsidRPr="00A33B9F"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38D6B9B6" w14:textId="08A0F8D2" w:rsidR="007C4506" w:rsidRPr="00A33B9F" w:rsidRDefault="00B31839"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 ten zostanie osiągnięty po pierwsze – poprzez likwidację barier legislacyjnych</w:t>
      </w:r>
      <w:r w:rsidR="00A33B9F" w:rsidRPr="00A33B9F">
        <w:rPr>
          <w:rFonts w:ascii="Times New Roman" w:hAnsi="Times New Roman"/>
          <w:noProof/>
          <w:color w:val="000000"/>
          <w:sz w:val="24"/>
        </w:rPr>
        <w:t xml:space="preserve"> w prz</w:t>
      </w:r>
      <w:r w:rsidRPr="00A33B9F">
        <w:rPr>
          <w:rFonts w:ascii="Times New Roman" w:hAnsi="Times New Roman"/>
          <w:noProof/>
          <w:color w:val="000000"/>
          <w:sz w:val="24"/>
        </w:rPr>
        <w:t>ypadku inwestycji</w:t>
      </w:r>
      <w:r w:rsidR="00A33B9F" w:rsidRPr="00A33B9F">
        <w:rPr>
          <w:rFonts w:ascii="Times New Roman" w:hAnsi="Times New Roman"/>
          <w:noProof/>
          <w:color w:val="000000"/>
          <w:sz w:val="24"/>
        </w:rPr>
        <w:t xml:space="preserve"> w sie</w:t>
      </w:r>
      <w:r w:rsidRPr="00A33B9F">
        <w:rPr>
          <w:rFonts w:ascii="Times New Roman" w:hAnsi="Times New Roman"/>
          <w:noProof/>
          <w:color w:val="000000"/>
          <w:sz w:val="24"/>
        </w:rPr>
        <w:t>ci szerokopasmowe, a po drugie – poprzez dostosowanie krajowego prawodawstwa do ogólnounijnego zestawu narzędzi łączności</w:t>
      </w:r>
      <w:r w:rsidR="00A33B9F" w:rsidRPr="00A33B9F">
        <w:rPr>
          <w:rFonts w:ascii="Times New Roman" w:hAnsi="Times New Roman"/>
          <w:noProof/>
          <w:color w:val="000000"/>
          <w:sz w:val="24"/>
        </w:rPr>
        <w:t xml:space="preserve"> z dni</w:t>
      </w:r>
      <w:r w:rsidRPr="00A33B9F">
        <w:rPr>
          <w:rFonts w:ascii="Times New Roman" w:hAnsi="Times New Roman"/>
          <w:noProof/>
          <w:color w:val="000000"/>
          <w:sz w:val="24"/>
        </w:rPr>
        <w:t>a 25 marca 2021</w:t>
      </w:r>
      <w:r w:rsidR="00A33B9F" w:rsidRPr="00A33B9F">
        <w:rPr>
          <w:rFonts w:ascii="Times New Roman" w:hAnsi="Times New Roman"/>
          <w:noProof/>
          <w:color w:val="000000"/>
          <w:sz w:val="24"/>
        </w:rPr>
        <w:t> </w:t>
      </w:r>
      <w:r w:rsidRPr="00A33B9F">
        <w:rPr>
          <w:rFonts w:ascii="Times New Roman" w:hAnsi="Times New Roman"/>
          <w:noProof/>
          <w:color w:val="000000"/>
          <w:sz w:val="24"/>
        </w:rPr>
        <w:t>r., będącego zbiorem najlepszych praktyk mających na celu przyspieszenie wprowadzania</w:t>
      </w:r>
      <w:r w:rsidR="00A33B9F" w:rsidRPr="00A33B9F">
        <w:rPr>
          <w:rFonts w:ascii="Times New Roman" w:hAnsi="Times New Roman"/>
          <w:noProof/>
          <w:color w:val="000000"/>
          <w:sz w:val="24"/>
        </w:rPr>
        <w:t xml:space="preserve"> i wdr</w:t>
      </w:r>
      <w:r w:rsidRPr="00A33B9F">
        <w:rPr>
          <w:rFonts w:ascii="Times New Roman" w:hAnsi="Times New Roman"/>
          <w:noProof/>
          <w:color w:val="000000"/>
          <w:sz w:val="24"/>
        </w:rPr>
        <w:t>ażania sieci</w:t>
      </w:r>
      <w:r w:rsidR="00A33B9F" w:rsidRPr="00A33B9F">
        <w:rPr>
          <w:rFonts w:ascii="Times New Roman" w:hAnsi="Times New Roman"/>
          <w:noProof/>
          <w:color w:val="000000"/>
          <w:sz w:val="24"/>
        </w:rPr>
        <w:t xml:space="preserve"> o bar</w:t>
      </w:r>
      <w:r w:rsidRPr="00A33B9F">
        <w:rPr>
          <w:rFonts w:ascii="Times New Roman" w:hAnsi="Times New Roman"/>
          <w:noProof/>
          <w:color w:val="000000"/>
          <w:sz w:val="24"/>
        </w:rPr>
        <w:t>dzo dużej przepustowości (VHCN). Zmiany prawne dotyczą m.in. zmiany rozporządzenia</w:t>
      </w:r>
      <w:r w:rsidR="00A33B9F" w:rsidRPr="00A33B9F">
        <w:rPr>
          <w:rFonts w:ascii="Times New Roman" w:hAnsi="Times New Roman"/>
          <w:noProof/>
          <w:color w:val="000000"/>
          <w:sz w:val="24"/>
        </w:rPr>
        <w:t xml:space="preserve"> w spr</w:t>
      </w:r>
      <w:r w:rsidRPr="00A33B9F">
        <w:rPr>
          <w:rFonts w:ascii="Times New Roman" w:hAnsi="Times New Roman"/>
          <w:noProof/>
          <w:color w:val="000000"/>
          <w:sz w:val="24"/>
        </w:rPr>
        <w:t>awie inwentaryzacji infrastruktury</w:t>
      </w:r>
      <w:r w:rsidR="00A33B9F" w:rsidRPr="00A33B9F">
        <w:rPr>
          <w:rFonts w:ascii="Times New Roman" w:hAnsi="Times New Roman"/>
          <w:noProof/>
          <w:color w:val="000000"/>
          <w:sz w:val="24"/>
        </w:rPr>
        <w:t xml:space="preserve"> i usł</w:t>
      </w:r>
      <w:r w:rsidRPr="00A33B9F">
        <w:rPr>
          <w:rFonts w:ascii="Times New Roman" w:hAnsi="Times New Roman"/>
          <w:noProof/>
          <w:color w:val="000000"/>
          <w:sz w:val="24"/>
        </w:rPr>
        <w:t>ug telekomunikacyjnych oraz rozporządzenia</w:t>
      </w:r>
      <w:r w:rsidR="00A33B9F" w:rsidRPr="00A33B9F">
        <w:rPr>
          <w:rFonts w:ascii="Times New Roman" w:hAnsi="Times New Roman"/>
          <w:noProof/>
          <w:color w:val="000000"/>
          <w:sz w:val="24"/>
        </w:rPr>
        <w:t xml:space="preserve"> w spr</w:t>
      </w:r>
      <w:r w:rsidRPr="00A33B9F">
        <w:rPr>
          <w:rFonts w:ascii="Times New Roman" w:hAnsi="Times New Roman"/>
          <w:noProof/>
          <w:color w:val="000000"/>
          <w:sz w:val="24"/>
        </w:rPr>
        <w:t>awie systemu Pojedynczego Punktu Informacyjnego.</w:t>
      </w:r>
    </w:p>
    <w:p w14:paraId="08D1BA24" w14:textId="626A026D" w:rsidR="007C4506" w:rsidRPr="00A33B9F"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31 marca 2023</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22F860BB"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5B93607B"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C1.1.1 Zapewnienie dostępu do bardzo szybkiego internetu na obszarach białych plam</w:t>
      </w:r>
    </w:p>
    <w:p w14:paraId="198F93A6" w14:textId="08D9699D" w:rsidR="007C4506" w:rsidRPr="00A33B9F" w:rsidRDefault="246F4FE2" w:rsidP="06663D5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Zgodnie ze wspomnianą reformą inwestycja ta ma na celu zwiększenie liczby gospodarstw domowych objętych stałą siecią szerokopasmową</w:t>
      </w:r>
      <w:r w:rsidR="00A33B9F" w:rsidRPr="00A33B9F">
        <w:rPr>
          <w:rFonts w:ascii="Times New Roman" w:hAnsi="Times New Roman"/>
          <w:noProof/>
          <w:color w:val="000000" w:themeColor="text1"/>
          <w:sz w:val="24"/>
        </w:rPr>
        <w:t xml:space="preserve"> o 9</w:t>
      </w:r>
      <w:r w:rsidRPr="00A33B9F">
        <w:rPr>
          <w:rFonts w:ascii="Times New Roman" w:hAnsi="Times New Roman"/>
          <w:noProof/>
          <w:color w:val="000000" w:themeColor="text1"/>
          <w:sz w:val="24"/>
        </w:rPr>
        <w:t>31 000 lokali ze szczególnym uwzględnieniem białych obszarów dostępu nowej generacji, na których obecnie nie istnieje infrastruktura szerokopasmowa</w:t>
      </w:r>
      <w:r w:rsidR="00A33B9F" w:rsidRPr="00A33B9F">
        <w:rPr>
          <w:rFonts w:ascii="Times New Roman" w:hAnsi="Times New Roman"/>
          <w:noProof/>
          <w:color w:val="000000" w:themeColor="text1"/>
          <w:sz w:val="24"/>
        </w:rPr>
        <w:t xml:space="preserve"> o duż</w:t>
      </w:r>
      <w:r w:rsidRPr="00A33B9F">
        <w:rPr>
          <w:rFonts w:ascii="Times New Roman" w:hAnsi="Times New Roman"/>
          <w:noProof/>
          <w:color w:val="000000" w:themeColor="text1"/>
          <w:sz w:val="24"/>
        </w:rPr>
        <w:t>ej przepustowości</w:t>
      </w:r>
      <w:r w:rsidR="00A33B9F" w:rsidRPr="00A33B9F">
        <w:rPr>
          <w:rFonts w:ascii="Times New Roman" w:hAnsi="Times New Roman"/>
          <w:noProof/>
          <w:color w:val="000000" w:themeColor="text1"/>
          <w:sz w:val="24"/>
        </w:rPr>
        <w:t xml:space="preserve"> i w prz</w:t>
      </w:r>
      <w:r w:rsidRPr="00A33B9F">
        <w:rPr>
          <w:rFonts w:ascii="Times New Roman" w:hAnsi="Times New Roman"/>
          <w:noProof/>
          <w:color w:val="000000" w:themeColor="text1"/>
          <w:sz w:val="24"/>
        </w:rPr>
        <w:t>ypadku których jest mało prawdopodobne, by</w:t>
      </w:r>
      <w:r w:rsidR="00A33B9F" w:rsidRPr="00A33B9F">
        <w:rPr>
          <w:rFonts w:ascii="Times New Roman" w:hAnsi="Times New Roman"/>
          <w:noProof/>
          <w:color w:val="000000" w:themeColor="text1"/>
          <w:sz w:val="24"/>
        </w:rPr>
        <w:t xml:space="preserve"> w naj</w:t>
      </w:r>
      <w:r w:rsidRPr="00A33B9F">
        <w:rPr>
          <w:rFonts w:ascii="Times New Roman" w:hAnsi="Times New Roman"/>
          <w:noProof/>
          <w:color w:val="000000" w:themeColor="text1"/>
          <w:sz w:val="24"/>
        </w:rPr>
        <w:t>bliżej przyszłości rynek zapewnił użytkownikom końcowym łączność</w:t>
      </w:r>
      <w:r w:rsidR="00A33B9F" w:rsidRPr="00A33B9F">
        <w:rPr>
          <w:rFonts w:ascii="Times New Roman" w:hAnsi="Times New Roman"/>
          <w:noProof/>
          <w:color w:val="000000" w:themeColor="text1"/>
          <w:sz w:val="24"/>
        </w:rPr>
        <w:t xml:space="preserve"> o prę</w:t>
      </w:r>
      <w:r w:rsidRPr="00A33B9F">
        <w:rPr>
          <w:rFonts w:ascii="Times New Roman" w:hAnsi="Times New Roman"/>
          <w:noProof/>
          <w:color w:val="000000" w:themeColor="text1"/>
          <w:sz w:val="24"/>
        </w:rPr>
        <w:t>dkości pobierania danych wynoszącej 100 Mb/s, tak aby co najmniej 80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gospodarstw domowych miało dostęp do internetu</w:t>
      </w:r>
      <w:r w:rsidR="00A33B9F" w:rsidRPr="00A33B9F">
        <w:rPr>
          <w:rFonts w:ascii="Times New Roman" w:hAnsi="Times New Roman"/>
          <w:noProof/>
          <w:color w:val="000000" w:themeColor="text1"/>
          <w:sz w:val="24"/>
        </w:rPr>
        <w:t xml:space="preserve"> o prz</w:t>
      </w:r>
      <w:r w:rsidRPr="00A33B9F">
        <w:rPr>
          <w:rFonts w:ascii="Times New Roman" w:hAnsi="Times New Roman"/>
          <w:noProof/>
          <w:color w:val="000000" w:themeColor="text1"/>
          <w:sz w:val="24"/>
        </w:rPr>
        <w:t>epustowości 100 Mb/s,</w:t>
      </w:r>
      <w:r w:rsidR="00A33B9F" w:rsidRPr="00A33B9F">
        <w:rPr>
          <w:rFonts w:ascii="Times New Roman" w:hAnsi="Times New Roman"/>
          <w:noProof/>
          <w:color w:val="000000" w:themeColor="text1"/>
          <w:sz w:val="24"/>
        </w:rPr>
        <w:t xml:space="preserve"> z moż</w:t>
      </w:r>
      <w:r w:rsidRPr="00A33B9F">
        <w:rPr>
          <w:rFonts w:ascii="Times New Roman" w:hAnsi="Times New Roman"/>
          <w:noProof/>
          <w:color w:val="000000" w:themeColor="text1"/>
          <w:sz w:val="24"/>
        </w:rPr>
        <w:t>liwością jej zwiększenia do prędkości mierzonych w Gb/s. Wspomniana inwestycja służy osiągnięciu 3 wartości docelowych: pierwsza zakłada objęcie stałą siecią szerokopasmową 100 000 gospodarstw domowych do grudnia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druga – 400 000 gospodarstw domowych do grudnia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natomiast ostatnia zakłada objęcie pozostałych 431 000 gospodarstw domowych stałą siecią szerokopasmową do</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BE4C66D" w14:textId="2CCD4D41" w:rsidR="4D73F1B3" w:rsidRPr="00A33B9F" w:rsidRDefault="4D73F1B3" w:rsidP="00DC753D">
      <w:pPr>
        <w:pStyle w:val="Normal0"/>
        <w:pBdr>
          <w:top w:val="nil"/>
          <w:left w:val="nil"/>
          <w:bottom w:val="nil"/>
          <w:right w:val="nil"/>
          <w:between w:val="nil"/>
        </w:pBdr>
        <w:spacing w:before="120" w:after="120" w:line="240" w:lineRule="auto"/>
        <w:jc w:val="both"/>
        <w:rPr>
          <w:noProof/>
          <w:sz w:val="24"/>
          <w:szCs w:val="24"/>
        </w:rPr>
      </w:pPr>
      <w:r w:rsidRPr="00A33B9F">
        <w:rPr>
          <w:rFonts w:ascii="Times New Roman" w:hAnsi="Times New Roman"/>
          <w:noProof/>
          <w:sz w:val="24"/>
        </w:rPr>
        <w:t>Inwestycja wspiera również modernizację lokalnych sieci komputerowych (LAN)</w:t>
      </w:r>
      <w:r w:rsidR="00A33B9F" w:rsidRPr="00A33B9F">
        <w:rPr>
          <w:rFonts w:ascii="Times New Roman" w:hAnsi="Times New Roman"/>
          <w:noProof/>
          <w:sz w:val="24"/>
        </w:rPr>
        <w:t xml:space="preserve"> w szk</w:t>
      </w:r>
      <w:r w:rsidRPr="00A33B9F">
        <w:rPr>
          <w:rFonts w:ascii="Times New Roman" w:hAnsi="Times New Roman"/>
          <w:noProof/>
          <w:sz w:val="24"/>
        </w:rPr>
        <w:t>ołach</w:t>
      </w:r>
      <w:r w:rsidR="00A33B9F" w:rsidRPr="00A33B9F">
        <w:rPr>
          <w:rFonts w:ascii="Times New Roman" w:hAnsi="Times New Roman"/>
          <w:noProof/>
          <w:sz w:val="24"/>
        </w:rPr>
        <w:t xml:space="preserve"> i zap</w:t>
      </w:r>
      <w:r w:rsidRPr="00A33B9F">
        <w:rPr>
          <w:rFonts w:ascii="Times New Roman" w:hAnsi="Times New Roman"/>
          <w:noProof/>
          <w:sz w:val="24"/>
        </w:rPr>
        <w:t>ewnia dostęp do bardzo szybkiego internetu (tj. internetu</w:t>
      </w:r>
      <w:r w:rsidR="00A33B9F" w:rsidRPr="00A33B9F">
        <w:rPr>
          <w:rFonts w:ascii="Times New Roman" w:hAnsi="Times New Roman"/>
          <w:noProof/>
          <w:sz w:val="24"/>
        </w:rPr>
        <w:t xml:space="preserve"> o prę</w:t>
      </w:r>
      <w:r w:rsidRPr="00A33B9F">
        <w:rPr>
          <w:rFonts w:ascii="Times New Roman" w:hAnsi="Times New Roman"/>
          <w:noProof/>
          <w:sz w:val="24"/>
        </w:rPr>
        <w:t>dkości przekraczającej minimalny standard 100 Mb/s) w co najmniej 100 000 sal lekcyjnych.</w:t>
      </w:r>
    </w:p>
    <w:p w14:paraId="443B59E1" w14:textId="44F8ACDE" w:rsidR="00B80F1D" w:rsidRPr="00A33B9F" w:rsidRDefault="6BEEB582" w:rsidP="62CA5F81">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spełnić warunki zasady „nie czyń poważnych szkód”,</w:t>
      </w:r>
      <w:r w:rsidR="00A33B9F" w:rsidRPr="00A33B9F">
        <w:rPr>
          <w:rFonts w:ascii="Times New Roman" w:hAnsi="Times New Roman"/>
          <w:noProof/>
          <w:color w:val="000000" w:themeColor="text1"/>
          <w:sz w:val="24"/>
        </w:rPr>
        <w:t xml:space="preserve"> w syt</w:t>
      </w:r>
      <w:r w:rsidRPr="00A33B9F">
        <w:rPr>
          <w:rFonts w:ascii="Times New Roman" w:hAnsi="Times New Roman"/>
          <w:noProof/>
          <w:color w:val="000000" w:themeColor="text1"/>
          <w:sz w:val="24"/>
        </w:rPr>
        <w:t>uacjach,</w:t>
      </w:r>
      <w:r w:rsidR="00A33B9F" w:rsidRPr="00A33B9F">
        <w:rPr>
          <w:rFonts w:ascii="Times New Roman" w:hAnsi="Times New Roman"/>
          <w:noProof/>
          <w:color w:val="000000" w:themeColor="text1"/>
          <w:sz w:val="24"/>
        </w:rPr>
        <w:t xml:space="preserve"> w któ</w:t>
      </w:r>
      <w:r w:rsidRPr="00A33B9F">
        <w:rPr>
          <w:rFonts w:ascii="Times New Roman" w:hAnsi="Times New Roman"/>
          <w:noProof/>
          <w:color w:val="000000" w:themeColor="text1"/>
          <w:sz w:val="24"/>
        </w:rPr>
        <w:t>rych jest to wymagane zgodnie</w:t>
      </w:r>
      <w:r w:rsidR="00A33B9F" w:rsidRPr="00A33B9F">
        <w:rPr>
          <w:rFonts w:ascii="Times New Roman" w:hAnsi="Times New Roman"/>
          <w:noProof/>
          <w:color w:val="000000" w:themeColor="text1"/>
          <w:sz w:val="24"/>
        </w:rPr>
        <w:t xml:space="preserve"> z obo</w:t>
      </w:r>
      <w:r w:rsidRPr="00A33B9F">
        <w:rPr>
          <w:rFonts w:ascii="Times New Roman" w:hAnsi="Times New Roman"/>
          <w:noProof/>
          <w:color w:val="000000" w:themeColor="text1"/>
          <w:sz w:val="24"/>
        </w:rPr>
        <w:t>wiązującymi przepisami, należy przeprowadzić ocenę dotyczącą ryzyka zmiany klimatu</w:t>
      </w:r>
      <w:r w:rsidR="00A33B9F" w:rsidRPr="00A33B9F">
        <w:rPr>
          <w:rFonts w:ascii="Times New Roman" w:hAnsi="Times New Roman"/>
          <w:noProof/>
          <w:color w:val="000000" w:themeColor="text1"/>
          <w:sz w:val="24"/>
        </w:rPr>
        <w:t xml:space="preserve"> i oce</w:t>
      </w:r>
      <w:r w:rsidRPr="00A33B9F">
        <w:rPr>
          <w:rFonts w:ascii="Times New Roman" w:hAnsi="Times New Roman"/>
          <w:noProof/>
          <w:color w:val="000000" w:themeColor="text1"/>
          <w:sz w:val="24"/>
        </w:rPr>
        <w:t>nę wrażliwości na zmiany klimatu oraz wdrożyć wszelkie niezbędne rozwiązania dostosowawcze przewidziane</w:t>
      </w:r>
      <w:r w:rsidR="00A33B9F" w:rsidRPr="00A33B9F">
        <w:rPr>
          <w:rFonts w:ascii="Times New Roman" w:hAnsi="Times New Roman"/>
          <w:noProof/>
          <w:color w:val="000000" w:themeColor="text1"/>
          <w:sz w:val="24"/>
        </w:rPr>
        <w:t xml:space="preserve"> w tyc</w:t>
      </w:r>
      <w:r w:rsidRPr="00A33B9F">
        <w:rPr>
          <w:rFonts w:ascii="Times New Roman" w:hAnsi="Times New Roman"/>
          <w:noProof/>
          <w:color w:val="000000" w:themeColor="text1"/>
          <w:sz w:val="24"/>
        </w:rPr>
        <w:t>h przepisach.</w:t>
      </w:r>
      <w:r w:rsidR="00C3621A" w:rsidRPr="00A33B9F">
        <w:rPr>
          <w:rFonts w:ascii="Times New Roman" w:hAnsi="Times New Roman"/>
          <w:noProof/>
          <w:color w:val="000000" w:themeColor="text1"/>
          <w:sz w:val="24"/>
        </w:rPr>
        <w:t xml:space="preserve"> </w:t>
      </w:r>
    </w:p>
    <w:p w14:paraId="14CA55A4" w14:textId="3963E740" w:rsidR="3C2D92D2" w:rsidRPr="00A33B9F" w:rsidRDefault="511E4121" w:rsidP="257B341F">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sz w:val="24"/>
        </w:rPr>
        <w:t>W przypadku wszystkich inwestycji infrastrukturalnych co najmniej 70</w:t>
      </w:r>
      <w:r w:rsidR="00A33B9F" w:rsidRPr="00A33B9F">
        <w:rPr>
          <w:rFonts w:ascii="Times New Roman" w:hAnsi="Times New Roman"/>
          <w:noProof/>
          <w:sz w:val="24"/>
        </w:rPr>
        <w:t> </w:t>
      </w:r>
      <w:r w:rsidRPr="00A33B9F">
        <w:rPr>
          <w:rFonts w:ascii="Times New Roman" w:hAnsi="Times New Roman"/>
          <w:noProof/>
          <w:sz w:val="24"/>
        </w:rPr>
        <w:t>% odpadów</w:t>
      </w:r>
      <w:r w:rsidR="00A33B9F" w:rsidRPr="00A33B9F">
        <w:rPr>
          <w:rFonts w:ascii="Times New Roman" w:hAnsi="Times New Roman"/>
          <w:noProof/>
          <w:sz w:val="24"/>
        </w:rPr>
        <w:t xml:space="preserve"> z bud</w:t>
      </w:r>
      <w:r w:rsidRPr="00A33B9F">
        <w:rPr>
          <w:rFonts w:ascii="Times New Roman" w:hAnsi="Times New Roman"/>
          <w:noProof/>
          <w:sz w:val="24"/>
        </w:rPr>
        <w:t>owy</w:t>
      </w:r>
      <w:r w:rsidR="00A33B9F" w:rsidRPr="00A33B9F">
        <w:rPr>
          <w:rFonts w:ascii="Times New Roman" w:hAnsi="Times New Roman"/>
          <w:noProof/>
          <w:sz w:val="24"/>
        </w:rPr>
        <w:t xml:space="preserve"> i roz</w:t>
      </w:r>
      <w:r w:rsidRPr="00A33B9F">
        <w:rPr>
          <w:rFonts w:ascii="Times New Roman" w:hAnsi="Times New Roman"/>
          <w:noProof/>
          <w:sz w:val="24"/>
        </w:rPr>
        <w:t>biórki musi zostać ponownie użyte lub poddane recyklingowi zgodnie</w:t>
      </w:r>
      <w:r w:rsidR="00A33B9F" w:rsidRPr="00A33B9F">
        <w:rPr>
          <w:rFonts w:ascii="Times New Roman" w:hAnsi="Times New Roman"/>
          <w:noProof/>
          <w:sz w:val="24"/>
        </w:rPr>
        <w:t xml:space="preserve"> z wyt</w:t>
      </w:r>
      <w:r w:rsidRPr="00A33B9F">
        <w:rPr>
          <w:rFonts w:ascii="Times New Roman" w:hAnsi="Times New Roman"/>
          <w:noProof/>
          <w:sz w:val="24"/>
        </w:rPr>
        <w:t>ycznymi technicznymi dotyczącymi stosowania zasady „nie czyń poważnych szkód” (2021/C 58/01)</w:t>
      </w:r>
      <w:r w:rsidRPr="00A33B9F">
        <w:rPr>
          <w:rStyle w:val="FootnoteReference"/>
          <w:rFonts w:ascii="Times New Roman" w:hAnsi="Times New Roman" w:cs="Times New Roman"/>
          <w:noProof/>
          <w:sz w:val="24"/>
          <w:szCs w:val="24"/>
        </w:rPr>
        <w:footnoteReference w:id="28"/>
      </w:r>
      <w:r w:rsidRPr="00A33B9F">
        <w:rPr>
          <w:rFonts w:ascii="Times New Roman" w:hAnsi="Times New Roman"/>
          <w:noProof/>
          <w:sz w:val="24"/>
        </w:rPr>
        <w:t>.</w:t>
      </w:r>
    </w:p>
    <w:p w14:paraId="38AB270D" w14:textId="7365A090" w:rsidR="007C4506" w:rsidRPr="00A33B9F" w:rsidRDefault="230FC80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698536F5"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7E8EA6DA" w14:textId="241C596A"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C2.1 Zwiększenie skali zastosowań rozwiązań cyfrowych</w:t>
      </w:r>
      <w:r w:rsidR="00A33B9F" w:rsidRPr="00A33B9F">
        <w:rPr>
          <w:rFonts w:ascii="Times New Roman" w:hAnsi="Times New Roman"/>
          <w:b/>
          <w:noProof/>
          <w:color w:val="000000"/>
          <w:sz w:val="24"/>
          <w:u w:val="single"/>
        </w:rPr>
        <w:t xml:space="preserve"> w sfe</w:t>
      </w:r>
      <w:r w:rsidRPr="00A33B9F">
        <w:rPr>
          <w:rFonts w:ascii="Times New Roman" w:hAnsi="Times New Roman"/>
          <w:b/>
          <w:noProof/>
          <w:color w:val="000000"/>
          <w:sz w:val="24"/>
          <w:u w:val="single"/>
        </w:rPr>
        <w:t>rze publicznej, gospodarce</w:t>
      </w:r>
      <w:r w:rsidR="00A33B9F" w:rsidRPr="00A33B9F">
        <w:rPr>
          <w:rFonts w:ascii="Times New Roman" w:hAnsi="Times New Roman"/>
          <w:b/>
          <w:noProof/>
          <w:color w:val="000000"/>
          <w:sz w:val="24"/>
          <w:u w:val="single"/>
        </w:rPr>
        <w:t xml:space="preserve"> i spo</w:t>
      </w:r>
      <w:r w:rsidRPr="00A33B9F">
        <w:rPr>
          <w:rFonts w:ascii="Times New Roman" w:hAnsi="Times New Roman"/>
          <w:b/>
          <w:noProof/>
          <w:color w:val="000000"/>
          <w:sz w:val="24"/>
          <w:u w:val="single"/>
        </w:rPr>
        <w:t>łeczeństwie</w:t>
      </w:r>
    </w:p>
    <w:p w14:paraId="0F756818" w14:textId="41CCE81E"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Ta szeroko zakrojona reforma obejmuje różne aspekty propagujące cyfrową transformację polskiego społeczeństwa, począwszy od cyfrowych usług publicznych po edukację cyfrową obywateli</w:t>
      </w:r>
      <w:r w:rsidR="00A33B9F" w:rsidRPr="00A33B9F">
        <w:rPr>
          <w:rFonts w:ascii="Times New Roman" w:hAnsi="Times New Roman"/>
          <w:noProof/>
          <w:color w:val="000000"/>
          <w:sz w:val="24"/>
        </w:rPr>
        <w:t xml:space="preserve"> i pra</w:t>
      </w:r>
      <w:r w:rsidRPr="00A33B9F">
        <w:rPr>
          <w:rFonts w:ascii="Times New Roman" w:hAnsi="Times New Roman"/>
          <w:noProof/>
          <w:color w:val="000000"/>
          <w:sz w:val="24"/>
        </w:rPr>
        <w:t xml:space="preserve">cowników. </w:t>
      </w:r>
    </w:p>
    <w:p w14:paraId="2DE11B33" w14:textId="60C11F62" w:rsidR="007C4506" w:rsidRPr="00A33B9F" w:rsidRDefault="674FB2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Zwiększenie skali zastosowań rozwiązań cyfrowych</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publicznym powinno być wspierane przez zmiany legislacyjne, które promować będą komunikację elektroniczna między instytucjami publicznymi, przedsiębiorstwami</w:t>
      </w:r>
      <w:r w:rsidR="00A33B9F" w:rsidRPr="00A33B9F">
        <w:rPr>
          <w:rFonts w:ascii="Times New Roman" w:hAnsi="Times New Roman"/>
          <w:noProof/>
          <w:color w:val="000000" w:themeColor="text1"/>
          <w:sz w:val="24"/>
        </w:rPr>
        <w:t xml:space="preserve"> i oby</w:t>
      </w:r>
      <w:r w:rsidRPr="00A33B9F">
        <w:rPr>
          <w:rFonts w:ascii="Times New Roman" w:hAnsi="Times New Roman"/>
          <w:noProof/>
          <w:color w:val="000000" w:themeColor="text1"/>
          <w:sz w:val="24"/>
        </w:rPr>
        <w:t>watelami. Zmiany legislacyjne to zmiana ustawy</w:t>
      </w:r>
      <w:r w:rsidR="00A33B9F" w:rsidRPr="00A33B9F">
        <w:rPr>
          <w:rFonts w:ascii="Times New Roman" w:hAnsi="Times New Roman"/>
          <w:noProof/>
          <w:color w:val="000000" w:themeColor="text1"/>
          <w:sz w:val="24"/>
        </w:rPr>
        <w:t xml:space="preserve"> z dni</w:t>
      </w:r>
      <w:r w:rsidRPr="00A33B9F">
        <w:rPr>
          <w:rFonts w:ascii="Times New Roman" w:hAnsi="Times New Roman"/>
          <w:noProof/>
          <w:color w:val="000000" w:themeColor="text1"/>
          <w:sz w:val="24"/>
        </w:rPr>
        <w:t>a 17 lutego 2005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r w:rsidR="00A33B9F" w:rsidRPr="00A33B9F">
        <w:rPr>
          <w:rFonts w:ascii="Times New Roman" w:hAnsi="Times New Roman"/>
          <w:noProof/>
          <w:color w:val="000000" w:themeColor="text1"/>
          <w:sz w:val="24"/>
        </w:rPr>
        <w:t xml:space="preserve"> o inf</w:t>
      </w:r>
      <w:r w:rsidRPr="00A33B9F">
        <w:rPr>
          <w:rFonts w:ascii="Times New Roman" w:hAnsi="Times New Roman"/>
          <w:noProof/>
          <w:color w:val="000000" w:themeColor="text1"/>
          <w:sz w:val="24"/>
        </w:rPr>
        <w:t>ormatyzacji działalności podmiotów realizujących zadania publiczne, której celem jest cyfryzacja dokumentów</w:t>
      </w:r>
      <w:r w:rsidR="00A33B9F" w:rsidRPr="00A33B9F">
        <w:rPr>
          <w:rFonts w:ascii="Times New Roman" w:hAnsi="Times New Roman"/>
          <w:noProof/>
          <w:color w:val="000000" w:themeColor="text1"/>
          <w:sz w:val="24"/>
        </w:rPr>
        <w:t xml:space="preserve"> i pro</w:t>
      </w:r>
      <w:r w:rsidRPr="00A33B9F">
        <w:rPr>
          <w:rFonts w:ascii="Times New Roman" w:hAnsi="Times New Roman"/>
          <w:noProof/>
          <w:color w:val="000000" w:themeColor="text1"/>
          <w:sz w:val="24"/>
        </w:rPr>
        <w:t>cedur</w:t>
      </w:r>
      <w:r w:rsidR="00A33B9F" w:rsidRPr="00A33B9F">
        <w:rPr>
          <w:rFonts w:ascii="Times New Roman" w:hAnsi="Times New Roman"/>
          <w:noProof/>
          <w:color w:val="000000" w:themeColor="text1"/>
          <w:sz w:val="24"/>
        </w:rPr>
        <w:t xml:space="preserve"> w adm</w:t>
      </w:r>
      <w:r w:rsidRPr="00A33B9F">
        <w:rPr>
          <w:rFonts w:ascii="Times New Roman" w:hAnsi="Times New Roman"/>
          <w:noProof/>
          <w:color w:val="000000" w:themeColor="text1"/>
          <w:sz w:val="24"/>
        </w:rPr>
        <w:t>inistracji publicznej. Druga dotyczy zmiany ustawy</w:t>
      </w:r>
      <w:r w:rsidR="00A33B9F" w:rsidRPr="00A33B9F">
        <w:rPr>
          <w:rFonts w:ascii="Times New Roman" w:hAnsi="Times New Roman"/>
          <w:noProof/>
          <w:color w:val="000000" w:themeColor="text1"/>
          <w:sz w:val="24"/>
        </w:rPr>
        <w:t xml:space="preserve"> z dni</w:t>
      </w:r>
      <w:r w:rsidRPr="00A33B9F">
        <w:rPr>
          <w:rFonts w:ascii="Times New Roman" w:hAnsi="Times New Roman"/>
          <w:noProof/>
          <w:color w:val="000000" w:themeColor="text1"/>
          <w:sz w:val="24"/>
        </w:rPr>
        <w:t>a 11 marca 2004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r w:rsidR="00A33B9F" w:rsidRPr="00A33B9F">
        <w:rPr>
          <w:rFonts w:ascii="Times New Roman" w:hAnsi="Times New Roman"/>
          <w:noProof/>
        </w:rPr>
        <w:t xml:space="preserve"> </w:t>
      </w:r>
      <w:r w:rsidR="00A33B9F" w:rsidRPr="00A33B9F">
        <w:rPr>
          <w:rFonts w:ascii="Times New Roman" w:hAnsi="Times New Roman"/>
          <w:noProof/>
          <w:color w:val="000000" w:themeColor="text1"/>
          <w:sz w:val="24"/>
        </w:rPr>
        <w:t>o</w:t>
      </w:r>
      <w:r w:rsidR="00A33B9F" w:rsidRPr="00A33B9F">
        <w:rPr>
          <w:rFonts w:ascii="Times New Roman" w:hAnsi="Times New Roman"/>
          <w:noProof/>
        </w:rPr>
        <w:t> </w:t>
      </w:r>
      <w:r w:rsidR="00A33B9F" w:rsidRPr="00A33B9F">
        <w:rPr>
          <w:rFonts w:ascii="Times New Roman" w:hAnsi="Times New Roman"/>
          <w:noProof/>
          <w:color w:val="000000" w:themeColor="text1"/>
          <w:sz w:val="24"/>
        </w:rPr>
        <w:t>pod</w:t>
      </w:r>
      <w:r w:rsidRPr="00A33B9F">
        <w:rPr>
          <w:rFonts w:ascii="Times New Roman" w:hAnsi="Times New Roman"/>
          <w:noProof/>
          <w:color w:val="000000" w:themeColor="text1"/>
          <w:sz w:val="24"/>
        </w:rPr>
        <w:t>atku od towarów</w:t>
      </w:r>
      <w:r w:rsidR="00A33B9F" w:rsidRPr="00A33B9F">
        <w:rPr>
          <w:rFonts w:ascii="Times New Roman" w:hAnsi="Times New Roman"/>
          <w:noProof/>
          <w:color w:val="000000" w:themeColor="text1"/>
          <w:sz w:val="24"/>
        </w:rPr>
        <w:t xml:space="preserve"> i usł</w:t>
      </w:r>
      <w:r w:rsidRPr="00A33B9F">
        <w:rPr>
          <w:rFonts w:ascii="Times New Roman" w:hAnsi="Times New Roman"/>
          <w:noProof/>
          <w:color w:val="000000" w:themeColor="text1"/>
          <w:sz w:val="24"/>
        </w:rPr>
        <w:t>ug</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dotyczącym stosowania ustrukturyzowanych faktur</w:t>
      </w:r>
      <w:r w:rsidR="00A33B9F" w:rsidRPr="00A33B9F">
        <w:rPr>
          <w:rFonts w:ascii="Times New Roman" w:hAnsi="Times New Roman"/>
          <w:noProof/>
          <w:color w:val="000000" w:themeColor="text1"/>
          <w:sz w:val="24"/>
        </w:rPr>
        <w:t xml:space="preserve"> w for</w:t>
      </w:r>
      <w:r w:rsidRPr="00A33B9F">
        <w:rPr>
          <w:rFonts w:ascii="Times New Roman" w:hAnsi="Times New Roman"/>
          <w:noProof/>
          <w:color w:val="000000" w:themeColor="text1"/>
          <w:sz w:val="24"/>
        </w:rPr>
        <w:t>mie elektronicznej oraz nałożenia obowiązku wystawiania</w:t>
      </w:r>
      <w:r w:rsidR="00A33B9F" w:rsidRPr="00A33B9F">
        <w:rPr>
          <w:rFonts w:ascii="Times New Roman" w:hAnsi="Times New Roman"/>
          <w:noProof/>
          <w:color w:val="000000" w:themeColor="text1"/>
          <w:sz w:val="24"/>
        </w:rPr>
        <w:t xml:space="preserve"> i otr</w:t>
      </w:r>
      <w:r w:rsidRPr="00A33B9F">
        <w:rPr>
          <w:rFonts w:ascii="Times New Roman" w:hAnsi="Times New Roman"/>
          <w:noProof/>
          <w:color w:val="000000" w:themeColor="text1"/>
          <w:sz w:val="24"/>
        </w:rPr>
        <w:t>zymywania faktur elektronicznych za pośrednictwem Krajowego Systemu e-Faktur.</w:t>
      </w:r>
    </w:p>
    <w:p w14:paraId="09087D61" w14:textId="5B5A56A5"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Jeżeli chodzi</w:t>
      </w:r>
      <w:r w:rsidR="00A33B9F" w:rsidRPr="00A33B9F">
        <w:rPr>
          <w:rFonts w:ascii="Times New Roman" w:hAnsi="Times New Roman"/>
          <w:noProof/>
          <w:color w:val="000000"/>
          <w:sz w:val="24"/>
        </w:rPr>
        <w:t xml:space="preserve"> o kom</w:t>
      </w:r>
      <w:r w:rsidRPr="00A33B9F">
        <w:rPr>
          <w:rFonts w:ascii="Times New Roman" w:hAnsi="Times New Roman"/>
          <w:noProof/>
          <w:color w:val="000000"/>
          <w:sz w:val="24"/>
        </w:rPr>
        <w:t>petencje cyfrowe, elementem</w:t>
      </w:r>
      <w:r w:rsidR="00A33B9F" w:rsidRPr="00A33B9F">
        <w:rPr>
          <w:rFonts w:ascii="Times New Roman" w:hAnsi="Times New Roman"/>
          <w:noProof/>
          <w:color w:val="000000"/>
          <w:sz w:val="24"/>
        </w:rPr>
        <w:t xml:space="preserve"> o klu</w:t>
      </w:r>
      <w:r w:rsidRPr="00A33B9F">
        <w:rPr>
          <w:rFonts w:ascii="Times New Roman" w:hAnsi="Times New Roman"/>
          <w:noProof/>
          <w:color w:val="000000"/>
          <w:sz w:val="24"/>
        </w:rPr>
        <w:t>czowym znaczeniu dla ich rozwijania będzie przygotowanie</w:t>
      </w:r>
      <w:r w:rsidR="00A33B9F" w:rsidRPr="00A33B9F">
        <w:rPr>
          <w:rFonts w:ascii="Times New Roman" w:hAnsi="Times New Roman"/>
          <w:noProof/>
          <w:color w:val="000000"/>
          <w:sz w:val="24"/>
        </w:rPr>
        <w:t xml:space="preserve"> i wdr</w:t>
      </w:r>
      <w:r w:rsidRPr="00A33B9F">
        <w:rPr>
          <w:rFonts w:ascii="Times New Roman" w:hAnsi="Times New Roman"/>
          <w:noProof/>
          <w:color w:val="000000"/>
          <w:sz w:val="24"/>
        </w:rPr>
        <w:t>ożenie Programu Rozwoju Kompetencji Cyfrowych</w:t>
      </w:r>
      <w:r w:rsidR="00A33B9F" w:rsidRPr="00A33B9F">
        <w:rPr>
          <w:rFonts w:ascii="Times New Roman" w:hAnsi="Times New Roman"/>
          <w:noProof/>
          <w:color w:val="000000"/>
          <w:sz w:val="24"/>
        </w:rPr>
        <w:t>. W ram</w:t>
      </w:r>
      <w:r w:rsidRPr="00A33B9F">
        <w:rPr>
          <w:rFonts w:ascii="Times New Roman" w:hAnsi="Times New Roman"/>
          <w:noProof/>
          <w:color w:val="000000"/>
          <w:sz w:val="24"/>
        </w:rPr>
        <w:t>ach programu zostanie zdefiniowany obszerny, długoterminowy zbiór wymogów dotyczących wsparcia rozwoju</w:t>
      </w:r>
      <w:r w:rsidR="00A33B9F" w:rsidRPr="00A33B9F">
        <w:rPr>
          <w:rFonts w:ascii="Times New Roman" w:hAnsi="Times New Roman"/>
          <w:noProof/>
          <w:color w:val="000000"/>
          <w:sz w:val="24"/>
        </w:rPr>
        <w:t xml:space="preserve"> i mon</w:t>
      </w:r>
      <w:r w:rsidRPr="00A33B9F">
        <w:rPr>
          <w:rFonts w:ascii="Times New Roman" w:hAnsi="Times New Roman"/>
          <w:noProof/>
          <w:color w:val="000000"/>
          <w:sz w:val="24"/>
        </w:rPr>
        <w:t>itorowania kompetencji cyfrowych</w:t>
      </w:r>
      <w:r w:rsidR="00A33B9F" w:rsidRPr="00A33B9F">
        <w:rPr>
          <w:rFonts w:ascii="Times New Roman" w:hAnsi="Times New Roman"/>
          <w:noProof/>
          <w:color w:val="000000"/>
          <w:sz w:val="24"/>
        </w:rPr>
        <w:t xml:space="preserve"> w obs</w:t>
      </w:r>
      <w:r w:rsidRPr="00A33B9F">
        <w:rPr>
          <w:rFonts w:ascii="Times New Roman" w:hAnsi="Times New Roman"/>
          <w:noProof/>
          <w:color w:val="000000"/>
          <w:sz w:val="24"/>
        </w:rPr>
        <w:t>zarze edukacji formalnej, pozaformalnej</w:t>
      </w:r>
      <w:r w:rsidR="00A33B9F" w:rsidRPr="00A33B9F">
        <w:rPr>
          <w:rFonts w:ascii="Times New Roman" w:hAnsi="Times New Roman"/>
          <w:noProof/>
          <w:color w:val="000000"/>
          <w:sz w:val="24"/>
        </w:rPr>
        <w:t xml:space="preserve"> i nie</w:t>
      </w:r>
      <w:r w:rsidRPr="00A33B9F">
        <w:rPr>
          <w:rFonts w:ascii="Times New Roman" w:hAnsi="Times New Roman"/>
          <w:noProof/>
          <w:color w:val="000000"/>
          <w:sz w:val="24"/>
        </w:rPr>
        <w:t>formalnej</w:t>
      </w:r>
      <w:r w:rsidR="00A33B9F" w:rsidRPr="00A33B9F">
        <w:rPr>
          <w:rFonts w:ascii="Times New Roman" w:hAnsi="Times New Roman"/>
          <w:noProof/>
          <w:color w:val="000000"/>
          <w:sz w:val="24"/>
        </w:rPr>
        <w:t>. W pro</w:t>
      </w:r>
      <w:r w:rsidRPr="00A33B9F">
        <w:rPr>
          <w:rFonts w:ascii="Times New Roman" w:hAnsi="Times New Roman"/>
          <w:noProof/>
          <w:color w:val="000000"/>
          <w:sz w:val="24"/>
        </w:rPr>
        <w:t>gramie zostanie wyraźnie określona kwestia powołania</w:t>
      </w:r>
      <w:r w:rsidR="00A33B9F" w:rsidRPr="00A33B9F">
        <w:rPr>
          <w:rFonts w:ascii="Times New Roman" w:hAnsi="Times New Roman"/>
          <w:noProof/>
          <w:color w:val="000000"/>
          <w:sz w:val="24"/>
        </w:rPr>
        <w:t xml:space="preserve"> i fun</w:t>
      </w:r>
      <w:r w:rsidRPr="00A33B9F">
        <w:rPr>
          <w:rFonts w:ascii="Times New Roman" w:hAnsi="Times New Roman"/>
          <w:noProof/>
          <w:color w:val="000000"/>
          <w:sz w:val="24"/>
        </w:rPr>
        <w:t xml:space="preserve">kcjonowania Centrum Rozwoju Kompetencji Cyfrowych. Dokument zostanie opracowany przy zastosowaniu podejścia obejmującego wiele zainteresowanych stron. </w:t>
      </w:r>
    </w:p>
    <w:p w14:paraId="7C46B70C" w14:textId="05D6BDFB"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W dziedzinie edukacji kluczowy element sprzyjający transformacji cyfrowej edukacji polega na określeniu minimalnych wiążących standardów wyposażenia szkół</w:t>
      </w:r>
      <w:r w:rsidR="00A33B9F" w:rsidRPr="00A33B9F">
        <w:rPr>
          <w:rFonts w:ascii="Times New Roman" w:hAnsi="Times New Roman"/>
          <w:noProof/>
          <w:color w:val="000000"/>
          <w:sz w:val="24"/>
        </w:rPr>
        <w:t xml:space="preserve"> w inf</w:t>
      </w:r>
      <w:r w:rsidRPr="00A33B9F">
        <w:rPr>
          <w:rFonts w:ascii="Times New Roman" w:hAnsi="Times New Roman"/>
          <w:noProof/>
          <w:color w:val="000000"/>
          <w:sz w:val="24"/>
        </w:rPr>
        <w:t>rastrukturę cyfrową. Obowiązkowe wytyczne zostaną opracowane we współpracy</w:t>
      </w:r>
      <w:r w:rsidR="00A33B9F" w:rsidRPr="00A33B9F">
        <w:rPr>
          <w:rFonts w:ascii="Times New Roman" w:hAnsi="Times New Roman"/>
          <w:noProof/>
          <w:color w:val="000000"/>
          <w:sz w:val="24"/>
        </w:rPr>
        <w:t xml:space="preserve"> z ins</w:t>
      </w:r>
      <w:r w:rsidRPr="00A33B9F">
        <w:rPr>
          <w:rFonts w:ascii="Times New Roman" w:hAnsi="Times New Roman"/>
          <w:noProof/>
          <w:color w:val="000000"/>
          <w:sz w:val="24"/>
        </w:rPr>
        <w:t>tytucjami samorządowymi na szczeblu lokalnym oraz</w:t>
      </w:r>
      <w:r w:rsidR="00A33B9F" w:rsidRPr="00A33B9F">
        <w:rPr>
          <w:rFonts w:ascii="Times New Roman" w:hAnsi="Times New Roman"/>
          <w:noProof/>
          <w:color w:val="000000"/>
          <w:sz w:val="24"/>
        </w:rPr>
        <w:t xml:space="preserve"> w por</w:t>
      </w:r>
      <w:r w:rsidRPr="00A33B9F">
        <w:rPr>
          <w:rFonts w:ascii="Times New Roman" w:hAnsi="Times New Roman"/>
          <w:noProof/>
          <w:color w:val="000000"/>
          <w:sz w:val="24"/>
        </w:rPr>
        <w:t>ozumieniu</w:t>
      </w:r>
      <w:r w:rsidR="00A33B9F" w:rsidRPr="00A33B9F">
        <w:rPr>
          <w:rFonts w:ascii="Times New Roman" w:hAnsi="Times New Roman"/>
          <w:noProof/>
          <w:color w:val="000000"/>
          <w:sz w:val="24"/>
        </w:rPr>
        <w:t xml:space="preserve"> z sze</w:t>
      </w:r>
      <w:r w:rsidRPr="00A33B9F">
        <w:rPr>
          <w:rFonts w:ascii="Times New Roman" w:hAnsi="Times New Roman"/>
          <w:noProof/>
          <w:color w:val="000000"/>
          <w:sz w:val="24"/>
        </w:rPr>
        <w:t>roką grupą zainteresowanych stron</w:t>
      </w:r>
      <w:r w:rsidR="00A33B9F" w:rsidRPr="00A33B9F">
        <w:rPr>
          <w:rFonts w:ascii="Times New Roman" w:hAnsi="Times New Roman"/>
          <w:noProof/>
          <w:color w:val="000000"/>
          <w:sz w:val="24"/>
        </w:rPr>
        <w:t xml:space="preserve"> i zap</w:t>
      </w:r>
      <w:r w:rsidRPr="00A33B9F">
        <w:rPr>
          <w:rFonts w:ascii="Times New Roman" w:hAnsi="Times New Roman"/>
          <w:noProof/>
          <w:color w:val="000000"/>
          <w:sz w:val="24"/>
        </w:rPr>
        <w:t>ewnią minimalny poziom wyposażenia każdej szkoły</w:t>
      </w:r>
      <w:r w:rsidR="00A33B9F" w:rsidRPr="00A33B9F">
        <w:rPr>
          <w:rFonts w:ascii="Times New Roman" w:hAnsi="Times New Roman"/>
          <w:noProof/>
          <w:color w:val="000000"/>
          <w:sz w:val="24"/>
        </w:rPr>
        <w:t xml:space="preserve"> w Pol</w:t>
      </w:r>
      <w:r w:rsidRPr="00A33B9F">
        <w:rPr>
          <w:rFonts w:ascii="Times New Roman" w:hAnsi="Times New Roman"/>
          <w:noProof/>
          <w:color w:val="000000"/>
          <w:sz w:val="24"/>
        </w:rPr>
        <w:t>sce</w:t>
      </w:r>
      <w:r w:rsidR="00A33B9F" w:rsidRPr="00A33B9F">
        <w:rPr>
          <w:rFonts w:ascii="Times New Roman" w:hAnsi="Times New Roman"/>
          <w:noProof/>
          <w:color w:val="000000"/>
          <w:sz w:val="24"/>
        </w:rPr>
        <w:t xml:space="preserve"> w spr</w:t>
      </w:r>
      <w:r w:rsidRPr="00A33B9F">
        <w:rPr>
          <w:rFonts w:ascii="Times New Roman" w:hAnsi="Times New Roman"/>
          <w:noProof/>
          <w:color w:val="000000"/>
          <w:sz w:val="24"/>
        </w:rPr>
        <w:t>zęt informacyjno-komunikacyjny (ICT).</w:t>
      </w:r>
    </w:p>
    <w:p w14:paraId="0095C7D1" w14:textId="4364E993" w:rsidR="007C4506" w:rsidRPr="00A33B9F"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30 czerwca 2024</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7BC1BAF2" w14:textId="77777777" w:rsidR="007C4506" w:rsidRPr="00A33B9F"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09A3A2A2" w14:textId="7F3D4E9D" w:rsidR="007C4506" w:rsidRPr="00A33B9F" w:rsidRDefault="1041D2E4" w:rsidP="2A7EEBB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highlight w:val="yellow"/>
          <w:u w:val="single"/>
        </w:rPr>
      </w:pPr>
      <w:r w:rsidRPr="00A33B9F">
        <w:rPr>
          <w:rFonts w:ascii="Times New Roman" w:hAnsi="Times New Roman"/>
          <w:b/>
          <w:noProof/>
          <w:color w:val="000000" w:themeColor="text1"/>
          <w:sz w:val="24"/>
          <w:u w:val="single"/>
        </w:rPr>
        <w:t>C2.1.1 E-usługi publiczne, rozwiązania IT usprawniające funkcjonowanie administracji</w:t>
      </w:r>
      <w:r w:rsidR="00A33B9F" w:rsidRPr="00A33B9F">
        <w:rPr>
          <w:rFonts w:ascii="Times New Roman" w:hAnsi="Times New Roman"/>
          <w:b/>
          <w:noProof/>
          <w:color w:val="000000" w:themeColor="text1"/>
          <w:sz w:val="24"/>
          <w:u w:val="single"/>
        </w:rPr>
        <w:t xml:space="preserve"> i sek</w:t>
      </w:r>
      <w:r w:rsidRPr="00A33B9F">
        <w:rPr>
          <w:rFonts w:ascii="Times New Roman" w:hAnsi="Times New Roman"/>
          <w:b/>
          <w:noProof/>
          <w:color w:val="000000" w:themeColor="text1"/>
          <w:sz w:val="24"/>
          <w:u w:val="single"/>
        </w:rPr>
        <w:t>torów gospodarki</w:t>
      </w:r>
    </w:p>
    <w:p w14:paraId="3CFA5439" w14:textId="4B4B6BCF" w:rsidR="007C4506" w:rsidRPr="00A33B9F" w:rsidRDefault="05E16837" w:rsidP="0D86F68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zwiększyć wykorzystanie e-usług publicznych,</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tej inwestycji planuje się wdrożenie następujących projektów:</w:t>
      </w:r>
    </w:p>
    <w:p w14:paraId="73E437EF" w14:textId="5E5899BC" w:rsidR="007C4506" w:rsidRPr="00A33B9F" w:rsidRDefault="70C4DE7E" w:rsidP="00394B30">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zakończenie procesu opracowywania nowych lub udoskonalania już istniejących e-usług</w:t>
      </w:r>
      <w:r w:rsidR="00A33B9F" w:rsidRPr="00A33B9F">
        <w:rPr>
          <w:rFonts w:ascii="Times New Roman" w:hAnsi="Times New Roman"/>
          <w:noProof/>
          <w:color w:val="000000" w:themeColor="text1"/>
          <w:sz w:val="24"/>
        </w:rPr>
        <w:t xml:space="preserve"> w adm</w:t>
      </w:r>
      <w:r w:rsidRPr="00A33B9F">
        <w:rPr>
          <w:rFonts w:ascii="Times New Roman" w:hAnsi="Times New Roman"/>
          <w:noProof/>
          <w:color w:val="000000" w:themeColor="text1"/>
          <w:sz w:val="24"/>
        </w:rPr>
        <w:t>inistracji publicznej umożliwiających obywatelom załatwianie spraw administracyjnych przez internet;</w:t>
      </w:r>
    </w:p>
    <w:p w14:paraId="51E143A8" w14:textId="70C76AD9" w:rsidR="007C4506" w:rsidRPr="00A33B9F" w:rsidRDefault="70C4DE7E" w:rsidP="00394B30">
      <w:pPr>
        <w:pStyle w:val="Normal0"/>
        <w:numPr>
          <w:ilvl w:val="0"/>
          <w:numId w:val="4"/>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zakończenie procesu opracowywania nowych lub udoskonalania już istniejących systemów informatycznych</w:t>
      </w:r>
      <w:r w:rsidR="00A33B9F" w:rsidRPr="00A33B9F">
        <w:rPr>
          <w:rFonts w:ascii="Times New Roman" w:hAnsi="Times New Roman"/>
          <w:noProof/>
          <w:color w:val="000000" w:themeColor="text1"/>
          <w:sz w:val="24"/>
        </w:rPr>
        <w:t xml:space="preserve"> w adm</w:t>
      </w:r>
      <w:r w:rsidRPr="00A33B9F">
        <w:rPr>
          <w:rFonts w:ascii="Times New Roman" w:hAnsi="Times New Roman"/>
          <w:noProof/>
          <w:color w:val="000000" w:themeColor="text1"/>
          <w:sz w:val="24"/>
        </w:rPr>
        <w:t xml:space="preserve">inistracji publicznej. </w:t>
      </w:r>
    </w:p>
    <w:p w14:paraId="6A97E3B3" w14:textId="65D7E526" w:rsidR="007C4506" w:rsidRPr="00A33B9F" w:rsidRDefault="00B31839" w:rsidP="003E0E0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80AD5D5" w14:textId="77777777" w:rsidR="00D8781A" w:rsidRPr="00A33B9F" w:rsidRDefault="00D8781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0E17D936" w14:textId="0E04003F"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C2.1.2 Wyrównanie poziomu wyposażenia szkół</w:t>
      </w:r>
      <w:r w:rsidR="00A33B9F" w:rsidRPr="00A33B9F">
        <w:rPr>
          <w:rFonts w:ascii="Times New Roman" w:hAnsi="Times New Roman"/>
          <w:b/>
          <w:noProof/>
          <w:color w:val="000000"/>
          <w:sz w:val="24"/>
          <w:u w:val="single"/>
        </w:rPr>
        <w:t xml:space="preserve"> w prz</w:t>
      </w:r>
      <w:r w:rsidRPr="00A33B9F">
        <w:rPr>
          <w:rFonts w:ascii="Times New Roman" w:hAnsi="Times New Roman"/>
          <w:b/>
          <w:noProof/>
          <w:color w:val="000000"/>
          <w:sz w:val="24"/>
          <w:u w:val="single"/>
        </w:rPr>
        <w:t>enośne urządzenia multimedialne</w:t>
      </w:r>
      <w:r w:rsidRPr="00A33B9F">
        <w:rPr>
          <w:rFonts w:ascii="Times New Roman" w:hAnsi="Times New Roman"/>
          <w:noProof/>
          <w:color w:val="000000"/>
          <w:sz w:val="24"/>
          <w:u w:val="single"/>
        </w:rPr>
        <w:t xml:space="preserve"> </w:t>
      </w:r>
      <w:r w:rsidRPr="00A33B9F">
        <w:rPr>
          <w:rFonts w:ascii="Times New Roman" w:hAnsi="Times New Roman"/>
          <w:noProof/>
          <w:color w:val="000000"/>
          <w:sz w:val="18"/>
          <w:u w:val="single"/>
        </w:rPr>
        <w:t xml:space="preserve">- </w:t>
      </w:r>
      <w:r w:rsidRPr="00A33B9F">
        <w:rPr>
          <w:rFonts w:ascii="Times New Roman" w:hAnsi="Times New Roman"/>
          <w:b/>
          <w:noProof/>
          <w:color w:val="000000"/>
          <w:sz w:val="24"/>
          <w:u w:val="single"/>
        </w:rPr>
        <w:t>inwestycje związane ze spełnieniem minimalnych standardów sprzętowych</w:t>
      </w:r>
    </w:p>
    <w:p w14:paraId="0F56DD95" w14:textId="0AA7FE93" w:rsidR="007C4506" w:rsidRPr="00A33B9F" w:rsidRDefault="2BD372E4" w:rsidP="609B4DE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Zgodnie</w:t>
      </w:r>
      <w:r w:rsidR="00A33B9F" w:rsidRPr="00A33B9F">
        <w:rPr>
          <w:rFonts w:ascii="Times New Roman" w:hAnsi="Times New Roman"/>
          <w:noProof/>
          <w:color w:val="000000" w:themeColor="text1"/>
          <w:sz w:val="24"/>
        </w:rPr>
        <w:t xml:space="preserve"> z opr</w:t>
      </w:r>
      <w:r w:rsidRPr="00A33B9F">
        <w:rPr>
          <w:rFonts w:ascii="Times New Roman" w:hAnsi="Times New Roman"/>
          <w:noProof/>
          <w:color w:val="000000" w:themeColor="text1"/>
          <w:sz w:val="24"/>
        </w:rPr>
        <w:t>acowaniem minimalnych wiążących standardów dotyczących sprzętu ICT dzięki tej inwestycji wszystkie szkoły</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mają zostać wyposażone</w:t>
      </w:r>
      <w:r w:rsidR="00A33B9F" w:rsidRPr="00A33B9F">
        <w:rPr>
          <w:rFonts w:ascii="Times New Roman" w:hAnsi="Times New Roman"/>
          <w:noProof/>
          <w:color w:val="000000" w:themeColor="text1"/>
          <w:sz w:val="24"/>
        </w:rPr>
        <w:t xml:space="preserve"> w naj</w:t>
      </w:r>
      <w:r w:rsidRPr="00A33B9F">
        <w:rPr>
          <w:rFonts w:ascii="Times New Roman" w:hAnsi="Times New Roman"/>
          <w:noProof/>
          <w:color w:val="000000" w:themeColor="text1"/>
          <w:sz w:val="24"/>
        </w:rPr>
        <w:t>nowocześniejszy sprzęt multimedialny,</w:t>
      </w:r>
      <w:r w:rsidR="00A33B9F" w:rsidRPr="00A33B9F">
        <w:rPr>
          <w:rFonts w:ascii="Times New Roman" w:hAnsi="Times New Roman"/>
          <w:noProof/>
          <w:color w:val="000000" w:themeColor="text1"/>
          <w:sz w:val="24"/>
        </w:rPr>
        <w:t xml:space="preserve"> z któ</w:t>
      </w:r>
      <w:r w:rsidRPr="00A33B9F">
        <w:rPr>
          <w:rFonts w:ascii="Times New Roman" w:hAnsi="Times New Roman"/>
          <w:noProof/>
          <w:color w:val="000000" w:themeColor="text1"/>
          <w:sz w:val="24"/>
        </w:rPr>
        <w:t>rego będą mogli korzystać nauczyciele</w:t>
      </w:r>
      <w:r w:rsidR="00A33B9F" w:rsidRPr="00A33B9F">
        <w:rPr>
          <w:rFonts w:ascii="Times New Roman" w:hAnsi="Times New Roman"/>
          <w:noProof/>
          <w:color w:val="000000" w:themeColor="text1"/>
          <w:sz w:val="24"/>
        </w:rPr>
        <w:t xml:space="preserve"> i ucz</w:t>
      </w:r>
      <w:r w:rsidRPr="00A33B9F">
        <w:rPr>
          <w:rFonts w:ascii="Times New Roman" w:hAnsi="Times New Roman"/>
          <w:noProof/>
          <w:color w:val="000000" w:themeColor="text1"/>
          <w:sz w:val="24"/>
        </w:rPr>
        <w:t>niowie. Ma to na celu umożliwienie wykorzystania technologii cyfrowych</w:t>
      </w:r>
      <w:r w:rsidR="00A33B9F" w:rsidRPr="00A33B9F">
        <w:rPr>
          <w:rFonts w:ascii="Times New Roman" w:hAnsi="Times New Roman"/>
          <w:noProof/>
          <w:color w:val="000000" w:themeColor="text1"/>
          <w:sz w:val="24"/>
        </w:rPr>
        <w:t xml:space="preserve"> w nau</w:t>
      </w:r>
      <w:r w:rsidRPr="00A33B9F">
        <w:rPr>
          <w:rFonts w:ascii="Times New Roman" w:hAnsi="Times New Roman"/>
          <w:noProof/>
          <w:color w:val="000000" w:themeColor="text1"/>
          <w:sz w:val="24"/>
        </w:rPr>
        <w:t>czaniu na równym poziomie</w:t>
      </w:r>
      <w:r w:rsidR="00A33B9F" w:rsidRPr="00A33B9F">
        <w:rPr>
          <w:rFonts w:ascii="Times New Roman" w:hAnsi="Times New Roman"/>
          <w:noProof/>
          <w:color w:val="000000" w:themeColor="text1"/>
          <w:sz w:val="24"/>
        </w:rPr>
        <w:t xml:space="preserve"> w każ</w:t>
      </w:r>
      <w:r w:rsidRPr="00A33B9F">
        <w:rPr>
          <w:rFonts w:ascii="Times New Roman" w:hAnsi="Times New Roman"/>
          <w:noProof/>
          <w:color w:val="000000" w:themeColor="text1"/>
          <w:sz w:val="24"/>
        </w:rPr>
        <w:t>dej szkole podstawowej</w:t>
      </w:r>
      <w:r w:rsidR="00A33B9F" w:rsidRPr="00A33B9F">
        <w:rPr>
          <w:rFonts w:ascii="Times New Roman" w:hAnsi="Times New Roman"/>
          <w:noProof/>
          <w:color w:val="000000" w:themeColor="text1"/>
          <w:sz w:val="24"/>
        </w:rPr>
        <w:t xml:space="preserve"> i pon</w:t>
      </w:r>
      <w:r w:rsidRPr="00A33B9F">
        <w:rPr>
          <w:rFonts w:ascii="Times New Roman" w:hAnsi="Times New Roman"/>
          <w:noProof/>
          <w:color w:val="000000" w:themeColor="text1"/>
          <w:sz w:val="24"/>
        </w:rPr>
        <w:t>adpodstawowej</w:t>
      </w:r>
      <w:r w:rsidR="00A33B9F" w:rsidRPr="00A33B9F">
        <w:rPr>
          <w:rFonts w:ascii="Times New Roman" w:hAnsi="Times New Roman"/>
          <w:noProof/>
          <w:color w:val="000000" w:themeColor="text1"/>
          <w:sz w:val="24"/>
        </w:rPr>
        <w:t xml:space="preserve"> w cał</w:t>
      </w:r>
      <w:r w:rsidRPr="00A33B9F">
        <w:rPr>
          <w:rFonts w:ascii="Times New Roman" w:hAnsi="Times New Roman"/>
          <w:noProof/>
          <w:color w:val="000000" w:themeColor="text1"/>
          <w:sz w:val="24"/>
        </w:rPr>
        <w:t>ej Polsce,</w:t>
      </w:r>
      <w:r w:rsidR="00A33B9F" w:rsidRPr="00A33B9F">
        <w:rPr>
          <w:rFonts w:ascii="Times New Roman" w:hAnsi="Times New Roman"/>
          <w:noProof/>
          <w:color w:val="000000" w:themeColor="text1"/>
          <w:sz w:val="24"/>
        </w:rPr>
        <w:t xml:space="preserve"> a doc</w:t>
      </w:r>
      <w:r w:rsidRPr="00A33B9F">
        <w:rPr>
          <w:rFonts w:ascii="Times New Roman" w:hAnsi="Times New Roman"/>
          <w:noProof/>
          <w:color w:val="000000" w:themeColor="text1"/>
          <w:sz w:val="24"/>
        </w:rPr>
        <w:t>elowo zapewnienie nauczycielom, za pośrednictwem programu bonów, przenośnych komputerów wraz</w:t>
      </w:r>
      <w:r w:rsidR="00A33B9F" w:rsidRPr="00A33B9F">
        <w:rPr>
          <w:rFonts w:ascii="Times New Roman" w:hAnsi="Times New Roman"/>
          <w:noProof/>
          <w:color w:val="000000" w:themeColor="text1"/>
          <w:sz w:val="24"/>
        </w:rPr>
        <w:t xml:space="preserve"> z opr</w:t>
      </w:r>
      <w:r w:rsidRPr="00A33B9F">
        <w:rPr>
          <w:rFonts w:ascii="Times New Roman" w:hAnsi="Times New Roman"/>
          <w:noProof/>
          <w:color w:val="000000" w:themeColor="text1"/>
          <w:sz w:val="24"/>
        </w:rPr>
        <w:t xml:space="preserve">ogramowaniem oraz dostarczenie łącznie co najmniej 1 200 000 laptopów, tak aby co najwyżej sześciu uczniów przypadało na jeden laptop. </w:t>
      </w:r>
    </w:p>
    <w:p w14:paraId="5EBF68F1" w14:textId="18F02932" w:rsidR="10FCB8E6" w:rsidRPr="00A33B9F" w:rsidRDefault="59F977E9" w:rsidP="09B88D20">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zapewnić zgodność</w:t>
      </w:r>
      <w:r w:rsidR="00A33B9F" w:rsidRPr="00A33B9F">
        <w:rPr>
          <w:rFonts w:ascii="Times New Roman" w:hAnsi="Times New Roman"/>
          <w:noProof/>
          <w:color w:val="000000" w:themeColor="text1"/>
          <w:sz w:val="24"/>
        </w:rPr>
        <w:t xml:space="preserve"> z war</w:t>
      </w:r>
      <w:r w:rsidRPr="00A33B9F">
        <w:rPr>
          <w:rFonts w:ascii="Times New Roman" w:hAnsi="Times New Roman"/>
          <w:noProof/>
          <w:color w:val="000000" w:themeColor="text1"/>
          <w:sz w:val="24"/>
        </w:rPr>
        <w:t>unkami zasady „nie czyń poważnych szkód”, sprzęt ICT musi spełniać ustanowione</w:t>
      </w:r>
      <w:r w:rsidR="00A33B9F" w:rsidRPr="00A33B9F">
        <w:rPr>
          <w:rFonts w:ascii="Times New Roman" w:hAnsi="Times New Roman"/>
          <w:noProof/>
          <w:color w:val="000000" w:themeColor="text1"/>
          <w:sz w:val="24"/>
        </w:rPr>
        <w:t xml:space="preserve"> w dyr</w:t>
      </w:r>
      <w:r w:rsidRPr="00A33B9F">
        <w:rPr>
          <w:rFonts w:ascii="Times New Roman" w:hAnsi="Times New Roman"/>
          <w:noProof/>
          <w:color w:val="000000" w:themeColor="text1"/>
          <w:sz w:val="24"/>
        </w:rPr>
        <w:t>ektywie 2009/125/WE wymogi związane</w:t>
      </w:r>
      <w:r w:rsidR="00A33B9F" w:rsidRPr="00A33B9F">
        <w:rPr>
          <w:rFonts w:ascii="Times New Roman" w:hAnsi="Times New Roman"/>
          <w:noProof/>
          <w:color w:val="000000" w:themeColor="text1"/>
          <w:sz w:val="24"/>
        </w:rPr>
        <w:t xml:space="preserve"> z efe</w:t>
      </w:r>
      <w:r w:rsidRPr="00A33B9F">
        <w:rPr>
          <w:rFonts w:ascii="Times New Roman" w:hAnsi="Times New Roman"/>
          <w:noProof/>
          <w:color w:val="000000" w:themeColor="text1"/>
          <w:sz w:val="24"/>
        </w:rPr>
        <w:t>ktywnością energetyczną</w:t>
      </w:r>
      <w:r w:rsidR="00A33B9F" w:rsidRPr="00A33B9F">
        <w:rPr>
          <w:rFonts w:ascii="Times New Roman" w:hAnsi="Times New Roman"/>
          <w:noProof/>
          <w:color w:val="000000" w:themeColor="text1"/>
          <w:sz w:val="24"/>
        </w:rPr>
        <w:t xml:space="preserve"> i mat</w:t>
      </w:r>
      <w:r w:rsidRPr="00A33B9F">
        <w:rPr>
          <w:rFonts w:ascii="Times New Roman" w:hAnsi="Times New Roman"/>
          <w:noProof/>
          <w:color w:val="000000" w:themeColor="text1"/>
          <w:sz w:val="24"/>
        </w:rPr>
        <w:t>eriałową</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laptopów. Ponadto sprzęt ICT nie może zawierać substancji objętych ograniczeniami figurujących</w:t>
      </w:r>
      <w:r w:rsidR="00A33B9F" w:rsidRPr="00A33B9F">
        <w:rPr>
          <w:rFonts w:ascii="Times New Roman" w:hAnsi="Times New Roman"/>
          <w:noProof/>
          <w:color w:val="000000" w:themeColor="text1"/>
          <w:sz w:val="24"/>
        </w:rPr>
        <w:t xml:space="preserve"> w wyk</w:t>
      </w:r>
      <w:r w:rsidRPr="00A33B9F">
        <w:rPr>
          <w:rFonts w:ascii="Times New Roman" w:hAnsi="Times New Roman"/>
          <w:noProof/>
          <w:color w:val="000000" w:themeColor="text1"/>
          <w:sz w:val="24"/>
        </w:rPr>
        <w:t>azie zamieszczonym</w:t>
      </w:r>
      <w:r w:rsidR="00A33B9F" w:rsidRPr="00A33B9F">
        <w:rPr>
          <w:rFonts w:ascii="Times New Roman" w:hAnsi="Times New Roman"/>
          <w:noProof/>
          <w:color w:val="000000" w:themeColor="text1"/>
          <w:sz w:val="24"/>
        </w:rPr>
        <w:t xml:space="preserve"> w zał</w:t>
      </w:r>
      <w:r w:rsidRPr="00A33B9F">
        <w:rPr>
          <w:rFonts w:ascii="Times New Roman" w:hAnsi="Times New Roman"/>
          <w:noProof/>
          <w:color w:val="000000" w:themeColor="text1"/>
          <w:sz w:val="24"/>
        </w:rPr>
        <w:t xml:space="preserve">ączniku II do dyrektywy 2011/65/UE. </w:t>
      </w:r>
    </w:p>
    <w:p w14:paraId="1EFE6E9B" w14:textId="44EF4A91" w:rsidR="2382866D" w:rsidRPr="00A33B9F" w:rsidRDefault="7EC5B8DB" w:rsidP="609B4DE6">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Wprowadzony zostanie plan gospodarki odpadami, który zapewni maksymalny recykling po zakończeniu eksploatacji sprzętu elektrycznego</w:t>
      </w:r>
      <w:r w:rsidR="00A33B9F" w:rsidRPr="00A33B9F">
        <w:rPr>
          <w:rFonts w:ascii="Times New Roman" w:hAnsi="Times New Roman"/>
          <w:noProof/>
          <w:color w:val="000000" w:themeColor="text1"/>
          <w:sz w:val="24"/>
        </w:rPr>
        <w:t xml:space="preserve"> i ele</w:t>
      </w:r>
      <w:r w:rsidRPr="00A33B9F">
        <w:rPr>
          <w:rFonts w:ascii="Times New Roman" w:hAnsi="Times New Roman"/>
          <w:noProof/>
          <w:color w:val="000000" w:themeColor="text1"/>
          <w:sz w:val="24"/>
        </w:rPr>
        <w:t>ktronicznego,</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poprzez ustalenia umowne</w:t>
      </w:r>
      <w:r w:rsidR="00A33B9F" w:rsidRPr="00A33B9F">
        <w:rPr>
          <w:rFonts w:ascii="Times New Roman" w:hAnsi="Times New Roman"/>
          <w:noProof/>
          <w:color w:val="000000" w:themeColor="text1"/>
          <w:sz w:val="24"/>
        </w:rPr>
        <w:t xml:space="preserve"> z par</w:t>
      </w:r>
      <w:r w:rsidRPr="00A33B9F">
        <w:rPr>
          <w:rFonts w:ascii="Times New Roman" w:hAnsi="Times New Roman"/>
          <w:noProof/>
          <w:color w:val="000000" w:themeColor="text1"/>
          <w:sz w:val="24"/>
        </w:rPr>
        <w:t>tnerami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gospodarowania odpadami, odzwierciedlenie</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gnozach finansowych lub oficjalnej dokumentacji projektowej. Po zakończeniu eksploatacji sprzęt zostanie przygotowany do ponownego użycia, odzysku lub recyklingu, lub nastąpi jego właściwe przetwarzanie.</w:t>
      </w:r>
    </w:p>
    <w:p w14:paraId="5D5B6450" w14:textId="6BAF82B7" w:rsidR="007C4506" w:rsidRPr="00A33B9F" w:rsidRDefault="2596C78C" w:rsidP="079DCE0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grudnia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6BF89DA3" w14:textId="77777777" w:rsidR="00C23AF7" w:rsidRPr="00A33B9F" w:rsidRDefault="00C23AF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5E76914C"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C2.1.3 E-kompetencje</w:t>
      </w:r>
    </w:p>
    <w:p w14:paraId="55C29CAF" w14:textId="0F35B127" w:rsidR="007C4506" w:rsidRPr="00A33B9F" w:rsidRDefault="4E19AB1A" w:rsidP="008917D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Przeprowadzając szkolenia dla co najmniej 323 000 osób, Polska dąży do zwiększenia ogólnego poziomu kompetencji cyfrowych</w:t>
      </w:r>
      <w:r w:rsidR="00A33B9F" w:rsidRPr="00A33B9F">
        <w:rPr>
          <w:rFonts w:ascii="Times New Roman" w:hAnsi="Times New Roman"/>
          <w:noProof/>
          <w:color w:val="000000" w:themeColor="text1"/>
          <w:sz w:val="24"/>
        </w:rPr>
        <w:t xml:space="preserve"> w spo</w:t>
      </w:r>
      <w:r w:rsidRPr="00A33B9F">
        <w:rPr>
          <w:rFonts w:ascii="Times New Roman" w:hAnsi="Times New Roman"/>
          <w:noProof/>
          <w:color w:val="000000" w:themeColor="text1"/>
          <w:sz w:val="24"/>
        </w:rPr>
        <w:t>łeczeństwie</w:t>
      </w:r>
      <w:r w:rsidR="00A33B9F" w:rsidRPr="00A33B9F">
        <w:rPr>
          <w:rFonts w:ascii="Times New Roman" w:hAnsi="Times New Roman"/>
          <w:noProof/>
          <w:color w:val="000000" w:themeColor="text1"/>
          <w:sz w:val="24"/>
        </w:rPr>
        <w:t xml:space="preserve"> i usp</w:t>
      </w:r>
      <w:r w:rsidRPr="00A33B9F">
        <w:rPr>
          <w:rFonts w:ascii="Times New Roman" w:hAnsi="Times New Roman"/>
          <w:noProof/>
          <w:color w:val="000000" w:themeColor="text1"/>
          <w:sz w:val="24"/>
        </w:rPr>
        <w:t>rawnienia procesu transformacji cyfrowej kraju. 40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osób</w:t>
      </w:r>
      <w:r w:rsidR="00A33B9F" w:rsidRPr="00A33B9F">
        <w:rPr>
          <w:rFonts w:ascii="Times New Roman" w:hAnsi="Times New Roman"/>
          <w:noProof/>
          <w:color w:val="000000" w:themeColor="text1"/>
          <w:sz w:val="24"/>
        </w:rPr>
        <w:t xml:space="preserve"> w tej</w:t>
      </w:r>
      <w:r w:rsidRPr="00A33B9F">
        <w:rPr>
          <w:rFonts w:ascii="Times New Roman" w:hAnsi="Times New Roman"/>
          <w:noProof/>
          <w:color w:val="000000" w:themeColor="text1"/>
          <w:sz w:val="24"/>
        </w:rPr>
        <w:t xml:space="preserve"> grupie to obywatele potrzebujący podstawowych umiejętności cyfrowych, 20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 urzędnicy publiczni, 20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 osoby wykluczone</w:t>
      </w:r>
      <w:r w:rsidR="00A33B9F" w:rsidRPr="00A33B9F">
        <w:rPr>
          <w:rFonts w:ascii="Times New Roman" w:hAnsi="Times New Roman"/>
          <w:noProof/>
          <w:color w:val="000000" w:themeColor="text1"/>
          <w:sz w:val="24"/>
        </w:rPr>
        <w:t xml:space="preserve"> i zag</w:t>
      </w:r>
      <w:r w:rsidRPr="00A33B9F">
        <w:rPr>
          <w:rFonts w:ascii="Times New Roman" w:hAnsi="Times New Roman"/>
          <w:noProof/>
          <w:color w:val="000000" w:themeColor="text1"/>
          <w:sz w:val="24"/>
        </w:rPr>
        <w:t>rożone wykluczeniem, natomiast pozostałe 20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 edukatorzy</w:t>
      </w:r>
      <w:r w:rsidR="00A33B9F" w:rsidRPr="00A33B9F">
        <w:rPr>
          <w:rFonts w:ascii="Times New Roman" w:hAnsi="Times New Roman"/>
          <w:noProof/>
          <w:color w:val="000000" w:themeColor="text1"/>
          <w:sz w:val="24"/>
        </w:rPr>
        <w:t xml:space="preserve"> i nau</w:t>
      </w:r>
      <w:r w:rsidRPr="00A33B9F">
        <w:rPr>
          <w:rFonts w:ascii="Times New Roman" w:hAnsi="Times New Roman"/>
          <w:noProof/>
          <w:color w:val="000000" w:themeColor="text1"/>
          <w:sz w:val="24"/>
        </w:rPr>
        <w:t>czyciele, którzy odbędą szkolenie na poziomie podstawowym</w:t>
      </w:r>
      <w:r w:rsidR="00A33B9F" w:rsidRPr="00A33B9F">
        <w:rPr>
          <w:rFonts w:ascii="Times New Roman" w:hAnsi="Times New Roman"/>
          <w:noProof/>
          <w:color w:val="000000" w:themeColor="text1"/>
          <w:sz w:val="24"/>
        </w:rPr>
        <w:t xml:space="preserve"> i śre</w:t>
      </w:r>
      <w:r w:rsidRPr="00A33B9F">
        <w:rPr>
          <w:rFonts w:ascii="Times New Roman" w:hAnsi="Times New Roman"/>
          <w:noProof/>
          <w:color w:val="000000" w:themeColor="text1"/>
          <w:sz w:val="24"/>
        </w:rPr>
        <w:t xml:space="preserve">dnim. </w:t>
      </w:r>
    </w:p>
    <w:p w14:paraId="6C5D691B" w14:textId="6A4D1357" w:rsidR="007C4506" w:rsidRPr="00A33B9F" w:rsidRDefault="00B31839" w:rsidP="008917D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ramach tej inwestycji</w:t>
      </w:r>
      <w:r w:rsidR="00A33B9F" w:rsidRPr="00A33B9F">
        <w:rPr>
          <w:rFonts w:ascii="Times New Roman" w:hAnsi="Times New Roman"/>
          <w:noProof/>
          <w:color w:val="000000" w:themeColor="text1"/>
          <w:sz w:val="24"/>
        </w:rPr>
        <w:t xml:space="preserve"> w kan</w:t>
      </w:r>
      <w:r w:rsidRPr="00A33B9F">
        <w:rPr>
          <w:rFonts w:ascii="Times New Roman" w:hAnsi="Times New Roman"/>
          <w:noProof/>
          <w:color w:val="000000" w:themeColor="text1"/>
          <w:sz w:val="24"/>
        </w:rPr>
        <w:t>celarii ministra właściwego ds. cyfryzacji zostanie utworzone Centrum Rozwoju Kompetencji Cyfrowych, do którego należeć będą eksperci, doradcy</w:t>
      </w:r>
      <w:r w:rsidR="00A33B9F" w:rsidRPr="00A33B9F">
        <w:rPr>
          <w:rFonts w:ascii="Times New Roman" w:hAnsi="Times New Roman"/>
          <w:noProof/>
          <w:color w:val="000000" w:themeColor="text1"/>
          <w:sz w:val="24"/>
        </w:rPr>
        <w:t xml:space="preserve"> i spe</w:t>
      </w:r>
      <w:r w:rsidRPr="00A33B9F">
        <w:rPr>
          <w:rFonts w:ascii="Times New Roman" w:hAnsi="Times New Roman"/>
          <w:noProof/>
          <w:color w:val="000000" w:themeColor="text1"/>
          <w:sz w:val="24"/>
        </w:rPr>
        <w:t xml:space="preserve">cjaliści cyfrowi wspierający realizację polityki cyfrowej. </w:t>
      </w:r>
    </w:p>
    <w:p w14:paraId="0E19EE43" w14:textId="765542D6" w:rsidR="007C4506" w:rsidRPr="00A33B9F" w:rsidRDefault="00B31839" w:rsidP="008917D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0933F3B2" w14:textId="59439A94" w:rsidR="00622C9C" w:rsidRPr="00A33B9F" w:rsidRDefault="00622C9C" w:rsidP="00F07CE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895E3CC" w14:textId="337545C2" w:rsidR="007C4506" w:rsidRPr="00A33B9F" w:rsidRDefault="00B31839" w:rsidP="48DECEA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C3.1 Zwiększenie cyberbezpieczeństwa systemów informacyjnych, wzmocnienie infrastruktury przetwarzania danych oraz optymalizacja infrastruktury organów ścigania</w:t>
      </w:r>
    </w:p>
    <w:p w14:paraId="06591702" w14:textId="5418F15D"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ukierunkowana jest na trzy cele szczegółowe, które służą wdrożeniu rozwiązań</w:t>
      </w:r>
      <w:r w:rsidR="00A33B9F" w:rsidRPr="00A33B9F">
        <w:rPr>
          <w:rFonts w:ascii="Times New Roman" w:hAnsi="Times New Roman"/>
          <w:noProof/>
          <w:color w:val="000000"/>
          <w:sz w:val="24"/>
        </w:rPr>
        <w:t xml:space="preserve"> w zak</w:t>
      </w:r>
      <w:r w:rsidRPr="00A33B9F">
        <w:rPr>
          <w:rFonts w:ascii="Times New Roman" w:hAnsi="Times New Roman"/>
          <w:noProof/>
          <w:color w:val="000000"/>
          <w:sz w:val="24"/>
        </w:rPr>
        <w:t>resie bezpieczeństwa systemów informacyjnych: (i) rozwój krajowego systemu cyberbezpieczeństwa; (ii) zdolność do skutecznego zapobiegania incydentom</w:t>
      </w:r>
      <w:r w:rsidR="00A33B9F" w:rsidRPr="00A33B9F">
        <w:rPr>
          <w:rFonts w:ascii="Times New Roman" w:hAnsi="Times New Roman"/>
          <w:noProof/>
          <w:color w:val="000000"/>
          <w:sz w:val="24"/>
        </w:rPr>
        <w:t xml:space="preserve"> i rea</w:t>
      </w:r>
      <w:r w:rsidRPr="00A33B9F">
        <w:rPr>
          <w:rFonts w:ascii="Times New Roman" w:hAnsi="Times New Roman"/>
          <w:noProof/>
          <w:color w:val="000000"/>
          <w:sz w:val="24"/>
        </w:rPr>
        <w:t>gowania na nie; (iii) budowanie świadomości społeczeństwa</w:t>
      </w:r>
      <w:r w:rsidR="00A33B9F" w:rsidRPr="00A33B9F">
        <w:rPr>
          <w:rFonts w:ascii="Times New Roman" w:hAnsi="Times New Roman"/>
          <w:noProof/>
          <w:color w:val="000000"/>
          <w:sz w:val="24"/>
        </w:rPr>
        <w:t xml:space="preserve"> w zak</w:t>
      </w:r>
      <w:r w:rsidRPr="00A33B9F">
        <w:rPr>
          <w:rFonts w:ascii="Times New Roman" w:hAnsi="Times New Roman"/>
          <w:noProof/>
          <w:color w:val="000000"/>
          <w:sz w:val="24"/>
        </w:rPr>
        <w:t>resie cyberbezpieczeństwa. Cele te zostaną osiągnięte poprzez zmianę ustawy</w:t>
      </w:r>
      <w:r w:rsidR="00A33B9F" w:rsidRPr="00A33B9F">
        <w:rPr>
          <w:rFonts w:ascii="Times New Roman" w:hAnsi="Times New Roman"/>
          <w:noProof/>
          <w:color w:val="000000"/>
          <w:sz w:val="24"/>
        </w:rPr>
        <w:t xml:space="preserve"> z dni</w:t>
      </w:r>
      <w:r w:rsidRPr="00A33B9F">
        <w:rPr>
          <w:rFonts w:ascii="Times New Roman" w:hAnsi="Times New Roman"/>
          <w:noProof/>
          <w:color w:val="000000"/>
          <w:sz w:val="24"/>
        </w:rPr>
        <w:t>a 5 lipca 2018</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r w:rsidR="00A33B9F" w:rsidRPr="00A33B9F">
        <w:rPr>
          <w:rFonts w:ascii="Times New Roman" w:hAnsi="Times New Roman"/>
          <w:noProof/>
          <w:color w:val="000000"/>
          <w:sz w:val="24"/>
        </w:rPr>
        <w:t xml:space="preserve"> o kra</w:t>
      </w:r>
      <w:r w:rsidRPr="00A33B9F">
        <w:rPr>
          <w:rFonts w:ascii="Times New Roman" w:hAnsi="Times New Roman"/>
          <w:noProof/>
          <w:color w:val="000000"/>
          <w:sz w:val="24"/>
        </w:rPr>
        <w:t>jowym systemie cyberbezpieczeństwa oraz wprowadzenie szeregu zmian do rozporządzenia Rady Ministrów</w:t>
      </w:r>
      <w:r w:rsidR="00A33B9F" w:rsidRPr="00A33B9F">
        <w:rPr>
          <w:rFonts w:ascii="Times New Roman" w:hAnsi="Times New Roman"/>
          <w:noProof/>
          <w:color w:val="000000"/>
          <w:sz w:val="24"/>
        </w:rPr>
        <w:t xml:space="preserve"> z dni</w:t>
      </w:r>
      <w:r w:rsidRPr="00A33B9F">
        <w:rPr>
          <w:rFonts w:ascii="Times New Roman" w:hAnsi="Times New Roman"/>
          <w:noProof/>
          <w:color w:val="000000"/>
          <w:sz w:val="24"/>
        </w:rPr>
        <w:t>a 11 września 2018</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r w:rsidR="00A33B9F" w:rsidRPr="00A33B9F">
        <w:rPr>
          <w:rFonts w:ascii="Times New Roman" w:hAnsi="Times New Roman"/>
          <w:noProof/>
          <w:color w:val="000000"/>
          <w:sz w:val="24"/>
        </w:rPr>
        <w:t xml:space="preserve"> w spr</w:t>
      </w:r>
      <w:r w:rsidRPr="00A33B9F">
        <w:rPr>
          <w:rFonts w:ascii="Times New Roman" w:hAnsi="Times New Roman"/>
          <w:noProof/>
          <w:color w:val="000000"/>
          <w:sz w:val="24"/>
        </w:rPr>
        <w:t>awie wykazu usług kluczowych.</w:t>
      </w:r>
    </w:p>
    <w:p w14:paraId="0D3139E9" w14:textId="4E06F6D0"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31 grudnia 2023</w:t>
      </w:r>
      <w:r w:rsidR="00A33B9F" w:rsidRPr="00A33B9F">
        <w:rPr>
          <w:rFonts w:ascii="Times New Roman" w:hAnsi="Times New Roman"/>
          <w:noProof/>
          <w:color w:val="000000"/>
          <w:sz w:val="24"/>
        </w:rPr>
        <w:t> </w:t>
      </w:r>
      <w:r w:rsidRPr="00A33B9F">
        <w:rPr>
          <w:rFonts w:ascii="Times New Roman" w:hAnsi="Times New Roman"/>
          <w:noProof/>
          <w:color w:val="000000"/>
          <w:sz w:val="24"/>
        </w:rPr>
        <w:t xml:space="preserve">r. </w:t>
      </w:r>
    </w:p>
    <w:p w14:paraId="75CAC6F5"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A66F687" w14:textId="53A463B8" w:rsidR="66E7BAD6" w:rsidRPr="00A33B9F" w:rsidRDefault="1E7CB412" w:rsidP="1E7CB412">
      <w:pPr>
        <w:pStyle w:val="Normal0"/>
        <w:spacing w:before="120" w:after="120" w:line="240" w:lineRule="auto"/>
        <w:jc w:val="both"/>
        <w:rPr>
          <w:rFonts w:ascii="Times New Roman" w:eastAsia="Times New Roman" w:hAnsi="Times New Roman" w:cs="Times New Roman"/>
          <w:b/>
          <w:bCs/>
          <w:noProof/>
          <w:color w:val="000000" w:themeColor="text1"/>
          <w:sz w:val="24"/>
          <w:szCs w:val="24"/>
          <w:u w:val="single"/>
        </w:rPr>
      </w:pPr>
      <w:r w:rsidRPr="00A33B9F">
        <w:rPr>
          <w:rFonts w:ascii="Times New Roman" w:hAnsi="Times New Roman"/>
          <w:b/>
          <w:noProof/>
          <w:color w:val="000000" w:themeColor="text1"/>
          <w:sz w:val="24"/>
          <w:u w:val="single"/>
        </w:rPr>
        <w:t>C3.1.1 Cyberbezpieczeństwo – CyberPL, infrastruktura przetwarzania danych oraz optymalizacja infrastruktury służb państwowych odpowiedzialnych za bezpieczeństwo</w:t>
      </w:r>
    </w:p>
    <w:p w14:paraId="14F65562" w14:textId="256D8705"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Inwestycja ta obejmuje cztery różne komponenty: (i) cyberbezpieczeństwo; (ii) infrastrukturę przetwarzania danych; (iii) optymalizację sposobu działania infrastruktury wykorzystywanej przez organy ścigania oraz (iv) rozwiązania</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 xml:space="preserve">etwarzania brzegowego. </w:t>
      </w:r>
    </w:p>
    <w:p w14:paraId="6485175D" w14:textId="65CF19DE"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obszarze (i) cyberbezpieczeństwa zrealizowane zostaną 4 projekty:</w:t>
      </w:r>
    </w:p>
    <w:p w14:paraId="74B7492B" w14:textId="1FA20BDA" w:rsidR="007C4506" w:rsidRPr="00A33B9F" w:rsidRDefault="7EBD8A50" w:rsidP="103C8C66">
      <w:pPr>
        <w:pStyle w:val="Normal0"/>
        <w:numPr>
          <w:ilvl w:val="0"/>
          <w:numId w:val="7"/>
        </w:numPr>
        <w:pBdr>
          <w:top w:val="nil"/>
          <w:left w:val="nil"/>
          <w:bottom w:val="nil"/>
          <w:right w:val="nil"/>
          <w:between w:val="nil"/>
        </w:pBdr>
        <w:spacing w:before="120" w:after="0" w:line="240" w:lineRule="auto"/>
        <w:jc w:val="both"/>
        <w:rPr>
          <w:rFonts w:ascii="Times New Roman" w:hAnsi="Times New Roman" w:cs="Times New Roman"/>
          <w:noProof/>
          <w:color w:val="000000"/>
          <w:sz w:val="24"/>
          <w:szCs w:val="24"/>
        </w:rPr>
      </w:pPr>
      <w:r w:rsidRPr="00A33B9F">
        <w:rPr>
          <w:rFonts w:ascii="Times New Roman" w:hAnsi="Times New Roman"/>
          <w:noProof/>
          <w:color w:val="000000" w:themeColor="text1"/>
          <w:sz w:val="24"/>
        </w:rPr>
        <w:t>Ustanowienie sieci obejmującej co najmniej 5 sektorowych zespołów reagowania na incydenty bezpieczeństwa komputerowego (CSIRT)</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torach kluczowych</w:t>
      </w:r>
      <w:r w:rsidR="00A33B9F" w:rsidRPr="00A33B9F">
        <w:rPr>
          <w:rFonts w:ascii="Times New Roman" w:hAnsi="Times New Roman"/>
          <w:noProof/>
          <w:color w:val="000000" w:themeColor="text1"/>
          <w:sz w:val="24"/>
        </w:rPr>
        <w:t xml:space="preserve"> w roz</w:t>
      </w:r>
      <w:r w:rsidRPr="00A33B9F">
        <w:rPr>
          <w:rFonts w:ascii="Times New Roman" w:hAnsi="Times New Roman"/>
          <w:noProof/>
          <w:color w:val="000000" w:themeColor="text1"/>
          <w:sz w:val="24"/>
        </w:rPr>
        <w:t>umieniu ustawy</w:t>
      </w:r>
      <w:r w:rsidR="00A33B9F" w:rsidRPr="00A33B9F">
        <w:rPr>
          <w:rFonts w:ascii="Times New Roman" w:hAnsi="Times New Roman"/>
          <w:noProof/>
          <w:color w:val="000000" w:themeColor="text1"/>
          <w:sz w:val="24"/>
        </w:rPr>
        <w:t xml:space="preserve"> o kra</w:t>
      </w:r>
      <w:r w:rsidRPr="00A33B9F">
        <w:rPr>
          <w:rFonts w:ascii="Times New Roman" w:hAnsi="Times New Roman"/>
          <w:noProof/>
          <w:color w:val="000000" w:themeColor="text1"/>
          <w:sz w:val="24"/>
        </w:rPr>
        <w:t>jowym systemie cyberbezpieczeństwa: sektorze energetyki, sektorze transportu, sektorze służby zdrowia, sektorze bankowości, sektorze infrastruktury rynków finansowych, sektorze infrastruktury cyfrowej, sektorze zaopatrzenia</w:t>
      </w:r>
      <w:r w:rsidR="00A33B9F" w:rsidRPr="00A33B9F">
        <w:rPr>
          <w:rFonts w:ascii="Times New Roman" w:hAnsi="Times New Roman"/>
          <w:noProof/>
          <w:color w:val="000000" w:themeColor="text1"/>
          <w:sz w:val="24"/>
        </w:rPr>
        <w:t xml:space="preserve"> w wod</w:t>
      </w:r>
      <w:r w:rsidRPr="00A33B9F">
        <w:rPr>
          <w:rFonts w:ascii="Times New Roman" w:hAnsi="Times New Roman"/>
          <w:noProof/>
          <w:color w:val="000000" w:themeColor="text1"/>
          <w:sz w:val="24"/>
        </w:rPr>
        <w:t>ę</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edsiębiorstwach łączności elektronicznej;</w:t>
      </w:r>
    </w:p>
    <w:p w14:paraId="7EA39E1D" w14:textId="77777777" w:rsidR="007C4506" w:rsidRPr="00A33B9F" w:rsidRDefault="7EBD8A50" w:rsidP="00394B30">
      <w:pPr>
        <w:pStyle w:val="Normal0"/>
        <w:numPr>
          <w:ilvl w:val="0"/>
          <w:numId w:val="7"/>
        </w:numPr>
        <w:pBdr>
          <w:top w:val="nil"/>
          <w:left w:val="nil"/>
          <w:bottom w:val="nil"/>
          <w:right w:val="nil"/>
          <w:between w:val="nil"/>
        </w:pBdr>
        <w:spacing w:after="0" w:line="240" w:lineRule="auto"/>
        <w:jc w:val="both"/>
        <w:rPr>
          <w:rFonts w:ascii="Times New Roman" w:hAnsi="Times New Roman" w:cs="Times New Roman"/>
          <w:noProof/>
          <w:color w:val="000000"/>
          <w:sz w:val="24"/>
          <w:szCs w:val="24"/>
        </w:rPr>
      </w:pPr>
      <w:r w:rsidRPr="00A33B9F">
        <w:rPr>
          <w:rFonts w:ascii="Times New Roman" w:hAnsi="Times New Roman"/>
          <w:noProof/>
          <w:color w:val="000000" w:themeColor="text1"/>
          <w:sz w:val="24"/>
        </w:rPr>
        <w:t>podłączenie 385 podmiotów krajowego systemu cyberbezpieczeństwa do zintegrowanego systemu zarządzania cyberbezpieczeństwem;</w:t>
      </w:r>
    </w:p>
    <w:p w14:paraId="070D45DA" w14:textId="04CD37F2" w:rsidR="007C4506" w:rsidRPr="00A33B9F" w:rsidRDefault="1AD0482E" w:rsidP="103C8C66">
      <w:pPr>
        <w:pStyle w:val="Norm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udzielenie 500 podmiotom wsparcia na rzecz modernizacji</w:t>
      </w:r>
      <w:r w:rsidR="00A33B9F" w:rsidRPr="00A33B9F">
        <w:rPr>
          <w:rFonts w:ascii="Times New Roman" w:hAnsi="Times New Roman"/>
          <w:noProof/>
          <w:color w:val="000000" w:themeColor="text1"/>
          <w:sz w:val="24"/>
        </w:rPr>
        <w:t xml:space="preserve"> i roz</w:t>
      </w:r>
      <w:r w:rsidRPr="00A33B9F">
        <w:rPr>
          <w:rFonts w:ascii="Times New Roman" w:hAnsi="Times New Roman"/>
          <w:noProof/>
          <w:color w:val="000000" w:themeColor="text1"/>
          <w:sz w:val="24"/>
        </w:rPr>
        <w:t>budowania infrastruktur cyberbezpieczeństwa, uwzględniając wsparcie dla podmiotów wykorzystujących technologię informacyjną (IT)</w:t>
      </w:r>
      <w:r w:rsidR="00A33B9F" w:rsidRPr="00A33B9F">
        <w:rPr>
          <w:rFonts w:ascii="Times New Roman" w:hAnsi="Times New Roman"/>
          <w:noProof/>
          <w:color w:val="000000" w:themeColor="text1"/>
          <w:sz w:val="24"/>
        </w:rPr>
        <w:t xml:space="preserve"> i tec</w:t>
      </w:r>
      <w:r w:rsidRPr="00A33B9F">
        <w:rPr>
          <w:rFonts w:ascii="Times New Roman" w:hAnsi="Times New Roman"/>
          <w:noProof/>
          <w:color w:val="000000" w:themeColor="text1"/>
          <w:sz w:val="24"/>
        </w:rPr>
        <w:t>hnologię operacyjną (OT)</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systemów kontroli przemysłowej;</w:t>
      </w:r>
    </w:p>
    <w:p w14:paraId="2E6BE010" w14:textId="14D37142" w:rsidR="3F446A0F" w:rsidRPr="00A33B9F" w:rsidRDefault="6BA46637" w:rsidP="00394B30">
      <w:pPr>
        <w:pStyle w:val="Normal0"/>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utworzenie sieci specjalistów</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cyberbezpieczeństwa na szczeblu wojewódzkim, aby wesprzeć organy publiczne</w:t>
      </w:r>
      <w:r w:rsidR="00A33B9F" w:rsidRPr="00A33B9F">
        <w:rPr>
          <w:rFonts w:ascii="Times New Roman" w:hAnsi="Times New Roman"/>
          <w:noProof/>
          <w:color w:val="000000" w:themeColor="text1"/>
          <w:sz w:val="24"/>
        </w:rPr>
        <w:t xml:space="preserve"> w rad</w:t>
      </w:r>
      <w:r w:rsidRPr="00A33B9F">
        <w:rPr>
          <w:rFonts w:ascii="Times New Roman" w:hAnsi="Times New Roman"/>
          <w:noProof/>
          <w:color w:val="000000" w:themeColor="text1"/>
          <w:sz w:val="24"/>
        </w:rPr>
        <w:t>zeniu sobie</w:t>
      </w:r>
      <w:r w:rsidR="00A33B9F" w:rsidRPr="00A33B9F">
        <w:rPr>
          <w:rFonts w:ascii="Times New Roman" w:hAnsi="Times New Roman"/>
          <w:noProof/>
          <w:color w:val="000000" w:themeColor="text1"/>
          <w:sz w:val="24"/>
        </w:rPr>
        <w:t xml:space="preserve"> z inc</w:t>
      </w:r>
      <w:r w:rsidRPr="00A33B9F">
        <w:rPr>
          <w:rFonts w:ascii="Times New Roman" w:hAnsi="Times New Roman"/>
          <w:noProof/>
          <w:color w:val="000000" w:themeColor="text1"/>
          <w:sz w:val="24"/>
        </w:rPr>
        <w:t>ydentami</w:t>
      </w:r>
      <w:r w:rsidR="00A33B9F" w:rsidRPr="00A33B9F">
        <w:rPr>
          <w:rFonts w:ascii="Times New Roman" w:hAnsi="Times New Roman"/>
          <w:noProof/>
          <w:color w:val="000000" w:themeColor="text1"/>
          <w:sz w:val="24"/>
        </w:rPr>
        <w:t xml:space="preserve"> i odz</w:t>
      </w:r>
      <w:r w:rsidRPr="00A33B9F">
        <w:rPr>
          <w:rFonts w:ascii="Times New Roman" w:hAnsi="Times New Roman"/>
          <w:noProof/>
          <w:color w:val="000000" w:themeColor="text1"/>
          <w:sz w:val="24"/>
        </w:rPr>
        <w:t>yskiwaniu danych oraz podejmowanie działań służących podnoszeniu świadomości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cyberbezpieczeństwa.</w:t>
      </w:r>
    </w:p>
    <w:p w14:paraId="11E617FC" w14:textId="2EDEDD42"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przypadku (ii) infrastruktury danych powstaną 3 ustandaryzowane centra przetwarzania danych dostarczające energooszczędną</w:t>
      </w:r>
      <w:r w:rsidR="00A33B9F" w:rsidRPr="00A33B9F">
        <w:rPr>
          <w:rFonts w:ascii="Times New Roman" w:hAnsi="Times New Roman"/>
          <w:noProof/>
          <w:color w:val="000000" w:themeColor="text1"/>
          <w:sz w:val="24"/>
        </w:rPr>
        <w:t xml:space="preserve"> i ska</w:t>
      </w:r>
      <w:r w:rsidRPr="00A33B9F">
        <w:rPr>
          <w:rFonts w:ascii="Times New Roman" w:hAnsi="Times New Roman"/>
          <w:noProof/>
          <w:color w:val="000000" w:themeColor="text1"/>
          <w:sz w:val="24"/>
        </w:rPr>
        <w:t>lowalną infrastrukturę krytyczną</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zapewnienia dostępnych usług cyfrowych</w:t>
      </w:r>
      <w:r w:rsidR="00A33B9F" w:rsidRPr="00A33B9F">
        <w:rPr>
          <w:rFonts w:ascii="Times New Roman" w:hAnsi="Times New Roman"/>
          <w:noProof/>
          <w:color w:val="000000" w:themeColor="text1"/>
          <w:sz w:val="24"/>
        </w:rPr>
        <w:t xml:space="preserve"> i zab</w:t>
      </w:r>
      <w:r w:rsidRPr="00A33B9F">
        <w:rPr>
          <w:rFonts w:ascii="Times New Roman" w:hAnsi="Times New Roman"/>
          <w:noProof/>
          <w:color w:val="000000" w:themeColor="text1"/>
          <w:sz w:val="24"/>
        </w:rPr>
        <w:t>ezpieczenia infrastruktury dla systemów technologii informacyjno-komunikacyjnych. Centra przestrzegają europejskiego kodeksu postępowania</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efektywności energetycznej centrów danych,</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w:t>
      </w:r>
      <w:r w:rsidR="00A33B9F" w:rsidRPr="00A33B9F">
        <w:rPr>
          <w:rFonts w:ascii="Times New Roman" w:hAnsi="Times New Roman"/>
          <w:noProof/>
          <w:color w:val="000000" w:themeColor="text1"/>
          <w:sz w:val="24"/>
        </w:rPr>
        <w:t xml:space="preserve"> w nas</w:t>
      </w:r>
      <w:r w:rsidRPr="00A33B9F">
        <w:rPr>
          <w:rFonts w:ascii="Times New Roman" w:hAnsi="Times New Roman"/>
          <w:noProof/>
          <w:color w:val="000000" w:themeColor="text1"/>
          <w:sz w:val="24"/>
        </w:rPr>
        <w:t>tępujących obszarach:</w:t>
      </w:r>
    </w:p>
    <w:p w14:paraId="549A0DE8" w14:textId="77777777" w:rsidR="007C4506" w:rsidRPr="00A33B9F" w:rsidRDefault="0A87BA0A" w:rsidP="00394B30">
      <w:pPr>
        <w:pStyle w:val="Normal0"/>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i/>
          <w:noProof/>
          <w:color w:val="000000" w:themeColor="text1"/>
          <w:sz w:val="24"/>
        </w:rPr>
        <w:t>3.2.8. Zrównoważone wykorzystanie energii:</w:t>
      </w:r>
      <w:r w:rsidRPr="00A33B9F">
        <w:rPr>
          <w:rFonts w:ascii="Times New Roman" w:hAnsi="Times New Roman"/>
          <w:noProof/>
          <w:color w:val="000000" w:themeColor="text1"/>
          <w:sz w:val="24"/>
        </w:rPr>
        <w:t xml:space="preserve"> energia potrzebna do pokrycia zapotrzebowania energetycznego centrów danych musi pochodzić z OZE; </w:t>
      </w:r>
    </w:p>
    <w:p w14:paraId="03F9FEE8" w14:textId="3894EEFF" w:rsidR="007C4506" w:rsidRPr="00A33B9F" w:rsidRDefault="0A87BA0A" w:rsidP="00394B30">
      <w:pPr>
        <w:pStyle w:val="Normal0"/>
        <w:numPr>
          <w:ilvl w:val="0"/>
          <w:numId w:val="7"/>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i/>
          <w:noProof/>
          <w:color w:val="000000" w:themeColor="text1"/>
          <w:sz w:val="24"/>
        </w:rPr>
        <w:t>3.2.11 Alternatywne technologie wytwarzania energii elektrycznej</w:t>
      </w:r>
      <w:r w:rsidRPr="00A33B9F">
        <w:rPr>
          <w:rFonts w:ascii="Times New Roman" w:hAnsi="Times New Roman"/>
          <w:noProof/>
          <w:color w:val="000000" w:themeColor="text1"/>
          <w:sz w:val="24"/>
        </w:rPr>
        <w:t>: instalowanie odnawialnych źródeł energii</w:t>
      </w:r>
      <w:r w:rsidR="00A33B9F" w:rsidRPr="00A33B9F">
        <w:rPr>
          <w:rFonts w:ascii="Times New Roman" w:hAnsi="Times New Roman"/>
          <w:noProof/>
          <w:color w:val="000000" w:themeColor="text1"/>
          <w:sz w:val="24"/>
        </w:rPr>
        <w:t xml:space="preserve"> w obi</w:t>
      </w:r>
      <w:r w:rsidRPr="00A33B9F">
        <w:rPr>
          <w:rFonts w:ascii="Times New Roman" w:hAnsi="Times New Roman"/>
          <w:noProof/>
          <w:color w:val="000000" w:themeColor="text1"/>
          <w:sz w:val="24"/>
        </w:rPr>
        <w:t>ektach należących do centrów danych;</w:t>
      </w:r>
    </w:p>
    <w:p w14:paraId="31418F63" w14:textId="0DB8CC9B" w:rsidR="3F0D1FF1" w:rsidRPr="00A33B9F" w:rsidRDefault="4760AA95" w:rsidP="00394B30">
      <w:pPr>
        <w:pStyle w:val="Normal0"/>
        <w:numPr>
          <w:ilvl w:val="0"/>
          <w:numId w:val="7"/>
        </w:num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i/>
          <w:noProof/>
          <w:color w:val="000000" w:themeColor="text1"/>
          <w:sz w:val="24"/>
        </w:rPr>
        <w:t>3.3.2. Branie pod uwagę szeregu poziomów odporności</w:t>
      </w:r>
      <w:r w:rsidRPr="00A33B9F">
        <w:rPr>
          <w:rFonts w:ascii="Times New Roman" w:hAnsi="Times New Roman"/>
          <w:noProof/>
          <w:color w:val="000000" w:themeColor="text1"/>
          <w:sz w:val="24"/>
        </w:rPr>
        <w:t>: oczekuje się, że centra danych zwiększą niezawodność systemu zasilania poprzez opracowanie nowych metod zasilania awaryjnego.</w:t>
      </w:r>
    </w:p>
    <w:p w14:paraId="5FC2AFCE" w14:textId="1C8E5356" w:rsidR="00C650AD" w:rsidRPr="00A33B9F" w:rsidRDefault="4FB409E3" w:rsidP="7A05A10C">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spełnić warunki zasady „nie czyń poważnych szkód”, przed podjęciem decyzji</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budowy</w:t>
      </w:r>
      <w:r w:rsidR="00A33B9F" w:rsidRPr="00A33B9F">
        <w:rPr>
          <w:rFonts w:ascii="Times New Roman" w:hAnsi="Times New Roman"/>
          <w:noProof/>
          <w:color w:val="000000" w:themeColor="text1"/>
          <w:sz w:val="24"/>
        </w:rPr>
        <w:t xml:space="preserve"> i ren</w:t>
      </w:r>
      <w:r w:rsidRPr="00A33B9F">
        <w:rPr>
          <w:rFonts w:ascii="Times New Roman" w:hAnsi="Times New Roman"/>
          <w:noProof/>
          <w:color w:val="000000" w:themeColor="text1"/>
          <w:sz w:val="24"/>
        </w:rPr>
        <w:t>owacji centrów danych należy przeprowadzić ocenę dotyczącą ryzyka zmiany klimatu</w:t>
      </w:r>
      <w:r w:rsidR="00A33B9F" w:rsidRPr="00A33B9F">
        <w:rPr>
          <w:rFonts w:ascii="Times New Roman" w:hAnsi="Times New Roman"/>
          <w:noProof/>
          <w:color w:val="000000" w:themeColor="text1"/>
          <w:sz w:val="24"/>
        </w:rPr>
        <w:t xml:space="preserve"> i oce</w:t>
      </w:r>
      <w:r w:rsidRPr="00A33B9F">
        <w:rPr>
          <w:rFonts w:ascii="Times New Roman" w:hAnsi="Times New Roman"/>
          <w:noProof/>
          <w:color w:val="000000" w:themeColor="text1"/>
          <w:sz w:val="24"/>
        </w:rPr>
        <w:t>nę wrażliwości na zmiany klimatu oraz wdrożyć wszelkie niezbędne rozwiązania dostosowawcze</w:t>
      </w:r>
      <w:r w:rsidR="00A33B9F" w:rsidRPr="00A33B9F">
        <w:rPr>
          <w:rFonts w:ascii="Times New Roman" w:hAnsi="Times New Roman"/>
          <w:noProof/>
          <w:color w:val="000000" w:themeColor="text1"/>
          <w:sz w:val="24"/>
        </w:rPr>
        <w:t xml:space="preserve">. </w:t>
      </w:r>
      <w:r w:rsidR="00A33B9F" w:rsidRPr="00A33B9F">
        <w:rPr>
          <w:rFonts w:ascii="Times New Roman" w:hAnsi="Times New Roman"/>
          <w:noProof/>
          <w:sz w:val="24"/>
        </w:rPr>
        <w:t>W</w:t>
      </w:r>
      <w:r w:rsidR="00A33B9F" w:rsidRPr="00A33B9F">
        <w:rPr>
          <w:rFonts w:ascii="Times New Roman" w:hAnsi="Times New Roman"/>
          <w:noProof/>
          <w:color w:val="000000" w:themeColor="text1"/>
          <w:sz w:val="24"/>
        </w:rPr>
        <w:t> </w:t>
      </w:r>
      <w:r w:rsidR="00A33B9F" w:rsidRPr="00A33B9F">
        <w:rPr>
          <w:rFonts w:ascii="Times New Roman" w:hAnsi="Times New Roman"/>
          <w:noProof/>
          <w:sz w:val="24"/>
        </w:rPr>
        <w:t>prz</w:t>
      </w:r>
      <w:r w:rsidRPr="00A33B9F">
        <w:rPr>
          <w:rFonts w:ascii="Times New Roman" w:hAnsi="Times New Roman"/>
          <w:noProof/>
          <w:sz w:val="24"/>
        </w:rPr>
        <w:t>ypadku wszystkich inwestycji infrastrukturalnych co najmniej 70</w:t>
      </w:r>
      <w:r w:rsidR="00A33B9F" w:rsidRPr="00A33B9F">
        <w:rPr>
          <w:rFonts w:ascii="Times New Roman" w:hAnsi="Times New Roman"/>
          <w:noProof/>
          <w:sz w:val="24"/>
        </w:rPr>
        <w:t> </w:t>
      </w:r>
      <w:r w:rsidRPr="00A33B9F">
        <w:rPr>
          <w:rFonts w:ascii="Times New Roman" w:hAnsi="Times New Roman"/>
          <w:noProof/>
          <w:sz w:val="24"/>
        </w:rPr>
        <w:t>% odpadów</w:t>
      </w:r>
      <w:r w:rsidR="00A33B9F" w:rsidRPr="00A33B9F">
        <w:rPr>
          <w:rFonts w:ascii="Times New Roman" w:hAnsi="Times New Roman"/>
          <w:noProof/>
          <w:sz w:val="24"/>
        </w:rPr>
        <w:t xml:space="preserve"> z bud</w:t>
      </w:r>
      <w:r w:rsidRPr="00A33B9F">
        <w:rPr>
          <w:rFonts w:ascii="Times New Roman" w:hAnsi="Times New Roman"/>
          <w:noProof/>
          <w:sz w:val="24"/>
        </w:rPr>
        <w:t>owy</w:t>
      </w:r>
      <w:r w:rsidR="00A33B9F" w:rsidRPr="00A33B9F">
        <w:rPr>
          <w:rFonts w:ascii="Times New Roman" w:hAnsi="Times New Roman"/>
          <w:noProof/>
          <w:sz w:val="24"/>
        </w:rPr>
        <w:t xml:space="preserve"> i roz</w:t>
      </w:r>
      <w:r w:rsidRPr="00A33B9F">
        <w:rPr>
          <w:rFonts w:ascii="Times New Roman" w:hAnsi="Times New Roman"/>
          <w:noProof/>
          <w:sz w:val="24"/>
        </w:rPr>
        <w:t>biórki musi zostać ponownie użyte lub poddane recyklingowi zgodnie</w:t>
      </w:r>
      <w:r w:rsidR="00A33B9F" w:rsidRPr="00A33B9F">
        <w:rPr>
          <w:rFonts w:ascii="Times New Roman" w:hAnsi="Times New Roman"/>
          <w:noProof/>
          <w:sz w:val="24"/>
        </w:rPr>
        <w:t xml:space="preserve"> z wyt</w:t>
      </w:r>
      <w:r w:rsidRPr="00A33B9F">
        <w:rPr>
          <w:rFonts w:ascii="Times New Roman" w:hAnsi="Times New Roman"/>
          <w:noProof/>
          <w:sz w:val="24"/>
        </w:rPr>
        <w:t>ycznymi technicznymi dotyczącymi stosowania zasady „nie czyń poważnych szkód” (2021/C 58/01).</w:t>
      </w:r>
    </w:p>
    <w:p w14:paraId="0D8D85AA" w14:textId="558FFE77" w:rsidR="007C4506" w:rsidRPr="00A33B9F" w:rsidRDefault="56083BD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(iii) Optymalizacja infrastruktury służb państwowych odpowiedzialnych za bezpieczeństwo obejmuje 4 projekty ukierunkowane na zintegrowanie różnych systemów alarmowania</w:t>
      </w:r>
      <w:r w:rsidR="00A33B9F" w:rsidRPr="00A33B9F">
        <w:rPr>
          <w:rFonts w:ascii="Times New Roman" w:hAnsi="Times New Roman"/>
          <w:noProof/>
          <w:color w:val="000000" w:themeColor="text1"/>
          <w:sz w:val="24"/>
        </w:rPr>
        <w:t xml:space="preserve"> i ost</w:t>
      </w:r>
      <w:r w:rsidRPr="00A33B9F">
        <w:rPr>
          <w:rFonts w:ascii="Times New Roman" w:hAnsi="Times New Roman"/>
          <w:noProof/>
          <w:color w:val="000000" w:themeColor="text1"/>
          <w:sz w:val="24"/>
        </w:rPr>
        <w:t>rzegania oraz udoskonalenie modelu współpracy między służbami państwowymi, takimi jak policja, straż pożarna</w:t>
      </w:r>
      <w:r w:rsidR="00A33B9F" w:rsidRPr="00A33B9F">
        <w:rPr>
          <w:rFonts w:ascii="Times New Roman" w:hAnsi="Times New Roman"/>
          <w:noProof/>
          <w:color w:val="000000" w:themeColor="text1"/>
          <w:sz w:val="24"/>
        </w:rPr>
        <w:t xml:space="preserve"> i sam</w:t>
      </w:r>
      <w:r w:rsidRPr="00A33B9F">
        <w:rPr>
          <w:rFonts w:ascii="Times New Roman" w:hAnsi="Times New Roman"/>
          <w:noProof/>
          <w:color w:val="000000" w:themeColor="text1"/>
          <w:sz w:val="24"/>
        </w:rPr>
        <w:t>orządy terytorialne.</w:t>
      </w:r>
    </w:p>
    <w:p w14:paraId="233BD36A" w14:textId="48C6DCE1" w:rsidR="007C4506" w:rsidRPr="00A33B9F" w:rsidRDefault="00B31839" w:rsidP="4FB1767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Ponadto, jeżeli chodzi o (iv) wdrożenie rozwiązań</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etwarzania brzegowego, oczekuje się, że Polska weźmie udział</w:t>
      </w:r>
      <w:r w:rsidR="00A33B9F" w:rsidRPr="00A33B9F">
        <w:rPr>
          <w:rFonts w:ascii="Times New Roman" w:hAnsi="Times New Roman"/>
          <w:noProof/>
          <w:color w:val="000000" w:themeColor="text1"/>
          <w:sz w:val="24"/>
        </w:rPr>
        <w:t xml:space="preserve"> w waż</w:t>
      </w:r>
      <w:r w:rsidRPr="00A33B9F">
        <w:rPr>
          <w:rFonts w:ascii="Times New Roman" w:hAnsi="Times New Roman"/>
          <w:noProof/>
          <w:color w:val="000000" w:themeColor="text1"/>
          <w:sz w:val="24"/>
        </w:rPr>
        <w:t>nym projekcie stanowiącym przedmiot wspólnego europejskiego zainteresowania (projekt IPCEI) dotyczącym infrastruktury chmury obliczeniowej nowej generacji</w:t>
      </w:r>
      <w:r w:rsidR="00A33B9F" w:rsidRPr="00A33B9F">
        <w:rPr>
          <w:rFonts w:ascii="Times New Roman" w:hAnsi="Times New Roman"/>
          <w:noProof/>
          <w:color w:val="000000" w:themeColor="text1"/>
          <w:sz w:val="24"/>
        </w:rPr>
        <w:t xml:space="preserve"> i usł</w:t>
      </w:r>
      <w:r w:rsidRPr="00A33B9F">
        <w:rPr>
          <w:rFonts w:ascii="Times New Roman" w:hAnsi="Times New Roman"/>
          <w:noProof/>
          <w:color w:val="000000" w:themeColor="text1"/>
          <w:sz w:val="24"/>
        </w:rPr>
        <w:t>ug przetwarzania brzegowego, aby wesprzeć opracowywanie</w:t>
      </w:r>
      <w:r w:rsidR="00A33B9F" w:rsidRPr="00A33B9F">
        <w:rPr>
          <w:rFonts w:ascii="Times New Roman" w:hAnsi="Times New Roman"/>
          <w:noProof/>
          <w:color w:val="000000" w:themeColor="text1"/>
          <w:sz w:val="24"/>
        </w:rPr>
        <w:t xml:space="preserve"> i pie</w:t>
      </w:r>
      <w:r w:rsidRPr="00A33B9F">
        <w:rPr>
          <w:rFonts w:ascii="Times New Roman" w:hAnsi="Times New Roman"/>
          <w:noProof/>
          <w:color w:val="000000" w:themeColor="text1"/>
          <w:sz w:val="24"/>
        </w:rPr>
        <w:t>rwsze zastosowanie</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emyśle zaawansowanych projektów</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badań</w:t>
      </w:r>
      <w:r w:rsidR="00A33B9F" w:rsidRPr="00A33B9F">
        <w:rPr>
          <w:rFonts w:ascii="Times New Roman" w:hAnsi="Times New Roman"/>
          <w:noProof/>
          <w:color w:val="000000" w:themeColor="text1"/>
          <w:sz w:val="24"/>
        </w:rPr>
        <w:t xml:space="preserve"> i roz</w:t>
      </w:r>
      <w:r w:rsidRPr="00A33B9F">
        <w:rPr>
          <w:rFonts w:ascii="Times New Roman" w:hAnsi="Times New Roman"/>
          <w:noProof/>
          <w:color w:val="000000" w:themeColor="text1"/>
          <w:sz w:val="24"/>
        </w:rPr>
        <w:t>woju wnoszących wkład</w:t>
      </w:r>
      <w:r w:rsidR="00A33B9F" w:rsidRPr="00A33B9F">
        <w:rPr>
          <w:rFonts w:ascii="Times New Roman" w:hAnsi="Times New Roman"/>
          <w:noProof/>
          <w:color w:val="000000" w:themeColor="text1"/>
          <w:sz w:val="24"/>
        </w:rPr>
        <w:t xml:space="preserve"> w two</w:t>
      </w:r>
      <w:r w:rsidRPr="00A33B9F">
        <w:rPr>
          <w:rFonts w:ascii="Times New Roman" w:hAnsi="Times New Roman"/>
          <w:noProof/>
          <w:color w:val="000000" w:themeColor="text1"/>
          <w:sz w:val="24"/>
        </w:rPr>
        <w:t>rzenie przyszłych rozwiązań</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przetwarzania danych</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kontinuum rozciągającego się od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 do przetwarzania brzegowego.</w:t>
      </w:r>
    </w:p>
    <w:p w14:paraId="194E08AF" w14:textId="03F90F29" w:rsidR="00387C8F" w:rsidRPr="00A33B9F" w:rsidRDefault="00B31839" w:rsidP="2C44C54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0302833" w14:textId="3E60CE40" w:rsidR="00387C8F" w:rsidRPr="00A33B9F" w:rsidRDefault="00387C8F" w:rsidP="1CDF7C14">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sectPr w:rsidR="00387C8F" w:rsidRPr="00A33B9F">
          <w:headerReference w:type="even" r:id="rId79"/>
          <w:headerReference w:type="default" r:id="rId80"/>
          <w:footerReference w:type="even" r:id="rId81"/>
          <w:footerReference w:type="default" r:id="rId82"/>
          <w:headerReference w:type="first" r:id="rId83"/>
          <w:footerReference w:type="first" r:id="rId84"/>
          <w:pgSz w:w="11907" w:h="16839"/>
          <w:pgMar w:top="1134" w:right="1417" w:bottom="1134" w:left="1417" w:header="709" w:footer="709" w:gutter="0"/>
          <w:cols w:space="720"/>
        </w:sectPr>
      </w:pPr>
    </w:p>
    <w:p w14:paraId="1D0656FE" w14:textId="7F2F3F2D" w:rsidR="00212550" w:rsidRPr="00A33B9F"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 xml:space="preserve">C.2.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na potrzeby bezzwrotnego wsparcia finansowego</w:t>
      </w:r>
    </w:p>
    <w:tbl>
      <w:tblPr>
        <w:tblW w:w="155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6"/>
        <w:gridCol w:w="2126"/>
        <w:gridCol w:w="992"/>
        <w:gridCol w:w="2268"/>
        <w:gridCol w:w="1361"/>
        <w:gridCol w:w="992"/>
        <w:gridCol w:w="1191"/>
        <w:gridCol w:w="992"/>
        <w:gridCol w:w="993"/>
        <w:gridCol w:w="850"/>
        <w:gridCol w:w="2982"/>
      </w:tblGrid>
      <w:tr w:rsidR="00BC5C89" w:rsidRPr="00A33B9F" w14:paraId="43251E04" w14:textId="77777777" w:rsidTr="103C8C66">
        <w:trPr>
          <w:trHeight w:val="939"/>
          <w:tblHeader/>
          <w:jc w:val="center"/>
        </w:trPr>
        <w:tc>
          <w:tcPr>
            <w:tcW w:w="846" w:type="dxa"/>
            <w:vMerge w:val="restart"/>
            <w:shd w:val="clear" w:color="auto" w:fill="BDD7EE"/>
            <w:vAlign w:val="center"/>
          </w:tcPr>
          <w:p w14:paraId="7A633873" w14:textId="6852C5C2" w:rsidR="00BC5C89" w:rsidRPr="00A33B9F" w:rsidRDefault="00BC5C8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2126" w:type="dxa"/>
            <w:vMerge w:val="restart"/>
            <w:shd w:val="clear" w:color="auto" w:fill="BDD7EE"/>
            <w:vAlign w:val="center"/>
          </w:tcPr>
          <w:p w14:paraId="1417531B" w14:textId="77777777" w:rsidR="00BC5C89" w:rsidRPr="00A33B9F"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992" w:type="dxa"/>
            <w:vMerge w:val="restart"/>
            <w:shd w:val="clear" w:color="auto" w:fill="BDD7EE"/>
            <w:vAlign w:val="center"/>
          </w:tcPr>
          <w:p w14:paraId="00006DBC" w14:textId="77777777" w:rsidR="00BC5C89" w:rsidRPr="00A33B9F"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2268" w:type="dxa"/>
            <w:vMerge w:val="restart"/>
            <w:shd w:val="clear" w:color="auto" w:fill="BDD7EE"/>
            <w:vAlign w:val="center"/>
          </w:tcPr>
          <w:p w14:paraId="0399D578" w14:textId="77777777" w:rsidR="00BC5C89" w:rsidRPr="00A33B9F"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361" w:type="dxa"/>
            <w:vMerge w:val="restart"/>
            <w:shd w:val="clear" w:color="auto" w:fill="BDD7EE"/>
            <w:vAlign w:val="center"/>
          </w:tcPr>
          <w:p w14:paraId="1181685B" w14:textId="77777777" w:rsidR="00BC5C89" w:rsidRPr="00A33B9F"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3175" w:type="dxa"/>
            <w:gridSpan w:val="3"/>
            <w:shd w:val="clear" w:color="auto" w:fill="BDD7EE"/>
            <w:vAlign w:val="center"/>
          </w:tcPr>
          <w:p w14:paraId="52F3B586" w14:textId="77777777" w:rsidR="00BC5C89" w:rsidRPr="00A33B9F"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843" w:type="dxa"/>
            <w:gridSpan w:val="2"/>
            <w:shd w:val="clear" w:color="auto" w:fill="BDD7EE"/>
            <w:vAlign w:val="center"/>
          </w:tcPr>
          <w:p w14:paraId="37B8DAAC" w14:textId="77777777" w:rsidR="00BC5C89" w:rsidRPr="00A33B9F"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2982" w:type="dxa"/>
            <w:vMerge w:val="restart"/>
            <w:shd w:val="clear" w:color="auto" w:fill="BDD7EE"/>
            <w:vAlign w:val="center"/>
          </w:tcPr>
          <w:p w14:paraId="16810C53" w14:textId="31518AFB" w:rsidR="00BC5C89" w:rsidRPr="00A33B9F" w:rsidRDefault="00BC5C8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BC5C89" w:rsidRPr="00A33B9F" w14:paraId="252FC53A" w14:textId="77777777" w:rsidTr="103C8C66">
        <w:trPr>
          <w:trHeight w:val="1027"/>
          <w:jc w:val="center"/>
        </w:trPr>
        <w:tc>
          <w:tcPr>
            <w:tcW w:w="846" w:type="dxa"/>
            <w:vMerge/>
            <w:vAlign w:val="center"/>
          </w:tcPr>
          <w:p w14:paraId="7B37605A" w14:textId="77777777" w:rsidR="00BC5C89" w:rsidRPr="00A33B9F"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394798F2" w14:textId="77777777" w:rsidR="00BC5C89" w:rsidRPr="00A33B9F"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vMerge/>
            <w:vAlign w:val="center"/>
          </w:tcPr>
          <w:p w14:paraId="3889A505" w14:textId="77777777" w:rsidR="00BC5C89" w:rsidRPr="00A33B9F"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268" w:type="dxa"/>
            <w:vMerge/>
            <w:vAlign w:val="center"/>
          </w:tcPr>
          <w:p w14:paraId="29079D35" w14:textId="77777777" w:rsidR="00BC5C89" w:rsidRPr="00A33B9F"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361" w:type="dxa"/>
            <w:vMerge/>
            <w:vAlign w:val="center"/>
          </w:tcPr>
          <w:p w14:paraId="17686DC7" w14:textId="77777777" w:rsidR="00BC5C89" w:rsidRPr="00A33B9F"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9A95408" w14:textId="77777777" w:rsidR="00BC5C89" w:rsidRPr="00A33B9F"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2C9D7B8" w14:textId="31D1A0BC" w:rsidR="00BC5C89" w:rsidRPr="00A33B9F"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Poziom bazowy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E8B2227" w14:textId="77777777" w:rsidR="00BC5C89" w:rsidRPr="00A33B9F"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D73E104" w14:textId="77777777" w:rsidR="00BC5C89" w:rsidRPr="00A33B9F"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34F5C5B" w14:textId="77777777" w:rsidR="00BC5C89" w:rsidRPr="00A33B9F" w:rsidRDefault="00BC5C89" w:rsidP="002C1F15">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2982" w:type="dxa"/>
            <w:vMerge/>
            <w:vAlign w:val="center"/>
          </w:tcPr>
          <w:p w14:paraId="53BD644D" w14:textId="77777777" w:rsidR="00BC5C89" w:rsidRPr="00A33B9F" w:rsidRDefault="00BC5C89">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36BBF" w:rsidRPr="00A33B9F" w14:paraId="40BA9A1B"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EE793C" w14:textId="2EF76AF3"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79A0B" w14:textId="569BC281"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C1.1. Ułatwienie rozwoju infrastruktury sieciowej</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zapewnienia powszechnego dostępu do szybkiego internetu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E203A"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5DCB14"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Ramy przygotowane przez Kancelarię Prezesa Rady Ministrów na rzecz dofinansowania projektów budowy sieci szerokopasmowych na obszarach białych NGA (dostęp nowej generacji), na których obecnie nie istnieją sieci dostępu nowej generacji.</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E30234" w14:textId="7C8E5C8E"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Publikacja ram na stronach internetowych Kancelarii Prezesa Rady Ministrów</w:t>
            </w:r>
            <w:r w:rsidR="00A33B9F" w:rsidRPr="00A33B9F">
              <w:rPr>
                <w:rFonts w:ascii="Times New Roman" w:hAnsi="Times New Roman"/>
                <w:noProof/>
                <w:color w:val="000000"/>
                <w:sz w:val="18"/>
              </w:rPr>
              <w:t xml:space="preserve"> i Cen</w:t>
            </w:r>
            <w:r w:rsidRPr="00A33B9F">
              <w:rPr>
                <w:rFonts w:ascii="Times New Roman" w:hAnsi="Times New Roman"/>
                <w:noProof/>
                <w:color w:val="000000"/>
                <w:sz w:val="18"/>
              </w:rPr>
              <w:t xml:space="preserve">trum Projektów Polska Cyfrowa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90759C"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2BD992" w14:textId="77777777" w:rsidR="00736BBF" w:rsidRPr="00A33B9F"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6018EB" w14:textId="77777777" w:rsidR="00736BBF" w:rsidRPr="00A33B9F"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3A21AE"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553E30"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97C19" w14:textId="2D8323E8" w:rsidR="00736BBF" w:rsidRPr="00A33B9F" w:rsidRDefault="01E13E3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Ustanowienie ram jako podstawy następującego zaproszenia do składania wniosków.</w:t>
            </w:r>
          </w:p>
          <w:p w14:paraId="7EB0805E" w14:textId="1FBF7F38"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Ramy będą obejmowały przepisy służące zapewnieniu pełnej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projektów objętych wsparciem</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działania poprzez zastosowanie kontroli zrównoważonego charakteru projektów, wykazu wyłączeń oraz wymogu zgodności</w:t>
            </w:r>
            <w:r w:rsidR="00A33B9F" w:rsidRPr="00A33B9F">
              <w:rPr>
                <w:rFonts w:ascii="Times New Roman" w:hAnsi="Times New Roman"/>
                <w:noProof/>
                <w:color w:val="000000" w:themeColor="text1"/>
                <w:sz w:val="18"/>
              </w:rPr>
              <w:t xml:space="preserve"> z odp</w:t>
            </w:r>
            <w:r w:rsidRPr="00A33B9F">
              <w:rPr>
                <w:rFonts w:ascii="Times New Roman" w:hAnsi="Times New Roman"/>
                <w:noProof/>
                <w:color w:val="000000" w:themeColor="text1"/>
                <w:sz w:val="18"/>
              </w:rPr>
              <w:t>owiednimi unijnymi</w:t>
            </w:r>
            <w:r w:rsidR="00A33B9F" w:rsidRPr="00A33B9F">
              <w:rPr>
                <w:rFonts w:ascii="Times New Roman" w:hAnsi="Times New Roman"/>
                <w:noProof/>
                <w:color w:val="000000" w:themeColor="text1"/>
                <w:sz w:val="18"/>
              </w:rPr>
              <w:t xml:space="preserve"> i kra</w:t>
            </w:r>
            <w:r w:rsidRPr="00A33B9F">
              <w:rPr>
                <w:rFonts w:ascii="Times New Roman" w:hAnsi="Times New Roman"/>
                <w:noProof/>
                <w:color w:val="000000" w:themeColor="text1"/>
                <w:sz w:val="18"/>
              </w:rPr>
              <w:t>jowymi przepisami dotyczącymi ochrony środowiska.</w:t>
            </w:r>
          </w:p>
        </w:tc>
      </w:tr>
      <w:tr w:rsidR="00736BBF" w:rsidRPr="00A33B9F" w14:paraId="1244BD1E" w14:textId="77777777" w:rsidTr="103C8C66">
        <w:trPr>
          <w:trHeight w:val="1362"/>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CCF4E" w14:textId="64CEACDD"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BD258" w14:textId="45E9C0FB"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C1.1. Ułatwienie rozwoju infrastruktury sieciowej</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zapewnienia powszechnego dostępu do szybkiego internetu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40FDA9"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00640C" w14:textId="1BFEB88D" w:rsidR="00736BBF" w:rsidRPr="00A33B9F"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Zmiana rozporządzenia Ministra Administracji</w:t>
            </w:r>
            <w:r w:rsidR="00A33B9F" w:rsidRPr="00A33B9F">
              <w:rPr>
                <w:rFonts w:ascii="Times New Roman" w:hAnsi="Times New Roman"/>
                <w:noProof/>
                <w:color w:val="000000" w:themeColor="text1"/>
                <w:sz w:val="18"/>
              </w:rPr>
              <w:t xml:space="preserve"> i Cyf</w:t>
            </w:r>
            <w:r w:rsidRPr="00A33B9F">
              <w:rPr>
                <w:rFonts w:ascii="Times New Roman" w:hAnsi="Times New Roman"/>
                <w:noProof/>
                <w:color w:val="000000" w:themeColor="text1"/>
                <w:sz w:val="18"/>
              </w:rPr>
              <w:t>ryzacji</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inwentaryzacji infrastruktury</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 telekomunikacyjnych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421C23" w14:textId="76F0859F" w:rsidR="00736BBF" w:rsidRPr="00A33B9F"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rozporządzenia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73BDAD"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5312" w14:textId="77777777" w:rsidR="00736BBF" w:rsidRPr="00A33B9F"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3B4B9C" w14:textId="77777777" w:rsidR="00736BBF" w:rsidRPr="00A33B9F"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6C4333"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B78806"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6842D" w14:textId="3B1A2DC0" w:rsidR="00736BBF" w:rsidRPr="00A33B9F" w:rsidRDefault="71F61E19"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zmiany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krajowej inwentaryzacji infrastruktury</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 telekomunikacyjnych mającej na celu lepszą identyfikację obszarów wymagających dodatkowego wsparcia</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interwencji publicznych.</w:t>
            </w:r>
          </w:p>
        </w:tc>
      </w:tr>
      <w:tr w:rsidR="00736BBF" w:rsidRPr="00A33B9F" w14:paraId="5821D57D"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C2F63" w14:textId="67CA8A2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AB91AC" w14:textId="199D7F9D"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C1.1. Ułatwienie rozwoju infrastruktury sieciowej</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zapewnienia powszechnego dostępu do szybkiego internetu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15DED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158D83" w14:textId="34E47912"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Zmiana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Pojedynczego Punktu Informacyjnego przez Prezesa Rady Ministrów</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67536" w14:textId="1636A79D"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rozporządzenia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129359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642555" w14:textId="77777777" w:rsidR="00736BBF" w:rsidRPr="00A33B9F"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595078" w14:textId="77777777" w:rsidR="00736BBF" w:rsidRPr="00A33B9F" w:rsidRDefault="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FB017B"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4B82BA"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68E96" w14:textId="2360DAB8" w:rsidR="00736BBF" w:rsidRPr="00A33B9F" w:rsidRDefault="788DA857"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zmiany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Pojedynczego Punktu Informacyjnego</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dostarczenia operatorom szerszego zakresu informacji</w:t>
            </w:r>
            <w:r w:rsidR="00A33B9F" w:rsidRPr="00A33B9F">
              <w:rPr>
                <w:rFonts w:ascii="Times New Roman" w:hAnsi="Times New Roman"/>
                <w:noProof/>
                <w:color w:val="000000" w:themeColor="text1"/>
                <w:sz w:val="18"/>
              </w:rPr>
              <w:t xml:space="preserve"> o inf</w:t>
            </w:r>
            <w:r w:rsidRPr="00A33B9F">
              <w:rPr>
                <w:rFonts w:ascii="Times New Roman" w:hAnsi="Times New Roman"/>
                <w:noProof/>
                <w:color w:val="000000" w:themeColor="text1"/>
                <w:sz w:val="18"/>
              </w:rPr>
              <w:t>rastrukturze, którą można wykorzystać</w:t>
            </w:r>
            <w:r w:rsidR="00A33B9F" w:rsidRPr="00A33B9F">
              <w:rPr>
                <w:rFonts w:ascii="Times New Roman" w:hAnsi="Times New Roman"/>
                <w:noProof/>
                <w:color w:val="000000" w:themeColor="text1"/>
                <w:sz w:val="18"/>
              </w:rPr>
              <w:t xml:space="preserve"> w inw</w:t>
            </w:r>
            <w:r w:rsidRPr="00A33B9F">
              <w:rPr>
                <w:rFonts w:ascii="Times New Roman" w:hAnsi="Times New Roman"/>
                <w:noProof/>
                <w:color w:val="000000" w:themeColor="text1"/>
                <w:sz w:val="18"/>
              </w:rPr>
              <w:t>estycjach telekomunikacyjnych, oraz zapewnienia lepiej dostosowanych narzędzi planowania.</w:t>
            </w:r>
          </w:p>
        </w:tc>
      </w:tr>
      <w:tr w:rsidR="00736BBF" w:rsidRPr="00A33B9F" w14:paraId="7B3210D6"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FA94C" w14:textId="6022DB46"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DF0F0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C1.1.1 Zapewnienie dostępu do bardzo szybkiego internetu na obszarach białych plam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AE831"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1A9363" w14:textId="1E322709"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T1 – Dodatkowe gospodarstwa domowe (lokale mieszkalne)</w:t>
            </w:r>
            <w:r w:rsidR="00A33B9F" w:rsidRPr="00A33B9F">
              <w:rPr>
                <w:rFonts w:ascii="Times New Roman" w:hAnsi="Times New Roman"/>
                <w:noProof/>
                <w:color w:val="000000"/>
                <w:sz w:val="18"/>
              </w:rPr>
              <w:t xml:space="preserve"> z sze</w:t>
            </w:r>
            <w:r w:rsidRPr="00A33B9F">
              <w:rPr>
                <w:rFonts w:ascii="Times New Roman" w:hAnsi="Times New Roman"/>
                <w:noProof/>
                <w:color w:val="000000"/>
                <w:sz w:val="18"/>
              </w:rPr>
              <w:t>rokopasmowym dostępem do internetu</w:t>
            </w:r>
            <w:r w:rsidR="00A33B9F" w:rsidRPr="00A33B9F">
              <w:rPr>
                <w:rFonts w:ascii="Times New Roman" w:hAnsi="Times New Roman"/>
                <w:noProof/>
                <w:color w:val="000000"/>
                <w:sz w:val="18"/>
              </w:rPr>
              <w:t xml:space="preserve"> o prz</w:t>
            </w:r>
            <w:r w:rsidRPr="00A33B9F">
              <w:rPr>
                <w:rFonts w:ascii="Times New Roman" w:hAnsi="Times New Roman"/>
                <w:noProof/>
                <w:color w:val="000000"/>
                <w:sz w:val="18"/>
              </w:rPr>
              <w:t>epustowości co najmniej 100 Mb/s (z możliwością jej zwiększenia do prędkości mierzonych w Gb/s)</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082E6B"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7A4BA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1EBC01" w14:textId="1B053CB2" w:rsidR="00736BBF" w:rsidRPr="00A33B9F" w:rsidRDefault="00A05F5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7081C" w14:textId="32F64218" w:rsidR="00736BBF" w:rsidRPr="00A33B9F" w:rsidRDefault="00A05F5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1A9D45"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4369A0"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FF7B17" w14:textId="26AB561D"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100</w:t>
            </w:r>
            <w:r w:rsidRPr="00A33B9F">
              <w:rPr>
                <w:rFonts w:ascii="Times New Roman" w:hAnsi="Times New Roman"/>
                <w:noProof/>
                <w:color w:val="000000" w:themeColor="text1"/>
              </w:rPr>
              <w:t xml:space="preserve"> </w:t>
            </w:r>
            <w:r w:rsidRPr="00A33B9F">
              <w:rPr>
                <w:rFonts w:ascii="Times New Roman" w:hAnsi="Times New Roman"/>
                <w:noProof/>
                <w:color w:val="000000" w:themeColor="text1"/>
                <w:sz w:val="18"/>
              </w:rPr>
              <w:t>000 dodatkowych gospodarstw domowych na obszarach białych dostępu nowej generacji –</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których jest mało prawdopodobne, by</w:t>
            </w:r>
            <w:r w:rsidR="00A33B9F" w:rsidRPr="00A33B9F">
              <w:rPr>
                <w:rFonts w:ascii="Times New Roman" w:hAnsi="Times New Roman"/>
                <w:noProof/>
                <w:color w:val="000000" w:themeColor="text1"/>
                <w:sz w:val="18"/>
              </w:rPr>
              <w:t xml:space="preserve"> w naj</w:t>
            </w:r>
            <w:r w:rsidRPr="00A33B9F">
              <w:rPr>
                <w:rFonts w:ascii="Times New Roman" w:hAnsi="Times New Roman"/>
                <w:noProof/>
                <w:color w:val="000000" w:themeColor="text1"/>
                <w:sz w:val="18"/>
              </w:rPr>
              <w:t>bliżej przyszłości rynek zapewnił użytkownikom końcowym łączność</w:t>
            </w:r>
            <w:r w:rsidR="00A33B9F" w:rsidRPr="00A33B9F">
              <w:rPr>
                <w:rFonts w:ascii="Times New Roman" w:hAnsi="Times New Roman"/>
                <w:noProof/>
                <w:color w:val="000000" w:themeColor="text1"/>
                <w:sz w:val="18"/>
              </w:rPr>
              <w:t xml:space="preserve"> o prę</w:t>
            </w:r>
            <w:r w:rsidRPr="00A33B9F">
              <w:rPr>
                <w:rFonts w:ascii="Times New Roman" w:hAnsi="Times New Roman"/>
                <w:noProof/>
                <w:color w:val="000000" w:themeColor="text1"/>
                <w:sz w:val="18"/>
              </w:rPr>
              <w:t>dkości pobierania danych wynoszącej 100 Mb/s – zostanie objętych szerokopasmowym dostępem do internetu</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epustowości co najmniej 100 Mb/s (z możliwością zwiększenia do prędkości mierzonych w Gb/s), zgodnie</w:t>
            </w:r>
            <w:r w:rsidR="00A33B9F" w:rsidRPr="00A33B9F">
              <w:rPr>
                <w:rFonts w:ascii="Times New Roman" w:hAnsi="Times New Roman"/>
                <w:noProof/>
                <w:color w:val="000000" w:themeColor="text1"/>
                <w:sz w:val="18"/>
              </w:rPr>
              <w:t xml:space="preserve"> z cel</w:t>
            </w:r>
            <w:r w:rsidRPr="00A33B9F">
              <w:rPr>
                <w:rFonts w:ascii="Times New Roman" w:hAnsi="Times New Roman"/>
                <w:noProof/>
                <w:color w:val="000000" w:themeColor="text1"/>
                <w:sz w:val="18"/>
              </w:rPr>
              <w:t>ami określonymi</w:t>
            </w:r>
            <w:r w:rsidR="00A33B9F" w:rsidRPr="00A33B9F">
              <w:rPr>
                <w:rFonts w:ascii="Times New Roman" w:hAnsi="Times New Roman"/>
                <w:noProof/>
                <w:color w:val="000000" w:themeColor="text1"/>
                <w:sz w:val="18"/>
              </w:rPr>
              <w:t xml:space="preserve"> w Nar</w:t>
            </w:r>
            <w:r w:rsidRPr="00A33B9F">
              <w:rPr>
                <w:rFonts w:ascii="Times New Roman" w:hAnsi="Times New Roman"/>
                <w:noProof/>
                <w:color w:val="000000" w:themeColor="text1"/>
                <w:sz w:val="18"/>
              </w:rPr>
              <w:t>odowym Planie Szerokopasmowym</w:t>
            </w:r>
            <w:r w:rsidR="00A33B9F" w:rsidRPr="00A33B9F">
              <w:rPr>
                <w:rFonts w:ascii="Times New Roman" w:hAnsi="Times New Roman"/>
                <w:noProof/>
                <w:color w:val="000000" w:themeColor="text1"/>
                <w:sz w:val="18"/>
              </w:rPr>
              <w:t xml:space="preserve"> i kom</w:t>
            </w:r>
            <w:r w:rsidRPr="00A33B9F">
              <w:rPr>
                <w:rFonts w:ascii="Times New Roman" w:hAnsi="Times New Roman"/>
                <w:noProof/>
                <w:color w:val="000000" w:themeColor="text1"/>
                <w:sz w:val="18"/>
              </w:rPr>
              <w:t>unikacie Komisji</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europejskiego społeczeństwa gigabitowego.</w:t>
            </w:r>
          </w:p>
          <w:p w14:paraId="3AA65694" w14:textId="18F33CFF"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charakterystyki energetycznej budynku, gospodarki odpadami oraz oceny ryzyka dla środowiska naturalnego.</w:t>
            </w:r>
          </w:p>
        </w:tc>
      </w:tr>
      <w:tr w:rsidR="00736BBF" w:rsidRPr="00A33B9F" w14:paraId="35BD72E8"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CB5CC8" w14:textId="3442F5DB"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8F12F9"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C1.1.1 Zapewnienie dostępu do bardzo szybkiego internetu na obszarach białych plam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7A09E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E06DC8" w14:textId="371C1882"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T2 – Dodatkowe gospodarstwa domowe (lokale mieszkalne)</w:t>
            </w:r>
            <w:r w:rsidR="00A33B9F" w:rsidRPr="00A33B9F">
              <w:rPr>
                <w:rFonts w:ascii="Times New Roman" w:hAnsi="Times New Roman"/>
                <w:noProof/>
                <w:color w:val="000000"/>
                <w:sz w:val="18"/>
              </w:rPr>
              <w:t xml:space="preserve"> z sze</w:t>
            </w:r>
            <w:r w:rsidRPr="00A33B9F">
              <w:rPr>
                <w:rFonts w:ascii="Times New Roman" w:hAnsi="Times New Roman"/>
                <w:noProof/>
                <w:color w:val="000000"/>
                <w:sz w:val="18"/>
              </w:rPr>
              <w:t>rokopasmowym dostępem do internetu</w:t>
            </w:r>
            <w:r w:rsidR="00A33B9F" w:rsidRPr="00A33B9F">
              <w:rPr>
                <w:rFonts w:ascii="Times New Roman" w:hAnsi="Times New Roman"/>
                <w:noProof/>
                <w:color w:val="000000"/>
                <w:sz w:val="18"/>
              </w:rPr>
              <w:t xml:space="preserve"> o prz</w:t>
            </w:r>
            <w:r w:rsidRPr="00A33B9F">
              <w:rPr>
                <w:rFonts w:ascii="Times New Roman" w:hAnsi="Times New Roman"/>
                <w:noProof/>
                <w:color w:val="000000"/>
                <w:sz w:val="18"/>
              </w:rPr>
              <w:t>epustowości co najmniej 100 Mb/s (z możliwością jej zwiększenia do prędkości mierzonych w Gb/s)</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10397A"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D1FC9"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9793ED" w14:textId="7126FB1A" w:rsidR="00736BBF" w:rsidRPr="00A33B9F" w:rsidRDefault="00A05F50"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025DB3" w14:textId="7F7C03B6" w:rsidR="00736BBF" w:rsidRPr="00A33B9F"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500 000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AACBE"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89DF82"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671021" w14:textId="6489E7C6" w:rsidR="00736BBF" w:rsidRPr="00A33B9F" w:rsidRDefault="27E2819D"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Łącznie co najmniej 500 000 dodatkowych gospodarstw domowych na obszarach białych dostępu nowej generacji –</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których jest mało prawdopodobne, by</w:t>
            </w:r>
            <w:r w:rsidR="00A33B9F" w:rsidRPr="00A33B9F">
              <w:rPr>
                <w:rFonts w:ascii="Times New Roman" w:hAnsi="Times New Roman"/>
                <w:noProof/>
                <w:color w:val="000000" w:themeColor="text1"/>
                <w:sz w:val="18"/>
              </w:rPr>
              <w:t xml:space="preserve"> w naj</w:t>
            </w:r>
            <w:r w:rsidRPr="00A33B9F">
              <w:rPr>
                <w:rFonts w:ascii="Times New Roman" w:hAnsi="Times New Roman"/>
                <w:noProof/>
                <w:color w:val="000000" w:themeColor="text1"/>
                <w:sz w:val="18"/>
              </w:rPr>
              <w:t>bliżej przyszłości rynek zapewnił użytkownikom końcowym łączność</w:t>
            </w:r>
            <w:r w:rsidR="00A33B9F" w:rsidRPr="00A33B9F">
              <w:rPr>
                <w:rFonts w:ascii="Times New Roman" w:hAnsi="Times New Roman"/>
                <w:noProof/>
                <w:color w:val="000000" w:themeColor="text1"/>
                <w:sz w:val="18"/>
              </w:rPr>
              <w:t xml:space="preserve"> o prę</w:t>
            </w:r>
            <w:r w:rsidRPr="00A33B9F">
              <w:rPr>
                <w:rFonts w:ascii="Times New Roman" w:hAnsi="Times New Roman"/>
                <w:noProof/>
                <w:color w:val="000000" w:themeColor="text1"/>
                <w:sz w:val="18"/>
              </w:rPr>
              <w:t>dkości pobierania danych wynoszącej 100 Mb/s – zostanie objętych szerokopasmowym dostępem do internetu</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epustowości co najmniej 100 Mb/s (z możliwością zwiększenia do prędkości mierzonych w Gb/s), zgodnie</w:t>
            </w:r>
            <w:r w:rsidR="00A33B9F" w:rsidRPr="00A33B9F">
              <w:rPr>
                <w:rFonts w:ascii="Times New Roman" w:hAnsi="Times New Roman"/>
                <w:noProof/>
                <w:color w:val="000000" w:themeColor="text1"/>
                <w:sz w:val="18"/>
              </w:rPr>
              <w:t xml:space="preserve"> z cel</w:t>
            </w:r>
            <w:r w:rsidRPr="00A33B9F">
              <w:rPr>
                <w:rFonts w:ascii="Times New Roman" w:hAnsi="Times New Roman"/>
                <w:noProof/>
                <w:color w:val="000000" w:themeColor="text1"/>
                <w:sz w:val="18"/>
              </w:rPr>
              <w:t>ami określonymi</w:t>
            </w:r>
            <w:r w:rsidR="00A33B9F" w:rsidRPr="00A33B9F">
              <w:rPr>
                <w:rFonts w:ascii="Times New Roman" w:hAnsi="Times New Roman"/>
                <w:noProof/>
                <w:color w:val="000000" w:themeColor="text1"/>
                <w:sz w:val="18"/>
              </w:rPr>
              <w:t xml:space="preserve"> w Nar</w:t>
            </w:r>
            <w:r w:rsidRPr="00A33B9F">
              <w:rPr>
                <w:rFonts w:ascii="Times New Roman" w:hAnsi="Times New Roman"/>
                <w:noProof/>
                <w:color w:val="000000" w:themeColor="text1"/>
                <w:sz w:val="18"/>
              </w:rPr>
              <w:t>odowym Planie Szerokopasmowym</w:t>
            </w:r>
            <w:r w:rsidR="00A33B9F" w:rsidRPr="00A33B9F">
              <w:rPr>
                <w:rFonts w:ascii="Times New Roman" w:hAnsi="Times New Roman"/>
                <w:noProof/>
                <w:color w:val="000000" w:themeColor="text1"/>
                <w:sz w:val="18"/>
              </w:rPr>
              <w:t xml:space="preserve"> i kom</w:t>
            </w:r>
            <w:r w:rsidRPr="00A33B9F">
              <w:rPr>
                <w:rFonts w:ascii="Times New Roman" w:hAnsi="Times New Roman"/>
                <w:noProof/>
                <w:color w:val="000000" w:themeColor="text1"/>
                <w:sz w:val="18"/>
              </w:rPr>
              <w:t>unikacie Komisji</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europejskiego społeczeństwa gigabitowego.</w:t>
            </w:r>
          </w:p>
          <w:p w14:paraId="5A66B708" w14:textId="26EFFFC9"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charakterystyki energetycznej budynku, gospodarki odpadami oraz oceny ryzyka dla środowiska naturalnego.</w:t>
            </w:r>
          </w:p>
        </w:tc>
      </w:tr>
      <w:tr w:rsidR="00A05F50" w:rsidRPr="00A33B9F" w14:paraId="169E4FB1"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66412A" w14:textId="07DE9BD8" w:rsidR="00A05F50" w:rsidRPr="00A33B9F" w:rsidRDefault="00A05F50" w:rsidP="00A05F5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FEF1B0" w14:textId="77777777" w:rsidR="00A05F50" w:rsidRPr="00A33B9F"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C1.1.1 Zapewnienie dostępu do bardzo szybkiego internetu na obszarach białych plam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1C418F" w14:textId="77777777" w:rsidR="00A05F50" w:rsidRPr="00A33B9F"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46CC2" w14:textId="7D58BB0D" w:rsidR="00A05F50" w:rsidRPr="00A33B9F"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T3 – Dodatkowe gospodarstwa domowe (lokale mieszkalne)</w:t>
            </w:r>
            <w:r w:rsidR="00A33B9F" w:rsidRPr="00A33B9F">
              <w:rPr>
                <w:rFonts w:ascii="Times New Roman" w:hAnsi="Times New Roman"/>
                <w:noProof/>
                <w:color w:val="000000"/>
                <w:sz w:val="18"/>
              </w:rPr>
              <w:t xml:space="preserve"> z sze</w:t>
            </w:r>
            <w:r w:rsidRPr="00A33B9F">
              <w:rPr>
                <w:rFonts w:ascii="Times New Roman" w:hAnsi="Times New Roman"/>
                <w:noProof/>
                <w:color w:val="000000"/>
                <w:sz w:val="18"/>
              </w:rPr>
              <w:t>rokopasmowym dostępem do internetu</w:t>
            </w:r>
            <w:r w:rsidR="00A33B9F" w:rsidRPr="00A33B9F">
              <w:rPr>
                <w:rFonts w:ascii="Times New Roman" w:hAnsi="Times New Roman"/>
                <w:noProof/>
                <w:color w:val="000000"/>
                <w:sz w:val="18"/>
              </w:rPr>
              <w:t xml:space="preserve"> o prz</w:t>
            </w:r>
            <w:r w:rsidRPr="00A33B9F">
              <w:rPr>
                <w:rFonts w:ascii="Times New Roman" w:hAnsi="Times New Roman"/>
                <w:noProof/>
                <w:color w:val="000000"/>
                <w:sz w:val="18"/>
              </w:rPr>
              <w:t>epustowości co najmniej 100 Mb/s (z możliwością jej zwiększenia do prędkości mierzonych w Gb/s)</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2BBFE" w14:textId="77777777" w:rsidR="00A05F50" w:rsidRPr="00A33B9F"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FB2D70" w14:textId="77777777" w:rsidR="00A05F50" w:rsidRPr="00A33B9F"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B6280E" w14:textId="5532B5DD" w:rsidR="00A05F50" w:rsidRPr="00A33B9F" w:rsidRDefault="003E64FF" w:rsidP="00A05F50">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500 000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B63CB3" w14:textId="1577CEC8" w:rsidR="00A05F50" w:rsidRPr="00A33B9F" w:rsidRDefault="003E64F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931 000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355A2D" w14:textId="77777777" w:rsidR="00A05F50" w:rsidRPr="00A33B9F" w:rsidRDefault="00A05F50" w:rsidP="00A05F5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A6178B" w14:textId="77777777" w:rsidR="00A05F50" w:rsidRPr="00A33B9F" w:rsidRDefault="00A05F50" w:rsidP="00A05F5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41FD7" w14:textId="6836D01A" w:rsidR="00A05F50" w:rsidRPr="00A33B9F" w:rsidRDefault="7DF7BC1A"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Łącznie co najmniej 931 000 dodatkowych gospodarstw domowych na obszarach białych dostępu nowej generacji –</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których jest mało prawdopodobne, by</w:t>
            </w:r>
            <w:r w:rsidR="00A33B9F" w:rsidRPr="00A33B9F">
              <w:rPr>
                <w:rFonts w:ascii="Times New Roman" w:hAnsi="Times New Roman"/>
                <w:noProof/>
                <w:color w:val="000000" w:themeColor="text1"/>
                <w:sz w:val="18"/>
              </w:rPr>
              <w:t xml:space="preserve"> w naj</w:t>
            </w:r>
            <w:r w:rsidRPr="00A33B9F">
              <w:rPr>
                <w:rFonts w:ascii="Times New Roman" w:hAnsi="Times New Roman"/>
                <w:noProof/>
                <w:color w:val="000000" w:themeColor="text1"/>
                <w:sz w:val="18"/>
              </w:rPr>
              <w:t>bliżej przyszłości rynek zapewnił użytkownikom końcowym łączność</w:t>
            </w:r>
            <w:r w:rsidR="00A33B9F" w:rsidRPr="00A33B9F">
              <w:rPr>
                <w:rFonts w:ascii="Times New Roman" w:hAnsi="Times New Roman"/>
                <w:noProof/>
                <w:color w:val="000000" w:themeColor="text1"/>
                <w:sz w:val="18"/>
              </w:rPr>
              <w:t xml:space="preserve"> o prę</w:t>
            </w:r>
            <w:r w:rsidRPr="00A33B9F">
              <w:rPr>
                <w:rFonts w:ascii="Times New Roman" w:hAnsi="Times New Roman"/>
                <w:noProof/>
                <w:color w:val="000000" w:themeColor="text1"/>
                <w:sz w:val="18"/>
              </w:rPr>
              <w:t>dkości pobierania danych wynoszącej 100 Mb/s – zostanie objętych szerokopasmowym dostępem do internetu</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epustowości co najmniej 100 Mb/s (z możliwością zwiększenia do prędkości mierzonych w Gb/s), zgodnie</w:t>
            </w:r>
            <w:r w:rsidR="00A33B9F" w:rsidRPr="00A33B9F">
              <w:rPr>
                <w:rFonts w:ascii="Times New Roman" w:hAnsi="Times New Roman"/>
                <w:noProof/>
                <w:color w:val="000000" w:themeColor="text1"/>
                <w:sz w:val="18"/>
              </w:rPr>
              <w:t xml:space="preserve"> z cel</w:t>
            </w:r>
            <w:r w:rsidRPr="00A33B9F">
              <w:rPr>
                <w:rFonts w:ascii="Times New Roman" w:hAnsi="Times New Roman"/>
                <w:noProof/>
                <w:color w:val="000000" w:themeColor="text1"/>
                <w:sz w:val="18"/>
              </w:rPr>
              <w:t>ami określonymi</w:t>
            </w:r>
            <w:r w:rsidR="00A33B9F" w:rsidRPr="00A33B9F">
              <w:rPr>
                <w:rFonts w:ascii="Times New Roman" w:hAnsi="Times New Roman"/>
                <w:noProof/>
                <w:color w:val="000000" w:themeColor="text1"/>
                <w:sz w:val="18"/>
              </w:rPr>
              <w:t xml:space="preserve"> w Nar</w:t>
            </w:r>
            <w:r w:rsidRPr="00A33B9F">
              <w:rPr>
                <w:rFonts w:ascii="Times New Roman" w:hAnsi="Times New Roman"/>
                <w:noProof/>
                <w:color w:val="000000" w:themeColor="text1"/>
                <w:sz w:val="18"/>
              </w:rPr>
              <w:t>odowym Planie Szerokopasmowym</w:t>
            </w:r>
            <w:r w:rsidR="00A33B9F" w:rsidRPr="00A33B9F">
              <w:rPr>
                <w:rFonts w:ascii="Times New Roman" w:hAnsi="Times New Roman"/>
                <w:noProof/>
                <w:color w:val="000000" w:themeColor="text1"/>
                <w:sz w:val="18"/>
              </w:rPr>
              <w:t xml:space="preserve"> i kom</w:t>
            </w:r>
            <w:r w:rsidRPr="00A33B9F">
              <w:rPr>
                <w:rFonts w:ascii="Times New Roman" w:hAnsi="Times New Roman"/>
                <w:noProof/>
                <w:color w:val="000000" w:themeColor="text1"/>
                <w:sz w:val="18"/>
              </w:rPr>
              <w:t>unikacie Komisji</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 xml:space="preserve">awie europejskiego społeczeństwa gigabitowego. </w:t>
            </w:r>
          </w:p>
          <w:p w14:paraId="3DF72868" w14:textId="0FFD6BB3" w:rsidR="00A05F50" w:rsidRPr="00A33B9F" w:rsidRDefault="00A05F50" w:rsidP="00A05F5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charakterystyki energetycznej budynku, gospodarki odpadami oraz oceny ryzyka dla środowiska naturalnego.</w:t>
            </w:r>
            <w:r w:rsidRPr="00A33B9F">
              <w:rPr>
                <w:rFonts w:ascii="Times New Roman" w:hAnsi="Times New Roman"/>
                <w:noProof/>
                <w:color w:val="881798"/>
                <w:sz w:val="18"/>
                <w:u w:val="single"/>
              </w:rPr>
              <w:t xml:space="preserve"> </w:t>
            </w:r>
          </w:p>
        </w:tc>
      </w:tr>
      <w:tr w:rsidR="06663D52" w:rsidRPr="00A33B9F" w14:paraId="500763E7"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346611" w14:textId="548478CC" w:rsidR="06663D52" w:rsidRPr="00A33B9F" w:rsidRDefault="2BAD4391" w:rsidP="005B381D">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C6aG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AA165C" w14:textId="2F66A38D" w:rsidR="2C5702E8" w:rsidRPr="00A33B9F" w:rsidRDefault="2C5702E8" w:rsidP="06663D52">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C1.1.1 Zapewnienie dostępu do bardzo szybkiego internetu na obszarach białych plam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50D02" w14:textId="4F6C18A5" w:rsidR="2C5702E8" w:rsidRPr="00A33B9F" w:rsidRDefault="2C5702E8" w:rsidP="005B381D">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EACED" w14:textId="19F8A6C9" w:rsidR="6415DB00" w:rsidRPr="00A33B9F" w:rsidRDefault="6415DB00" w:rsidP="06663D5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Sale lekcyjne</w:t>
            </w:r>
            <w:r w:rsidR="00A33B9F" w:rsidRPr="00A33B9F">
              <w:rPr>
                <w:rFonts w:ascii="Times New Roman" w:hAnsi="Times New Roman"/>
                <w:noProof/>
                <w:color w:val="000000" w:themeColor="text1"/>
                <w:sz w:val="18"/>
              </w:rPr>
              <w:t xml:space="preserve"> w szk</w:t>
            </w:r>
            <w:r w:rsidRPr="00A33B9F">
              <w:rPr>
                <w:rFonts w:ascii="Times New Roman" w:hAnsi="Times New Roman"/>
                <w:noProof/>
                <w:color w:val="000000" w:themeColor="text1"/>
                <w:sz w:val="18"/>
              </w:rPr>
              <w:t>ołach wyposażone</w:t>
            </w:r>
            <w:r w:rsidR="00A33B9F" w:rsidRPr="00A33B9F">
              <w:rPr>
                <w:rFonts w:ascii="Times New Roman" w:hAnsi="Times New Roman"/>
                <w:noProof/>
                <w:color w:val="000000" w:themeColor="text1"/>
                <w:sz w:val="18"/>
              </w:rPr>
              <w:t xml:space="preserve"> w poł</w:t>
            </w:r>
            <w:r w:rsidRPr="00A33B9F">
              <w:rPr>
                <w:rFonts w:ascii="Times New Roman" w:hAnsi="Times New Roman"/>
                <w:noProof/>
                <w:color w:val="000000" w:themeColor="text1"/>
                <w:sz w:val="18"/>
              </w:rPr>
              <w:t>ączenie LAN</w:t>
            </w:r>
          </w:p>
          <w:p w14:paraId="55CE14AE" w14:textId="4CFDFCE5" w:rsidR="06663D52" w:rsidRPr="00A33B9F" w:rsidRDefault="06663D52" w:rsidP="06663D52">
            <w:pPr>
              <w:pStyle w:val="Normal0"/>
              <w:spacing w:line="240" w:lineRule="auto"/>
              <w:rPr>
                <w:rFonts w:ascii="Times New Roman" w:eastAsia="Times New Roman" w:hAnsi="Times New Roman" w:cs="Times New Roman"/>
                <w:noProof/>
                <w:color w:val="000000" w:themeColor="text1"/>
                <w:sz w:val="18"/>
                <w:szCs w:val="18"/>
              </w:rPr>
            </w:pP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8ED07A" w14:textId="611F1FB6" w:rsidR="06663D52" w:rsidRPr="00A33B9F" w:rsidRDefault="06663D52" w:rsidP="005B381D">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B33684" w14:textId="3C416150" w:rsidR="31B9F075" w:rsidRPr="00A33B9F" w:rsidRDefault="31B9F075" w:rsidP="005B381D">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35F8C6" w14:textId="1330B340" w:rsidR="31B9F075" w:rsidRPr="00A33B9F" w:rsidRDefault="31B9F075" w:rsidP="005B381D">
            <w:pPr>
              <w:pStyle w:val="Normal0"/>
              <w:spacing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F48343" w14:textId="3AAD84B9" w:rsidR="31B9F075" w:rsidRPr="00A33B9F" w:rsidRDefault="31B9F075" w:rsidP="005B381D">
            <w:pPr>
              <w:pStyle w:val="Normal0"/>
              <w:spacing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100 000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7993EE1" w14:textId="3FE1057C" w:rsidR="31B9F075" w:rsidRPr="00A33B9F" w:rsidRDefault="31B9F075" w:rsidP="005B381D">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F53E89" w14:textId="2C790048" w:rsidR="31B9F075" w:rsidRPr="00A33B9F" w:rsidRDefault="31B9F075" w:rsidP="005B381D">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05CEC5" w14:textId="5450EE4C" w:rsidR="6D351BF2" w:rsidRPr="00A33B9F" w:rsidRDefault="6D351BF2" w:rsidP="06663D5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sal lekcyjnych</w:t>
            </w:r>
            <w:r w:rsidR="00A33B9F" w:rsidRPr="00A33B9F">
              <w:rPr>
                <w:rFonts w:ascii="Times New Roman" w:hAnsi="Times New Roman"/>
                <w:noProof/>
                <w:color w:val="000000" w:themeColor="text1"/>
                <w:sz w:val="18"/>
              </w:rPr>
              <w:t xml:space="preserve"> w szk</w:t>
            </w:r>
            <w:r w:rsidRPr="00A33B9F">
              <w:rPr>
                <w:rFonts w:ascii="Times New Roman" w:hAnsi="Times New Roman"/>
                <w:noProof/>
                <w:color w:val="000000" w:themeColor="text1"/>
                <w:sz w:val="18"/>
              </w:rPr>
              <w:t>ołach zawodowych oraz instytucjach kształcenia ogólnego, które zostaną wyposażone</w:t>
            </w:r>
            <w:r w:rsidR="00A33B9F" w:rsidRPr="00A33B9F">
              <w:rPr>
                <w:rFonts w:ascii="Times New Roman" w:hAnsi="Times New Roman"/>
                <w:noProof/>
                <w:color w:val="000000" w:themeColor="text1"/>
                <w:sz w:val="18"/>
              </w:rPr>
              <w:t xml:space="preserve"> w poł</w:t>
            </w:r>
            <w:r w:rsidRPr="00A33B9F">
              <w:rPr>
                <w:rFonts w:ascii="Times New Roman" w:hAnsi="Times New Roman"/>
                <w:noProof/>
                <w:color w:val="000000" w:themeColor="text1"/>
                <w:sz w:val="18"/>
              </w:rPr>
              <w:t>ączenie LAN,</w:t>
            </w:r>
            <w:r w:rsidR="00A33B9F" w:rsidRPr="00A33B9F">
              <w:rPr>
                <w:rFonts w:ascii="Times New Roman" w:hAnsi="Times New Roman"/>
                <w:noProof/>
                <w:color w:val="000000" w:themeColor="text1"/>
                <w:sz w:val="18"/>
              </w:rPr>
              <w:t xml:space="preserve"> z dos</w:t>
            </w:r>
            <w:r w:rsidRPr="00A33B9F">
              <w:rPr>
                <w:rFonts w:ascii="Times New Roman" w:hAnsi="Times New Roman"/>
                <w:noProof/>
                <w:color w:val="000000" w:themeColor="text1"/>
                <w:sz w:val="18"/>
              </w:rPr>
              <w:t>tępem do internetu</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 xml:space="preserve">epustowości większej od minimalnych standardów wynoszących 100 Mb/s. </w:t>
            </w:r>
          </w:p>
          <w:p w14:paraId="16311FF3" w14:textId="6DB3962F" w:rsidR="06663D52" w:rsidRPr="00A33B9F" w:rsidRDefault="06663D52" w:rsidP="06663D5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05EA06D9" w14:textId="048E40AD" w:rsidR="6D351BF2" w:rsidRPr="00A33B9F" w:rsidRDefault="6D351BF2" w:rsidP="2C44C544">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Wyboru podmiotów zapewniających infrastrukturę sieciową dokona się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uczciwy, konkurencyjny</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ejrzysty zgodnie</w:t>
            </w:r>
            <w:r w:rsidR="00A33B9F" w:rsidRPr="00A33B9F">
              <w:rPr>
                <w:rFonts w:ascii="Times New Roman" w:hAnsi="Times New Roman"/>
                <w:noProof/>
                <w:color w:val="000000" w:themeColor="text1"/>
                <w:sz w:val="18"/>
              </w:rPr>
              <w:t xml:space="preserve"> z ram</w:t>
            </w:r>
            <w:r w:rsidRPr="00A33B9F">
              <w:rPr>
                <w:rFonts w:ascii="Times New Roman" w:hAnsi="Times New Roman"/>
                <w:noProof/>
                <w:color w:val="000000" w:themeColor="text1"/>
                <w:sz w:val="18"/>
              </w:rPr>
              <w:t>ami kamienia milowego C10L.</w:t>
            </w:r>
          </w:p>
          <w:p w14:paraId="631B5B0C" w14:textId="5B562213" w:rsidR="6D351BF2" w:rsidRPr="00A33B9F" w:rsidRDefault="6D351BF2" w:rsidP="70CE17A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r>
      <w:tr w:rsidR="00736BBF" w:rsidRPr="00A33B9F" w14:paraId="6861CF27"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965B08" w14:textId="020D5350"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2E7880" w14:textId="61B9EF5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C2.1 Zwiększenie skali zastosowań rozwiązań cyfrowych</w:t>
            </w:r>
            <w:r w:rsidR="00A33B9F" w:rsidRPr="00A33B9F">
              <w:rPr>
                <w:rFonts w:ascii="Times New Roman" w:hAnsi="Times New Roman"/>
                <w:noProof/>
                <w:color w:val="000000"/>
                <w:sz w:val="18"/>
              </w:rPr>
              <w:t xml:space="preserve"> w sfe</w:t>
            </w:r>
            <w:r w:rsidRPr="00A33B9F">
              <w:rPr>
                <w:rFonts w:ascii="Times New Roman" w:hAnsi="Times New Roman"/>
                <w:noProof/>
                <w:color w:val="000000"/>
                <w:sz w:val="18"/>
              </w:rPr>
              <w:t>rze publicznej, gospodarce</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C2DDF5"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3948B1" w14:textId="5243EF64"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Zmiana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17 lutego 2005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inf</w:t>
            </w:r>
            <w:r w:rsidRPr="00A33B9F">
              <w:rPr>
                <w:rFonts w:ascii="Times New Roman" w:hAnsi="Times New Roman"/>
                <w:noProof/>
                <w:color w:val="000000" w:themeColor="text1"/>
                <w:sz w:val="18"/>
              </w:rPr>
              <w:t>ormatyzacji działalności podmiotów realizujących zadania publiczne pod kątem wprowadzania domyślności cyfrowej postaci dokumentów</w:t>
            </w:r>
            <w:r w:rsidR="00A33B9F" w:rsidRPr="00A33B9F">
              <w:rPr>
                <w:rFonts w:ascii="Times New Roman" w:hAnsi="Times New Roman"/>
                <w:noProof/>
                <w:color w:val="000000" w:themeColor="text1"/>
                <w:sz w:val="18"/>
              </w:rPr>
              <w:t xml:space="preserve"> i ele</w:t>
            </w:r>
            <w:r w:rsidRPr="00A33B9F">
              <w:rPr>
                <w:rFonts w:ascii="Times New Roman" w:hAnsi="Times New Roman"/>
                <w:noProof/>
                <w:color w:val="000000" w:themeColor="text1"/>
                <w:sz w:val="18"/>
              </w:rPr>
              <w:t>ktronicznej formy usług oraz cyfryzacji procesów administracyjnych.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3D6AEB" w14:textId="4DFB77C8"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zmi</w:t>
            </w:r>
            <w:r w:rsidRPr="00A33B9F">
              <w:rPr>
                <w:rFonts w:ascii="Times New Roman" w:hAnsi="Times New Roman"/>
                <w:noProof/>
                <w:color w:val="000000"/>
                <w:sz w:val="18"/>
              </w:rPr>
              <w:t>enionej ustawie wskazujący na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tej zmiany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9C487C"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757454"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FE145A"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4F02C7"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860353"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E87606" w14:textId="3C77D795"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zmiany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17 lutego 2005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inf</w:t>
            </w:r>
            <w:r w:rsidRPr="00A33B9F">
              <w:rPr>
                <w:rFonts w:ascii="Times New Roman" w:hAnsi="Times New Roman"/>
                <w:noProof/>
                <w:color w:val="000000" w:themeColor="text1"/>
                <w:sz w:val="18"/>
              </w:rPr>
              <w:t>ormatyzacji działalności podmiotów realizujących zadania publiczne. Za przygotowanie</w:t>
            </w:r>
            <w:r w:rsidR="00A33B9F" w:rsidRPr="00A33B9F">
              <w:rPr>
                <w:rFonts w:ascii="Times New Roman" w:hAnsi="Times New Roman"/>
                <w:noProof/>
                <w:color w:val="000000" w:themeColor="text1"/>
                <w:sz w:val="18"/>
              </w:rPr>
              <w:t xml:space="preserve"> i uch</w:t>
            </w:r>
            <w:r w:rsidRPr="00A33B9F">
              <w:rPr>
                <w:rFonts w:ascii="Times New Roman" w:hAnsi="Times New Roman"/>
                <w:noProof/>
                <w:color w:val="000000" w:themeColor="text1"/>
                <w:sz w:val="18"/>
              </w:rPr>
              <w:t>walenie tej ustawy odpowiada Kancelaria Prezesa Rady Ministrów.</w:t>
            </w:r>
          </w:p>
        </w:tc>
      </w:tr>
      <w:tr w:rsidR="00736BBF" w:rsidRPr="00A33B9F" w14:paraId="7922965E"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3A19EC" w14:textId="5441CD1F"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BA01FD" w14:textId="3BCDD169"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C2.1 Zwiększenie skali zastosowań rozwiązań cyfrowych</w:t>
            </w:r>
            <w:r w:rsidR="00A33B9F" w:rsidRPr="00A33B9F">
              <w:rPr>
                <w:rFonts w:ascii="Times New Roman" w:hAnsi="Times New Roman"/>
                <w:noProof/>
                <w:color w:val="000000"/>
                <w:sz w:val="18"/>
              </w:rPr>
              <w:t xml:space="preserve"> w sfe</w:t>
            </w:r>
            <w:r w:rsidRPr="00A33B9F">
              <w:rPr>
                <w:rFonts w:ascii="Times New Roman" w:hAnsi="Times New Roman"/>
                <w:noProof/>
                <w:color w:val="000000"/>
                <w:sz w:val="18"/>
              </w:rPr>
              <w:t>rze publicznej, gospodarce</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25891B"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52767F" w14:textId="49BB44FC"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Zmiana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11 marca 2004</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pod</w:t>
            </w:r>
            <w:r w:rsidRPr="00A33B9F">
              <w:rPr>
                <w:rFonts w:ascii="Times New Roman" w:hAnsi="Times New Roman"/>
                <w:noProof/>
                <w:color w:val="000000" w:themeColor="text1"/>
                <w:sz w:val="18"/>
              </w:rPr>
              <w:t>atku od towarów</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 (stosowanie ustrukturyzowanych faktur) – wprowadzająca do obrotu gospodarczego elektroniczne faktury ustrukturyzowane oraz wprowadzająca obowiązek wystawiania</w:t>
            </w:r>
            <w:r w:rsidR="00A33B9F" w:rsidRPr="00A33B9F">
              <w:rPr>
                <w:rFonts w:ascii="Times New Roman" w:hAnsi="Times New Roman"/>
                <w:noProof/>
                <w:color w:val="000000" w:themeColor="text1"/>
                <w:sz w:val="18"/>
              </w:rPr>
              <w:t xml:space="preserve"> i otr</w:t>
            </w:r>
            <w:r w:rsidRPr="00A33B9F">
              <w:rPr>
                <w:rFonts w:ascii="Times New Roman" w:hAnsi="Times New Roman"/>
                <w:noProof/>
                <w:color w:val="000000" w:themeColor="text1"/>
                <w:sz w:val="18"/>
              </w:rPr>
              <w:t>zymywania za pośrednictwem Krajowego Systemu e-Faktur.</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58881F" w14:textId="4BEA6FCA"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zmi</w:t>
            </w:r>
            <w:r w:rsidRPr="00A33B9F">
              <w:rPr>
                <w:rFonts w:ascii="Times New Roman" w:hAnsi="Times New Roman"/>
                <w:noProof/>
                <w:color w:val="000000"/>
                <w:sz w:val="18"/>
              </w:rPr>
              <w:t>enionej ustawie wskazujący na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tej zmiany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5A4A1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B444D4"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302B30"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E25394"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A82230"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BA5136" w14:textId="36DEAE32"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zmiany ustawy</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11 marca 2004</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o pod</w:t>
            </w:r>
            <w:r w:rsidRPr="00A33B9F">
              <w:rPr>
                <w:rFonts w:ascii="Times New Roman" w:hAnsi="Times New Roman"/>
                <w:noProof/>
                <w:color w:val="000000" w:themeColor="text1"/>
                <w:sz w:val="18"/>
              </w:rPr>
              <w:t>atku od towarów</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 (stosowanie ustrukturyzowanych faktur) Korzystanie</w:t>
            </w:r>
            <w:r w:rsidR="00A33B9F" w:rsidRPr="00A33B9F">
              <w:rPr>
                <w:rFonts w:ascii="Times New Roman" w:hAnsi="Times New Roman"/>
                <w:noProof/>
                <w:color w:val="000000" w:themeColor="text1"/>
                <w:sz w:val="18"/>
              </w:rPr>
              <w:t xml:space="preserve"> z fak</w:t>
            </w:r>
            <w:r w:rsidRPr="00A33B9F">
              <w:rPr>
                <w:rFonts w:ascii="Times New Roman" w:hAnsi="Times New Roman"/>
                <w:noProof/>
                <w:color w:val="000000" w:themeColor="text1"/>
                <w:sz w:val="18"/>
              </w:rPr>
              <w:t>tur elektronicznych uznaje się za obowiązkowe. Organem rządowym odpowiedzialnym za przygotowanie</w:t>
            </w:r>
            <w:r w:rsidR="00A33B9F" w:rsidRPr="00A33B9F">
              <w:rPr>
                <w:rFonts w:ascii="Times New Roman" w:hAnsi="Times New Roman"/>
                <w:noProof/>
                <w:color w:val="000000" w:themeColor="text1"/>
                <w:sz w:val="18"/>
              </w:rPr>
              <w:t xml:space="preserve"> i uch</w:t>
            </w:r>
            <w:r w:rsidRPr="00A33B9F">
              <w:rPr>
                <w:rFonts w:ascii="Times New Roman" w:hAnsi="Times New Roman"/>
                <w:noProof/>
                <w:color w:val="000000" w:themeColor="text1"/>
                <w:sz w:val="18"/>
              </w:rPr>
              <w:t>walenie zmienionej ustawy jest Ministerstwo Finansów.</w:t>
            </w:r>
          </w:p>
        </w:tc>
      </w:tr>
      <w:tr w:rsidR="00736BBF" w:rsidRPr="00A33B9F" w14:paraId="36A8C74D"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CF255B" w14:textId="7B670CC8"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4AA1A" w14:textId="14100550"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C2.1 Zwiększenie skali zastosowań rozwiązań cyfrowych</w:t>
            </w:r>
            <w:r w:rsidR="00A33B9F" w:rsidRPr="00A33B9F">
              <w:rPr>
                <w:rFonts w:ascii="Times New Roman" w:hAnsi="Times New Roman"/>
                <w:noProof/>
                <w:color w:val="000000"/>
                <w:sz w:val="18"/>
              </w:rPr>
              <w:t xml:space="preserve"> w sfe</w:t>
            </w:r>
            <w:r w:rsidRPr="00A33B9F">
              <w:rPr>
                <w:rFonts w:ascii="Times New Roman" w:hAnsi="Times New Roman"/>
                <w:noProof/>
                <w:color w:val="000000"/>
                <w:sz w:val="18"/>
              </w:rPr>
              <w:t>rze publicznej, gospodarce</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133F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1935D2" w14:textId="3B10A32B"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Minimalne wiążące standardy wyposażenia wszystkich szkół</w:t>
            </w:r>
            <w:r w:rsidR="00A33B9F" w:rsidRPr="00A33B9F">
              <w:rPr>
                <w:rFonts w:ascii="Times New Roman" w:hAnsi="Times New Roman"/>
                <w:noProof/>
                <w:color w:val="000000" w:themeColor="text1"/>
                <w:sz w:val="18"/>
              </w:rPr>
              <w:t xml:space="preserve"> w inf</w:t>
            </w:r>
            <w:r w:rsidRPr="00A33B9F">
              <w:rPr>
                <w:rFonts w:ascii="Times New Roman" w:hAnsi="Times New Roman"/>
                <w:noProof/>
                <w:color w:val="000000" w:themeColor="text1"/>
                <w:sz w:val="18"/>
              </w:rPr>
              <w:t>rastrukturę cyfrową</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umożliwienia wykorzystania technologii cyfrowych</w:t>
            </w:r>
            <w:r w:rsidR="00A33B9F" w:rsidRPr="00A33B9F">
              <w:rPr>
                <w:rFonts w:ascii="Times New Roman" w:hAnsi="Times New Roman"/>
                <w:noProof/>
                <w:color w:val="000000" w:themeColor="text1"/>
                <w:sz w:val="18"/>
              </w:rPr>
              <w:t xml:space="preserve"> w nau</w:t>
            </w:r>
            <w:r w:rsidRPr="00A33B9F">
              <w:rPr>
                <w:rFonts w:ascii="Times New Roman" w:hAnsi="Times New Roman"/>
                <w:noProof/>
                <w:color w:val="000000" w:themeColor="text1"/>
                <w:sz w:val="18"/>
              </w:rPr>
              <w:t>czaniu na równym poziomie</w:t>
            </w:r>
            <w:r w:rsidR="00A33B9F" w:rsidRPr="00A33B9F">
              <w:rPr>
                <w:rFonts w:ascii="Times New Roman" w:hAnsi="Times New Roman"/>
                <w:noProof/>
                <w:color w:val="000000" w:themeColor="text1"/>
                <w:sz w:val="18"/>
              </w:rPr>
              <w:t xml:space="preserve"> w każ</w:t>
            </w:r>
            <w:r w:rsidRPr="00A33B9F">
              <w:rPr>
                <w:rFonts w:ascii="Times New Roman" w:hAnsi="Times New Roman"/>
                <w:noProof/>
                <w:color w:val="000000" w:themeColor="text1"/>
                <w:sz w:val="18"/>
              </w:rPr>
              <w:t>dej szkole.</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3FBEF" w14:textId="1F3765AF"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Przyjęcie standardów przez Ministerstwo Edukacji</w:t>
            </w:r>
            <w:r w:rsidR="00A33B9F" w:rsidRPr="00A33B9F">
              <w:rPr>
                <w:rFonts w:ascii="Times New Roman" w:hAnsi="Times New Roman"/>
                <w:noProof/>
                <w:color w:val="000000"/>
                <w:sz w:val="18"/>
              </w:rPr>
              <w:t xml:space="preserve"> i Nau</w:t>
            </w:r>
            <w:r w:rsidRPr="00A33B9F">
              <w:rPr>
                <w:rFonts w:ascii="Times New Roman" w:hAnsi="Times New Roman"/>
                <w:noProof/>
                <w:color w:val="000000"/>
                <w:sz w:val="18"/>
              </w:rPr>
              <w:t>ki (MEN)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4BE6B4"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588F84"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0DC6E6"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B2FD71"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542F09"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47D6D8" w14:textId="2CDAA3D7" w:rsidR="00736BBF" w:rsidRPr="00A33B9F" w:rsidRDefault="00736BBF" w:rsidP="4999E520">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Przyjęcie wiążących standardów wyposażenia szkół</w:t>
            </w:r>
            <w:r w:rsidR="00A33B9F" w:rsidRPr="00A33B9F">
              <w:rPr>
                <w:rFonts w:ascii="Times New Roman" w:hAnsi="Times New Roman"/>
                <w:noProof/>
                <w:color w:val="000000" w:themeColor="text1"/>
                <w:sz w:val="18"/>
              </w:rPr>
              <w:t xml:space="preserve"> w inf</w:t>
            </w:r>
            <w:r w:rsidRPr="00A33B9F">
              <w:rPr>
                <w:rFonts w:ascii="Times New Roman" w:hAnsi="Times New Roman"/>
                <w:noProof/>
                <w:color w:val="000000" w:themeColor="text1"/>
                <w:sz w:val="18"/>
              </w:rPr>
              <w:t>rastrukturę cyfrową, które będą obowiązkowe dla każdej szkoły tak, by osiągnęły ten sam poziom infrastruktury cyfrowej. Opracowanie standardów będzie obejmowało konsultacje</w:t>
            </w:r>
            <w:r w:rsidR="00A33B9F" w:rsidRPr="00A33B9F">
              <w:rPr>
                <w:rFonts w:ascii="Times New Roman" w:hAnsi="Times New Roman"/>
                <w:noProof/>
                <w:color w:val="000000" w:themeColor="text1"/>
                <w:sz w:val="18"/>
              </w:rPr>
              <w:t xml:space="preserve"> z sze</w:t>
            </w:r>
            <w:r w:rsidRPr="00A33B9F">
              <w:rPr>
                <w:rFonts w:ascii="Times New Roman" w:hAnsi="Times New Roman"/>
                <w:noProof/>
                <w:color w:val="000000" w:themeColor="text1"/>
                <w:sz w:val="18"/>
              </w:rPr>
              <w:t>roką grupą zainteresowanych stron oraz</w:t>
            </w:r>
            <w:r w:rsidR="00A33B9F" w:rsidRPr="00A33B9F">
              <w:rPr>
                <w:rFonts w:ascii="Times New Roman" w:hAnsi="Times New Roman"/>
                <w:noProof/>
                <w:color w:val="000000" w:themeColor="text1"/>
                <w:sz w:val="18"/>
              </w:rPr>
              <w:t xml:space="preserve"> z sam</w:t>
            </w:r>
            <w:r w:rsidRPr="00A33B9F">
              <w:rPr>
                <w:rFonts w:ascii="Times New Roman" w:hAnsi="Times New Roman"/>
                <w:noProof/>
                <w:color w:val="000000" w:themeColor="text1"/>
                <w:sz w:val="18"/>
              </w:rPr>
              <w:t>orządem terytorialnym. Za przygotowanie</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yjęcie przedmiotowego rozporządzenia odpowiedzialne jest Ministerstwo Edukacji</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ki.</w:t>
            </w:r>
          </w:p>
        </w:tc>
      </w:tr>
      <w:tr w:rsidR="00736BBF" w:rsidRPr="00A33B9F" w14:paraId="55BAA1FE"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7B3593" w14:textId="3B62426D"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396328" w14:textId="58655C55"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C2.1 Zwiększenie skali zastosowań rozwiązań cyfrowych</w:t>
            </w:r>
            <w:r w:rsidR="00A33B9F" w:rsidRPr="00A33B9F">
              <w:rPr>
                <w:rFonts w:ascii="Times New Roman" w:hAnsi="Times New Roman"/>
                <w:noProof/>
                <w:color w:val="000000"/>
                <w:sz w:val="18"/>
              </w:rPr>
              <w:t xml:space="preserve"> w sfe</w:t>
            </w:r>
            <w:r w:rsidRPr="00A33B9F">
              <w:rPr>
                <w:rFonts w:ascii="Times New Roman" w:hAnsi="Times New Roman"/>
                <w:noProof/>
                <w:color w:val="000000"/>
                <w:sz w:val="18"/>
              </w:rPr>
              <w:t>rze publicznej, gospodarce</w:t>
            </w:r>
            <w:r w:rsidR="00A33B9F" w:rsidRPr="00A33B9F">
              <w:rPr>
                <w:rFonts w:ascii="Times New Roman" w:hAnsi="Times New Roman"/>
                <w:noProof/>
                <w:color w:val="000000"/>
                <w:sz w:val="18"/>
              </w:rPr>
              <w:t xml:space="preserve"> i spo</w:t>
            </w:r>
            <w:r w:rsidRPr="00A33B9F">
              <w:rPr>
                <w:rFonts w:ascii="Times New Roman" w:hAnsi="Times New Roman"/>
                <w:noProof/>
                <w:color w:val="000000"/>
                <w:sz w:val="18"/>
              </w:rPr>
              <w:t>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E86F03"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C69072" w14:textId="0E2DF79A" w:rsidR="00736BBF" w:rsidRPr="00A33B9F"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Rady Ministrów</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Programu Rozwoju Kompetencji Cyfrowych mającego na celu zarządzanie rozwojem kompetencji cyfrowych oraz edukacji cyfrowej obywateli</w:t>
            </w:r>
            <w:r w:rsidR="00A33B9F" w:rsidRPr="00A33B9F">
              <w:rPr>
                <w:rFonts w:ascii="Times New Roman" w:hAnsi="Times New Roman"/>
                <w:noProof/>
                <w:color w:val="000000" w:themeColor="text1"/>
                <w:sz w:val="18"/>
              </w:rPr>
              <w:t xml:space="preserve"> i pra</w:t>
            </w:r>
            <w:r w:rsidRPr="00A33B9F">
              <w:rPr>
                <w:rFonts w:ascii="Times New Roman" w:hAnsi="Times New Roman"/>
                <w:noProof/>
                <w:color w:val="000000" w:themeColor="text1"/>
                <w:sz w:val="18"/>
              </w:rPr>
              <w:t>cowników</w:t>
            </w:r>
            <w:r w:rsidR="00A33B9F" w:rsidRPr="00A33B9F">
              <w:rPr>
                <w:rFonts w:ascii="Times New Roman" w:hAnsi="Times New Roman"/>
                <w:noProof/>
                <w:color w:val="000000" w:themeColor="text1"/>
                <w:sz w:val="18"/>
              </w:rPr>
              <w:t xml:space="preserve"> w róż</w:t>
            </w:r>
            <w:r w:rsidRPr="00A33B9F">
              <w:rPr>
                <w:rFonts w:ascii="Times New Roman" w:hAnsi="Times New Roman"/>
                <w:noProof/>
                <w:color w:val="000000" w:themeColor="text1"/>
                <w:sz w:val="18"/>
              </w:rPr>
              <w:t>nych sektorach. Obejmuje on powołanie Centrum Rozwoju Kompetencji Cyfrowych (CRKC).</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47E529" w14:textId="41885EBE" w:rsidR="00736BBF" w:rsidRPr="00A33B9F"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porządzeniu Rady Ministrów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FE32A"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F0942A"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228C5"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77DA0"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EBC06"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E3A4E9" w14:textId="3AD86946" w:rsidR="00736BBF" w:rsidRPr="00A33B9F"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rozporządzenia Rady Ministrów</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Programu Rozwoju Kompetencji Cyfrowych (będącego programem wieloletnim do</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planu wdrażania, środków oceny</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itorowania zgodnie z „ustawą</w:t>
            </w:r>
            <w:r w:rsidR="00A33B9F" w:rsidRPr="00A33B9F">
              <w:rPr>
                <w:rFonts w:ascii="Times New Roman" w:hAnsi="Times New Roman"/>
                <w:noProof/>
                <w:color w:val="000000" w:themeColor="text1"/>
                <w:sz w:val="18"/>
              </w:rPr>
              <w:t xml:space="preserve"> o zas</w:t>
            </w:r>
            <w:r w:rsidRPr="00A33B9F">
              <w:rPr>
                <w:rFonts w:ascii="Times New Roman" w:hAnsi="Times New Roman"/>
                <w:noProof/>
                <w:color w:val="000000" w:themeColor="text1"/>
                <w:sz w:val="18"/>
              </w:rPr>
              <w:t>adach prowadzenia polityki rozwoju”. Program jest opracowywany przy zastosowaniu podejścia obejmującego szereg zainteresowanych stron</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 xml:space="preserve">ach programu ustanawia się między innymi Centrum Rozwoju Kompetencji Cyfrowych (CRKC) oraz politykę rozwoju kompetencji cyfrowych. </w:t>
            </w:r>
          </w:p>
        </w:tc>
      </w:tr>
      <w:tr w:rsidR="00736BBF" w:rsidRPr="00A33B9F" w14:paraId="39385EED"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9E354E" w14:textId="439B2D7C"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7D3C66" w14:textId="234BCB9B" w:rsidR="00736BBF" w:rsidRPr="00A33B9F" w:rsidRDefault="4607AA87"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C2.1.1 E-usługi publiczne, rozwiązania IT usprawniające funkcjonowanie administracji</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torów gospodarki oraz technologie przełomowe</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publicznym, gospodarce</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6B9EE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505008" w14:textId="2205D47A" w:rsidR="00736BBF" w:rsidRPr="00A33B9F" w:rsidRDefault="4597C865"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T1 – Zakończenie procesu opracowywania nowych lub udoskonalania istniejących e-usług</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5C913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2D38FA"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EE7DBF"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5DA4F4" w14:textId="697698B7" w:rsidR="00736BBF" w:rsidRPr="00A33B9F" w:rsidRDefault="72BB24A8"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71EA41" w14:textId="21CAD972" w:rsidR="00736BBF" w:rsidRPr="00A33B9F" w:rsidRDefault="7BFEA4A3"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5D344D" w14:textId="39048C35" w:rsidR="00736BBF" w:rsidRPr="00A33B9F" w:rsidRDefault="7BFEA4A3"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CF425D" w14:textId="6A1199AA" w:rsidR="0068168D" w:rsidRPr="00A33B9F" w:rsidRDefault="01E13E32"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nowo opracowanych lub udoskonalonych e-usług, uwzględniając usługi dostępne za pośrednictwem kanału mobilnego</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aplikacji mObywatel. </w:t>
            </w:r>
          </w:p>
          <w:p w14:paraId="3447F2E7" w14:textId="29D5CAA8" w:rsidR="005C6DEC" w:rsidRPr="00A33B9F" w:rsidRDefault="56341B78" w:rsidP="103C8C66">
            <w:pPr>
              <w:pStyle w:val="Normal0"/>
              <w:pBdr>
                <w:top w:val="nil"/>
                <w:left w:val="nil"/>
                <w:bottom w:val="nil"/>
                <w:right w:val="nil"/>
                <w:between w:val="nil"/>
              </w:pBdr>
              <w:spacing w:after="0" w:line="240" w:lineRule="auto"/>
              <w:rPr>
                <w:rFonts w:ascii="Times New Roman" w:hAnsi="Times New Roman"/>
                <w:noProof/>
                <w:color w:val="000000" w:themeColor="text1"/>
                <w:sz w:val="18"/>
                <w:szCs w:val="18"/>
              </w:rPr>
            </w:pPr>
            <w:r w:rsidRPr="00A33B9F">
              <w:rPr>
                <w:rFonts w:ascii="Times New Roman" w:hAnsi="Times New Roman"/>
                <w:noProof/>
                <w:color w:val="000000" w:themeColor="text1"/>
                <w:sz w:val="18"/>
              </w:rPr>
              <w:t>Nowo opracowane lub udoskonalone e-usługi usprawniają cyfrowe kontakty między obywatelami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edsiębiorstwami</w:t>
            </w:r>
            <w:r w:rsidR="00A33B9F" w:rsidRPr="00A33B9F">
              <w:rPr>
                <w:rFonts w:ascii="Times New Roman" w:hAnsi="Times New Roman"/>
                <w:noProof/>
                <w:color w:val="000000" w:themeColor="text1"/>
                <w:sz w:val="18"/>
              </w:rPr>
              <w:t xml:space="preserve"> a org</w:t>
            </w:r>
            <w:r w:rsidRPr="00A33B9F">
              <w:rPr>
                <w:rFonts w:ascii="Times New Roman" w:hAnsi="Times New Roman"/>
                <w:noProof/>
                <w:color w:val="000000" w:themeColor="text1"/>
                <w:sz w:val="18"/>
              </w:rPr>
              <w:t xml:space="preserve">anami administracji publicznej dzięki elementom takim jak: </w:t>
            </w:r>
          </w:p>
          <w:p w14:paraId="7E432A52" w14:textId="31F31113" w:rsidR="00E84B4B" w:rsidRPr="00A33B9F" w:rsidRDefault="7E1DF828" w:rsidP="661DC3E4">
            <w:pPr>
              <w:pStyle w:val="Normal0"/>
              <w:numPr>
                <w:ilvl w:val="0"/>
                <w:numId w:val="7"/>
              </w:num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pełna cyfryzacja procedur, </w:t>
            </w:r>
          </w:p>
          <w:p w14:paraId="482876F2" w14:textId="59D2173E" w:rsidR="00E84B4B" w:rsidRPr="00A33B9F" w:rsidRDefault="707086BB" w:rsidP="661DC3E4">
            <w:pPr>
              <w:pStyle w:val="Normal0"/>
              <w:numPr>
                <w:ilvl w:val="0"/>
                <w:numId w:val="7"/>
              </w:num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możliwość korzystania</w:t>
            </w:r>
            <w:r w:rsidR="00A33B9F" w:rsidRPr="00A33B9F">
              <w:rPr>
                <w:rFonts w:ascii="Times New Roman" w:hAnsi="Times New Roman"/>
                <w:noProof/>
                <w:color w:val="000000" w:themeColor="text1"/>
                <w:sz w:val="18"/>
              </w:rPr>
              <w:t xml:space="preserve"> z pod</w:t>
            </w:r>
            <w:r w:rsidRPr="00A33B9F">
              <w:rPr>
                <w:rFonts w:ascii="Times New Roman" w:hAnsi="Times New Roman"/>
                <w:noProof/>
                <w:color w:val="000000" w:themeColor="text1"/>
                <w:sz w:val="18"/>
              </w:rPr>
              <w:t>pisu elektronicznego</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 xml:space="preserve">edkładania załączników, </w:t>
            </w:r>
          </w:p>
          <w:p w14:paraId="729FAEE4" w14:textId="5E56F3A3" w:rsidR="00CC717B" w:rsidRPr="00A33B9F" w:rsidRDefault="43B3D298" w:rsidP="103C8C66">
            <w:pPr>
              <w:pStyle w:val="Normal0"/>
              <w:numPr>
                <w:ilvl w:val="0"/>
                <w:numId w:val="7"/>
              </w:numPr>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możliwość dokonywania płatności przez internet. </w:t>
            </w:r>
          </w:p>
          <w:p w14:paraId="1A3FAC43" w14:textId="48708C57" w:rsidR="00736BBF" w:rsidRPr="00A33B9F" w:rsidRDefault="00CC717B"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Co najmniej 40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nowo opracowanych lub udoskonalonych e-usług udostępnia się</w:t>
            </w:r>
            <w:r w:rsidR="00A33B9F" w:rsidRPr="00A33B9F">
              <w:rPr>
                <w:rFonts w:ascii="Times New Roman" w:hAnsi="Times New Roman"/>
                <w:noProof/>
                <w:color w:val="000000" w:themeColor="text1"/>
                <w:sz w:val="18"/>
              </w:rPr>
              <w:t xml:space="preserve"> w apl</w:t>
            </w:r>
            <w:r w:rsidRPr="00A33B9F">
              <w:rPr>
                <w:rFonts w:ascii="Times New Roman" w:hAnsi="Times New Roman"/>
                <w:noProof/>
                <w:color w:val="000000" w:themeColor="text1"/>
                <w:sz w:val="18"/>
              </w:rPr>
              <w:t>ikacji mObywatel.</w:t>
            </w:r>
            <w:r w:rsidR="00C3621A" w:rsidRPr="00A33B9F">
              <w:rPr>
                <w:rFonts w:ascii="Times New Roman" w:hAnsi="Times New Roman"/>
                <w:noProof/>
                <w:color w:val="000000" w:themeColor="text1"/>
                <w:sz w:val="18"/>
              </w:rPr>
              <w:t xml:space="preserve"> </w:t>
            </w:r>
            <w:r w:rsidRPr="00A33B9F">
              <w:rPr>
                <w:noProof/>
              </w:rPr>
              <w:br/>
            </w:r>
          </w:p>
        </w:tc>
      </w:tr>
      <w:tr w:rsidR="00736BBF" w:rsidRPr="00A33B9F" w14:paraId="176D46E2"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1384E9" w14:textId="332CB860"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344A3C" w14:textId="3690597A" w:rsidR="00736BBF" w:rsidRPr="00A33B9F" w:rsidRDefault="4607AA87"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C2.1.1 E-usługi publiczne, rozwiązania IT usprawniające funkcjonowanie administracji</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torów gospodarki oraz technologie przełomowe</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publicznym, gospodarce</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DD9B9"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A68B45" w14:textId="57211C36" w:rsidR="00736BBF" w:rsidRPr="00A33B9F" w:rsidRDefault="00736BBF"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T2 – Zakończenie procesu opracowywania nowych lub udoskonalania istniejących e-usług</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EF05ED"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77F764"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622172" w14:textId="241AE069" w:rsidR="00736BBF" w:rsidRPr="00A33B9F" w:rsidRDefault="009405CB"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A369E3" w14:textId="5D6890B0" w:rsidR="00736BBF" w:rsidRPr="00A33B9F" w:rsidRDefault="1B8BD955" w:rsidP="079DCE09">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A6AD7B"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F43938"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89CABD" w14:textId="1CF5CDAD" w:rsidR="0068168D" w:rsidRPr="00A33B9F" w:rsidRDefault="0068168D"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nowo opracowanych lub udoskonalonych e-usług, uwzględniając usługi dostępne za pośrednictwem kanału mobilnego</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aplikacji mObywatel. </w:t>
            </w:r>
          </w:p>
          <w:p w14:paraId="5FC819B3" w14:textId="526D2D50" w:rsidR="0068168D" w:rsidRPr="00A33B9F" w:rsidRDefault="0068168D" w:rsidP="0068168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6B6125D4" w14:textId="0A076AFC" w:rsidR="594E8407" w:rsidRPr="00A33B9F" w:rsidRDefault="7FF03BC6" w:rsidP="103C8C66">
            <w:pPr>
              <w:pStyle w:val="Normal0"/>
              <w:pBdr>
                <w:top w:val="nil"/>
                <w:left w:val="nil"/>
                <w:bottom w:val="nil"/>
                <w:right w:val="nil"/>
                <w:between w:val="nil"/>
              </w:pBdr>
              <w:spacing w:after="0" w:line="240" w:lineRule="auto"/>
              <w:rPr>
                <w:rFonts w:ascii="Times New Roman" w:hAnsi="Times New Roman"/>
                <w:noProof/>
                <w:color w:val="000000" w:themeColor="text1"/>
                <w:sz w:val="18"/>
                <w:szCs w:val="18"/>
              </w:rPr>
            </w:pPr>
            <w:r w:rsidRPr="00A33B9F">
              <w:rPr>
                <w:rFonts w:ascii="Times New Roman" w:hAnsi="Times New Roman"/>
                <w:noProof/>
                <w:color w:val="000000" w:themeColor="text1"/>
                <w:sz w:val="18"/>
              </w:rPr>
              <w:t>Nowo opracowane lub udoskonalone e-usługi usprawniają cyfrowe kontakty między obywatelami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edsiębiorstwami</w:t>
            </w:r>
            <w:r w:rsidR="00A33B9F" w:rsidRPr="00A33B9F">
              <w:rPr>
                <w:rFonts w:ascii="Times New Roman" w:hAnsi="Times New Roman"/>
                <w:noProof/>
                <w:color w:val="000000" w:themeColor="text1"/>
                <w:sz w:val="18"/>
              </w:rPr>
              <w:t xml:space="preserve"> a org</w:t>
            </w:r>
            <w:r w:rsidRPr="00A33B9F">
              <w:rPr>
                <w:rFonts w:ascii="Times New Roman" w:hAnsi="Times New Roman"/>
                <w:noProof/>
                <w:color w:val="000000" w:themeColor="text1"/>
                <w:sz w:val="18"/>
              </w:rPr>
              <w:t>anami administracji publicznej dzięki elementom takim jak: </w:t>
            </w:r>
          </w:p>
          <w:p w14:paraId="71FDCFD3" w14:textId="2084F558" w:rsidR="0068168D" w:rsidRPr="00A33B9F" w:rsidRDefault="37A0D8F7" w:rsidP="079DCE0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pełna cyfryzacja procedur, </w:t>
            </w:r>
          </w:p>
          <w:p w14:paraId="077C4B9E" w14:textId="76348BF4" w:rsidR="1C3038BD" w:rsidRPr="00A33B9F" w:rsidRDefault="1C3038BD" w:rsidP="003E0E02">
            <w:pPr>
              <w:pStyle w:val="Normal0"/>
              <w:pBdr>
                <w:top w:val="nil"/>
                <w:left w:val="nil"/>
                <w:bottom w:val="nil"/>
                <w:right w:val="nil"/>
                <w:between w:val="nil"/>
              </w:pBdr>
              <w:spacing w:after="0" w:line="240" w:lineRule="auto"/>
              <w:rPr>
                <w:rFonts w:ascii="Times New Roman" w:hAnsi="Times New Roman"/>
                <w:noProof/>
                <w:color w:val="000000" w:themeColor="text1"/>
                <w:sz w:val="18"/>
                <w:szCs w:val="18"/>
              </w:rPr>
            </w:pPr>
            <w:r w:rsidRPr="00A33B9F">
              <w:rPr>
                <w:rFonts w:ascii="Times New Roman" w:hAnsi="Times New Roman"/>
                <w:noProof/>
                <w:color w:val="000000" w:themeColor="text1"/>
                <w:sz w:val="18"/>
              </w:rPr>
              <w:t>– możliwość korzystania</w:t>
            </w:r>
            <w:r w:rsidR="00A33B9F" w:rsidRPr="00A33B9F">
              <w:rPr>
                <w:rFonts w:ascii="Times New Roman" w:hAnsi="Times New Roman"/>
                <w:noProof/>
                <w:color w:val="000000" w:themeColor="text1"/>
                <w:sz w:val="18"/>
              </w:rPr>
              <w:t xml:space="preserve"> z pod</w:t>
            </w:r>
            <w:r w:rsidRPr="00A33B9F">
              <w:rPr>
                <w:rFonts w:ascii="Times New Roman" w:hAnsi="Times New Roman"/>
                <w:noProof/>
                <w:color w:val="000000" w:themeColor="text1"/>
                <w:sz w:val="18"/>
              </w:rPr>
              <w:t>pisu elektronicznego</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edkładania załączników,</w:t>
            </w:r>
          </w:p>
          <w:p w14:paraId="6D72EA69" w14:textId="42DFF672" w:rsidR="0068168D" w:rsidRPr="00A33B9F" w:rsidRDefault="1C3038BD" w:rsidP="079DCE0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możliwość dokonywania płatności przez internet.</w:t>
            </w:r>
            <w:r w:rsidRPr="00A33B9F">
              <w:rPr>
                <w:noProof/>
              </w:rPr>
              <w:tab/>
            </w:r>
            <w:r w:rsidRPr="00A33B9F">
              <w:rPr>
                <w:rFonts w:ascii="Times New Roman" w:hAnsi="Times New Roman"/>
                <w:noProof/>
                <w:color w:val="000000" w:themeColor="text1"/>
                <w:sz w:val="18"/>
              </w:rPr>
              <w:t xml:space="preserve"> </w:t>
            </w:r>
          </w:p>
          <w:p w14:paraId="1342F8DC" w14:textId="4FE2FDAD" w:rsidR="6C5CCC38" w:rsidRPr="00A33B9F" w:rsidRDefault="6C5CCC38" w:rsidP="6C5CCC3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71576F82" w14:textId="71EE0017" w:rsidR="00736BBF" w:rsidRPr="00A33B9F" w:rsidRDefault="0068168D"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Co najmniej 40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nowo opracowanych lub udoskonalonych e-usług udostępnia się</w:t>
            </w:r>
            <w:r w:rsidR="00A33B9F" w:rsidRPr="00A33B9F">
              <w:rPr>
                <w:rFonts w:ascii="Times New Roman" w:hAnsi="Times New Roman"/>
                <w:noProof/>
                <w:color w:val="000000" w:themeColor="text1"/>
                <w:sz w:val="18"/>
              </w:rPr>
              <w:t xml:space="preserve"> w apl</w:t>
            </w:r>
            <w:r w:rsidRPr="00A33B9F">
              <w:rPr>
                <w:rFonts w:ascii="Times New Roman" w:hAnsi="Times New Roman"/>
                <w:noProof/>
                <w:color w:val="000000" w:themeColor="text1"/>
                <w:sz w:val="18"/>
              </w:rPr>
              <w:t xml:space="preserve">ikacji mObywatel. </w:t>
            </w:r>
          </w:p>
        </w:tc>
      </w:tr>
      <w:tr w:rsidR="00CF6D0C" w:rsidRPr="00A33B9F" w14:paraId="667CA649"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EC472E" w14:textId="0F5C7DB4" w:rsidR="00CF6D0C" w:rsidRPr="00A33B9F" w:rsidRDefault="67F4657F" w:rsidP="00CF6D0C">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C13aG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736C7A" w14:textId="18963103"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C2.1.1 E-usługi publiczne, rozwiązania IT usprawniające funkcjonowanie administracji</w:t>
            </w:r>
            <w:r w:rsidR="00A33B9F" w:rsidRPr="00A33B9F">
              <w:rPr>
                <w:rFonts w:ascii="Times New Roman" w:hAnsi="Times New Roman"/>
                <w:noProof/>
                <w:color w:val="000000" w:themeColor="text1"/>
                <w:sz w:val="18"/>
              </w:rPr>
              <w:t xml:space="preserve"> i sek</w:t>
            </w:r>
            <w:r w:rsidRPr="00A33B9F">
              <w:rPr>
                <w:rFonts w:ascii="Times New Roman" w:hAnsi="Times New Roman"/>
                <w:noProof/>
                <w:color w:val="000000" w:themeColor="text1"/>
                <w:sz w:val="18"/>
              </w:rPr>
              <w:t>torów gospodarki oraz technologie przełomowe</w:t>
            </w:r>
            <w:r w:rsidR="00A33B9F" w:rsidRPr="00A33B9F">
              <w:rPr>
                <w:rFonts w:ascii="Times New Roman" w:hAnsi="Times New Roman"/>
                <w:noProof/>
                <w:color w:val="000000" w:themeColor="text1"/>
                <w:sz w:val="18"/>
              </w:rPr>
              <w:t xml:space="preserve"> w sek</w:t>
            </w:r>
            <w:r w:rsidRPr="00A33B9F">
              <w:rPr>
                <w:rFonts w:ascii="Times New Roman" w:hAnsi="Times New Roman"/>
                <w:noProof/>
                <w:color w:val="000000" w:themeColor="text1"/>
                <w:sz w:val="18"/>
              </w:rPr>
              <w:t>torze publicznym, gospodarce</w:t>
            </w:r>
            <w:r w:rsidR="00A33B9F" w:rsidRPr="00A33B9F">
              <w:rPr>
                <w:rFonts w:ascii="Times New Roman" w:hAnsi="Times New Roman"/>
                <w:noProof/>
                <w:color w:val="000000" w:themeColor="text1"/>
                <w:sz w:val="18"/>
              </w:rPr>
              <w:t xml:space="preserve"> i spo</w:t>
            </w:r>
            <w:r w:rsidRPr="00A33B9F">
              <w:rPr>
                <w:rFonts w:ascii="Times New Roman" w:hAnsi="Times New Roman"/>
                <w:noProof/>
                <w:color w:val="000000" w:themeColor="text1"/>
                <w:sz w:val="18"/>
              </w:rPr>
              <w:t>łeczeństwie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156A13" w14:textId="46032664"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932802" w14:textId="66C7316F" w:rsidR="00CF6D0C" w:rsidRPr="00A33B9F" w:rsidRDefault="22CEE112" w:rsidP="103C8C66">
            <w:pPr>
              <w:pStyle w:val="Normal0"/>
              <w:pBdr>
                <w:top w:val="nil"/>
                <w:left w:val="nil"/>
                <w:bottom w:val="nil"/>
                <w:right w:val="nil"/>
                <w:between w:val="nil"/>
              </w:pBdr>
              <w:spacing w:after="0" w:line="240" w:lineRule="auto"/>
              <w:rPr>
                <w:rFonts w:ascii="Times New Roman" w:hAnsi="Times New Roman"/>
                <w:noProof/>
                <w:color w:val="000000"/>
                <w:sz w:val="18"/>
                <w:szCs w:val="18"/>
              </w:rPr>
            </w:pPr>
            <w:r w:rsidRPr="00A33B9F">
              <w:rPr>
                <w:rFonts w:ascii="Times New Roman" w:hAnsi="Times New Roman"/>
                <w:noProof/>
                <w:color w:val="000000" w:themeColor="text1"/>
                <w:sz w:val="18"/>
              </w:rPr>
              <w:t>Zakończenie procesu opracowywania nowych lub rozwijania istniejących publicznych systemów informatycznych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7284AF"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58EAA5" w14:textId="26269093"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2E70D8" w14:textId="27E14042"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ABCB16" w14:textId="63108952" w:rsidR="00CF6D0C" w:rsidRPr="00A33B9F" w:rsidRDefault="2FC76244" w:rsidP="079DCE09">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9AE2CF" w14:textId="1D4A7352" w:rsidR="00CF6D0C" w:rsidRPr="00A33B9F" w:rsidRDefault="004A3877"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FBF48B" w14:textId="010E3FFD" w:rsidR="00CF6D0C" w:rsidRPr="00A33B9F" w:rsidRDefault="004A3877"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E14E11" w14:textId="550045C1" w:rsidR="00CF6D0C" w:rsidRPr="00A33B9F" w:rsidRDefault="244CAFBD" w:rsidP="103C8C66">
            <w:pPr>
              <w:pStyle w:val="Normal0"/>
              <w:pBdr>
                <w:top w:val="nil"/>
                <w:left w:val="nil"/>
                <w:bottom w:val="nil"/>
                <w:right w:val="nil"/>
                <w:between w:val="nil"/>
              </w:pBdr>
              <w:spacing w:after="0" w:line="240" w:lineRule="auto"/>
              <w:rPr>
                <w:rFonts w:ascii="Times New Roman" w:hAnsi="Times New Roman"/>
                <w:noProof/>
                <w:color w:val="000000" w:themeColor="text1"/>
                <w:sz w:val="18"/>
                <w:szCs w:val="18"/>
              </w:rPr>
            </w:pPr>
            <w:r w:rsidRPr="00A33B9F">
              <w:rPr>
                <w:rFonts w:ascii="Times New Roman" w:hAnsi="Times New Roman"/>
                <w:noProof/>
                <w:color w:val="000000" w:themeColor="text1"/>
                <w:sz w:val="18"/>
              </w:rPr>
              <w:t>Zakańcza się proces opracowywania (w przypadku nowych publicznych systemów informatycznych) lub rozwijania (w przypadku istniejących publicznych systemów informatycznych) co najmniej 4 publicznych systemów informatycznych przyczyniających się do opracowywania nowych lub poprawy jakości (wygody użytkowania) istniejących e-usług.</w:t>
            </w:r>
          </w:p>
        </w:tc>
      </w:tr>
      <w:tr w:rsidR="00CF6D0C" w:rsidRPr="00A33B9F" w14:paraId="2702E45D"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7F6EDA" w14:textId="79FD75BC" w:rsidR="00CF6D0C" w:rsidRPr="00A33B9F" w:rsidRDefault="00CF6D0C" w:rsidP="6F5B4C8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595156" w14:textId="1444A569"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C2.1.2 Wyrównanie poziomu wyposażenia szkół</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 xml:space="preserve">enośne urządzenia multimedialne - inwestycje związane ze spełnieniem minimalnych standardów sprzętowych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104770"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8BBD7"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Nowe komputery przenośne do dyspozycji nauczycieli</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C18438"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97E4B6"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B7D6BC" w14:textId="15ED9416"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E8435B" w14:textId="5656D719"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465</w:t>
            </w:r>
            <w:r w:rsidRPr="00A33B9F">
              <w:rPr>
                <w:rFonts w:ascii="Times New Roman" w:hAnsi="Times New Roman"/>
                <w:noProof/>
                <w:color w:val="000000"/>
                <w:sz w:val="18"/>
              </w:rPr>
              <w:t xml:space="preserve"> </w:t>
            </w:r>
            <w:r w:rsidRPr="00A33B9F">
              <w:rPr>
                <w:rFonts w:ascii="Times New Roman" w:hAnsi="Times New Roman"/>
                <w:noProof/>
                <w:color w:val="000000" w:themeColor="text1"/>
                <w:sz w:val="18"/>
              </w:rPr>
              <w:t>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77EB26" w14:textId="1BC96FD1" w:rsidR="00CF6D0C" w:rsidRPr="00A33B9F" w:rsidRDefault="51716F33" w:rsidP="3FB7034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931638" w14:textId="06090312" w:rsidR="00CF6D0C" w:rsidRPr="00A33B9F" w:rsidRDefault="00CF6D0C" w:rsidP="3FB7034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A27FD7" w14:textId="6D73E02F" w:rsidR="00CF6D0C" w:rsidRPr="00A33B9F" w:rsidRDefault="729BE033"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465 000 dodatkowych przenośnych komputerów</w:t>
            </w:r>
            <w:r w:rsidR="00A33B9F" w:rsidRPr="00A33B9F">
              <w:rPr>
                <w:rFonts w:ascii="Times New Roman" w:hAnsi="Times New Roman"/>
                <w:noProof/>
                <w:color w:val="000000" w:themeColor="text1"/>
                <w:sz w:val="18"/>
              </w:rPr>
              <w:t xml:space="preserve"> z nie</w:t>
            </w:r>
            <w:r w:rsidRPr="00A33B9F">
              <w:rPr>
                <w:rFonts w:ascii="Times New Roman" w:hAnsi="Times New Roman"/>
                <w:noProof/>
                <w:color w:val="000000" w:themeColor="text1"/>
                <w:sz w:val="18"/>
              </w:rPr>
              <w:t>zbędnym oprogramowaniem dostarczonych do szkół do użytku nauczycieli za pośrednictwem programu bonów. Wszyscy nauczyciele będą upoważnieni do otrzymania bonu, przy czym bony będą dostępne od dnia 31 grudnia 2023</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xml:space="preserve">r. </w:t>
            </w:r>
          </w:p>
          <w:p w14:paraId="767B444B" w14:textId="4EE658D1"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efektywności materiałowej oraz recyklingu.</w:t>
            </w:r>
            <w:r w:rsidR="00C3621A" w:rsidRPr="00A33B9F">
              <w:rPr>
                <w:rFonts w:ascii="Times New Roman" w:hAnsi="Times New Roman"/>
                <w:noProof/>
                <w:color w:val="000000" w:themeColor="text1"/>
                <w:sz w:val="18"/>
              </w:rPr>
              <w:t xml:space="preserve"> </w:t>
            </w:r>
          </w:p>
        </w:tc>
      </w:tr>
      <w:tr w:rsidR="00CF6D0C" w:rsidRPr="00A33B9F" w14:paraId="593BCC2A"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BB90B5" w14:textId="0B9AA111" w:rsidR="00CF6D0C" w:rsidRPr="00A33B9F" w:rsidRDefault="00CF6D0C" w:rsidP="6F5B4C8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28A69C" w14:textId="203FB73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C2.1.2 Wyrównanie poziomu wyposażenia szkół</w:t>
            </w:r>
            <w:r w:rsidR="00A33B9F" w:rsidRPr="00A33B9F">
              <w:rPr>
                <w:rFonts w:ascii="Times New Roman" w:hAnsi="Times New Roman"/>
                <w:noProof/>
                <w:color w:val="000000"/>
                <w:sz w:val="18"/>
              </w:rPr>
              <w:t xml:space="preserve"> w prz</w:t>
            </w:r>
            <w:r w:rsidRPr="00A33B9F">
              <w:rPr>
                <w:rFonts w:ascii="Times New Roman" w:hAnsi="Times New Roman"/>
                <w:noProof/>
                <w:color w:val="000000"/>
                <w:sz w:val="18"/>
              </w:rPr>
              <w:t xml:space="preserve">enośne urządzenia multimedialne - inwestycje związane ze spełnieniem minimalnych standardów sprzętowych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7266B8"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3819C9"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Nowe komputery przenośne do dyspozycji uczniów</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F7B721"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96072E"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2E1F76" w14:textId="38DBFD72"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7A20F7" w14:textId="6A96E211"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735 000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208C6E"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361283"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8FB59" w14:textId="7491D616" w:rsidR="00CF6D0C" w:rsidRPr="00A33B9F" w:rsidRDefault="00CF6D0C" w:rsidP="6F5B4C8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735 000 dodatkowych przenośnych komputerów</w:t>
            </w:r>
            <w:r w:rsidR="00A33B9F" w:rsidRPr="00A33B9F">
              <w:rPr>
                <w:rFonts w:ascii="Times New Roman" w:hAnsi="Times New Roman"/>
                <w:noProof/>
                <w:color w:val="000000" w:themeColor="text1"/>
                <w:sz w:val="18"/>
              </w:rPr>
              <w:t xml:space="preserve"> z nie</w:t>
            </w:r>
            <w:r w:rsidRPr="00A33B9F">
              <w:rPr>
                <w:rFonts w:ascii="Times New Roman" w:hAnsi="Times New Roman"/>
                <w:noProof/>
                <w:color w:val="000000" w:themeColor="text1"/>
                <w:sz w:val="18"/>
              </w:rPr>
              <w:t xml:space="preserve">zbędnym oprogramowaniem dostarczonych do szkół do użytku uczniów. </w:t>
            </w:r>
          </w:p>
          <w:p w14:paraId="7CB7B3F3" w14:textId="7B78165E"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 współpracy</w:t>
            </w:r>
            <w:r w:rsidR="00A33B9F" w:rsidRPr="00A33B9F">
              <w:rPr>
                <w:rFonts w:ascii="Times New Roman" w:hAnsi="Times New Roman"/>
                <w:noProof/>
                <w:color w:val="000000" w:themeColor="text1"/>
                <w:sz w:val="18"/>
              </w:rPr>
              <w:t xml:space="preserve"> z sam</w:t>
            </w:r>
            <w:r w:rsidRPr="00A33B9F">
              <w:rPr>
                <w:rFonts w:ascii="Times New Roman" w:hAnsi="Times New Roman"/>
                <w:noProof/>
                <w:color w:val="000000" w:themeColor="text1"/>
                <w:sz w:val="18"/>
              </w:rPr>
              <w:t>orządami terytorialnymi ustanawia się sprawiedliwą</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ejrzystą procedurę przydziału przenośnych komputerów</w:t>
            </w:r>
            <w:r w:rsidR="00A33B9F" w:rsidRPr="00A33B9F">
              <w:rPr>
                <w:rFonts w:ascii="Times New Roman" w:hAnsi="Times New Roman"/>
                <w:noProof/>
                <w:color w:val="000000" w:themeColor="text1"/>
                <w:sz w:val="18"/>
              </w:rPr>
              <w:t xml:space="preserve"> z opr</w:t>
            </w:r>
            <w:r w:rsidRPr="00A33B9F">
              <w:rPr>
                <w:rFonts w:ascii="Times New Roman" w:hAnsi="Times New Roman"/>
                <w:noProof/>
                <w:color w:val="000000" w:themeColor="text1"/>
                <w:sz w:val="18"/>
              </w:rPr>
              <w:t>ogramowaniem, zapewniającą równe traktowanie wszystkich szkół</w:t>
            </w:r>
            <w:r w:rsidR="00A33B9F" w:rsidRPr="00A33B9F">
              <w:rPr>
                <w:rFonts w:ascii="Times New Roman" w:hAnsi="Times New Roman"/>
                <w:noProof/>
                <w:color w:val="000000" w:themeColor="text1"/>
                <w:sz w:val="18"/>
              </w:rPr>
              <w:t xml:space="preserve"> i ins</w:t>
            </w:r>
            <w:r w:rsidRPr="00A33B9F">
              <w:rPr>
                <w:rFonts w:ascii="Times New Roman" w:hAnsi="Times New Roman"/>
                <w:noProof/>
                <w:color w:val="000000" w:themeColor="text1"/>
                <w:sz w:val="18"/>
              </w:rPr>
              <w:t xml:space="preserve">tytucji edukacyjnych. </w:t>
            </w:r>
          </w:p>
          <w:p w14:paraId="4F2E0167" w14:textId="12297F8D"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efektywności materiałowej oraz recyklingu.</w:t>
            </w:r>
            <w:r w:rsidR="00C3621A" w:rsidRPr="00A33B9F">
              <w:rPr>
                <w:rFonts w:ascii="Times New Roman" w:hAnsi="Times New Roman"/>
                <w:noProof/>
                <w:color w:val="000000" w:themeColor="text1"/>
                <w:sz w:val="18"/>
              </w:rPr>
              <w:t xml:space="preserve"> </w:t>
            </w:r>
          </w:p>
        </w:tc>
      </w:tr>
      <w:tr w:rsidR="00CF6D0C" w:rsidRPr="00A33B9F" w14:paraId="21EDEDF6"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5CE6F" w14:textId="4621AEB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150083"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C2.1.3 E-kompetencje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EFF27E"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2DAF59"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Utworzenie Centrum Rozwoju Kompetencji Cyfrowych (CRKC)</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E65B13" w14:textId="2F2FAE18"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Sprawozdanie na temat struktury organizacyjnej</w:t>
            </w:r>
            <w:r w:rsidR="00A33B9F" w:rsidRPr="00A33B9F">
              <w:rPr>
                <w:rFonts w:ascii="Times New Roman" w:hAnsi="Times New Roman"/>
                <w:noProof/>
                <w:color w:val="000000"/>
                <w:sz w:val="18"/>
              </w:rPr>
              <w:t xml:space="preserve"> i fun</w:t>
            </w:r>
            <w:r w:rsidRPr="00A33B9F">
              <w:rPr>
                <w:rFonts w:ascii="Times New Roman" w:hAnsi="Times New Roman"/>
                <w:noProof/>
                <w:color w:val="000000"/>
                <w:sz w:val="18"/>
              </w:rPr>
              <w:t>kcjonowania CRKC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BD94B2"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54DE7F"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A7ADD4"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C84B27"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82B768"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99B1BD" w14:textId="28BB1EBA"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 ramach urzędu ministra właściwego do spraw cyfryzacji zostanie utworzone Centrum Rozwoju Kompetencji Cyfrowych (CRKC). Głównym celem Centrum Rozwoju Kompetencji Cyfrowych jest wzmocnienie</w:t>
            </w:r>
            <w:r w:rsidR="00A33B9F" w:rsidRPr="00A33B9F">
              <w:rPr>
                <w:rFonts w:ascii="Times New Roman" w:hAnsi="Times New Roman"/>
                <w:noProof/>
                <w:color w:val="000000" w:themeColor="text1"/>
                <w:sz w:val="18"/>
              </w:rPr>
              <w:t xml:space="preserve"> i usp</w:t>
            </w:r>
            <w:r w:rsidRPr="00A33B9F">
              <w:rPr>
                <w:rFonts w:ascii="Times New Roman" w:hAnsi="Times New Roman"/>
                <w:noProof/>
                <w:color w:val="000000" w:themeColor="text1"/>
                <w:sz w:val="18"/>
              </w:rPr>
              <w:t>rawnienie systemu koordynacji rozwoju kompetencji cyfrowych</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poprzez realizację następujących podfunkcji:</w:t>
            </w:r>
            <w:r w:rsidRPr="00A33B9F">
              <w:rPr>
                <w:noProof/>
              </w:rPr>
              <w:t xml:space="preserve"> </w:t>
            </w:r>
            <w:r w:rsidRPr="00A33B9F">
              <w:rPr>
                <w:noProof/>
              </w:rPr>
              <w:br/>
            </w:r>
            <w:r w:rsidRPr="00A33B9F">
              <w:rPr>
                <w:rFonts w:ascii="Times New Roman" w:hAnsi="Times New Roman"/>
                <w:noProof/>
                <w:color w:val="000000" w:themeColor="text1"/>
                <w:sz w:val="18"/>
              </w:rPr>
              <w:t>• Funkcja badawczo-analityczna</w:t>
            </w:r>
            <w:r w:rsidRPr="00A33B9F">
              <w:rPr>
                <w:noProof/>
              </w:rPr>
              <w:br/>
            </w:r>
            <w:r w:rsidRPr="00A33B9F">
              <w:rPr>
                <w:rFonts w:ascii="Times New Roman" w:hAnsi="Times New Roman"/>
                <w:noProof/>
                <w:color w:val="000000" w:themeColor="text1"/>
                <w:sz w:val="18"/>
              </w:rPr>
              <w:t>Funkcja ta obejmuje działania polegające na prowadzeniu badań</w:t>
            </w:r>
            <w:r w:rsidR="00A33B9F" w:rsidRPr="00A33B9F">
              <w:rPr>
                <w:rFonts w:ascii="Times New Roman" w:hAnsi="Times New Roman"/>
                <w:noProof/>
                <w:color w:val="000000" w:themeColor="text1"/>
                <w:sz w:val="18"/>
              </w:rPr>
              <w:t xml:space="preserve"> i mon</w:t>
            </w:r>
            <w:r w:rsidRPr="00A33B9F">
              <w:rPr>
                <w:rFonts w:ascii="Times New Roman" w:hAnsi="Times New Roman"/>
                <w:noProof/>
                <w:color w:val="000000" w:themeColor="text1"/>
                <w:sz w:val="18"/>
              </w:rPr>
              <w:t>itorowania</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kompetencji cyfrowych</w:t>
            </w:r>
            <w:r w:rsidR="00A33B9F" w:rsidRPr="00A33B9F">
              <w:rPr>
                <w:rFonts w:ascii="Times New Roman" w:hAnsi="Times New Roman"/>
                <w:noProof/>
                <w:color w:val="000000" w:themeColor="text1"/>
                <w:sz w:val="18"/>
              </w:rPr>
              <w:t xml:space="preserve"> w poł</w:t>
            </w:r>
            <w:r w:rsidRPr="00A33B9F">
              <w:rPr>
                <w:rFonts w:ascii="Times New Roman" w:hAnsi="Times New Roman"/>
                <w:noProof/>
                <w:color w:val="000000" w:themeColor="text1"/>
                <w:sz w:val="18"/>
              </w:rPr>
              <w:t>ączeniu</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kcją obserwacyjną polegającą na gromadzeniu</w:t>
            </w:r>
            <w:r w:rsidR="00A33B9F" w:rsidRPr="00A33B9F">
              <w:rPr>
                <w:rFonts w:ascii="Times New Roman" w:hAnsi="Times New Roman"/>
                <w:noProof/>
                <w:color w:val="000000" w:themeColor="text1"/>
                <w:sz w:val="18"/>
              </w:rPr>
              <w:t xml:space="preserve"> i por</w:t>
            </w:r>
            <w:r w:rsidRPr="00A33B9F">
              <w:rPr>
                <w:rFonts w:ascii="Times New Roman" w:hAnsi="Times New Roman"/>
                <w:noProof/>
                <w:color w:val="000000" w:themeColor="text1"/>
                <w:sz w:val="18"/>
              </w:rPr>
              <w:t>ządkowaniu wiedzy</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zakresie (za pośrednictwem analizy współczesnych trendów, innowacji, badań</w:t>
            </w:r>
            <w:r w:rsidR="00A33B9F" w:rsidRPr="00A33B9F">
              <w:rPr>
                <w:rFonts w:ascii="Times New Roman" w:hAnsi="Times New Roman"/>
                <w:noProof/>
                <w:color w:val="000000" w:themeColor="text1"/>
                <w:sz w:val="18"/>
              </w:rPr>
              <w:t xml:space="preserve"> i dob</w:t>
            </w:r>
            <w:r w:rsidRPr="00A33B9F">
              <w:rPr>
                <w:rFonts w:ascii="Times New Roman" w:hAnsi="Times New Roman"/>
                <w:noProof/>
                <w:color w:val="000000" w:themeColor="text1"/>
                <w:sz w:val="18"/>
              </w:rPr>
              <w:t>rych praktyk). Prowadzi to do formułowania zaleceń</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pozycji odpowiednich działań.</w:t>
            </w:r>
            <w:r w:rsidRPr="00A33B9F">
              <w:rPr>
                <w:noProof/>
              </w:rPr>
              <w:t xml:space="preserve"> </w:t>
            </w:r>
            <w:r w:rsidRPr="00A33B9F">
              <w:rPr>
                <w:noProof/>
              </w:rPr>
              <w:br/>
            </w:r>
            <w:r w:rsidRPr="00A33B9F">
              <w:rPr>
                <w:rFonts w:ascii="Times New Roman" w:hAnsi="Times New Roman"/>
                <w:noProof/>
                <w:color w:val="000000" w:themeColor="text1"/>
                <w:sz w:val="18"/>
              </w:rPr>
              <w:t>• Funkcja testowania</w:t>
            </w:r>
            <w:r w:rsidR="00A33B9F" w:rsidRPr="00A33B9F">
              <w:rPr>
                <w:rFonts w:ascii="Times New Roman" w:hAnsi="Times New Roman"/>
                <w:noProof/>
                <w:color w:val="000000" w:themeColor="text1"/>
                <w:sz w:val="18"/>
              </w:rPr>
              <w:t xml:space="preserve"> i wdr</w:t>
            </w:r>
            <w:r w:rsidRPr="00A33B9F">
              <w:rPr>
                <w:rFonts w:ascii="Times New Roman" w:hAnsi="Times New Roman"/>
                <w:noProof/>
                <w:color w:val="000000" w:themeColor="text1"/>
                <w:sz w:val="18"/>
              </w:rPr>
              <w:t>ażania</w:t>
            </w:r>
            <w:r w:rsidRPr="00A33B9F">
              <w:rPr>
                <w:noProof/>
              </w:rPr>
              <w:br/>
            </w:r>
            <w:r w:rsidRPr="00A33B9F">
              <w:rPr>
                <w:rFonts w:ascii="Times New Roman" w:hAnsi="Times New Roman"/>
                <w:noProof/>
                <w:color w:val="000000" w:themeColor="text1"/>
                <w:sz w:val="18"/>
              </w:rPr>
              <w:t>Funkcja ta obejmuje testowanie</w:t>
            </w:r>
            <w:r w:rsidR="00A33B9F" w:rsidRPr="00A33B9F">
              <w:rPr>
                <w:rFonts w:ascii="Times New Roman" w:hAnsi="Times New Roman"/>
                <w:noProof/>
                <w:color w:val="000000" w:themeColor="text1"/>
                <w:sz w:val="18"/>
              </w:rPr>
              <w:t xml:space="preserve"> w for</w:t>
            </w:r>
            <w:r w:rsidRPr="00A33B9F">
              <w:rPr>
                <w:rFonts w:ascii="Times New Roman" w:hAnsi="Times New Roman"/>
                <w:noProof/>
                <w:color w:val="000000" w:themeColor="text1"/>
                <w:sz w:val="18"/>
              </w:rPr>
              <w:t>mie działań pilotażowych oraz wdrażanie najbardziej wartościowych</w:t>
            </w:r>
            <w:r w:rsidR="00A33B9F" w:rsidRPr="00A33B9F">
              <w:rPr>
                <w:rFonts w:ascii="Times New Roman" w:hAnsi="Times New Roman"/>
                <w:noProof/>
                <w:color w:val="000000" w:themeColor="text1"/>
                <w:sz w:val="18"/>
              </w:rPr>
              <w:t xml:space="preserve"> i obi</w:t>
            </w:r>
            <w:r w:rsidRPr="00A33B9F">
              <w:rPr>
                <w:rFonts w:ascii="Times New Roman" w:hAnsi="Times New Roman"/>
                <w:noProof/>
                <w:color w:val="000000" w:themeColor="text1"/>
                <w:sz w:val="18"/>
              </w:rPr>
              <w:t>ecujących rozwiązań, zaleceń</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pozycji wynikających</w:t>
            </w:r>
            <w:r w:rsidR="00A33B9F" w:rsidRPr="00A33B9F">
              <w:rPr>
                <w:rFonts w:ascii="Times New Roman" w:hAnsi="Times New Roman"/>
                <w:noProof/>
                <w:color w:val="000000" w:themeColor="text1"/>
                <w:sz w:val="18"/>
              </w:rPr>
              <w:t xml:space="preserve"> z dzi</w:t>
            </w:r>
            <w:r w:rsidRPr="00A33B9F">
              <w:rPr>
                <w:rFonts w:ascii="Times New Roman" w:hAnsi="Times New Roman"/>
                <w:noProof/>
                <w:color w:val="000000" w:themeColor="text1"/>
                <w:sz w:val="18"/>
              </w:rPr>
              <w:t>ałań pilotażowych</w:t>
            </w:r>
            <w:r w:rsidR="00A33B9F" w:rsidRPr="00A33B9F">
              <w:rPr>
                <w:rFonts w:ascii="Times New Roman" w:hAnsi="Times New Roman"/>
                <w:noProof/>
                <w:color w:val="000000" w:themeColor="text1"/>
                <w:sz w:val="18"/>
              </w:rPr>
              <w:t xml:space="preserve"> i rea</w:t>
            </w:r>
            <w:r w:rsidRPr="00A33B9F">
              <w:rPr>
                <w:rFonts w:ascii="Times New Roman" w:hAnsi="Times New Roman"/>
                <w:noProof/>
                <w:color w:val="000000" w:themeColor="text1"/>
                <w:sz w:val="18"/>
              </w:rPr>
              <w:t>lizacji funkcji badawczo-analitycznej.</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Funkcja edukacyjna</w:t>
            </w:r>
            <w:r w:rsidR="00A33B9F" w:rsidRPr="00A33B9F">
              <w:rPr>
                <w:rFonts w:ascii="Times New Roman" w:hAnsi="Times New Roman"/>
                <w:noProof/>
                <w:color w:val="000000" w:themeColor="text1"/>
                <w:sz w:val="18"/>
              </w:rPr>
              <w:t xml:space="preserve"> i pop</w:t>
            </w:r>
            <w:r w:rsidRPr="00A33B9F">
              <w:rPr>
                <w:rFonts w:ascii="Times New Roman" w:hAnsi="Times New Roman"/>
                <w:noProof/>
                <w:color w:val="000000" w:themeColor="text1"/>
                <w:sz w:val="18"/>
              </w:rPr>
              <w:t>ularyzatorska</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Funkcja ta obejmuje takie działania jak doradztwo, mentoring, seminaria, szkolenia</w:t>
            </w:r>
            <w:r w:rsidR="00A33B9F" w:rsidRPr="00A33B9F">
              <w:rPr>
                <w:rFonts w:ascii="Times New Roman" w:hAnsi="Times New Roman"/>
                <w:noProof/>
                <w:color w:val="000000" w:themeColor="text1"/>
                <w:sz w:val="18"/>
              </w:rPr>
              <w:t xml:space="preserve"> i kur</w:t>
            </w:r>
            <w:r w:rsidRPr="00A33B9F">
              <w:rPr>
                <w:rFonts w:ascii="Times New Roman" w:hAnsi="Times New Roman"/>
                <w:noProof/>
                <w:color w:val="000000" w:themeColor="text1"/>
                <w:sz w:val="18"/>
              </w:rPr>
              <w:t>sy,</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upowszechnianie wyników działań Centrum za pomocą portalu informacyjnego</w:t>
            </w:r>
            <w:r w:rsidR="00A33B9F" w:rsidRPr="00A33B9F">
              <w:rPr>
                <w:rFonts w:ascii="Times New Roman" w:hAnsi="Times New Roman"/>
                <w:noProof/>
                <w:color w:val="000000" w:themeColor="text1"/>
                <w:sz w:val="18"/>
              </w:rPr>
              <w:t xml:space="preserve"> z ana</w:t>
            </w:r>
            <w:r w:rsidRPr="00A33B9F">
              <w:rPr>
                <w:rFonts w:ascii="Times New Roman" w:hAnsi="Times New Roman"/>
                <w:noProof/>
                <w:color w:val="000000" w:themeColor="text1"/>
                <w:sz w:val="18"/>
              </w:rPr>
              <w:t>lizami/standardami/schematami/dobrymi praktykami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rozwoju kompetencji cyfrowych.</w:t>
            </w:r>
          </w:p>
        </w:tc>
      </w:tr>
      <w:tr w:rsidR="00CF6D0C" w:rsidRPr="00A33B9F" w14:paraId="0B85974A"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05F89A" w14:textId="2115B09B"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C19G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0B023A" w14:textId="77777777"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C2.1.3 E-kompetencje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F3FD8D" w14:textId="77777777"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622186" w14:textId="01E5C22A"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T1 – Dodatkowe osoby przeszkolone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kompetencji cyfrowych,</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umiejętności cyfrowych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063C8D" w14:textId="77777777"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BB6EE3" w14:textId="77777777"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95D7CD" w14:textId="5B5701CB" w:rsidR="00CF6D0C" w:rsidRPr="00A33B9F" w:rsidRDefault="00CF6D0C" w:rsidP="3FB7034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3643DB" w14:textId="39752C95" w:rsidR="00CF6D0C" w:rsidRPr="00A33B9F" w:rsidRDefault="00CF6D0C" w:rsidP="3FB7034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161 500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B8E1AEE" w14:textId="77777777" w:rsidR="00CF6D0C" w:rsidRPr="00A33B9F" w:rsidRDefault="00CF6D0C" w:rsidP="3FB7034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05B61C" w14:textId="77777777" w:rsidR="00CF6D0C" w:rsidRPr="00A33B9F" w:rsidRDefault="00CF6D0C" w:rsidP="3FB7034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89FBE8" w14:textId="69E438E4"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Co najmniej 161 500 osób ukończyło szkolenie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wdrażania projektów ukierunkowanych na rozwój (nabywanie lub rozwijanie) kompetencji cyfrowych. </w:t>
            </w:r>
          </w:p>
          <w:p w14:paraId="432C6157" w14:textId="38DB37CA"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Osoby objęte szkoleniem</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kompetencji cyfrowych należą</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ybliżeniu</w:t>
            </w:r>
            <w:r w:rsidR="00A33B9F" w:rsidRPr="00A33B9F">
              <w:rPr>
                <w:rFonts w:ascii="Times New Roman" w:hAnsi="Times New Roman"/>
                <w:noProof/>
                <w:color w:val="000000" w:themeColor="text1"/>
                <w:sz w:val="18"/>
              </w:rPr>
              <w:t xml:space="preserve"> w rów</w:t>
            </w:r>
            <w:r w:rsidRPr="00A33B9F">
              <w:rPr>
                <w:rFonts w:ascii="Times New Roman" w:hAnsi="Times New Roman"/>
                <w:noProof/>
                <w:color w:val="000000" w:themeColor="text1"/>
                <w:sz w:val="18"/>
              </w:rPr>
              <w:t>nym stopniu do następujących kategorii:</w:t>
            </w:r>
          </w:p>
          <w:p w14:paraId="1534A7F4" w14:textId="1FB618D7"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40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obywatele potrzebujący podstawowych umiejętności cyfrowych;</w:t>
            </w:r>
          </w:p>
          <w:p w14:paraId="6DF6B6DE" w14:textId="26C65699"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urzędnicy publiczni;</w:t>
            </w:r>
            <w:r w:rsidRPr="00A33B9F">
              <w:rPr>
                <w:noProof/>
              </w:rPr>
              <w:t xml:space="preserve"> </w:t>
            </w:r>
            <w:r w:rsidRPr="00A33B9F">
              <w:rPr>
                <w:noProof/>
              </w:rPr>
              <w:br/>
            </w:r>
            <w:r w:rsidRPr="00A33B9F">
              <w:rPr>
                <w:rFonts w:ascii="Times New Roman" w:hAnsi="Times New Roman"/>
                <w:noProof/>
                <w:color w:val="000000" w:themeColor="text1"/>
                <w:sz w:val="18"/>
              </w:rPr>
              <w:t>–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edukatorzy</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czyciele;</w:t>
            </w:r>
            <w:r w:rsidRPr="00A33B9F">
              <w:rPr>
                <w:noProof/>
              </w:rPr>
              <w:t xml:space="preserve"> </w:t>
            </w:r>
            <w:r w:rsidRPr="00A33B9F">
              <w:rPr>
                <w:noProof/>
              </w:rPr>
              <w:br/>
            </w:r>
            <w:r w:rsidRPr="00A33B9F">
              <w:rPr>
                <w:rFonts w:ascii="Times New Roman" w:hAnsi="Times New Roman"/>
                <w:noProof/>
                <w:color w:val="000000" w:themeColor="text1"/>
                <w:sz w:val="18"/>
              </w:rPr>
              <w:t>–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osoby wykluczone</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 xml:space="preserve">rożone wykluczeniem. </w:t>
            </w:r>
          </w:p>
          <w:p w14:paraId="2FCC372D" w14:textId="5ED1FC50" w:rsidR="00CF6D0C" w:rsidRPr="00A33B9F" w:rsidRDefault="00CF6D0C" w:rsidP="3FB7034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r>
      <w:tr w:rsidR="00CF6D0C" w:rsidRPr="00A33B9F" w14:paraId="0EEEDC8B"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909ED" w14:textId="5824E2E1"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C20G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7BF62D" w14:textId="77777777"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C2.1.3 E-kompetencje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4BF6EC" w14:textId="77777777"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BF62A3" w14:textId="020799F0"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T2 – Dodatkowe osoby przeszkolone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kompetencji cyfrowych,</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umiejętności cyfrowych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4BCA14" w14:textId="77777777"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ADD202" w14:textId="77777777"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70D752" w14:textId="485D24DC" w:rsidR="00CF6D0C" w:rsidRPr="00A33B9F" w:rsidRDefault="3986BD34" w:rsidP="426A45D9">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161 500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F54E99" w14:textId="5CE0C947" w:rsidR="00CF6D0C" w:rsidRPr="00A33B9F" w:rsidRDefault="3986BD34" w:rsidP="426A45D9">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323 000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F6190B" w14:textId="77777777" w:rsidR="00CF6D0C" w:rsidRPr="00A33B9F" w:rsidRDefault="3986BD34" w:rsidP="426A45D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F598903" w14:textId="77777777" w:rsidR="00CF6D0C" w:rsidRPr="00A33B9F" w:rsidRDefault="3986BD34" w:rsidP="426A45D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5DF1F" w14:textId="4D19CDFA"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Co najmniej 323 000 osób ukończyło szkolenie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 xml:space="preserve">ach wdrażania projektów ukierunkowanych na rozwój (nabywanie lub rozwijanie) kompetencji cyfrowych. </w:t>
            </w:r>
          </w:p>
          <w:p w14:paraId="5DAAD89A" w14:textId="47E7C3C7"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Osoby objęte szkoleniem</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kompetencji cyfrowych należą</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ybliżeniu</w:t>
            </w:r>
            <w:r w:rsidR="00A33B9F" w:rsidRPr="00A33B9F">
              <w:rPr>
                <w:rFonts w:ascii="Times New Roman" w:hAnsi="Times New Roman"/>
                <w:noProof/>
                <w:color w:val="000000" w:themeColor="text1"/>
                <w:sz w:val="18"/>
              </w:rPr>
              <w:t xml:space="preserve"> w rów</w:t>
            </w:r>
            <w:r w:rsidRPr="00A33B9F">
              <w:rPr>
                <w:rFonts w:ascii="Times New Roman" w:hAnsi="Times New Roman"/>
                <w:noProof/>
                <w:color w:val="000000" w:themeColor="text1"/>
                <w:sz w:val="18"/>
              </w:rPr>
              <w:t>nym stopniu do następujących kategorii:</w:t>
            </w:r>
          </w:p>
          <w:p w14:paraId="4832B62B" w14:textId="4BE6D755"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40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obywatele potrzebujący podstawowych umiejętności cyfrowych;</w:t>
            </w:r>
          </w:p>
          <w:p w14:paraId="5C837226" w14:textId="5323906D"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urzędnicy publiczni;</w:t>
            </w:r>
            <w:r w:rsidRPr="00A33B9F">
              <w:rPr>
                <w:noProof/>
              </w:rPr>
              <w:t xml:space="preserve"> </w:t>
            </w:r>
            <w:r w:rsidRPr="00A33B9F">
              <w:rPr>
                <w:noProof/>
              </w:rPr>
              <w:br/>
            </w:r>
            <w:r w:rsidRPr="00A33B9F">
              <w:rPr>
                <w:rFonts w:ascii="Times New Roman" w:hAnsi="Times New Roman"/>
                <w:noProof/>
                <w:color w:val="000000" w:themeColor="text1"/>
                <w:sz w:val="18"/>
              </w:rPr>
              <w:t>–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edukatorzy</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czyciele;</w:t>
            </w:r>
            <w:r w:rsidRPr="00A33B9F">
              <w:rPr>
                <w:noProof/>
              </w:rPr>
              <w:t xml:space="preserve"> </w:t>
            </w:r>
            <w:r w:rsidRPr="00A33B9F">
              <w:rPr>
                <w:noProof/>
              </w:rPr>
              <w:br/>
            </w:r>
            <w:r w:rsidRPr="00A33B9F">
              <w:rPr>
                <w:rFonts w:ascii="Times New Roman" w:hAnsi="Times New Roman"/>
                <w:noProof/>
                <w:color w:val="000000" w:themeColor="text1"/>
                <w:sz w:val="18"/>
              </w:rPr>
              <w:t>– 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osoby wykluczone</w:t>
            </w:r>
            <w:r w:rsidR="00A33B9F" w:rsidRPr="00A33B9F">
              <w:rPr>
                <w:rFonts w:ascii="Times New Roman" w:hAnsi="Times New Roman"/>
                <w:noProof/>
                <w:color w:val="000000" w:themeColor="text1"/>
                <w:sz w:val="18"/>
              </w:rPr>
              <w:t xml:space="preserve"> i zag</w:t>
            </w:r>
            <w:r w:rsidRPr="00A33B9F">
              <w:rPr>
                <w:rFonts w:ascii="Times New Roman" w:hAnsi="Times New Roman"/>
                <w:noProof/>
                <w:color w:val="000000" w:themeColor="text1"/>
                <w:sz w:val="18"/>
              </w:rPr>
              <w:t xml:space="preserve">rożone wykluczeniem. </w:t>
            </w:r>
          </w:p>
          <w:p w14:paraId="4178DC52" w14:textId="35C1F2DB" w:rsidR="00CF6D0C" w:rsidRPr="00A33B9F" w:rsidRDefault="00CF6D0C"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r>
      <w:tr w:rsidR="00CF6D0C" w:rsidRPr="00A33B9F" w14:paraId="0500A9C4"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D4F915" w14:textId="1A20B0E6"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C21G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715981" w14:textId="7E769EF2"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C3.1 Zwiększenie cyberbezpieczeństwa systemów informacyjnych, wzmocnienie infrastruktury przetwarzania danych oraz optymalizacja infrastruktury organów ścigania</w:t>
            </w:r>
          </w:p>
          <w:p w14:paraId="4F85792B" w14:textId="1333D72A"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1854FF"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4E9C21" w14:textId="16CE228D"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Zmiana ustawy</w:t>
            </w:r>
            <w:r w:rsidR="00A33B9F" w:rsidRPr="00A33B9F">
              <w:rPr>
                <w:rFonts w:ascii="Times New Roman" w:hAnsi="Times New Roman"/>
                <w:noProof/>
                <w:color w:val="000000"/>
                <w:sz w:val="18"/>
              </w:rPr>
              <w:t xml:space="preserve"> z dni</w:t>
            </w:r>
            <w:r w:rsidRPr="00A33B9F">
              <w:rPr>
                <w:rFonts w:ascii="Times New Roman" w:hAnsi="Times New Roman"/>
                <w:noProof/>
                <w:color w:val="000000"/>
                <w:sz w:val="18"/>
              </w:rPr>
              <w:t>a 5 lipca 2018</w:t>
            </w:r>
            <w:r w:rsidR="00A33B9F" w:rsidRPr="00A33B9F">
              <w:rPr>
                <w:rFonts w:ascii="Times New Roman" w:hAnsi="Times New Roman"/>
                <w:noProof/>
                <w:color w:val="000000"/>
                <w:sz w:val="18"/>
              </w:rPr>
              <w:t> </w:t>
            </w:r>
            <w:r w:rsidRPr="00A33B9F">
              <w:rPr>
                <w:rFonts w:ascii="Times New Roman" w:hAnsi="Times New Roman"/>
                <w:noProof/>
                <w:color w:val="000000"/>
                <w:sz w:val="18"/>
              </w:rPr>
              <w:t>r.</w:t>
            </w:r>
            <w:r w:rsidR="00A33B9F" w:rsidRPr="00A33B9F">
              <w:rPr>
                <w:rFonts w:ascii="Times New Roman" w:hAnsi="Times New Roman"/>
                <w:noProof/>
                <w:color w:val="000000"/>
                <w:sz w:val="18"/>
              </w:rPr>
              <w:t xml:space="preserve"> o kra</w:t>
            </w:r>
            <w:r w:rsidRPr="00A33B9F">
              <w:rPr>
                <w:rFonts w:ascii="Times New Roman" w:hAnsi="Times New Roman"/>
                <w:noProof/>
                <w:color w:val="000000"/>
                <w:sz w:val="18"/>
              </w:rPr>
              <w:t>jowym systemie cyberbezpieczeństwa służąca wdrożeniu dyrektywy</w:t>
            </w:r>
            <w:r w:rsidR="00A33B9F" w:rsidRPr="00A33B9F">
              <w:rPr>
                <w:rFonts w:ascii="Times New Roman" w:hAnsi="Times New Roman"/>
                <w:noProof/>
                <w:color w:val="000000"/>
                <w:sz w:val="18"/>
              </w:rPr>
              <w:t xml:space="preserve"> w spr</w:t>
            </w:r>
            <w:r w:rsidRPr="00A33B9F">
              <w:rPr>
                <w:rFonts w:ascii="Times New Roman" w:hAnsi="Times New Roman"/>
                <w:noProof/>
                <w:color w:val="000000"/>
                <w:sz w:val="18"/>
              </w:rPr>
              <w:t>awie bezpieczeństwa sieci</w:t>
            </w:r>
            <w:r w:rsidR="00A33B9F" w:rsidRPr="00A33B9F">
              <w:rPr>
                <w:rFonts w:ascii="Times New Roman" w:hAnsi="Times New Roman"/>
                <w:noProof/>
                <w:color w:val="000000"/>
                <w:sz w:val="18"/>
              </w:rPr>
              <w:t xml:space="preserve"> i inf</w:t>
            </w:r>
            <w:r w:rsidRPr="00A33B9F">
              <w:rPr>
                <w:rFonts w:ascii="Times New Roman" w:hAnsi="Times New Roman"/>
                <w:noProof/>
                <w:color w:val="000000"/>
                <w:sz w:val="18"/>
              </w:rPr>
              <w:t>ormacji oraz ustanowieniu kompleksowych podstaw prawnych</w:t>
            </w:r>
            <w:r w:rsidR="00A33B9F" w:rsidRPr="00A33B9F">
              <w:rPr>
                <w:rFonts w:ascii="Times New Roman" w:hAnsi="Times New Roman"/>
                <w:noProof/>
                <w:color w:val="000000"/>
                <w:sz w:val="18"/>
              </w:rPr>
              <w:t xml:space="preserve"> i org</w:t>
            </w:r>
            <w:r w:rsidRPr="00A33B9F">
              <w:rPr>
                <w:rFonts w:ascii="Times New Roman" w:hAnsi="Times New Roman"/>
                <w:noProof/>
                <w:color w:val="000000"/>
                <w:sz w:val="18"/>
              </w:rPr>
              <w:t>anizacyjnych cyberbezpieczeństwa dla krajowego systemu cyberbezpieczeństwa</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69D681" w14:textId="58ABCEEA"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enionej ustawie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A1ED59"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260C7C"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1121D9"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DB2106"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035F18"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240311" w14:textId="040E23AF"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zmienionej ustawy</w:t>
            </w:r>
            <w:r w:rsidR="00A33B9F" w:rsidRPr="00A33B9F">
              <w:rPr>
                <w:rFonts w:ascii="Times New Roman" w:hAnsi="Times New Roman"/>
                <w:noProof/>
                <w:color w:val="000000"/>
                <w:sz w:val="18"/>
              </w:rPr>
              <w:t xml:space="preserve"> o kra</w:t>
            </w:r>
            <w:r w:rsidRPr="00A33B9F">
              <w:rPr>
                <w:rFonts w:ascii="Times New Roman" w:hAnsi="Times New Roman"/>
                <w:noProof/>
                <w:color w:val="000000"/>
                <w:sz w:val="18"/>
              </w:rPr>
              <w:t>jowym systemie cyberbezpieczeństwa Umożliwi to m.in. stworzenie sieci sektorowych zespołu reagowania na incydenty bezpieczeństwa komputerowego (CSIRT), ustanowienie ośrodków wymiany</w:t>
            </w:r>
            <w:r w:rsidR="00A33B9F" w:rsidRPr="00A33B9F">
              <w:rPr>
                <w:rFonts w:ascii="Times New Roman" w:hAnsi="Times New Roman"/>
                <w:noProof/>
                <w:color w:val="000000"/>
                <w:sz w:val="18"/>
              </w:rPr>
              <w:t xml:space="preserve"> i ana</w:t>
            </w:r>
            <w:r w:rsidRPr="00A33B9F">
              <w:rPr>
                <w:rFonts w:ascii="Times New Roman" w:hAnsi="Times New Roman"/>
                <w:noProof/>
                <w:color w:val="000000"/>
                <w:sz w:val="18"/>
              </w:rPr>
              <w:t>lizy informacji,</w:t>
            </w:r>
            <w:r w:rsidR="00A33B9F" w:rsidRPr="00A33B9F">
              <w:rPr>
                <w:rFonts w:ascii="Times New Roman" w:hAnsi="Times New Roman"/>
                <w:noProof/>
                <w:color w:val="000000"/>
                <w:sz w:val="18"/>
              </w:rPr>
              <w:t xml:space="preserve"> a tak</w:t>
            </w:r>
            <w:r w:rsidRPr="00A33B9F">
              <w:rPr>
                <w:rFonts w:ascii="Times New Roman" w:hAnsi="Times New Roman"/>
                <w:noProof/>
                <w:color w:val="000000"/>
                <w:sz w:val="18"/>
              </w:rPr>
              <w:t>że wzmocni mechanizmy współpracy administracji rządowej</w:t>
            </w:r>
            <w:r w:rsidR="00A33B9F" w:rsidRPr="00A33B9F">
              <w:rPr>
                <w:rFonts w:ascii="Times New Roman" w:hAnsi="Times New Roman"/>
                <w:noProof/>
                <w:color w:val="000000"/>
                <w:sz w:val="18"/>
              </w:rPr>
              <w:t xml:space="preserve"> z ins</w:t>
            </w:r>
            <w:r w:rsidRPr="00A33B9F">
              <w:rPr>
                <w:rFonts w:ascii="Times New Roman" w:hAnsi="Times New Roman"/>
                <w:noProof/>
                <w:color w:val="000000"/>
                <w:sz w:val="18"/>
              </w:rPr>
              <w:t>tytucjami samorządowymi na szczeblu lokalnym</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reagowania na incydenty bezpieczeństwa. Ustawa</w:t>
            </w:r>
            <w:r w:rsidR="00A33B9F" w:rsidRPr="00A33B9F">
              <w:rPr>
                <w:rFonts w:ascii="Times New Roman" w:hAnsi="Times New Roman"/>
                <w:noProof/>
                <w:color w:val="000000"/>
                <w:sz w:val="18"/>
              </w:rPr>
              <w:t xml:space="preserve"> o kra</w:t>
            </w:r>
            <w:r w:rsidRPr="00A33B9F">
              <w:rPr>
                <w:rFonts w:ascii="Times New Roman" w:hAnsi="Times New Roman"/>
                <w:noProof/>
                <w:color w:val="000000"/>
                <w:sz w:val="18"/>
              </w:rPr>
              <w:t>jowym systemie cyberbezpieczeństwa jest niezbędna także</w:t>
            </w:r>
            <w:r w:rsidR="00A33B9F" w:rsidRPr="00A33B9F">
              <w:rPr>
                <w:rFonts w:ascii="Times New Roman" w:hAnsi="Times New Roman"/>
                <w:noProof/>
                <w:color w:val="000000"/>
                <w:sz w:val="18"/>
              </w:rPr>
              <w:t xml:space="preserve"> w zwi</w:t>
            </w:r>
            <w:r w:rsidRPr="00A33B9F">
              <w:rPr>
                <w:rFonts w:ascii="Times New Roman" w:hAnsi="Times New Roman"/>
                <w:noProof/>
                <w:color w:val="000000"/>
                <w:sz w:val="18"/>
              </w:rPr>
              <w:t>ązku</w:t>
            </w:r>
            <w:r w:rsidR="00A33B9F" w:rsidRPr="00A33B9F">
              <w:rPr>
                <w:rFonts w:ascii="Times New Roman" w:hAnsi="Times New Roman"/>
                <w:noProof/>
                <w:color w:val="000000"/>
                <w:sz w:val="18"/>
              </w:rPr>
              <w:t xml:space="preserve"> z kon</w:t>
            </w:r>
            <w:r w:rsidRPr="00A33B9F">
              <w:rPr>
                <w:rFonts w:ascii="Times New Roman" w:hAnsi="Times New Roman"/>
                <w:noProof/>
                <w:color w:val="000000"/>
                <w:sz w:val="18"/>
              </w:rPr>
              <w:t>iecznością wdrożenia unijnego zestawu narzędzi na potrzeby cyberbezpieczeństwa sieci 5G. Za przygotowanie</w:t>
            </w:r>
            <w:r w:rsidR="00A33B9F" w:rsidRPr="00A33B9F">
              <w:rPr>
                <w:rFonts w:ascii="Times New Roman" w:hAnsi="Times New Roman"/>
                <w:noProof/>
                <w:color w:val="000000"/>
                <w:sz w:val="18"/>
              </w:rPr>
              <w:t xml:space="preserve"> i uch</w:t>
            </w:r>
            <w:r w:rsidRPr="00A33B9F">
              <w:rPr>
                <w:rFonts w:ascii="Times New Roman" w:hAnsi="Times New Roman"/>
                <w:noProof/>
                <w:color w:val="000000"/>
                <w:sz w:val="18"/>
              </w:rPr>
              <w:t>walenie zmienionej ustawy odpowiada Kancelaria Prezesa Rady Ministrów.</w:t>
            </w:r>
          </w:p>
        </w:tc>
      </w:tr>
      <w:tr w:rsidR="00CF6D0C" w:rsidRPr="00A33B9F" w14:paraId="3E2AA849"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2DAC0B" w14:textId="732F3541"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C22G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28AC71" w14:textId="0CB4AF13"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C3.1 Zwiększenie cyberbezpieczeństwa systemów informacyjnych, wzmocnienie infrastruktury przetwarzania danych oraz optymalizacja infrastruktury organów ścigania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7DB22C"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34B39C" w14:textId="119707E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Zmiany</w:t>
            </w:r>
            <w:r w:rsidR="00A33B9F" w:rsidRPr="00A33B9F">
              <w:rPr>
                <w:rFonts w:ascii="Times New Roman" w:hAnsi="Times New Roman"/>
                <w:noProof/>
                <w:color w:val="000000"/>
                <w:sz w:val="18"/>
              </w:rPr>
              <w:t xml:space="preserve"> w roz</w:t>
            </w:r>
            <w:r w:rsidRPr="00A33B9F">
              <w:rPr>
                <w:rFonts w:ascii="Times New Roman" w:hAnsi="Times New Roman"/>
                <w:noProof/>
                <w:color w:val="000000"/>
                <w:sz w:val="18"/>
              </w:rPr>
              <w:t>porządzeniu Rady Ministrów</w:t>
            </w:r>
            <w:r w:rsidR="00A33B9F" w:rsidRPr="00A33B9F">
              <w:rPr>
                <w:rFonts w:ascii="Times New Roman" w:hAnsi="Times New Roman"/>
                <w:noProof/>
                <w:color w:val="000000"/>
                <w:sz w:val="18"/>
              </w:rPr>
              <w:t xml:space="preserve"> z dni</w:t>
            </w:r>
            <w:r w:rsidRPr="00A33B9F">
              <w:rPr>
                <w:rFonts w:ascii="Times New Roman" w:hAnsi="Times New Roman"/>
                <w:noProof/>
                <w:color w:val="000000"/>
                <w:sz w:val="18"/>
              </w:rPr>
              <w:t>a 11 września 2018</w:t>
            </w:r>
            <w:r w:rsidR="00A33B9F" w:rsidRPr="00A33B9F">
              <w:rPr>
                <w:rFonts w:ascii="Times New Roman" w:hAnsi="Times New Roman"/>
                <w:noProof/>
                <w:color w:val="000000"/>
                <w:sz w:val="18"/>
              </w:rPr>
              <w:t> </w:t>
            </w:r>
            <w:r w:rsidRPr="00A33B9F">
              <w:rPr>
                <w:rFonts w:ascii="Times New Roman" w:hAnsi="Times New Roman"/>
                <w:noProof/>
                <w:color w:val="000000"/>
                <w:sz w:val="18"/>
              </w:rPr>
              <w:t>r.</w:t>
            </w:r>
            <w:r w:rsidR="00A33B9F" w:rsidRPr="00A33B9F">
              <w:rPr>
                <w:rFonts w:ascii="Times New Roman" w:hAnsi="Times New Roman"/>
                <w:noProof/>
                <w:color w:val="000000"/>
                <w:sz w:val="18"/>
              </w:rPr>
              <w:t xml:space="preserve"> w spr</w:t>
            </w:r>
            <w:r w:rsidRPr="00A33B9F">
              <w:rPr>
                <w:rFonts w:ascii="Times New Roman" w:hAnsi="Times New Roman"/>
                <w:noProof/>
                <w:color w:val="000000"/>
                <w:sz w:val="18"/>
              </w:rPr>
              <w:t>awie wykazu usług kluczowych oraz progów istotności skutku zakłócającego incydentu dla świadczenia usług kluczowych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37A195" w14:textId="669B3EE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rozporządzenia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D0A515"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417E48"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6911C1"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4F3C3B"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4F941C4"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C922165" w14:textId="149F5C39"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zmian</w:t>
            </w:r>
            <w:r w:rsidR="00A33B9F" w:rsidRPr="00A33B9F">
              <w:rPr>
                <w:rFonts w:ascii="Times New Roman" w:hAnsi="Times New Roman"/>
                <w:noProof/>
                <w:color w:val="000000"/>
                <w:sz w:val="18"/>
              </w:rPr>
              <w:t xml:space="preserve"> w roz</w:t>
            </w:r>
            <w:r w:rsidRPr="00A33B9F">
              <w:rPr>
                <w:rFonts w:ascii="Times New Roman" w:hAnsi="Times New Roman"/>
                <w:noProof/>
                <w:color w:val="000000"/>
                <w:sz w:val="18"/>
              </w:rPr>
              <w:t>porządzeniu Rady Ministrów</w:t>
            </w:r>
            <w:r w:rsidR="00A33B9F" w:rsidRPr="00A33B9F">
              <w:rPr>
                <w:rFonts w:ascii="Times New Roman" w:hAnsi="Times New Roman"/>
                <w:noProof/>
                <w:color w:val="000000"/>
                <w:sz w:val="18"/>
              </w:rPr>
              <w:t xml:space="preserve"> z dni</w:t>
            </w:r>
            <w:r w:rsidRPr="00A33B9F">
              <w:rPr>
                <w:rFonts w:ascii="Times New Roman" w:hAnsi="Times New Roman"/>
                <w:noProof/>
                <w:color w:val="000000"/>
                <w:sz w:val="18"/>
              </w:rPr>
              <w:t>a 11 września 2018</w:t>
            </w:r>
            <w:r w:rsidR="00A33B9F" w:rsidRPr="00A33B9F">
              <w:rPr>
                <w:rFonts w:ascii="Times New Roman" w:hAnsi="Times New Roman"/>
                <w:noProof/>
                <w:color w:val="000000"/>
                <w:sz w:val="18"/>
              </w:rPr>
              <w:t> </w:t>
            </w:r>
            <w:r w:rsidRPr="00A33B9F">
              <w:rPr>
                <w:rFonts w:ascii="Times New Roman" w:hAnsi="Times New Roman"/>
                <w:noProof/>
                <w:color w:val="000000"/>
                <w:sz w:val="18"/>
              </w:rPr>
              <w:t>r.</w:t>
            </w:r>
            <w:r w:rsidR="00A33B9F" w:rsidRPr="00A33B9F">
              <w:rPr>
                <w:rFonts w:ascii="Times New Roman" w:hAnsi="Times New Roman"/>
                <w:noProof/>
                <w:color w:val="000000"/>
                <w:sz w:val="18"/>
              </w:rPr>
              <w:t xml:space="preserve"> w spr</w:t>
            </w:r>
            <w:r w:rsidRPr="00A33B9F">
              <w:rPr>
                <w:rFonts w:ascii="Times New Roman" w:hAnsi="Times New Roman"/>
                <w:noProof/>
                <w:color w:val="000000"/>
                <w:sz w:val="18"/>
              </w:rPr>
              <w:t>awie wykazu usług kluczowych oraz progów istotności skutku zakłócającego incydentu dla świadczenia usług kluczowych. Należy zmienić progi/kryteria identyfikacji operatorów usług kluczowych, przede wszystkim</w:t>
            </w:r>
            <w:r w:rsidR="00A33B9F" w:rsidRPr="00A33B9F">
              <w:rPr>
                <w:rFonts w:ascii="Times New Roman" w:hAnsi="Times New Roman"/>
                <w:noProof/>
                <w:color w:val="000000"/>
                <w:sz w:val="18"/>
              </w:rPr>
              <w:t xml:space="preserve"> w sek</w:t>
            </w:r>
            <w:r w:rsidRPr="00A33B9F">
              <w:rPr>
                <w:rFonts w:ascii="Times New Roman" w:hAnsi="Times New Roman"/>
                <w:noProof/>
                <w:color w:val="000000"/>
                <w:sz w:val="18"/>
              </w:rPr>
              <w:t>torze zdrowia,</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poprawy obecnych kryteriów jakościowych, pozwalających na wskazywanie kluczowych podmiotów/szpitali</w:t>
            </w:r>
            <w:r w:rsidR="00A33B9F" w:rsidRPr="00A33B9F">
              <w:rPr>
                <w:rFonts w:ascii="Times New Roman" w:hAnsi="Times New Roman"/>
                <w:noProof/>
                <w:color w:val="000000"/>
                <w:sz w:val="18"/>
              </w:rPr>
              <w:t xml:space="preserve"> w sek</w:t>
            </w:r>
            <w:r w:rsidRPr="00A33B9F">
              <w:rPr>
                <w:rFonts w:ascii="Times New Roman" w:hAnsi="Times New Roman"/>
                <w:noProof/>
                <w:color w:val="000000"/>
                <w:sz w:val="18"/>
              </w:rPr>
              <w:t>torze zdrowia.</w:t>
            </w:r>
          </w:p>
        </w:tc>
      </w:tr>
      <w:tr w:rsidR="00CF6D0C" w:rsidRPr="00A33B9F" w14:paraId="3BE49638"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C6128" w14:textId="751AE650"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C23G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BB4425" w14:textId="2D9129CF"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C3.1.1 Cyberbezpieczeństwo – CyberPL,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195C1F"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A50436" w14:textId="48E201B6" w:rsidR="00CF6D0C" w:rsidRPr="00A33B9F" w:rsidRDefault="00CF6D0C" w:rsidP="7395C41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Projekty</w:t>
            </w:r>
            <w:r w:rsidR="00A33B9F" w:rsidRPr="00A33B9F">
              <w:rPr>
                <w:rFonts w:ascii="Times New Roman" w:hAnsi="Times New Roman"/>
                <w:noProof/>
                <w:color w:val="000000" w:themeColor="text1"/>
                <w:sz w:val="18"/>
              </w:rPr>
              <w:t xml:space="preserve"> w dzi</w:t>
            </w:r>
            <w:r w:rsidRPr="00A33B9F">
              <w:rPr>
                <w:rFonts w:ascii="Times New Roman" w:hAnsi="Times New Roman"/>
                <w:noProof/>
                <w:color w:val="000000" w:themeColor="text1"/>
                <w:sz w:val="18"/>
              </w:rPr>
              <w:t>edzinie cyberbezpieczeństwa (CyberPL)</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programu na rzecz zwiększenia skuteczności krajowego systemu cyberbezpieczeństwa (KSC-PL)</w:t>
            </w:r>
            <w:r w:rsidRPr="00A33B9F">
              <w:rPr>
                <w:noProof/>
              </w:rPr>
              <w:t xml:space="preserve"> </w:t>
            </w:r>
            <w:r w:rsidRPr="00A33B9F">
              <w:rPr>
                <w:noProof/>
              </w:rPr>
              <w:br/>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6D59D0"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EC6BF4"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9BF1F3"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9B8484" w14:textId="253B3F2D" w:rsidR="00CF6D0C" w:rsidRPr="00A33B9F" w:rsidRDefault="006176B7" w:rsidP="7395C41D">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C43906" w14:textId="52B1A075"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FA7412" w14:textId="03659CF2"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BA04A5" w14:textId="2E03E141" w:rsidR="00CF6D0C" w:rsidRPr="00A33B9F" w:rsidRDefault="00CF6D0C" w:rsidP="3334678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zakończonych projektów</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cyberbezpieczeństwa, które obejmują:</w:t>
            </w:r>
            <w:r w:rsidR="00C3621A" w:rsidRPr="00A33B9F">
              <w:rPr>
                <w:rFonts w:ascii="Times New Roman" w:hAnsi="Times New Roman"/>
                <w:noProof/>
                <w:color w:val="000000" w:themeColor="text1"/>
                <w:sz w:val="18"/>
              </w:rPr>
              <w:t xml:space="preserve"> </w:t>
            </w:r>
          </w:p>
          <w:p w14:paraId="46D19F94" w14:textId="602DC85B" w:rsidR="00CF6D0C" w:rsidRPr="00A33B9F" w:rsidRDefault="00CF6D0C" w:rsidP="33346789">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ustanowienie sieci 5 sektorowych zespołów reagowania na incydenty bezpieczeństwa komputerowego (CSIRT);</w:t>
            </w:r>
          </w:p>
          <w:p w14:paraId="18D38C36" w14:textId="26FFB5D3" w:rsidR="00CF6D0C" w:rsidRPr="00A33B9F" w:rsidRDefault="00CF6D0C" w:rsidP="00CF6D0C">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podłączenie 385 podmiotów krajowego systemu cyberbezpieczeństwa do zintegrowanego systemu zarządzania cyberbezpieczeństwem; </w:t>
            </w:r>
          </w:p>
          <w:p w14:paraId="2FCA9878" w14:textId="24841E3D" w:rsidR="00CF6D0C" w:rsidRPr="00A33B9F" w:rsidRDefault="00CF6D0C" w:rsidP="7395C41D">
            <w:pPr>
              <w:pStyle w:val="Normal0"/>
              <w:pBdr>
                <w:top w:val="nil"/>
                <w:left w:val="nil"/>
                <w:bottom w:val="nil"/>
                <w:right w:val="nil"/>
                <w:between w:val="nil"/>
              </w:pBd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udzielenie 500 podmiotom wsparcia na rzecz modernizacji</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budowania infrastruktur cyberbezpieczeństwa przy wykorzystaniu technologii informacyjnej</w:t>
            </w:r>
            <w:r w:rsidR="00A33B9F" w:rsidRPr="00A33B9F">
              <w:rPr>
                <w:rFonts w:ascii="Times New Roman" w:hAnsi="Times New Roman"/>
                <w:noProof/>
                <w:color w:val="000000" w:themeColor="text1"/>
                <w:sz w:val="18"/>
              </w:rPr>
              <w:t xml:space="preserve"> i tec</w:t>
            </w:r>
            <w:r w:rsidRPr="00A33B9F">
              <w:rPr>
                <w:rFonts w:ascii="Times New Roman" w:hAnsi="Times New Roman"/>
                <w:noProof/>
                <w:color w:val="000000" w:themeColor="text1"/>
                <w:sz w:val="18"/>
              </w:rPr>
              <w:t xml:space="preserve">hnologii operacyjnej; </w:t>
            </w:r>
          </w:p>
          <w:p w14:paraId="54D3A350" w14:textId="7633D1BB" w:rsidR="00CF6D0C" w:rsidRPr="00A33B9F" w:rsidRDefault="00CF6D0C" w:rsidP="7395C41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utworzenie sieci specjalistów</w:t>
            </w:r>
            <w:r w:rsidR="00A33B9F" w:rsidRPr="00A33B9F">
              <w:rPr>
                <w:rFonts w:ascii="Times New Roman" w:hAnsi="Times New Roman"/>
                <w:noProof/>
                <w:color w:val="000000" w:themeColor="text1"/>
                <w:sz w:val="18"/>
              </w:rPr>
              <w:t xml:space="preserve"> w dzi</w:t>
            </w:r>
            <w:r w:rsidRPr="00A33B9F">
              <w:rPr>
                <w:rFonts w:ascii="Times New Roman" w:hAnsi="Times New Roman"/>
                <w:noProof/>
                <w:color w:val="000000" w:themeColor="text1"/>
                <w:sz w:val="18"/>
              </w:rPr>
              <w:t>edzinie cyberbezpieczeństwa na szczeblu wojewódzkim, aby wesprzeć organy publiczne</w:t>
            </w:r>
            <w:r w:rsidR="00A33B9F" w:rsidRPr="00A33B9F">
              <w:rPr>
                <w:rFonts w:ascii="Times New Roman" w:hAnsi="Times New Roman"/>
                <w:noProof/>
                <w:color w:val="000000" w:themeColor="text1"/>
                <w:sz w:val="18"/>
              </w:rPr>
              <w:t xml:space="preserve"> w rad</w:t>
            </w:r>
            <w:r w:rsidRPr="00A33B9F">
              <w:rPr>
                <w:rFonts w:ascii="Times New Roman" w:hAnsi="Times New Roman"/>
                <w:noProof/>
                <w:color w:val="000000" w:themeColor="text1"/>
                <w:sz w:val="18"/>
              </w:rPr>
              <w:t>zeniu sobie</w:t>
            </w:r>
            <w:r w:rsidR="00A33B9F" w:rsidRPr="00A33B9F">
              <w:rPr>
                <w:rFonts w:ascii="Times New Roman" w:hAnsi="Times New Roman"/>
                <w:noProof/>
                <w:color w:val="000000" w:themeColor="text1"/>
                <w:sz w:val="18"/>
              </w:rPr>
              <w:t xml:space="preserve"> z inc</w:t>
            </w:r>
            <w:r w:rsidRPr="00A33B9F">
              <w:rPr>
                <w:rFonts w:ascii="Times New Roman" w:hAnsi="Times New Roman"/>
                <w:noProof/>
                <w:color w:val="000000" w:themeColor="text1"/>
                <w:sz w:val="18"/>
              </w:rPr>
              <w:t>ydentami</w:t>
            </w:r>
            <w:r w:rsidR="00A33B9F" w:rsidRPr="00A33B9F">
              <w:rPr>
                <w:rFonts w:ascii="Times New Roman" w:hAnsi="Times New Roman"/>
                <w:noProof/>
                <w:color w:val="000000" w:themeColor="text1"/>
                <w:sz w:val="18"/>
              </w:rPr>
              <w:t xml:space="preserve"> i odz</w:t>
            </w:r>
            <w:r w:rsidRPr="00A33B9F">
              <w:rPr>
                <w:rFonts w:ascii="Times New Roman" w:hAnsi="Times New Roman"/>
                <w:noProof/>
                <w:color w:val="000000" w:themeColor="text1"/>
                <w:sz w:val="18"/>
              </w:rPr>
              <w:t>yskiwaniu danych oraz podejmowanie działań służących podnoszeniu świadomości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cyberbezpieczeństwa.</w:t>
            </w:r>
            <w:r w:rsidR="00C3621A" w:rsidRPr="00A33B9F">
              <w:rPr>
                <w:rFonts w:ascii="Times New Roman" w:hAnsi="Times New Roman"/>
                <w:noProof/>
                <w:color w:val="000000" w:themeColor="text1"/>
                <w:sz w:val="18"/>
              </w:rPr>
              <w:t xml:space="preserve"> </w:t>
            </w:r>
          </w:p>
        </w:tc>
      </w:tr>
      <w:tr w:rsidR="00CF6D0C" w:rsidRPr="00A33B9F" w14:paraId="74D913B6"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FF1E03" w14:textId="6E5D0E9F" w:rsidR="00CF6D0C" w:rsidRPr="00A33B9F" w:rsidRDefault="00CF6D0C" w:rsidP="00CF6D0C">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C24G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2F091F" w14:textId="50A6D661" w:rsidR="00CF6D0C" w:rsidRPr="00A33B9F" w:rsidDel="01E13E32"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C3.1.1 Cyberbezpieczeństwo – CyberPL,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7DAE4C" w14:textId="5D7EFACA"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9470C1" w14:textId="0E3FB56D" w:rsidR="00CF6D0C" w:rsidRPr="00A33B9F" w:rsidRDefault="0089106D"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Otrzymanie pozwoleń na budowę obiektów wchodzących</w:t>
            </w:r>
            <w:r w:rsidR="00A33B9F" w:rsidRPr="00A33B9F">
              <w:rPr>
                <w:rFonts w:ascii="Times New Roman" w:hAnsi="Times New Roman"/>
                <w:noProof/>
                <w:color w:val="000000" w:themeColor="text1"/>
                <w:sz w:val="18"/>
              </w:rPr>
              <w:t xml:space="preserve"> w skł</w:t>
            </w:r>
            <w:r w:rsidRPr="00A33B9F">
              <w:rPr>
                <w:rFonts w:ascii="Times New Roman" w:hAnsi="Times New Roman"/>
                <w:noProof/>
                <w:color w:val="000000" w:themeColor="text1"/>
                <w:sz w:val="18"/>
              </w:rPr>
              <w:t>ad ustandaryzowanych centrów danych</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B6591B" w14:textId="294D7B16" w:rsidR="00CF6D0C" w:rsidRPr="00A33B9F" w:rsidRDefault="0089106D" w:rsidP="7395C41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Otrzymanie pozwoleń na budowę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85351B"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531902"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35783"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712B1C" w14:textId="38587B66" w:rsidR="00CF6D0C" w:rsidRPr="00A33B9F" w:rsidRDefault="00CF6D0C" w:rsidP="7395C41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8FA7F1" w14:textId="3A79E6E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2024</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2A8910" w14:textId="506484CA" w:rsidR="00CF6D0C" w:rsidRPr="00A33B9F" w:rsidRDefault="00CF6D0C"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Pozwolenia na budowę obiektów wchodzących</w:t>
            </w:r>
            <w:r w:rsidR="00A33B9F" w:rsidRPr="00A33B9F">
              <w:rPr>
                <w:rFonts w:ascii="Times New Roman" w:hAnsi="Times New Roman"/>
                <w:noProof/>
                <w:color w:val="000000" w:themeColor="text1"/>
                <w:sz w:val="18"/>
              </w:rPr>
              <w:t xml:space="preserve"> w skł</w:t>
            </w:r>
            <w:r w:rsidRPr="00A33B9F">
              <w:rPr>
                <w:rFonts w:ascii="Times New Roman" w:hAnsi="Times New Roman"/>
                <w:noProof/>
                <w:color w:val="000000" w:themeColor="text1"/>
                <w:sz w:val="18"/>
              </w:rPr>
              <w:t>ad trzech ustandaryzowanych centrów danych powinny były zostać otrzymane.</w:t>
            </w:r>
            <w:r w:rsidR="00C3621A" w:rsidRPr="00A33B9F">
              <w:rPr>
                <w:rFonts w:ascii="Times New Roman" w:hAnsi="Times New Roman"/>
                <w:noProof/>
                <w:color w:val="000000" w:themeColor="text1"/>
                <w:sz w:val="18"/>
              </w:rPr>
              <w:t xml:space="preserve"> </w:t>
            </w:r>
          </w:p>
        </w:tc>
      </w:tr>
      <w:tr w:rsidR="00CF6D0C" w:rsidRPr="00A33B9F" w14:paraId="22004AEC"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19787" w14:textId="3E0A79DC"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C25G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686622" w14:textId="32F1C1F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C3.1.1 Cyberbezpieczeństwo – CyberPL,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71B8D1"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CDC0F4" w14:textId="44619F1D" w:rsidR="00CF6D0C" w:rsidRPr="00A33B9F" w:rsidRDefault="00CF6D0C"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Stworzenie ustandaryzowanych centrów przetwarzania danych zapewniających energooszczędną infrastrukturę</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38FBAD"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8388637"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E3A27B"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AB7477"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1139F3" w14:textId="5E4A19FA"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D065A8" w14:textId="585D112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2026</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B885B0" w14:textId="6524F72D" w:rsidR="00CF6D0C" w:rsidRPr="00A33B9F" w:rsidRDefault="00CF6D0C" w:rsidP="7395C41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operacyjnych ustandaryzowanych centrów danych pod względem założonych parametrów efektywności energetycznej</w:t>
            </w:r>
            <w:r w:rsidR="00A33B9F" w:rsidRPr="00A33B9F">
              <w:rPr>
                <w:rFonts w:ascii="Times New Roman" w:hAnsi="Times New Roman"/>
                <w:noProof/>
                <w:color w:val="000000" w:themeColor="text1"/>
                <w:sz w:val="18"/>
              </w:rPr>
              <w:t xml:space="preserve"> z wyk</w:t>
            </w:r>
            <w:r w:rsidRPr="00A33B9F">
              <w:rPr>
                <w:rFonts w:ascii="Times New Roman" w:hAnsi="Times New Roman"/>
                <w:noProof/>
                <w:color w:val="000000" w:themeColor="text1"/>
                <w:sz w:val="18"/>
              </w:rPr>
              <w:t>orzystaniem energii ze źródeł odnawialnych, gęstości mocy obliczeniowej</w:t>
            </w:r>
            <w:r w:rsidR="00A33B9F" w:rsidRPr="00A33B9F">
              <w:rPr>
                <w:rFonts w:ascii="Times New Roman" w:hAnsi="Times New Roman"/>
                <w:noProof/>
                <w:color w:val="000000" w:themeColor="text1"/>
                <w:sz w:val="18"/>
              </w:rPr>
              <w:t xml:space="preserve"> i pod</w:t>
            </w:r>
            <w:r w:rsidRPr="00A33B9F">
              <w:rPr>
                <w:rFonts w:ascii="Times New Roman" w:hAnsi="Times New Roman"/>
                <w:noProof/>
                <w:color w:val="000000" w:themeColor="text1"/>
                <w:sz w:val="18"/>
              </w:rPr>
              <w:t xml:space="preserve">łączonych do skonstruowanej pętli światłowodowej zapewniającej dwie niezależne ścieżki komunikacji pomiędzy dowolnie wybraną parą centrów przetwarzania danych. </w:t>
            </w:r>
          </w:p>
          <w:p w14:paraId="2B600910" w14:textId="4A37B7A0"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Centra danych przestrzegają europejskiego kodeksu postępowania</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efektywności energetycznej centrum danych.</w:t>
            </w:r>
          </w:p>
          <w:p w14:paraId="4894EEAE" w14:textId="3BF48E0D"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Inwestycja będzie realizowana</w:t>
            </w:r>
            <w:r w:rsidR="00A33B9F" w:rsidRPr="00A33B9F">
              <w:rPr>
                <w:rFonts w:ascii="Times New Roman" w:hAnsi="Times New Roman"/>
                <w:noProof/>
                <w:color w:val="000000" w:themeColor="text1"/>
                <w:sz w:val="18"/>
              </w:rPr>
              <w:t xml:space="preserve"> w peł</w:t>
            </w:r>
            <w:r w:rsidRPr="00A33B9F">
              <w:rPr>
                <w:rFonts w:ascii="Times New Roman" w:hAnsi="Times New Roman"/>
                <w:noProof/>
                <w:color w:val="000000" w:themeColor="text1"/>
                <w:sz w:val="18"/>
              </w:rPr>
              <w:t>nej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efektywności energetycznej, gospodarki odpadami oraz oceny ryzyka dla środowiska naturalnego.</w:t>
            </w:r>
          </w:p>
        </w:tc>
      </w:tr>
      <w:tr w:rsidR="00CF6D0C" w:rsidRPr="00A33B9F" w14:paraId="453A1BA5"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ACE85" w14:textId="1092349E"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C26G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7D7B75" w14:textId="53F9586E"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C3.1.1 Cyberbezpieczeństwo – CyberPL,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6C837D"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B320E38" w14:textId="1E9B1E3A"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Mobilna infrastruktura na rzecz systemu zarządzania kryzysowego</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18E8F3"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B49777"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9908A7"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BF28497" w14:textId="4A2341E2" w:rsidR="00CF6D0C" w:rsidRPr="00A33B9F" w:rsidRDefault="00CF6D0C" w:rsidP="00CF6D0C">
            <w:pPr>
              <w:pStyle w:val="Normal0"/>
              <w:spacing w:after="0" w:line="240" w:lineRule="auto"/>
              <w:jc w:val="right"/>
              <w:rPr>
                <w:rFonts w:ascii="Times New Roman" w:hAnsi="Times New Roman" w:cs="Times New Roman"/>
                <w:noProof/>
                <w:sz w:val="18"/>
                <w:szCs w:val="18"/>
              </w:rPr>
            </w:pPr>
            <w:r w:rsidRPr="00A33B9F">
              <w:rPr>
                <w:rFonts w:ascii="Times New Roman" w:hAnsi="Times New Roman"/>
                <w:noProof/>
                <w:sz w:val="18"/>
              </w:rPr>
              <w:t xml:space="preserve">17 721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8BEE81"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F4DFA58" w14:textId="77777777"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266DB8" w14:textId="21840C34"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Na wartość wskaźnika składają się następujące elementy:</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4 060 zmodernizowanych punktów systemu ostrzegania</w:t>
            </w:r>
            <w:r w:rsidR="00A33B9F" w:rsidRPr="00A33B9F">
              <w:rPr>
                <w:rFonts w:ascii="Times New Roman" w:hAnsi="Times New Roman"/>
                <w:noProof/>
                <w:color w:val="000000" w:themeColor="text1"/>
                <w:sz w:val="18"/>
              </w:rPr>
              <w:t xml:space="preserve"> i ala</w:t>
            </w:r>
            <w:r w:rsidRPr="00A33B9F">
              <w:rPr>
                <w:rFonts w:ascii="Times New Roman" w:hAnsi="Times New Roman"/>
                <w:noProof/>
                <w:color w:val="000000" w:themeColor="text1"/>
                <w:sz w:val="18"/>
              </w:rPr>
              <w:t>rmowania ludności, obejmująca wymianę analogowych syren alarmowych na cyfrowe, wyposażenie wybranych punktów</w:t>
            </w:r>
            <w:r w:rsidR="00A33B9F" w:rsidRPr="00A33B9F">
              <w:rPr>
                <w:rFonts w:ascii="Times New Roman" w:hAnsi="Times New Roman"/>
                <w:noProof/>
                <w:color w:val="000000" w:themeColor="text1"/>
                <w:sz w:val="18"/>
              </w:rPr>
              <w:t xml:space="preserve"> w kom</w:t>
            </w:r>
            <w:r w:rsidRPr="00A33B9F">
              <w:rPr>
                <w:rFonts w:ascii="Times New Roman" w:hAnsi="Times New Roman"/>
                <w:noProof/>
                <w:color w:val="000000" w:themeColor="text1"/>
                <w:sz w:val="18"/>
              </w:rPr>
              <w:t>patybilny sprzęt</w:t>
            </w:r>
            <w:r w:rsidR="00A33B9F" w:rsidRPr="00A33B9F">
              <w:rPr>
                <w:rFonts w:ascii="Times New Roman" w:hAnsi="Times New Roman"/>
                <w:noProof/>
                <w:color w:val="000000" w:themeColor="text1"/>
                <w:sz w:val="18"/>
              </w:rPr>
              <w:t xml:space="preserve"> i opr</w:t>
            </w:r>
            <w:r w:rsidRPr="00A33B9F">
              <w:rPr>
                <w:rFonts w:ascii="Times New Roman" w:hAnsi="Times New Roman"/>
                <w:noProof/>
                <w:color w:val="000000" w:themeColor="text1"/>
                <w:sz w:val="18"/>
              </w:rPr>
              <w:t>ogramowanie, zakup urządzeń umożliwiających szyfrowanie transmisji radiowej oraz transmisji IP;</w:t>
            </w:r>
            <w:r w:rsidRPr="00A33B9F">
              <w:rPr>
                <w:noProof/>
              </w:rPr>
              <w:t xml:space="preserve"> </w:t>
            </w:r>
            <w:r w:rsidRPr="00A33B9F">
              <w:rPr>
                <w:noProof/>
              </w:rPr>
              <w:br/>
            </w:r>
            <w:r w:rsidRPr="00A33B9F">
              <w:rPr>
                <w:rFonts w:ascii="Times New Roman" w:hAnsi="Times New Roman"/>
                <w:noProof/>
                <w:color w:val="000000" w:themeColor="text1"/>
                <w:sz w:val="18"/>
              </w:rPr>
              <w:t>– 13 630 wysokiej jakości mobilnych terminali danych (MTD) dostosowanych do nowych funkcji systemu dla funkcjonariuszy policji (zakup urządzeń, oprogramowania</w:t>
            </w:r>
            <w:r w:rsidR="00A33B9F" w:rsidRPr="00A33B9F">
              <w:rPr>
                <w:rFonts w:ascii="Times New Roman" w:hAnsi="Times New Roman"/>
                <w:noProof/>
                <w:color w:val="000000" w:themeColor="text1"/>
                <w:sz w:val="18"/>
              </w:rPr>
              <w:t xml:space="preserve"> i lic</w:t>
            </w:r>
            <w:r w:rsidRPr="00A33B9F">
              <w:rPr>
                <w:rFonts w:ascii="Times New Roman" w:hAnsi="Times New Roman"/>
                <w:noProof/>
                <w:color w:val="000000" w:themeColor="text1"/>
                <w:sz w:val="18"/>
              </w:rPr>
              <w:t>encji);</w:t>
            </w:r>
            <w:r w:rsidR="00C3621A" w:rsidRPr="00A33B9F">
              <w:rPr>
                <w:rFonts w:ascii="Times New Roman" w:hAnsi="Times New Roman"/>
                <w:noProof/>
                <w:color w:val="000000" w:themeColor="text1"/>
                <w:sz w:val="18"/>
              </w:rPr>
              <w:t xml:space="preserve"> </w:t>
            </w:r>
            <w:r w:rsidRPr="00A33B9F">
              <w:rPr>
                <w:noProof/>
              </w:rPr>
              <w:br/>
            </w:r>
            <w:r w:rsidRPr="00A33B9F">
              <w:rPr>
                <w:rFonts w:ascii="Times New Roman" w:hAnsi="Times New Roman"/>
                <w:noProof/>
                <w:color w:val="000000" w:themeColor="text1"/>
                <w:sz w:val="18"/>
              </w:rPr>
              <w:t>– 30 utworzonych punktów mobilnych umożliwiających bezpieczną łączność</w:t>
            </w:r>
            <w:r w:rsidR="00A33B9F" w:rsidRPr="00A33B9F">
              <w:rPr>
                <w:rFonts w:ascii="Times New Roman" w:hAnsi="Times New Roman"/>
                <w:noProof/>
                <w:color w:val="000000" w:themeColor="text1"/>
                <w:sz w:val="18"/>
              </w:rPr>
              <w:t xml:space="preserve"> w obr</w:t>
            </w:r>
            <w:r w:rsidRPr="00A33B9F">
              <w:rPr>
                <w:rFonts w:ascii="Times New Roman" w:hAnsi="Times New Roman"/>
                <w:noProof/>
                <w:color w:val="000000" w:themeColor="text1"/>
                <w:sz w:val="18"/>
              </w:rPr>
              <w:t>ębie organów ścigania</w:t>
            </w:r>
            <w:r w:rsidR="00A33B9F" w:rsidRPr="00A33B9F">
              <w:rPr>
                <w:rFonts w:ascii="Times New Roman" w:hAnsi="Times New Roman"/>
                <w:noProof/>
                <w:color w:val="000000" w:themeColor="text1"/>
                <w:sz w:val="18"/>
              </w:rPr>
              <w:t xml:space="preserve"> i pom</w:t>
            </w:r>
            <w:r w:rsidRPr="00A33B9F">
              <w:rPr>
                <w:rFonts w:ascii="Times New Roman" w:hAnsi="Times New Roman"/>
                <w:noProof/>
                <w:color w:val="000000" w:themeColor="text1"/>
                <w:sz w:val="18"/>
              </w:rPr>
              <w:t>iędzy nimi;</w:t>
            </w:r>
          </w:p>
          <w:p w14:paraId="0D6028A3" w14:textId="07AC99E5"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jeden samowystarczalny mobilny punkt pomocy medycznej na wypadek zagrożeń medycznych, biochemicznych, radiologicznych</w:t>
            </w:r>
            <w:r w:rsidR="00A33B9F" w:rsidRPr="00A33B9F">
              <w:rPr>
                <w:rFonts w:ascii="Times New Roman" w:hAnsi="Times New Roman"/>
                <w:noProof/>
                <w:color w:val="000000"/>
                <w:sz w:val="18"/>
              </w:rPr>
              <w:t xml:space="preserve"> i ryz</w:t>
            </w:r>
            <w:r w:rsidRPr="00A33B9F">
              <w:rPr>
                <w:rFonts w:ascii="Times New Roman" w:hAnsi="Times New Roman"/>
                <w:noProof/>
                <w:color w:val="000000"/>
                <w:sz w:val="18"/>
              </w:rPr>
              <w:t>yka związanego</w:t>
            </w:r>
            <w:r w:rsidR="00A33B9F" w:rsidRPr="00A33B9F">
              <w:rPr>
                <w:rFonts w:ascii="Times New Roman" w:hAnsi="Times New Roman"/>
                <w:noProof/>
                <w:color w:val="000000"/>
                <w:sz w:val="18"/>
              </w:rPr>
              <w:t xml:space="preserve"> z klę</w:t>
            </w:r>
            <w:r w:rsidRPr="00A33B9F">
              <w:rPr>
                <w:rFonts w:ascii="Times New Roman" w:hAnsi="Times New Roman"/>
                <w:noProof/>
                <w:color w:val="000000"/>
                <w:sz w:val="18"/>
              </w:rPr>
              <w:t>skami żywiołowymi.</w:t>
            </w:r>
          </w:p>
        </w:tc>
      </w:tr>
      <w:tr w:rsidR="00CF6D0C" w:rsidRPr="00A33B9F" w14:paraId="1B734366"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43B1B0" w14:textId="1FC2554C"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C27G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A4CC9F" w14:textId="1449DB0A" w:rsidR="00CF6D0C" w:rsidRPr="00A33B9F" w:rsidRDefault="00CF6D0C" w:rsidP="103C8C66">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C3.1.1 Cyberbezpieczeństwo – CyberPL,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B8ECE1"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4790B8" w14:textId="0258C2B9"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Ważny projekt stanowiący przedmiot wspólnego europejskiego zainteresowania (projekt IPCEI): Wybór projektów dotyczących chmury obliczeniowej nowej generacji</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95F79C3" w14:textId="2071AEE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Podpisanie umów</w:t>
            </w:r>
            <w:r w:rsidR="00A33B9F" w:rsidRPr="00A33B9F">
              <w:rPr>
                <w:rFonts w:ascii="Times New Roman" w:hAnsi="Times New Roman"/>
                <w:noProof/>
                <w:color w:val="000000"/>
                <w:sz w:val="18"/>
              </w:rPr>
              <w:t xml:space="preserve"> z wyb</w:t>
            </w:r>
            <w:r w:rsidRPr="00A33B9F">
              <w:rPr>
                <w:rFonts w:ascii="Times New Roman" w:hAnsi="Times New Roman"/>
                <w:noProof/>
                <w:color w:val="000000"/>
                <w:sz w:val="18"/>
              </w:rPr>
              <w:t>ranymi podmiotami</w:t>
            </w:r>
          </w:p>
          <w:p w14:paraId="314EE24A"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614669"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90049"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B615A"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814C6" w14:textId="2FD7B0BE"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BB372B" w14:textId="24FF1775" w:rsidR="00CF6D0C" w:rsidRPr="00A33B9F" w:rsidRDefault="3986BD34" w:rsidP="426A45D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2023</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31DB25" w14:textId="108BDA1D" w:rsidR="00CF6D0C" w:rsidRPr="00A33B9F" w:rsidRDefault="3986BD34" w:rsidP="426A45D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Wybór projektów</w:t>
            </w:r>
            <w:r w:rsidR="00A33B9F" w:rsidRPr="00A33B9F">
              <w:rPr>
                <w:rFonts w:ascii="Times New Roman" w:hAnsi="Times New Roman"/>
                <w:noProof/>
                <w:color w:val="000000" w:themeColor="text1"/>
                <w:sz w:val="18"/>
              </w:rPr>
              <w:t xml:space="preserve"> i pod</w:t>
            </w:r>
            <w:r w:rsidRPr="00A33B9F">
              <w:rPr>
                <w:rFonts w:ascii="Times New Roman" w:hAnsi="Times New Roman"/>
                <w:noProof/>
                <w:color w:val="000000" w:themeColor="text1"/>
                <w:sz w:val="18"/>
              </w:rPr>
              <w:t>pisanie umów po ogłoszeniu naboru wniosków projektowych</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wsparcia rozwoju rozwiązań</w:t>
            </w:r>
            <w:r w:rsidR="00A33B9F" w:rsidRPr="00A33B9F">
              <w:rPr>
                <w:rFonts w:ascii="Times New Roman" w:hAnsi="Times New Roman"/>
                <w:noProof/>
                <w:color w:val="000000" w:themeColor="text1"/>
                <w:sz w:val="18"/>
              </w:rPr>
              <w:t xml:space="preserve"> z zak</w:t>
            </w:r>
            <w:r w:rsidRPr="00A33B9F">
              <w:rPr>
                <w:rFonts w:ascii="Times New Roman" w:hAnsi="Times New Roman"/>
                <w:noProof/>
                <w:color w:val="000000" w:themeColor="text1"/>
                <w:sz w:val="18"/>
              </w:rPr>
              <w:t>resu chmury obliczeniowej nowej generacji</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w:t>
            </w:r>
          </w:p>
        </w:tc>
      </w:tr>
      <w:tr w:rsidR="00CF6D0C" w:rsidRPr="00A33B9F" w14:paraId="2EC72A8F" w14:textId="77777777" w:rsidTr="103C8C66">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A89157D" w14:textId="594858E5" w:rsidR="00CF6D0C" w:rsidRPr="00A33B9F" w:rsidRDefault="00CF6D0C" w:rsidP="00CF6D0C">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C28G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2F1297" w14:textId="47873CF5"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C3.1.1 Cyberbezpieczeństwo – CyberPL, infrastruktura przetwarzania danych oraz optymalizacja infrastruktury służb państwowych odpowiedzialnych za bezpieczeństwo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603763"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BD863B" w14:textId="0A70812A"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Ważny projekt stanowiący przedmiot wspólnego europejskiego zainteresowania (projekt IPCEI): Opracowane rozwiązania</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przetwarzania danych dotyczących infrastruktury krajowej/usług</w:t>
            </w:r>
          </w:p>
        </w:tc>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43405E"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055508" w14:textId="77777777"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83114B"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DE7E4" w14:textId="77777777" w:rsidR="00CF6D0C" w:rsidRPr="00A33B9F" w:rsidRDefault="00CF6D0C" w:rsidP="00CF6D0C">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35D149" w14:textId="4B749452" w:rsidR="00CF6D0C" w:rsidRPr="00A33B9F" w:rsidRDefault="3986BD34" w:rsidP="426A45D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449B74" w14:textId="61784E26" w:rsidR="00CF6D0C" w:rsidRPr="00A33B9F" w:rsidRDefault="3986BD34" w:rsidP="426A45D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2025</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F1AA2" w14:textId="3D6A202C" w:rsidR="00CF6D0C" w:rsidRPr="00A33B9F" w:rsidRDefault="00CF6D0C" w:rsidP="00CF6D0C">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Opracowanie co najmniej pięciu nowych rozwiązań</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przetwarzania danych dotyczących infrastruktury krajowej/usług przez wybrane przedsiębiorstwa</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poczęcie etapu zapewnienia operacyjności poszczególnych projektów.</w:t>
            </w:r>
          </w:p>
        </w:tc>
      </w:tr>
    </w:tbl>
    <w:p w14:paraId="6BB2CBDC" w14:textId="6EDBA374" w:rsidR="121D3F4A" w:rsidRPr="00A33B9F" w:rsidRDefault="121D3F4A">
      <w:pPr>
        <w:rPr>
          <w:noProof/>
        </w:rPr>
      </w:pPr>
    </w:p>
    <w:p w14:paraId="1E36812C" w14:textId="256B1210" w:rsidR="121D3F4A" w:rsidRPr="00A33B9F" w:rsidRDefault="121D3F4A">
      <w:pPr>
        <w:rPr>
          <w:noProof/>
        </w:rPr>
      </w:pPr>
    </w:p>
    <w:p w14:paraId="1A499DFC" w14:textId="77777777" w:rsidR="007C4506" w:rsidRPr="00A33B9F" w:rsidRDefault="007C4506">
      <w:pPr>
        <w:pStyle w:val="Normal0"/>
        <w:pBdr>
          <w:top w:val="nil"/>
          <w:left w:val="nil"/>
          <w:bottom w:val="nil"/>
          <w:right w:val="nil"/>
          <w:between w:val="nil"/>
        </w:pBdr>
        <w:spacing w:before="120" w:after="120" w:line="240" w:lineRule="auto"/>
        <w:ind w:left="709"/>
        <w:jc w:val="both"/>
        <w:rPr>
          <w:rFonts w:ascii="Times New Roman" w:eastAsia="Times New Roman" w:hAnsi="Times New Roman" w:cs="Times New Roman"/>
          <w:i/>
          <w:noProof/>
          <w:color w:val="4F81BD"/>
          <w:sz w:val="24"/>
          <w:szCs w:val="24"/>
        </w:rPr>
        <w:sectPr w:rsidR="007C4506" w:rsidRPr="00A33B9F" w:rsidSect="009B6BB9">
          <w:headerReference w:type="even" r:id="rId85"/>
          <w:headerReference w:type="default" r:id="rId86"/>
          <w:footerReference w:type="even" r:id="rId87"/>
          <w:footerReference w:type="default" r:id="rId88"/>
          <w:headerReference w:type="first" r:id="rId89"/>
          <w:footerReference w:type="first" r:id="rId90"/>
          <w:pgSz w:w="16839" w:h="11907" w:orient="landscape"/>
          <w:pgMar w:top="720" w:right="720" w:bottom="720" w:left="720" w:header="709" w:footer="709" w:gutter="0"/>
          <w:cols w:space="720"/>
          <w:docGrid w:linePitch="299"/>
        </w:sectPr>
      </w:pPr>
    </w:p>
    <w:p w14:paraId="51812062" w14:textId="0020FDCD" w:rsidR="007C4506" w:rsidRPr="00A33B9F" w:rsidRDefault="00B31839" w:rsidP="426A45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i/>
          <w:iCs/>
          <w:noProof/>
          <w:color w:val="4F81BD"/>
          <w:sz w:val="24"/>
          <w:szCs w:val="24"/>
        </w:rPr>
      </w:pPr>
      <w:r w:rsidRPr="00A33B9F">
        <w:rPr>
          <w:rFonts w:ascii="Times New Roman" w:hAnsi="Times New Roman"/>
          <w:b/>
          <w:noProof/>
          <w:color w:val="000000" w:themeColor="text1"/>
          <w:sz w:val="24"/>
        </w:rPr>
        <w:t xml:space="preserve">C.3. </w:t>
      </w:r>
      <w:r w:rsidRPr="00A33B9F">
        <w:rPr>
          <w:noProof/>
        </w:rPr>
        <w:tab/>
      </w:r>
      <w:r w:rsidRPr="00A33B9F">
        <w:rPr>
          <w:rFonts w:ascii="Times New Roman" w:hAnsi="Times New Roman"/>
          <w:b/>
          <w:noProof/>
          <w:color w:val="000000" w:themeColor="text1"/>
          <w:sz w:val="24"/>
        </w:rPr>
        <w:t>Opis reform</w:t>
      </w:r>
      <w:r w:rsidR="00A33B9F" w:rsidRPr="00A33B9F">
        <w:rPr>
          <w:rFonts w:ascii="Times New Roman" w:hAnsi="Times New Roman"/>
          <w:b/>
          <w:noProof/>
          <w:color w:val="000000" w:themeColor="text1"/>
          <w:sz w:val="24"/>
        </w:rPr>
        <w:t xml:space="preserve"> i inw</w:t>
      </w:r>
      <w:r w:rsidRPr="00A33B9F">
        <w:rPr>
          <w:rFonts w:ascii="Times New Roman" w:hAnsi="Times New Roman"/>
          <w:b/>
          <w:noProof/>
          <w:color w:val="000000" w:themeColor="text1"/>
          <w:sz w:val="24"/>
        </w:rPr>
        <w:t>estycji, które mają być finansowane</w:t>
      </w:r>
      <w:r w:rsidR="00A33B9F" w:rsidRPr="00A33B9F">
        <w:rPr>
          <w:rFonts w:ascii="Times New Roman" w:hAnsi="Times New Roman"/>
          <w:b/>
          <w:noProof/>
          <w:color w:val="000000" w:themeColor="text1"/>
          <w:sz w:val="24"/>
        </w:rPr>
        <w:t xml:space="preserve"> z poż</w:t>
      </w:r>
      <w:r w:rsidRPr="00A33B9F">
        <w:rPr>
          <w:rFonts w:ascii="Times New Roman" w:hAnsi="Times New Roman"/>
          <w:b/>
          <w:noProof/>
          <w:color w:val="000000" w:themeColor="text1"/>
          <w:sz w:val="24"/>
        </w:rPr>
        <w:t>yczki</w:t>
      </w:r>
    </w:p>
    <w:p w14:paraId="5E7E3C41"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44218F88" w14:textId="53C0D0E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themeColor="text1"/>
          <w:sz w:val="24"/>
          <w:u w:val="single"/>
        </w:rPr>
        <w:t>C1.2 Podniesienie poziomu dostępności</w:t>
      </w:r>
      <w:r w:rsidR="00A33B9F" w:rsidRPr="00A33B9F">
        <w:rPr>
          <w:rFonts w:ascii="Times New Roman" w:hAnsi="Times New Roman"/>
          <w:b/>
          <w:noProof/>
          <w:color w:val="000000" w:themeColor="text1"/>
          <w:sz w:val="24"/>
          <w:u w:val="single"/>
        </w:rPr>
        <w:t xml:space="preserve"> i wyk</w:t>
      </w:r>
      <w:r w:rsidRPr="00A33B9F">
        <w:rPr>
          <w:rFonts w:ascii="Times New Roman" w:hAnsi="Times New Roman"/>
          <w:b/>
          <w:noProof/>
          <w:color w:val="000000" w:themeColor="text1"/>
          <w:sz w:val="24"/>
          <w:u w:val="single"/>
        </w:rPr>
        <w:t>orzystania nowoczesnej łączności przewodowej</w:t>
      </w:r>
      <w:r w:rsidR="00A33B9F" w:rsidRPr="00A33B9F">
        <w:rPr>
          <w:rFonts w:ascii="Times New Roman" w:hAnsi="Times New Roman"/>
          <w:b/>
          <w:noProof/>
          <w:color w:val="000000" w:themeColor="text1"/>
          <w:sz w:val="24"/>
          <w:u w:val="single"/>
        </w:rPr>
        <w:t xml:space="preserve"> i bez</w:t>
      </w:r>
      <w:r w:rsidRPr="00A33B9F">
        <w:rPr>
          <w:rFonts w:ascii="Times New Roman" w:hAnsi="Times New Roman"/>
          <w:b/>
          <w:noProof/>
          <w:color w:val="000000" w:themeColor="text1"/>
          <w:sz w:val="24"/>
          <w:u w:val="single"/>
        </w:rPr>
        <w:t>przewodowej na potrzeby społeczne</w:t>
      </w:r>
      <w:r w:rsidR="00A33B9F" w:rsidRPr="00A33B9F">
        <w:rPr>
          <w:rFonts w:ascii="Times New Roman" w:hAnsi="Times New Roman"/>
          <w:b/>
          <w:noProof/>
          <w:color w:val="000000" w:themeColor="text1"/>
          <w:sz w:val="24"/>
          <w:u w:val="single"/>
        </w:rPr>
        <w:t xml:space="preserve"> i gos</w:t>
      </w:r>
      <w:r w:rsidRPr="00A33B9F">
        <w:rPr>
          <w:rFonts w:ascii="Times New Roman" w:hAnsi="Times New Roman"/>
          <w:b/>
          <w:noProof/>
          <w:color w:val="000000" w:themeColor="text1"/>
          <w:sz w:val="24"/>
          <w:u w:val="single"/>
        </w:rPr>
        <w:t>podarcze</w:t>
      </w:r>
    </w:p>
    <w:p w14:paraId="0DB1BD95" w14:textId="7898E785" w:rsidR="007C4506" w:rsidRPr="00A33B9F" w:rsidRDefault="00B31839" w:rsidP="103C8C66">
      <w:pPr>
        <w:pStyle w:val="Normal0"/>
        <w:pBdr>
          <w:top w:val="nil"/>
          <w:left w:val="nil"/>
          <w:bottom w:val="nil"/>
          <w:right w:val="nil"/>
          <w:between w:val="nil"/>
        </w:pBdr>
        <w:spacing w:before="120" w:after="120" w:line="240" w:lineRule="auto"/>
        <w:jc w:val="both"/>
        <w:rPr>
          <w:rFonts w:ascii="Times New Roman" w:hAnsi="Times New Roman"/>
          <w:noProof/>
          <w:color w:val="000000"/>
          <w:sz w:val="24"/>
          <w:szCs w:val="24"/>
        </w:rPr>
      </w:pPr>
      <w:r w:rsidRPr="00A33B9F">
        <w:rPr>
          <w:rFonts w:ascii="Times New Roman" w:hAnsi="Times New Roman"/>
          <w:noProof/>
          <w:color w:val="000000" w:themeColor="text1"/>
          <w:sz w:val="24"/>
        </w:rPr>
        <w:t>Reforma ma na celu poprawę otoczenia legislacyjnego dla rozwoju sieci telefonii ruchomej poprzez usunięcie istniejących barier dla rozbudowy sieci 5G,</w:t>
      </w:r>
      <w:r w:rsidR="00A33B9F" w:rsidRPr="00A33B9F">
        <w:rPr>
          <w:rFonts w:ascii="Times New Roman" w:hAnsi="Times New Roman"/>
          <w:noProof/>
          <w:color w:val="000000" w:themeColor="text1"/>
          <w:sz w:val="24"/>
        </w:rPr>
        <w:t xml:space="preserve"> z uwz</w:t>
      </w:r>
      <w:r w:rsidRPr="00A33B9F">
        <w:rPr>
          <w:rFonts w:ascii="Times New Roman" w:hAnsi="Times New Roman"/>
          <w:noProof/>
          <w:color w:val="000000" w:themeColor="text1"/>
          <w:sz w:val="24"/>
        </w:rPr>
        <w:t>ględnieniem zestawu narzędzi łączności UE.</w:t>
      </w:r>
    </w:p>
    <w:p w14:paraId="2AC57CB0" w14:textId="3F3AB0FF" w:rsidR="007C4506" w:rsidRPr="00A33B9F" w:rsidRDefault="00B31839" w:rsidP="103C8C66">
      <w:pPr>
        <w:pStyle w:val="Normal0"/>
        <w:pBdr>
          <w:top w:val="nil"/>
          <w:left w:val="nil"/>
          <w:bottom w:val="nil"/>
          <w:right w:val="nil"/>
          <w:between w:val="nil"/>
        </w:pBdr>
        <w:spacing w:before="120" w:after="120" w:line="240" w:lineRule="auto"/>
        <w:jc w:val="both"/>
        <w:rPr>
          <w:rFonts w:ascii="Times New Roman" w:hAnsi="Times New Roman"/>
          <w:noProof/>
          <w:color w:val="000000"/>
          <w:sz w:val="24"/>
          <w:szCs w:val="24"/>
        </w:rPr>
      </w:pPr>
      <w:r w:rsidRPr="00A33B9F">
        <w:rPr>
          <w:rFonts w:ascii="Times New Roman" w:hAnsi="Times New Roman"/>
          <w:noProof/>
          <w:color w:val="000000" w:themeColor="text1"/>
          <w:sz w:val="24"/>
        </w:rPr>
        <w:t>Realizacja reformy zostanie zakończona do dnia 31 grudnia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17C4670F" w14:textId="79417EDA" w:rsidR="103C8C66" w:rsidRPr="00A33B9F" w:rsidRDefault="103C8C66" w:rsidP="103C8C66">
      <w:pPr>
        <w:pStyle w:val="Normal0"/>
        <w:pBdr>
          <w:top w:val="nil"/>
          <w:left w:val="nil"/>
          <w:bottom w:val="nil"/>
          <w:right w:val="nil"/>
          <w:between w:val="nil"/>
        </w:pBdr>
        <w:spacing w:before="120" w:after="120" w:line="240" w:lineRule="auto"/>
        <w:jc w:val="both"/>
        <w:rPr>
          <w:rFonts w:ascii="Times New Roman" w:hAnsi="Times New Roman"/>
          <w:noProof/>
          <w:color w:val="000000" w:themeColor="text1"/>
          <w:sz w:val="24"/>
          <w:szCs w:val="24"/>
        </w:rPr>
      </w:pPr>
    </w:p>
    <w:p w14:paraId="276C4F31" w14:textId="195F8FDC"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C2.2 Reforma podstaw transformacji cyfrowej systemu edukacji</w:t>
      </w:r>
    </w:p>
    <w:p w14:paraId="7AD82501" w14:textId="7BA5F0A6"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stanowi podstawę transformacji cyfrowej systemu edukacji poprzez przyjęcie polityki transformacji cyfrowej edukacji</w:t>
      </w:r>
      <w:r w:rsidR="00A33B9F" w:rsidRPr="00A33B9F">
        <w:rPr>
          <w:rFonts w:ascii="Times New Roman" w:hAnsi="Times New Roman"/>
          <w:noProof/>
          <w:color w:val="000000"/>
          <w:sz w:val="24"/>
        </w:rPr>
        <w:t xml:space="preserve"> i prz</w:t>
      </w:r>
      <w:r w:rsidRPr="00A33B9F">
        <w:rPr>
          <w:rFonts w:ascii="Times New Roman" w:hAnsi="Times New Roman"/>
          <w:noProof/>
          <w:color w:val="000000"/>
          <w:sz w:val="24"/>
        </w:rPr>
        <w:t>ygotowanie dzieci</w:t>
      </w:r>
      <w:r w:rsidR="00A33B9F" w:rsidRPr="00A33B9F">
        <w:rPr>
          <w:rFonts w:ascii="Times New Roman" w:hAnsi="Times New Roman"/>
          <w:noProof/>
          <w:color w:val="000000"/>
          <w:sz w:val="24"/>
        </w:rPr>
        <w:t xml:space="preserve"> i mło</w:t>
      </w:r>
      <w:r w:rsidRPr="00A33B9F">
        <w:rPr>
          <w:rFonts w:ascii="Times New Roman" w:hAnsi="Times New Roman"/>
          <w:noProof/>
          <w:color w:val="000000"/>
          <w:sz w:val="24"/>
        </w:rPr>
        <w:t>dzieży do życia</w:t>
      </w:r>
      <w:r w:rsidR="00A33B9F" w:rsidRPr="00A33B9F">
        <w:rPr>
          <w:rFonts w:ascii="Times New Roman" w:hAnsi="Times New Roman"/>
          <w:noProof/>
          <w:color w:val="000000"/>
          <w:sz w:val="24"/>
        </w:rPr>
        <w:t xml:space="preserve"> w spo</w:t>
      </w:r>
      <w:r w:rsidRPr="00A33B9F">
        <w:rPr>
          <w:rFonts w:ascii="Times New Roman" w:hAnsi="Times New Roman"/>
          <w:noProof/>
          <w:color w:val="000000"/>
          <w:sz w:val="24"/>
        </w:rPr>
        <w:t>łeczeństwie informacyjnym. Cele tego strategicznego dokumentu są ukierunkowane na skuteczną</w:t>
      </w:r>
      <w:r w:rsidR="00A33B9F" w:rsidRPr="00A33B9F">
        <w:rPr>
          <w:rFonts w:ascii="Times New Roman" w:hAnsi="Times New Roman"/>
          <w:noProof/>
          <w:color w:val="000000"/>
          <w:sz w:val="24"/>
        </w:rPr>
        <w:t xml:space="preserve"> i zna</w:t>
      </w:r>
      <w:r w:rsidRPr="00A33B9F">
        <w:rPr>
          <w:rFonts w:ascii="Times New Roman" w:hAnsi="Times New Roman"/>
          <w:noProof/>
          <w:color w:val="000000"/>
          <w:sz w:val="24"/>
        </w:rPr>
        <w:t>czącą integrację nowych technologii</w:t>
      </w:r>
      <w:r w:rsidR="00A33B9F" w:rsidRPr="00A33B9F">
        <w:rPr>
          <w:rFonts w:ascii="Times New Roman" w:hAnsi="Times New Roman"/>
          <w:noProof/>
          <w:color w:val="000000"/>
          <w:sz w:val="24"/>
        </w:rPr>
        <w:t xml:space="preserve"> w nau</w:t>
      </w:r>
      <w:r w:rsidRPr="00A33B9F">
        <w:rPr>
          <w:rFonts w:ascii="Times New Roman" w:hAnsi="Times New Roman"/>
          <w:noProof/>
          <w:color w:val="000000"/>
          <w:sz w:val="24"/>
        </w:rPr>
        <w:t>czaniu, uczeniu się</w:t>
      </w:r>
      <w:r w:rsidR="00A33B9F" w:rsidRPr="00A33B9F">
        <w:rPr>
          <w:rFonts w:ascii="Times New Roman" w:hAnsi="Times New Roman"/>
          <w:noProof/>
          <w:color w:val="000000"/>
          <w:sz w:val="24"/>
        </w:rPr>
        <w:t xml:space="preserve"> i oce</w:t>
      </w:r>
      <w:r w:rsidRPr="00A33B9F">
        <w:rPr>
          <w:rFonts w:ascii="Times New Roman" w:hAnsi="Times New Roman"/>
          <w:noProof/>
          <w:color w:val="000000"/>
          <w:sz w:val="24"/>
        </w:rPr>
        <w:t>nie; opracowuje się je</w:t>
      </w:r>
      <w:r w:rsidR="00A33B9F" w:rsidRPr="00A33B9F">
        <w:rPr>
          <w:rFonts w:ascii="Times New Roman" w:hAnsi="Times New Roman"/>
          <w:noProof/>
          <w:color w:val="000000"/>
          <w:sz w:val="24"/>
        </w:rPr>
        <w:t xml:space="preserve"> z zas</w:t>
      </w:r>
      <w:r w:rsidRPr="00A33B9F">
        <w:rPr>
          <w:rFonts w:ascii="Times New Roman" w:hAnsi="Times New Roman"/>
          <w:noProof/>
          <w:color w:val="000000"/>
          <w:sz w:val="24"/>
        </w:rPr>
        <w:t>tosowaniem podejścia partycypacyjnego.</w:t>
      </w:r>
    </w:p>
    <w:p w14:paraId="13BD78F1" w14:textId="5B1B6DF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30 września 2022</w:t>
      </w:r>
      <w:r w:rsidR="00A33B9F" w:rsidRPr="00A33B9F">
        <w:rPr>
          <w:rFonts w:ascii="Times New Roman" w:hAnsi="Times New Roman"/>
          <w:noProof/>
          <w:color w:val="000000"/>
          <w:sz w:val="24"/>
        </w:rPr>
        <w:t> </w:t>
      </w:r>
      <w:r w:rsidRPr="00A33B9F">
        <w:rPr>
          <w:rFonts w:ascii="Times New Roman" w:hAnsi="Times New Roman"/>
          <w:noProof/>
          <w:color w:val="000000"/>
          <w:sz w:val="24"/>
        </w:rPr>
        <w:t xml:space="preserve">r. </w:t>
      </w:r>
    </w:p>
    <w:p w14:paraId="5186B13D"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p>
    <w:p w14:paraId="427CC5C7" w14:textId="21804426" w:rsidR="007C4506" w:rsidRPr="00A33B9F" w:rsidRDefault="230FC803" w:rsidP="7A05A1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C2.2.1 Wyposażenie szkół/instytucji</w:t>
      </w:r>
      <w:r w:rsidR="00A33B9F" w:rsidRPr="00A33B9F">
        <w:rPr>
          <w:rFonts w:ascii="Times New Roman" w:hAnsi="Times New Roman"/>
          <w:b/>
          <w:noProof/>
          <w:color w:val="000000" w:themeColor="text1"/>
          <w:sz w:val="24"/>
          <w:u w:val="single"/>
        </w:rPr>
        <w:t xml:space="preserve"> w odp</w:t>
      </w:r>
      <w:r w:rsidRPr="00A33B9F">
        <w:rPr>
          <w:rFonts w:ascii="Times New Roman" w:hAnsi="Times New Roman"/>
          <w:b/>
          <w:noProof/>
          <w:color w:val="000000" w:themeColor="text1"/>
          <w:sz w:val="24"/>
          <w:u w:val="single"/>
        </w:rPr>
        <w:t>owiednie urządzenia</w:t>
      </w:r>
      <w:r w:rsidR="00A33B9F" w:rsidRPr="00A33B9F">
        <w:rPr>
          <w:rFonts w:ascii="Times New Roman" w:hAnsi="Times New Roman"/>
          <w:b/>
          <w:noProof/>
          <w:color w:val="000000" w:themeColor="text1"/>
          <w:sz w:val="24"/>
          <w:u w:val="single"/>
        </w:rPr>
        <w:t xml:space="preserve"> i inf</w:t>
      </w:r>
      <w:r w:rsidRPr="00A33B9F">
        <w:rPr>
          <w:rFonts w:ascii="Times New Roman" w:hAnsi="Times New Roman"/>
          <w:b/>
          <w:noProof/>
          <w:color w:val="000000" w:themeColor="text1"/>
          <w:sz w:val="24"/>
          <w:u w:val="single"/>
        </w:rPr>
        <w:t>rastrukturę ICT</w:t>
      </w:r>
      <w:r w:rsidR="00A33B9F" w:rsidRPr="00A33B9F">
        <w:rPr>
          <w:rFonts w:ascii="Times New Roman" w:hAnsi="Times New Roman"/>
          <w:b/>
          <w:noProof/>
          <w:color w:val="000000" w:themeColor="text1"/>
          <w:sz w:val="24"/>
          <w:u w:val="single"/>
        </w:rPr>
        <w:t xml:space="preserve"> w cel</w:t>
      </w:r>
      <w:r w:rsidRPr="00A33B9F">
        <w:rPr>
          <w:rFonts w:ascii="Times New Roman" w:hAnsi="Times New Roman"/>
          <w:b/>
          <w:noProof/>
          <w:color w:val="000000" w:themeColor="text1"/>
          <w:sz w:val="24"/>
          <w:u w:val="single"/>
        </w:rPr>
        <w:t>u poprawy ogólnej wydajności systemów edukacji</w:t>
      </w:r>
    </w:p>
    <w:p w14:paraId="1339B4E9" w14:textId="731C9E27" w:rsidR="007C4506" w:rsidRPr="00A33B9F" w:rsidRDefault="00E132C4" w:rsidP="749851A8">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ta ma na celu zwiększenie poziomu wyposażenia</w:t>
      </w:r>
      <w:r w:rsidR="00A33B9F" w:rsidRPr="00A33B9F">
        <w:rPr>
          <w:rFonts w:ascii="Times New Roman" w:hAnsi="Times New Roman"/>
          <w:noProof/>
          <w:color w:val="000000" w:themeColor="text1"/>
          <w:sz w:val="24"/>
        </w:rPr>
        <w:t xml:space="preserve"> w cyf</w:t>
      </w:r>
      <w:r w:rsidRPr="00A33B9F">
        <w:rPr>
          <w:rFonts w:ascii="Times New Roman" w:hAnsi="Times New Roman"/>
          <w:noProof/>
          <w:color w:val="000000" w:themeColor="text1"/>
          <w:sz w:val="24"/>
        </w:rPr>
        <w:t>rowy sprzęt</w:t>
      </w:r>
      <w:r w:rsidR="00A33B9F" w:rsidRPr="00A33B9F">
        <w:rPr>
          <w:rFonts w:ascii="Times New Roman" w:hAnsi="Times New Roman"/>
          <w:noProof/>
          <w:color w:val="000000" w:themeColor="text1"/>
          <w:sz w:val="24"/>
        </w:rPr>
        <w:t xml:space="preserve"> i inf</w:t>
      </w:r>
      <w:r w:rsidRPr="00A33B9F">
        <w:rPr>
          <w:rFonts w:ascii="Times New Roman" w:hAnsi="Times New Roman"/>
          <w:noProof/>
          <w:color w:val="000000" w:themeColor="text1"/>
          <w:sz w:val="24"/>
        </w:rPr>
        <w:t>rastrukturę ICT</w:t>
      </w:r>
      <w:r w:rsidR="00A33B9F" w:rsidRPr="00A33B9F">
        <w:rPr>
          <w:rFonts w:ascii="Times New Roman" w:hAnsi="Times New Roman"/>
          <w:noProof/>
          <w:color w:val="000000" w:themeColor="text1"/>
          <w:sz w:val="24"/>
        </w:rPr>
        <w:t xml:space="preserve"> w szk</w:t>
      </w:r>
      <w:r w:rsidRPr="00A33B9F">
        <w:rPr>
          <w:rFonts w:ascii="Times New Roman" w:hAnsi="Times New Roman"/>
          <w:noProof/>
          <w:color w:val="000000" w:themeColor="text1"/>
          <w:sz w:val="24"/>
        </w:rPr>
        <w:t xml:space="preserve">ołach ponad minimalne standardy. </w:t>
      </w:r>
    </w:p>
    <w:p w14:paraId="70DEFD52" w14:textId="77777777" w:rsidR="00FA44DC" w:rsidRPr="00A33B9F" w:rsidRDefault="00FA44DC" w:rsidP="00FA44D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 xml:space="preserve">Działanie to obejmuje: </w:t>
      </w:r>
    </w:p>
    <w:p w14:paraId="52E145A4" w14:textId="7E0CB0D6" w:rsidR="00E132C4" w:rsidRPr="00A33B9F" w:rsidRDefault="4175631C" w:rsidP="426A45D9">
      <w:pPr>
        <w:pStyle w:val="Normal0"/>
        <w:numPr>
          <w:ilvl w:val="0"/>
          <w:numId w:val="20"/>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udostępnienie zestawu informatycznego na potrzeby nauczania zdalnego dla</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100 000 sal lekcyjnych;</w:t>
      </w:r>
    </w:p>
    <w:p w14:paraId="6B59C00C" w14:textId="473D0CB9" w:rsidR="00BA7DD3" w:rsidRPr="00A33B9F" w:rsidRDefault="32AF5A36" w:rsidP="00394B30">
      <w:pPr>
        <w:pStyle w:val="Normal0"/>
        <w:numPr>
          <w:ilvl w:val="0"/>
          <w:numId w:val="20"/>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utworzenie laboratoriów sztucznej inteligencji (AI) oraz laboratoriów nauk przyrodniczych, technologii, inżynierii</w:t>
      </w:r>
      <w:r w:rsidR="00A33B9F" w:rsidRPr="00A33B9F">
        <w:rPr>
          <w:rFonts w:ascii="Times New Roman" w:hAnsi="Times New Roman"/>
          <w:noProof/>
          <w:color w:val="000000" w:themeColor="text1"/>
          <w:sz w:val="24"/>
        </w:rPr>
        <w:t xml:space="preserve"> i mat</w:t>
      </w:r>
      <w:r w:rsidRPr="00A33B9F">
        <w:rPr>
          <w:rFonts w:ascii="Times New Roman" w:hAnsi="Times New Roman"/>
          <w:noProof/>
          <w:color w:val="000000" w:themeColor="text1"/>
          <w:sz w:val="24"/>
        </w:rPr>
        <w:t>ematyki (STEM)</w:t>
      </w:r>
      <w:r w:rsidR="00A33B9F" w:rsidRPr="00A33B9F">
        <w:rPr>
          <w:rFonts w:ascii="Times New Roman" w:hAnsi="Times New Roman"/>
          <w:noProof/>
          <w:color w:val="000000" w:themeColor="text1"/>
          <w:sz w:val="24"/>
        </w:rPr>
        <w:t xml:space="preserve"> w 1</w:t>
      </w:r>
      <w:r w:rsidRPr="00A33B9F">
        <w:rPr>
          <w:rFonts w:ascii="Times New Roman" w:hAnsi="Times New Roman"/>
          <w:noProof/>
          <w:color w:val="000000" w:themeColor="text1"/>
          <w:sz w:val="24"/>
        </w:rPr>
        <w:t>6 000 szkół – zarówno podstawowych, jak</w:t>
      </w:r>
      <w:r w:rsidR="00A33B9F" w:rsidRPr="00A33B9F">
        <w:rPr>
          <w:rFonts w:ascii="Times New Roman" w:hAnsi="Times New Roman"/>
          <w:noProof/>
          <w:color w:val="000000" w:themeColor="text1"/>
          <w:sz w:val="24"/>
        </w:rPr>
        <w:t xml:space="preserve"> i śre</w:t>
      </w:r>
      <w:r w:rsidRPr="00A33B9F">
        <w:rPr>
          <w:rFonts w:ascii="Times New Roman" w:hAnsi="Times New Roman"/>
          <w:noProof/>
          <w:color w:val="000000" w:themeColor="text1"/>
          <w:sz w:val="24"/>
        </w:rPr>
        <w:t>dnich;</w:t>
      </w:r>
    </w:p>
    <w:p w14:paraId="1E77C707" w14:textId="434C2731" w:rsidR="00E132C4" w:rsidRPr="00A33B9F" w:rsidRDefault="00671C0A" w:rsidP="00394B30">
      <w:pPr>
        <w:pStyle w:val="Normal0"/>
        <w:numPr>
          <w:ilvl w:val="0"/>
          <w:numId w:val="20"/>
        </w:num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cyfryzację systemu egzaminacyjnego,</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reorganizację</w:t>
      </w:r>
      <w:r w:rsidR="00A33B9F" w:rsidRPr="00A33B9F">
        <w:rPr>
          <w:rFonts w:ascii="Times New Roman" w:hAnsi="Times New Roman"/>
          <w:noProof/>
          <w:color w:val="000000" w:themeColor="text1"/>
          <w:sz w:val="24"/>
        </w:rPr>
        <w:t xml:space="preserve"> i uno</w:t>
      </w:r>
      <w:r w:rsidRPr="00A33B9F">
        <w:rPr>
          <w:rFonts w:ascii="Times New Roman" w:hAnsi="Times New Roman"/>
          <w:noProof/>
          <w:color w:val="000000" w:themeColor="text1"/>
          <w:sz w:val="24"/>
        </w:rPr>
        <w:t>wocześnienie centralnych</w:t>
      </w:r>
      <w:r w:rsidR="00A33B9F" w:rsidRPr="00A33B9F">
        <w:rPr>
          <w:rFonts w:ascii="Times New Roman" w:hAnsi="Times New Roman"/>
          <w:noProof/>
          <w:color w:val="000000" w:themeColor="text1"/>
          <w:sz w:val="24"/>
        </w:rPr>
        <w:t xml:space="preserve"> i reg</w:t>
      </w:r>
      <w:r w:rsidRPr="00A33B9F">
        <w:rPr>
          <w:rFonts w:ascii="Times New Roman" w:hAnsi="Times New Roman"/>
          <w:noProof/>
          <w:color w:val="000000" w:themeColor="text1"/>
          <w:sz w:val="24"/>
        </w:rPr>
        <w:t>ionalnych komisji egzaminacyjnych, oraz cyfryzację Ośrodka Edukacji Informatycznej.</w:t>
      </w:r>
    </w:p>
    <w:p w14:paraId="1195C8F1" w14:textId="3F355C49" w:rsidR="78ADD097" w:rsidRPr="00A33B9F" w:rsidRDefault="097D9323" w:rsidP="7C36BAC5">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Zestawy informatyczne na potrzeby nauczania zdalnego oraz laboratoria AI</w:t>
      </w:r>
      <w:r w:rsidR="00A33B9F" w:rsidRPr="00A33B9F">
        <w:rPr>
          <w:rFonts w:ascii="Times New Roman" w:hAnsi="Times New Roman"/>
          <w:noProof/>
          <w:color w:val="000000" w:themeColor="text1"/>
          <w:sz w:val="24"/>
        </w:rPr>
        <w:t xml:space="preserve"> i lab</w:t>
      </w:r>
      <w:r w:rsidRPr="00A33B9F">
        <w:rPr>
          <w:rFonts w:ascii="Times New Roman" w:hAnsi="Times New Roman"/>
          <w:noProof/>
          <w:color w:val="000000" w:themeColor="text1"/>
          <w:sz w:val="24"/>
        </w:rPr>
        <w:t>oratoria STEM zostaną równomiernie rozdzielone między szkoły na podstawie gęstości zaludnienia</w:t>
      </w:r>
      <w:r w:rsidR="00A33B9F" w:rsidRPr="00A33B9F">
        <w:rPr>
          <w:rFonts w:ascii="Times New Roman" w:hAnsi="Times New Roman"/>
          <w:noProof/>
          <w:color w:val="000000" w:themeColor="text1"/>
          <w:sz w:val="24"/>
        </w:rPr>
        <w:t xml:space="preserve"> i zas</w:t>
      </w:r>
      <w:r w:rsidRPr="00A33B9F">
        <w:rPr>
          <w:rFonts w:ascii="Times New Roman" w:hAnsi="Times New Roman"/>
          <w:noProof/>
          <w:color w:val="000000" w:themeColor="text1"/>
          <w:sz w:val="24"/>
        </w:rPr>
        <w:t>ięgu geograficznego.</w:t>
      </w:r>
    </w:p>
    <w:p w14:paraId="6F868EE5" w14:textId="774E7C5F" w:rsidR="007C4506" w:rsidRPr="00A33B9F" w:rsidRDefault="19B67CF2"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Przeprowadza się otwartą, sprawiedliwą</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 xml:space="preserve">ejrzystą procedurę wyboru podmiotów udostępniających infrastrukturę sieciową lub sprzęt ICT. </w:t>
      </w:r>
    </w:p>
    <w:p w14:paraId="452B9DD9" w14:textId="7EB8AEA5" w:rsidR="007C4506" w:rsidRPr="00A33B9F" w:rsidRDefault="64AACCA7" w:rsidP="00C77C57">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zapewnić zgodność</w:t>
      </w:r>
      <w:r w:rsidR="00A33B9F" w:rsidRPr="00A33B9F">
        <w:rPr>
          <w:rFonts w:ascii="Times New Roman" w:hAnsi="Times New Roman"/>
          <w:noProof/>
          <w:color w:val="000000" w:themeColor="text1"/>
          <w:sz w:val="24"/>
        </w:rPr>
        <w:t xml:space="preserve"> z war</w:t>
      </w:r>
      <w:r w:rsidRPr="00A33B9F">
        <w:rPr>
          <w:rFonts w:ascii="Times New Roman" w:hAnsi="Times New Roman"/>
          <w:noProof/>
          <w:color w:val="000000" w:themeColor="text1"/>
          <w:sz w:val="24"/>
        </w:rPr>
        <w:t>unkami zasady „nie czyń poważnych szkód”, sprzęt ICT</w:t>
      </w:r>
      <w:r w:rsidR="00A33B9F" w:rsidRPr="00A33B9F">
        <w:rPr>
          <w:rFonts w:ascii="Times New Roman" w:hAnsi="Times New Roman"/>
          <w:noProof/>
          <w:color w:val="000000" w:themeColor="text1"/>
          <w:sz w:val="24"/>
        </w:rPr>
        <w:t xml:space="preserve"> w pos</w:t>
      </w:r>
      <w:r w:rsidRPr="00A33B9F">
        <w:rPr>
          <w:rFonts w:ascii="Times New Roman" w:hAnsi="Times New Roman"/>
          <w:noProof/>
          <w:color w:val="000000" w:themeColor="text1"/>
          <w:sz w:val="24"/>
        </w:rPr>
        <w:t>taci serwerów</w:t>
      </w:r>
      <w:r w:rsidR="00A33B9F" w:rsidRPr="00A33B9F">
        <w:rPr>
          <w:rFonts w:ascii="Times New Roman" w:hAnsi="Times New Roman"/>
          <w:noProof/>
          <w:color w:val="000000" w:themeColor="text1"/>
          <w:sz w:val="24"/>
        </w:rPr>
        <w:t xml:space="preserve"> i urz</w:t>
      </w:r>
      <w:r w:rsidRPr="00A33B9F">
        <w:rPr>
          <w:rFonts w:ascii="Times New Roman" w:hAnsi="Times New Roman"/>
          <w:noProof/>
          <w:color w:val="000000" w:themeColor="text1"/>
          <w:sz w:val="24"/>
        </w:rPr>
        <w:t>ądzeń do przechowywania danych lub komputerów</w:t>
      </w:r>
      <w:r w:rsidR="00A33B9F" w:rsidRPr="00A33B9F">
        <w:rPr>
          <w:rFonts w:ascii="Times New Roman" w:hAnsi="Times New Roman"/>
          <w:noProof/>
          <w:color w:val="000000" w:themeColor="text1"/>
          <w:sz w:val="24"/>
        </w:rPr>
        <w:t xml:space="preserve"> i ser</w:t>
      </w:r>
      <w:r w:rsidRPr="00A33B9F">
        <w:rPr>
          <w:rFonts w:ascii="Times New Roman" w:hAnsi="Times New Roman"/>
          <w:noProof/>
          <w:color w:val="000000" w:themeColor="text1"/>
          <w:sz w:val="24"/>
        </w:rPr>
        <w:t>werów komputerowych bądź wyświetlaczy elektronicznych musi spełniać ustanowione</w:t>
      </w:r>
      <w:r w:rsidR="00A33B9F" w:rsidRPr="00A33B9F">
        <w:rPr>
          <w:rFonts w:ascii="Times New Roman" w:hAnsi="Times New Roman"/>
          <w:noProof/>
          <w:color w:val="000000" w:themeColor="text1"/>
          <w:sz w:val="24"/>
        </w:rPr>
        <w:t xml:space="preserve"> w dyr</w:t>
      </w:r>
      <w:r w:rsidRPr="00A33B9F">
        <w:rPr>
          <w:rFonts w:ascii="Times New Roman" w:hAnsi="Times New Roman"/>
          <w:noProof/>
          <w:color w:val="000000" w:themeColor="text1"/>
          <w:sz w:val="24"/>
        </w:rPr>
        <w:t>ektywie 2009/125/WE wymogi związane</w:t>
      </w:r>
      <w:r w:rsidR="00A33B9F" w:rsidRPr="00A33B9F">
        <w:rPr>
          <w:rFonts w:ascii="Times New Roman" w:hAnsi="Times New Roman"/>
          <w:noProof/>
          <w:color w:val="000000" w:themeColor="text1"/>
          <w:sz w:val="24"/>
        </w:rPr>
        <w:t xml:space="preserve"> z efe</w:t>
      </w:r>
      <w:r w:rsidRPr="00A33B9F">
        <w:rPr>
          <w:rFonts w:ascii="Times New Roman" w:hAnsi="Times New Roman"/>
          <w:noProof/>
          <w:color w:val="000000" w:themeColor="text1"/>
          <w:sz w:val="24"/>
        </w:rPr>
        <w:t>ktywnością energetyczną</w:t>
      </w:r>
      <w:r w:rsidR="00A33B9F" w:rsidRPr="00A33B9F">
        <w:rPr>
          <w:rFonts w:ascii="Times New Roman" w:hAnsi="Times New Roman"/>
          <w:noProof/>
          <w:color w:val="000000" w:themeColor="text1"/>
          <w:sz w:val="24"/>
        </w:rPr>
        <w:t xml:space="preserve"> i mat</w:t>
      </w:r>
      <w:r w:rsidRPr="00A33B9F">
        <w:rPr>
          <w:rFonts w:ascii="Times New Roman" w:hAnsi="Times New Roman"/>
          <w:noProof/>
          <w:color w:val="000000" w:themeColor="text1"/>
          <w:sz w:val="24"/>
        </w:rPr>
        <w:t>eriałową. Ponadto sprzęt ICT nie może zawierać substancji objętych ograniczeniami figurujących</w:t>
      </w:r>
      <w:r w:rsidR="00A33B9F" w:rsidRPr="00A33B9F">
        <w:rPr>
          <w:rFonts w:ascii="Times New Roman" w:hAnsi="Times New Roman"/>
          <w:noProof/>
          <w:color w:val="000000" w:themeColor="text1"/>
          <w:sz w:val="24"/>
        </w:rPr>
        <w:t xml:space="preserve"> w wyk</w:t>
      </w:r>
      <w:r w:rsidRPr="00A33B9F">
        <w:rPr>
          <w:rFonts w:ascii="Times New Roman" w:hAnsi="Times New Roman"/>
          <w:noProof/>
          <w:color w:val="000000" w:themeColor="text1"/>
          <w:sz w:val="24"/>
        </w:rPr>
        <w:t>azie zamieszczonym</w:t>
      </w:r>
      <w:r w:rsidR="00A33B9F" w:rsidRPr="00A33B9F">
        <w:rPr>
          <w:rFonts w:ascii="Times New Roman" w:hAnsi="Times New Roman"/>
          <w:noProof/>
          <w:color w:val="000000" w:themeColor="text1"/>
          <w:sz w:val="24"/>
        </w:rPr>
        <w:t xml:space="preserve"> w zał</w:t>
      </w:r>
      <w:r w:rsidRPr="00A33B9F">
        <w:rPr>
          <w:rFonts w:ascii="Times New Roman" w:hAnsi="Times New Roman"/>
          <w:noProof/>
          <w:color w:val="000000" w:themeColor="text1"/>
          <w:sz w:val="24"/>
        </w:rPr>
        <w:t xml:space="preserve">ączniku II do dyrektywy 2011/65/UE. </w:t>
      </w:r>
    </w:p>
    <w:p w14:paraId="3170CF85" w14:textId="7CC9E2EB" w:rsidR="007C4506" w:rsidRPr="00A33B9F" w:rsidRDefault="5168B16E" w:rsidP="09B88D2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Wprowadzony zostanie plan gospodarki odpadami, który zapewni maksymalny recykling po zakończeniu eksploatacji sprzętu elektrycznego</w:t>
      </w:r>
      <w:r w:rsidR="00A33B9F" w:rsidRPr="00A33B9F">
        <w:rPr>
          <w:rFonts w:ascii="Times New Roman" w:hAnsi="Times New Roman"/>
          <w:noProof/>
          <w:color w:val="000000" w:themeColor="text1"/>
          <w:sz w:val="24"/>
        </w:rPr>
        <w:t xml:space="preserve"> i ele</w:t>
      </w:r>
      <w:r w:rsidRPr="00A33B9F">
        <w:rPr>
          <w:rFonts w:ascii="Times New Roman" w:hAnsi="Times New Roman"/>
          <w:noProof/>
          <w:color w:val="000000" w:themeColor="text1"/>
          <w:sz w:val="24"/>
        </w:rPr>
        <w:t>ktronicznego,</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poprzez ustalenia umowne</w:t>
      </w:r>
      <w:r w:rsidR="00A33B9F" w:rsidRPr="00A33B9F">
        <w:rPr>
          <w:rFonts w:ascii="Times New Roman" w:hAnsi="Times New Roman"/>
          <w:noProof/>
          <w:color w:val="000000" w:themeColor="text1"/>
          <w:sz w:val="24"/>
        </w:rPr>
        <w:t xml:space="preserve"> z par</w:t>
      </w:r>
      <w:r w:rsidRPr="00A33B9F">
        <w:rPr>
          <w:rFonts w:ascii="Times New Roman" w:hAnsi="Times New Roman"/>
          <w:noProof/>
          <w:color w:val="000000" w:themeColor="text1"/>
          <w:sz w:val="24"/>
        </w:rPr>
        <w:t>tnerami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gospodarowania odpadami, odzwierciedlenie</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gnozach finansowych lub oficjalnej dokumentacji projektowej. Po zakończeniu eksploatacji sprzęt zostanie przygotowany do ponownego użycia, odzysku lub recyklingu, lub nastąpi jego właściwe przetwarzanie obejmujące usunięcie wszelkich płynów oraz selektywne przetwarzanie zgodne</w:t>
      </w:r>
      <w:r w:rsidR="00A33B9F" w:rsidRPr="00A33B9F">
        <w:rPr>
          <w:rFonts w:ascii="Times New Roman" w:hAnsi="Times New Roman"/>
          <w:noProof/>
          <w:color w:val="000000" w:themeColor="text1"/>
          <w:sz w:val="24"/>
        </w:rPr>
        <w:t xml:space="preserve"> z zał</w:t>
      </w:r>
      <w:r w:rsidRPr="00A33B9F">
        <w:rPr>
          <w:rFonts w:ascii="Times New Roman" w:hAnsi="Times New Roman"/>
          <w:noProof/>
          <w:color w:val="000000" w:themeColor="text1"/>
          <w:sz w:val="24"/>
        </w:rPr>
        <w:t xml:space="preserve">ącznikiem VII do dyrektywy 2012/19/UE. </w:t>
      </w:r>
    </w:p>
    <w:p w14:paraId="0E62D955" w14:textId="51894C40" w:rsidR="007C4506" w:rsidRPr="00A33B9F" w:rsidRDefault="00B31839" w:rsidP="426A45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31 grudnia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1A32BBD7" w14:textId="0C2C0006" w:rsidR="121D3F4A" w:rsidRPr="00A33B9F" w:rsidRDefault="121D3F4A" w:rsidP="426A45D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p>
    <w:p w14:paraId="6A67E7B0" w14:textId="3AAE7D9F" w:rsidR="02389680" w:rsidRPr="00A33B9F" w:rsidRDefault="03A79CEA" w:rsidP="121D3F4A">
      <w:pPr>
        <w:spacing w:before="120" w:after="16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b/>
          <w:noProof/>
          <w:color w:val="000000" w:themeColor="text1"/>
          <w:sz w:val="24"/>
          <w:u w:val="single"/>
        </w:rPr>
        <w:t>C4.1.1 Wspieranie transformacji cyfrowej przedsiębiorstw dzięki wykorzystaniu technologii przetwarzania</w:t>
      </w:r>
      <w:r w:rsidR="00A33B9F" w:rsidRPr="00A33B9F">
        <w:rPr>
          <w:rFonts w:ascii="Times New Roman" w:hAnsi="Times New Roman"/>
          <w:b/>
          <w:noProof/>
          <w:color w:val="000000" w:themeColor="text1"/>
          <w:sz w:val="24"/>
          <w:u w:val="single"/>
        </w:rPr>
        <w:t xml:space="preserve"> w chm</w:t>
      </w:r>
      <w:r w:rsidRPr="00A33B9F">
        <w:rPr>
          <w:rFonts w:ascii="Times New Roman" w:hAnsi="Times New Roman"/>
          <w:b/>
          <w:noProof/>
          <w:color w:val="000000" w:themeColor="text1"/>
          <w:sz w:val="24"/>
          <w:u w:val="single"/>
        </w:rPr>
        <w:t>urze</w:t>
      </w:r>
    </w:p>
    <w:p w14:paraId="1526DE27" w14:textId="273EDAB0" w:rsidR="02389680" w:rsidRPr="00A33B9F" w:rsidRDefault="03A79CEA" w:rsidP="121D3F4A">
      <w:pPr>
        <w:spacing w:before="120" w:after="160" w:line="259"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Działanie to obejmuje inwestycje publiczne</w:t>
      </w:r>
      <w:r w:rsidR="00A33B9F" w:rsidRPr="00A33B9F">
        <w:rPr>
          <w:rFonts w:ascii="Times New Roman" w:hAnsi="Times New Roman"/>
          <w:noProof/>
          <w:color w:val="000000" w:themeColor="text1"/>
          <w:sz w:val="24"/>
        </w:rPr>
        <w:t xml:space="preserve"> w okr</w:t>
      </w:r>
      <w:r w:rsidRPr="00A33B9F">
        <w:rPr>
          <w:rFonts w:ascii="Times New Roman" w:hAnsi="Times New Roman"/>
          <w:noProof/>
          <w:color w:val="000000" w:themeColor="text1"/>
          <w:sz w:val="24"/>
        </w:rPr>
        <w:t>eślony instrument – Polski Fundusz Wsparcia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 –</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zachęcenia do realizacji inwestycji prywatnych oraz poprawy dostępu do finansowania na rzecz transformacji cyfrowej polskich przedsiębiorstw</w:t>
      </w:r>
      <w:r w:rsidR="00A33B9F" w:rsidRPr="00A33B9F">
        <w:rPr>
          <w:rFonts w:ascii="Times New Roman" w:hAnsi="Times New Roman"/>
          <w:noProof/>
          <w:color w:val="000000" w:themeColor="text1"/>
          <w:sz w:val="24"/>
        </w:rPr>
        <w:t xml:space="preserve"> i zap</w:t>
      </w:r>
      <w:r w:rsidRPr="00A33B9F">
        <w:rPr>
          <w:rFonts w:ascii="Times New Roman" w:hAnsi="Times New Roman"/>
          <w:noProof/>
          <w:color w:val="000000" w:themeColor="text1"/>
          <w:sz w:val="24"/>
        </w:rPr>
        <w:t>ewnienia ich autonomii strategicznej</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Instrumentu udziela się pożyczek bezpośrednio podmiotom działającym</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prywatnym. Na podstawie inwestycji</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RRF celem Instrumentu na początkowym etapie jest wypłacenie finansowania</w:t>
      </w:r>
      <w:r w:rsidR="00A33B9F" w:rsidRPr="00A33B9F">
        <w:rPr>
          <w:rFonts w:ascii="Times New Roman" w:hAnsi="Times New Roman"/>
          <w:noProof/>
          <w:color w:val="000000" w:themeColor="text1"/>
          <w:sz w:val="24"/>
        </w:rPr>
        <w:t xml:space="preserve"> w wys</w:t>
      </w:r>
      <w:r w:rsidRPr="00A33B9F">
        <w:rPr>
          <w:rFonts w:ascii="Times New Roman" w:hAnsi="Times New Roman"/>
          <w:noProof/>
          <w:color w:val="000000" w:themeColor="text1"/>
          <w:sz w:val="24"/>
        </w:rPr>
        <w:t>okości co najmniej 650 000 0000 EUR.</w:t>
      </w:r>
    </w:p>
    <w:p w14:paraId="2E21DCB7" w14:textId="6B0E7FA7" w:rsidR="02389680" w:rsidRPr="00A33B9F" w:rsidRDefault="02389680" w:rsidP="121D3F4A">
      <w:pPr>
        <w:spacing w:before="120" w:after="160" w:line="259"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Instrumentem zarządza Bank Gospodarstwa Krajowego (BGK) pełniący funkcję partnera wykonawczego. Instrument obejmuje następującą linię produktową:</w:t>
      </w:r>
    </w:p>
    <w:p w14:paraId="55CA7C08" w14:textId="2FDF2C5A" w:rsidR="02389680" w:rsidRPr="00A33B9F" w:rsidRDefault="02389680" w:rsidP="00394B30">
      <w:pPr>
        <w:pStyle w:val="ListParagraph"/>
        <w:numPr>
          <w:ilvl w:val="0"/>
          <w:numId w:val="2"/>
        </w:numPr>
        <w:spacing w:before="120" w:after="0"/>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bezpośrednie finansowanie BGK: linia ta zapewnia szeregowi przedsiębiorstw różnej wielkości bezpośrednie pożyczki na pokrycie kosztów infrastruktury chmurowej</w:t>
      </w:r>
      <w:r w:rsidR="00A33B9F" w:rsidRPr="00A33B9F">
        <w:rPr>
          <w:rFonts w:ascii="Times New Roman" w:hAnsi="Times New Roman"/>
          <w:noProof/>
          <w:color w:val="000000" w:themeColor="text1"/>
          <w:sz w:val="24"/>
        </w:rPr>
        <w:t xml:space="preserve"> i usł</w:t>
      </w:r>
      <w:r w:rsidRPr="00A33B9F">
        <w:rPr>
          <w:rFonts w:ascii="Times New Roman" w:hAnsi="Times New Roman"/>
          <w:noProof/>
          <w:color w:val="000000" w:themeColor="text1"/>
          <w:sz w:val="24"/>
        </w:rPr>
        <w:t>ug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 wspierając transformację cyfrową</w:t>
      </w:r>
      <w:r w:rsidR="00A33B9F" w:rsidRPr="00A33B9F">
        <w:rPr>
          <w:rFonts w:ascii="Times New Roman" w:hAnsi="Times New Roman"/>
          <w:noProof/>
          <w:color w:val="000000" w:themeColor="text1"/>
          <w:sz w:val="24"/>
        </w:rPr>
        <w:t xml:space="preserve"> i aut</w:t>
      </w:r>
      <w:r w:rsidRPr="00A33B9F">
        <w:rPr>
          <w:rFonts w:ascii="Times New Roman" w:hAnsi="Times New Roman"/>
          <w:noProof/>
          <w:color w:val="000000" w:themeColor="text1"/>
          <w:sz w:val="24"/>
        </w:rPr>
        <w:t>onomię strategiczną przedsiębiorstw</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 xml:space="preserve">sce. </w:t>
      </w:r>
    </w:p>
    <w:p w14:paraId="2939074F" w14:textId="0F317125" w:rsidR="02389680" w:rsidRPr="00A33B9F" w:rsidRDefault="02389680" w:rsidP="121D3F4A">
      <w:pPr>
        <w:spacing w:before="120" w:after="160" w:line="259"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Wsparcie</w:t>
      </w:r>
      <w:r w:rsidR="00A33B9F" w:rsidRPr="00A33B9F">
        <w:rPr>
          <w:rFonts w:ascii="Times New Roman" w:hAnsi="Times New Roman"/>
          <w:noProof/>
          <w:color w:val="000000" w:themeColor="text1"/>
          <w:sz w:val="24"/>
        </w:rPr>
        <w:t xml:space="preserve"> w for</w:t>
      </w:r>
      <w:r w:rsidRPr="00A33B9F">
        <w:rPr>
          <w:rFonts w:ascii="Times New Roman" w:hAnsi="Times New Roman"/>
          <w:noProof/>
          <w:color w:val="000000" w:themeColor="text1"/>
          <w:sz w:val="24"/>
        </w:rPr>
        <w:t>mie pożyczki może zostać przyznane wyłącznie na realizację projektów</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transformacji cyfrowej,</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których co najmniej 30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łącznych kosztów kwalifikowalnych jest związane</w:t>
      </w:r>
      <w:r w:rsidR="00A33B9F" w:rsidRPr="00A33B9F">
        <w:rPr>
          <w:rFonts w:ascii="Times New Roman" w:hAnsi="Times New Roman"/>
          <w:noProof/>
          <w:color w:val="000000" w:themeColor="text1"/>
          <w:sz w:val="24"/>
        </w:rPr>
        <w:t xml:space="preserve"> z inf</w:t>
      </w:r>
      <w:r w:rsidRPr="00A33B9F">
        <w:rPr>
          <w:rFonts w:ascii="Times New Roman" w:hAnsi="Times New Roman"/>
          <w:noProof/>
          <w:color w:val="000000" w:themeColor="text1"/>
          <w:sz w:val="24"/>
        </w:rPr>
        <w:t>rastrukturą chmurową</w:t>
      </w:r>
      <w:r w:rsidR="00A33B9F" w:rsidRPr="00A33B9F">
        <w:rPr>
          <w:rFonts w:ascii="Times New Roman" w:hAnsi="Times New Roman"/>
          <w:noProof/>
          <w:color w:val="000000" w:themeColor="text1"/>
          <w:sz w:val="24"/>
        </w:rPr>
        <w:t xml:space="preserve"> i usł</w:t>
      </w:r>
      <w:r w:rsidRPr="00A33B9F">
        <w:rPr>
          <w:rFonts w:ascii="Times New Roman" w:hAnsi="Times New Roman"/>
          <w:noProof/>
          <w:color w:val="000000" w:themeColor="text1"/>
          <w:sz w:val="24"/>
        </w:rPr>
        <w:t>ugami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 Pozostałe koszty są również bezpośrednio związane</w:t>
      </w:r>
      <w:r w:rsidR="00A33B9F" w:rsidRPr="00A33B9F">
        <w:rPr>
          <w:rFonts w:ascii="Times New Roman" w:hAnsi="Times New Roman"/>
          <w:noProof/>
          <w:color w:val="000000" w:themeColor="text1"/>
          <w:sz w:val="24"/>
        </w:rPr>
        <w:t xml:space="preserve"> z tra</w:t>
      </w:r>
      <w:r w:rsidRPr="00A33B9F">
        <w:rPr>
          <w:rFonts w:ascii="Times New Roman" w:hAnsi="Times New Roman"/>
          <w:noProof/>
          <w:color w:val="000000" w:themeColor="text1"/>
          <w:sz w:val="24"/>
        </w:rPr>
        <w:t>nsformacją cyfrową działalności gospodarczej, np. ze zwiększaniem stopnia wykorzystania innych inteligentnych rozwiązań, uwzględniając</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IoT, AI, wirtualną rzeczywistość/rzeczywistość rozszerzoną, blockchain, technologie 3D, cyfrowe bliźniaki, przetwarzanie brzegowe, sieci szkieletowe, HPC/5G itp. Jednemu beneficjentowi można przyznać maksymalnie 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łącznego finansowania wypłaconego</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Instrumentu. Każdy beneficjent może otrzymać tylko jedną pożyczkę</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 xml:space="preserve">ach Instrumentu. </w:t>
      </w:r>
    </w:p>
    <w:p w14:paraId="2DCC004C" w14:textId="1E79CFFA" w:rsidR="02389680" w:rsidRPr="00A33B9F" w:rsidRDefault="02389680" w:rsidP="121D3F4A">
      <w:pPr>
        <w:spacing w:before="120" w:after="160" w:line="259"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Aby objąć inwestycję Instrumentem, Polska i BGK podpisują umowę wykonawczą zawierającą:</w:t>
      </w:r>
    </w:p>
    <w:p w14:paraId="3C22D65E" w14:textId="7F68500D" w:rsidR="02389680" w:rsidRPr="00A33B9F" w:rsidRDefault="02389680" w:rsidP="00394B30">
      <w:pPr>
        <w:pStyle w:val="ListParagraph"/>
        <w:numPr>
          <w:ilvl w:val="0"/>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Opis procesu decyzyjnego</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Instrumentu: Ostateczną decyzję inwestycyjną</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Instrumentu podejmuje komitet inwestycyjny lub inny odpowiedni równoważny organ zarządzający – musi ona zostać następnie zatwierdzona większością głosów członków niezależnych od rządu.</w:t>
      </w:r>
    </w:p>
    <w:p w14:paraId="6FF91586" w14:textId="00FFA493" w:rsidR="02389680" w:rsidRPr="00A33B9F" w:rsidRDefault="02389680" w:rsidP="00394B30">
      <w:pPr>
        <w:pStyle w:val="ListParagraph"/>
        <w:numPr>
          <w:ilvl w:val="0"/>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Najważniejsze wymogi ustanowione</w:t>
      </w:r>
      <w:r w:rsidR="00A33B9F" w:rsidRPr="00A33B9F">
        <w:rPr>
          <w:rFonts w:ascii="Times New Roman" w:hAnsi="Times New Roman"/>
          <w:noProof/>
          <w:color w:val="000000" w:themeColor="text1"/>
          <w:sz w:val="24"/>
        </w:rPr>
        <w:t xml:space="preserve"> w pow</w:t>
      </w:r>
      <w:r w:rsidRPr="00A33B9F">
        <w:rPr>
          <w:rFonts w:ascii="Times New Roman" w:hAnsi="Times New Roman"/>
          <w:noProof/>
          <w:color w:val="000000" w:themeColor="text1"/>
          <w:sz w:val="24"/>
        </w:rPr>
        <w:t>iązanej polityce inwestycyjnej, które obejmują:</w:t>
      </w:r>
    </w:p>
    <w:p w14:paraId="7071C01B" w14:textId="4FF4D7B3" w:rsidR="02389680" w:rsidRPr="00A33B9F" w:rsidRDefault="02389680" w:rsidP="00394B30">
      <w:pPr>
        <w:pStyle w:val="ListParagraph"/>
        <w:numPr>
          <w:ilvl w:val="1"/>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Opis produktu finansowego</w:t>
      </w:r>
      <w:r w:rsidR="00A33B9F" w:rsidRPr="00A33B9F">
        <w:rPr>
          <w:rFonts w:ascii="Times New Roman" w:hAnsi="Times New Roman"/>
          <w:noProof/>
          <w:color w:val="000000" w:themeColor="text1"/>
          <w:sz w:val="24"/>
        </w:rPr>
        <w:t xml:space="preserve"> i kwa</w:t>
      </w:r>
      <w:r w:rsidRPr="00A33B9F">
        <w:rPr>
          <w:rFonts w:ascii="Times New Roman" w:hAnsi="Times New Roman"/>
          <w:noProof/>
          <w:color w:val="000000" w:themeColor="text1"/>
          <w:sz w:val="24"/>
        </w:rPr>
        <w:t>lifikujących się beneficjentów końcowych.</w:t>
      </w:r>
    </w:p>
    <w:p w14:paraId="0DA7F569" w14:textId="67574850" w:rsidR="02389680" w:rsidRPr="00A33B9F" w:rsidRDefault="02389680" w:rsidP="00394B30">
      <w:pPr>
        <w:pStyle w:val="ListParagraph"/>
        <w:numPr>
          <w:ilvl w:val="1"/>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Wymóg, zgodnie</w:t>
      </w:r>
      <w:r w:rsidR="00A33B9F" w:rsidRPr="00A33B9F">
        <w:rPr>
          <w:rFonts w:ascii="Times New Roman" w:hAnsi="Times New Roman"/>
          <w:noProof/>
          <w:color w:val="000000" w:themeColor="text1"/>
          <w:sz w:val="24"/>
        </w:rPr>
        <w:t xml:space="preserve"> z któ</w:t>
      </w:r>
      <w:r w:rsidRPr="00A33B9F">
        <w:rPr>
          <w:rFonts w:ascii="Times New Roman" w:hAnsi="Times New Roman"/>
          <w:noProof/>
          <w:color w:val="000000" w:themeColor="text1"/>
          <w:sz w:val="24"/>
        </w:rPr>
        <w:t>rym wszystkie inwestycje objęte wsparciem muszą być opłacalne</w:t>
      </w:r>
      <w:r w:rsidR="00A33B9F" w:rsidRPr="00A33B9F">
        <w:rPr>
          <w:rFonts w:ascii="Times New Roman" w:hAnsi="Times New Roman"/>
          <w:noProof/>
          <w:color w:val="000000" w:themeColor="text1"/>
          <w:sz w:val="24"/>
        </w:rPr>
        <w:t xml:space="preserve"> z eko</w:t>
      </w:r>
      <w:r w:rsidRPr="00A33B9F">
        <w:rPr>
          <w:rFonts w:ascii="Times New Roman" w:hAnsi="Times New Roman"/>
          <w:noProof/>
          <w:color w:val="000000" w:themeColor="text1"/>
          <w:sz w:val="24"/>
        </w:rPr>
        <w:t>nomicznego punktu widzenia.</w:t>
      </w:r>
    </w:p>
    <w:p w14:paraId="3D4F38DA" w14:textId="7504ACA2" w:rsidR="02389680" w:rsidRPr="00A33B9F" w:rsidRDefault="02389680" w:rsidP="00394B30">
      <w:pPr>
        <w:pStyle w:val="ListParagraph"/>
        <w:numPr>
          <w:ilvl w:val="1"/>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Wymóg poszanowania zasady „nie czyń poważnych szkód” ustanowionej</w:t>
      </w:r>
      <w:r w:rsidR="00A33B9F" w:rsidRPr="00A33B9F">
        <w:rPr>
          <w:rFonts w:ascii="Times New Roman" w:hAnsi="Times New Roman"/>
          <w:noProof/>
          <w:color w:val="000000" w:themeColor="text1"/>
          <w:sz w:val="24"/>
        </w:rPr>
        <w:t xml:space="preserve"> w wyt</w:t>
      </w:r>
      <w:r w:rsidRPr="00A33B9F">
        <w:rPr>
          <w:rFonts w:ascii="Times New Roman" w:hAnsi="Times New Roman"/>
          <w:noProof/>
          <w:color w:val="000000" w:themeColor="text1"/>
          <w:sz w:val="24"/>
        </w:rPr>
        <w:t>ycznych technicznych dotyczących stosowania zasady „nie czyń poważnych szkód” (2021/C 58/01)</w:t>
      </w:r>
      <w:r w:rsidR="00A33B9F" w:rsidRPr="00A33B9F">
        <w:rPr>
          <w:rFonts w:ascii="Times New Roman" w:hAnsi="Times New Roman"/>
          <w:noProof/>
          <w:color w:val="000000" w:themeColor="text1"/>
          <w:sz w:val="24"/>
        </w:rPr>
        <w:t>. W szc</w:t>
      </w:r>
      <w:r w:rsidRPr="00A33B9F">
        <w:rPr>
          <w:rFonts w:ascii="Times New Roman" w:hAnsi="Times New Roman"/>
          <w:noProof/>
          <w:color w:val="000000" w:themeColor="text1"/>
          <w:sz w:val="24"/>
        </w:rPr>
        <w:t>zególności polityka inwestycyjna wyklucza</w:t>
      </w:r>
      <w:r w:rsidRPr="00A33B9F">
        <w:rPr>
          <w:rFonts w:ascii="Times New Roman" w:hAnsi="Times New Roman"/>
          <w:noProof/>
          <w:sz w:val="24"/>
        </w:rPr>
        <w:t xml:space="preserve"> możliwość uznania za kwalifikowalne następujących działań</w:t>
      </w:r>
      <w:r w:rsidR="00A33B9F" w:rsidRPr="00A33B9F">
        <w:rPr>
          <w:rFonts w:ascii="Times New Roman" w:hAnsi="Times New Roman"/>
          <w:noProof/>
          <w:sz w:val="24"/>
        </w:rPr>
        <w:t xml:space="preserve"> i akt</w:t>
      </w:r>
      <w:r w:rsidRPr="00A33B9F">
        <w:rPr>
          <w:rFonts w:ascii="Times New Roman" w:hAnsi="Times New Roman"/>
          <w:noProof/>
          <w:sz w:val="24"/>
        </w:rPr>
        <w:t>ywów: (i) działania</w:t>
      </w:r>
      <w:r w:rsidR="00A33B9F" w:rsidRPr="00A33B9F">
        <w:rPr>
          <w:rFonts w:ascii="Times New Roman" w:hAnsi="Times New Roman"/>
          <w:noProof/>
          <w:sz w:val="24"/>
        </w:rPr>
        <w:t xml:space="preserve"> i akt</w:t>
      </w:r>
      <w:r w:rsidRPr="00A33B9F">
        <w:rPr>
          <w:rFonts w:ascii="Times New Roman" w:hAnsi="Times New Roman"/>
          <w:noProof/>
          <w:sz w:val="24"/>
        </w:rPr>
        <w:t>ywa związane</w:t>
      </w:r>
      <w:r w:rsidR="00A33B9F" w:rsidRPr="00A33B9F">
        <w:rPr>
          <w:rFonts w:ascii="Times New Roman" w:hAnsi="Times New Roman"/>
          <w:noProof/>
          <w:sz w:val="24"/>
        </w:rPr>
        <w:t xml:space="preserve"> z pal</w:t>
      </w:r>
      <w:r w:rsidRPr="00A33B9F">
        <w:rPr>
          <w:rFonts w:ascii="Times New Roman" w:hAnsi="Times New Roman"/>
          <w:noProof/>
          <w:sz w:val="24"/>
        </w:rPr>
        <w:t>iwami kopalnymi,</w:t>
      </w:r>
      <w:r w:rsidR="00A33B9F" w:rsidRPr="00A33B9F">
        <w:rPr>
          <w:rFonts w:ascii="Times New Roman" w:hAnsi="Times New Roman"/>
          <w:noProof/>
          <w:sz w:val="24"/>
        </w:rPr>
        <w:t xml:space="preserve"> w tym</w:t>
      </w:r>
      <w:r w:rsidRPr="00A33B9F">
        <w:rPr>
          <w:rFonts w:ascii="Times New Roman" w:hAnsi="Times New Roman"/>
          <w:noProof/>
          <w:sz w:val="24"/>
        </w:rPr>
        <w:t xml:space="preserve"> zastosowania niższego szczebla</w:t>
      </w:r>
      <w:r w:rsidRPr="00A33B9F">
        <w:rPr>
          <w:rStyle w:val="FootnoteReference"/>
          <w:rFonts w:ascii="Times New Roman" w:eastAsia="Times New Roman" w:hAnsi="Times New Roman" w:cs="Times New Roman"/>
          <w:noProof/>
          <w:sz w:val="24"/>
          <w:szCs w:val="24"/>
        </w:rPr>
        <w:footnoteReference w:id="29"/>
      </w:r>
      <w:r w:rsidRPr="00A33B9F">
        <w:rPr>
          <w:rFonts w:ascii="Times New Roman" w:hAnsi="Times New Roman"/>
          <w:noProof/>
          <w:sz w:val="24"/>
        </w:rPr>
        <w:t>; (ii) działania</w:t>
      </w:r>
      <w:r w:rsidR="00A33B9F" w:rsidRPr="00A33B9F">
        <w:rPr>
          <w:rFonts w:ascii="Times New Roman" w:hAnsi="Times New Roman"/>
          <w:noProof/>
          <w:sz w:val="24"/>
        </w:rPr>
        <w:t xml:space="preserve"> i akt</w:t>
      </w:r>
      <w:r w:rsidRPr="00A33B9F">
        <w:rPr>
          <w:rFonts w:ascii="Times New Roman" w:hAnsi="Times New Roman"/>
          <w:noProof/>
          <w:sz w:val="24"/>
        </w:rPr>
        <w:t>ywa</w:t>
      </w:r>
      <w:r w:rsidR="00A33B9F" w:rsidRPr="00A33B9F">
        <w:rPr>
          <w:rFonts w:ascii="Times New Roman" w:hAnsi="Times New Roman"/>
          <w:noProof/>
          <w:sz w:val="24"/>
        </w:rPr>
        <w:t xml:space="preserve"> w ram</w:t>
      </w:r>
      <w:r w:rsidRPr="00A33B9F">
        <w:rPr>
          <w:rFonts w:ascii="Times New Roman" w:hAnsi="Times New Roman"/>
          <w:noProof/>
          <w:sz w:val="24"/>
        </w:rPr>
        <w:t>ach unijnego systemu handlu uprawnieniami do emisji (ETS) prowadzące do osiągnięcia prognozowanych emisji gazów cieplarnianych nie niższych niż odpowiednie wskaźniki emisyjności</w:t>
      </w:r>
      <w:r w:rsidRPr="00A33B9F">
        <w:rPr>
          <w:rStyle w:val="FootnoteReference"/>
          <w:rFonts w:ascii="Times New Roman" w:eastAsia="Times New Roman" w:hAnsi="Times New Roman" w:cs="Times New Roman"/>
          <w:noProof/>
          <w:sz w:val="24"/>
          <w:szCs w:val="24"/>
        </w:rPr>
        <w:footnoteReference w:id="30"/>
      </w:r>
      <w:r w:rsidRPr="00A33B9F">
        <w:rPr>
          <w:rFonts w:ascii="Times New Roman" w:hAnsi="Times New Roman"/>
          <w:noProof/>
          <w:sz w:val="24"/>
        </w:rPr>
        <w:t>; (iii) działania</w:t>
      </w:r>
      <w:r w:rsidR="00A33B9F" w:rsidRPr="00A33B9F">
        <w:rPr>
          <w:rFonts w:ascii="Times New Roman" w:hAnsi="Times New Roman"/>
          <w:noProof/>
          <w:sz w:val="24"/>
        </w:rPr>
        <w:t xml:space="preserve"> i akt</w:t>
      </w:r>
      <w:r w:rsidRPr="00A33B9F">
        <w:rPr>
          <w:rFonts w:ascii="Times New Roman" w:hAnsi="Times New Roman"/>
          <w:noProof/>
          <w:sz w:val="24"/>
        </w:rPr>
        <w:t>ywa związane ze składowiskami odpadów, spalarniami</w:t>
      </w:r>
      <w:r w:rsidR="00A33B9F" w:rsidRPr="00A33B9F">
        <w:rPr>
          <w:rFonts w:ascii="Times New Roman" w:hAnsi="Times New Roman"/>
          <w:noProof/>
          <w:sz w:val="24"/>
        </w:rPr>
        <w:t xml:space="preserve"> i zak</w:t>
      </w:r>
      <w:r w:rsidRPr="00A33B9F">
        <w:rPr>
          <w:rFonts w:ascii="Times New Roman" w:hAnsi="Times New Roman"/>
          <w:noProof/>
          <w:sz w:val="24"/>
        </w:rPr>
        <w:t>ładami mechaniczno-biologicznego przetwarzania odpadów</w:t>
      </w:r>
      <w:r w:rsidRPr="00A33B9F">
        <w:rPr>
          <w:rFonts w:ascii="Times New Roman" w:hAnsi="Times New Roman"/>
          <w:noProof/>
          <w:color w:val="000000" w:themeColor="text1"/>
          <w:sz w:val="24"/>
        </w:rPr>
        <w:t>. Ponadto polityka inwestycyjna wymaga zgodności</w:t>
      </w:r>
      <w:r w:rsidR="00A33B9F" w:rsidRPr="00A33B9F">
        <w:rPr>
          <w:rFonts w:ascii="Times New Roman" w:hAnsi="Times New Roman"/>
          <w:b/>
          <w:noProof/>
          <w:color w:val="000000" w:themeColor="text1"/>
          <w:sz w:val="24"/>
        </w:rPr>
        <w:t xml:space="preserve"> </w:t>
      </w:r>
      <w:r w:rsidR="00A33B9F" w:rsidRPr="00A33B9F">
        <w:rPr>
          <w:rFonts w:ascii="Times New Roman" w:hAnsi="Times New Roman"/>
          <w:noProof/>
          <w:color w:val="000000" w:themeColor="text1"/>
          <w:sz w:val="24"/>
        </w:rPr>
        <w:t>z</w:t>
      </w:r>
      <w:r w:rsidR="00A33B9F" w:rsidRPr="00A33B9F">
        <w:rPr>
          <w:rFonts w:ascii="Times New Roman" w:hAnsi="Times New Roman"/>
          <w:b/>
          <w:noProof/>
          <w:color w:val="000000" w:themeColor="text1"/>
          <w:sz w:val="24"/>
        </w:rPr>
        <w:t> </w:t>
      </w:r>
      <w:r w:rsidR="00A33B9F" w:rsidRPr="00A33B9F">
        <w:rPr>
          <w:rFonts w:ascii="Times New Roman" w:hAnsi="Times New Roman"/>
          <w:noProof/>
          <w:color w:val="000000" w:themeColor="text1"/>
          <w:sz w:val="24"/>
        </w:rPr>
        <w:t>odp</w:t>
      </w:r>
      <w:r w:rsidRPr="00A33B9F">
        <w:rPr>
          <w:rFonts w:ascii="Times New Roman" w:hAnsi="Times New Roman"/>
          <w:noProof/>
          <w:color w:val="000000" w:themeColor="text1"/>
          <w:sz w:val="24"/>
        </w:rPr>
        <w:t>owiednimi unijnymi</w:t>
      </w:r>
      <w:r w:rsidR="00A33B9F" w:rsidRPr="00A33B9F">
        <w:rPr>
          <w:rFonts w:ascii="Times New Roman" w:hAnsi="Times New Roman"/>
          <w:noProof/>
          <w:color w:val="000000" w:themeColor="text1"/>
          <w:sz w:val="24"/>
        </w:rPr>
        <w:t xml:space="preserve"> i kra</w:t>
      </w:r>
      <w:r w:rsidRPr="00A33B9F">
        <w:rPr>
          <w:rFonts w:ascii="Times New Roman" w:hAnsi="Times New Roman"/>
          <w:noProof/>
          <w:color w:val="000000" w:themeColor="text1"/>
          <w:sz w:val="24"/>
        </w:rPr>
        <w:t>jowymi przepisami</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ochrony środowiska beneficjentów końcowych Instrumentu.</w:t>
      </w:r>
    </w:p>
    <w:p w14:paraId="0526C32F" w14:textId="6D9DD4BD" w:rsidR="02389680" w:rsidRPr="00A33B9F" w:rsidRDefault="02389680" w:rsidP="00394B30">
      <w:pPr>
        <w:pStyle w:val="ListParagraph"/>
        <w:numPr>
          <w:ilvl w:val="1"/>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Wymóg, zgodnie</w:t>
      </w:r>
      <w:r w:rsidR="00A33B9F" w:rsidRPr="00A33B9F">
        <w:rPr>
          <w:rFonts w:ascii="Times New Roman" w:hAnsi="Times New Roman"/>
          <w:noProof/>
          <w:color w:val="000000" w:themeColor="text1"/>
          <w:sz w:val="24"/>
        </w:rPr>
        <w:t xml:space="preserve"> z któ</w:t>
      </w:r>
      <w:r w:rsidRPr="00A33B9F">
        <w:rPr>
          <w:rFonts w:ascii="Times New Roman" w:hAnsi="Times New Roman"/>
          <w:noProof/>
          <w:color w:val="000000" w:themeColor="text1"/>
          <w:sz w:val="24"/>
        </w:rPr>
        <w:t>rym beneficjenci końcowi Instrumentu nie mogą otrzymywać wsparcia</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innych instrumentów Unii na pokrycie tych samych kosztów.</w:t>
      </w:r>
    </w:p>
    <w:p w14:paraId="5026DEC7" w14:textId="417C34BE" w:rsidR="02389680" w:rsidRPr="00A33B9F" w:rsidRDefault="02389680" w:rsidP="00394B30">
      <w:pPr>
        <w:pStyle w:val="ListParagraph"/>
        <w:numPr>
          <w:ilvl w:val="0"/>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Kwotę objętą umową wykonawczą, strukturę opłat dla partnera wykonawczego oraz wymóg ponownego zainwestowania wszelkich środków powracających zgodnie</w:t>
      </w:r>
      <w:r w:rsidR="00A33B9F" w:rsidRPr="00A33B9F">
        <w:rPr>
          <w:rFonts w:ascii="Times New Roman" w:hAnsi="Times New Roman"/>
          <w:noProof/>
          <w:color w:val="000000" w:themeColor="text1"/>
          <w:sz w:val="24"/>
        </w:rPr>
        <w:t xml:space="preserve"> z pol</w:t>
      </w:r>
      <w:r w:rsidRPr="00A33B9F">
        <w:rPr>
          <w:rFonts w:ascii="Times New Roman" w:hAnsi="Times New Roman"/>
          <w:noProof/>
          <w:color w:val="000000" w:themeColor="text1"/>
          <w:sz w:val="24"/>
        </w:rPr>
        <w:t>ityką inwestycyjną Instrumentu, chyba że wykorzystuje się je do obsługi spłaty pożyczek</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Instrumentu na rzecz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w:t>
      </w:r>
    </w:p>
    <w:p w14:paraId="1AD706B2" w14:textId="3B3BCE1B" w:rsidR="02389680" w:rsidRPr="00A33B9F" w:rsidRDefault="02389680" w:rsidP="00394B30">
      <w:pPr>
        <w:pStyle w:val="ListParagraph"/>
        <w:numPr>
          <w:ilvl w:val="0"/>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Wymogi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monitorowania, audytu</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troli,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w:t>
      </w:r>
    </w:p>
    <w:p w14:paraId="7352DFF8" w14:textId="02D56D74" w:rsidR="02389680" w:rsidRPr="00A33B9F" w:rsidRDefault="02389680" w:rsidP="00394B30">
      <w:pPr>
        <w:pStyle w:val="ListParagraph"/>
        <w:numPr>
          <w:ilvl w:val="1"/>
          <w:numId w:val="1"/>
        </w:numPr>
        <w:spacing w:before="120" w:after="0"/>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Opis systemu monitorowania partnera wykonawczego ustanowionego na potrzeby przekazywania informacji na temat uruchomionych inwestycji.</w:t>
      </w:r>
    </w:p>
    <w:p w14:paraId="187B8F4E" w14:textId="1F44836D" w:rsidR="02389680" w:rsidRPr="00A33B9F" w:rsidRDefault="02389680" w:rsidP="00394B30">
      <w:pPr>
        <w:pStyle w:val="ListParagraph"/>
        <w:numPr>
          <w:ilvl w:val="1"/>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Opis stosowanych przez partnera wykonawczego procedur zapewniających zapobieganie nadużyciom finansowym, korupcji</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 xml:space="preserve">fliktom interesów, ich wykrywanie oraz eliminowanie. </w:t>
      </w:r>
    </w:p>
    <w:p w14:paraId="3D5647A6" w14:textId="7F671DB6" w:rsidR="02389680" w:rsidRPr="00A33B9F" w:rsidRDefault="02389680" w:rsidP="00394B30">
      <w:pPr>
        <w:pStyle w:val="ListParagraph"/>
        <w:numPr>
          <w:ilvl w:val="1"/>
          <w:numId w:val="1"/>
        </w:numPr>
        <w:spacing w:before="120" w:after="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Obowiązek weryfikowania kwalifikowalności każdej operacji zgodnie</w:t>
      </w:r>
      <w:r w:rsidR="00A33B9F" w:rsidRPr="00A33B9F">
        <w:rPr>
          <w:rFonts w:ascii="Times New Roman" w:hAnsi="Times New Roman"/>
          <w:noProof/>
          <w:color w:val="000000" w:themeColor="text1"/>
          <w:sz w:val="24"/>
        </w:rPr>
        <w:t xml:space="preserve"> z wym</w:t>
      </w:r>
      <w:r w:rsidRPr="00A33B9F">
        <w:rPr>
          <w:rFonts w:ascii="Times New Roman" w:hAnsi="Times New Roman"/>
          <w:noProof/>
          <w:color w:val="000000" w:themeColor="text1"/>
          <w:sz w:val="24"/>
        </w:rPr>
        <w:t>ogami przewidzianymi</w:t>
      </w:r>
      <w:r w:rsidR="00A33B9F" w:rsidRPr="00A33B9F">
        <w:rPr>
          <w:rFonts w:ascii="Times New Roman" w:hAnsi="Times New Roman"/>
          <w:noProof/>
          <w:color w:val="000000" w:themeColor="text1"/>
          <w:sz w:val="24"/>
        </w:rPr>
        <w:t xml:space="preserve"> w umo</w:t>
      </w:r>
      <w:r w:rsidRPr="00A33B9F">
        <w:rPr>
          <w:rFonts w:ascii="Times New Roman" w:hAnsi="Times New Roman"/>
          <w:noProof/>
          <w:color w:val="000000" w:themeColor="text1"/>
          <w:sz w:val="24"/>
        </w:rPr>
        <w:t>wie wykonawczej przed zobowiązaniem się do finansowania danej operacji.</w:t>
      </w:r>
    </w:p>
    <w:p w14:paraId="61B8AB33" w14:textId="69CD477E" w:rsidR="02389680" w:rsidRPr="00A33B9F" w:rsidRDefault="02389680" w:rsidP="00394B30">
      <w:pPr>
        <w:pStyle w:val="ListParagraph"/>
        <w:numPr>
          <w:ilvl w:val="1"/>
          <w:numId w:val="1"/>
        </w:numPr>
        <w:spacing w:before="120" w:after="0"/>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 xml:space="preserve">Obowiązek przeprowadzania audytów </w:t>
      </w:r>
      <w:r w:rsidRPr="00A33B9F">
        <w:rPr>
          <w:rFonts w:ascii="Times New Roman" w:hAnsi="Times New Roman"/>
          <w:i/>
          <w:iCs/>
          <w:noProof/>
          <w:color w:val="000000" w:themeColor="text1"/>
          <w:sz w:val="24"/>
        </w:rPr>
        <w:t>ex post</w:t>
      </w:r>
      <w:r w:rsidRPr="00A33B9F">
        <w:rPr>
          <w:rFonts w:ascii="Times New Roman" w:hAnsi="Times New Roman"/>
          <w:noProof/>
          <w:color w:val="000000" w:themeColor="text1"/>
          <w:sz w:val="24"/>
        </w:rPr>
        <w:t xml:space="preserve"> opartych na analizie ryzyka zgodnie</w:t>
      </w:r>
      <w:r w:rsidR="00A33B9F" w:rsidRPr="00A33B9F">
        <w:rPr>
          <w:rFonts w:ascii="Times New Roman" w:hAnsi="Times New Roman"/>
          <w:noProof/>
          <w:color w:val="000000" w:themeColor="text1"/>
          <w:sz w:val="24"/>
        </w:rPr>
        <w:t xml:space="preserve"> z pla</w:t>
      </w:r>
      <w:r w:rsidRPr="00A33B9F">
        <w:rPr>
          <w:rFonts w:ascii="Times New Roman" w:hAnsi="Times New Roman"/>
          <w:noProof/>
          <w:color w:val="000000" w:themeColor="text1"/>
          <w:sz w:val="24"/>
        </w:rPr>
        <w:t>nem audytów BGK. Wspomniane audyty mają na celu potwierdzenie (i) skuteczności systemów kontroli,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również</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wykrywania nadużyć finansowych, korupcji</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fliktów interesów; (ii) zgodności</w:t>
      </w:r>
      <w:r w:rsidR="00A33B9F" w:rsidRPr="00A33B9F">
        <w:rPr>
          <w:rFonts w:ascii="Times New Roman" w:hAnsi="Times New Roman"/>
          <w:noProof/>
          <w:color w:val="000000" w:themeColor="text1"/>
          <w:sz w:val="24"/>
        </w:rPr>
        <w:t xml:space="preserve"> z zas</w:t>
      </w:r>
      <w:r w:rsidRPr="00A33B9F">
        <w:rPr>
          <w:rFonts w:ascii="Times New Roman" w:hAnsi="Times New Roman"/>
          <w:noProof/>
          <w:color w:val="000000" w:themeColor="text1"/>
          <w:sz w:val="24"/>
        </w:rPr>
        <w:t>adą „nie czyń poważnych szkód”, zasadami pomocy państwa</w:t>
      </w:r>
      <w:r w:rsidR="00A33B9F" w:rsidRPr="00A33B9F">
        <w:rPr>
          <w:rFonts w:ascii="Times New Roman" w:hAnsi="Times New Roman"/>
          <w:noProof/>
          <w:color w:val="000000" w:themeColor="text1"/>
          <w:sz w:val="24"/>
        </w:rPr>
        <w:t xml:space="preserve"> i wym</w:t>
      </w:r>
      <w:r w:rsidRPr="00A33B9F">
        <w:rPr>
          <w:rFonts w:ascii="Times New Roman" w:hAnsi="Times New Roman"/>
          <w:noProof/>
          <w:color w:val="000000" w:themeColor="text1"/>
          <w:sz w:val="24"/>
        </w:rPr>
        <w:t>ogami dotyczącymi celu cyfrowego oraz (iii) spełnienia wymogu, zgodnie</w:t>
      </w:r>
      <w:r w:rsidR="00A33B9F" w:rsidRPr="00A33B9F">
        <w:rPr>
          <w:rFonts w:ascii="Times New Roman" w:hAnsi="Times New Roman"/>
          <w:noProof/>
          <w:color w:val="000000" w:themeColor="text1"/>
          <w:sz w:val="24"/>
        </w:rPr>
        <w:t xml:space="preserve"> z któ</w:t>
      </w:r>
      <w:r w:rsidRPr="00A33B9F">
        <w:rPr>
          <w:rFonts w:ascii="Times New Roman" w:hAnsi="Times New Roman"/>
          <w:noProof/>
          <w:color w:val="000000" w:themeColor="text1"/>
          <w:sz w:val="24"/>
        </w:rPr>
        <w:t>rym beneficjenci końcowi Instrumentu nie mogą otrzymywać wsparcia</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innych instrumentów Unii na pokrycie tych samych kosztów. Audyty służą również zweryfikowaniu legalności przeprowadzanych transakcji oraz sprawdzeniu zgodności</w:t>
      </w:r>
      <w:r w:rsidR="00A33B9F" w:rsidRPr="00A33B9F">
        <w:rPr>
          <w:rFonts w:ascii="Times New Roman" w:hAnsi="Times New Roman"/>
          <w:noProof/>
          <w:color w:val="000000" w:themeColor="text1"/>
          <w:sz w:val="24"/>
        </w:rPr>
        <w:t xml:space="preserve"> z war</w:t>
      </w:r>
      <w:r w:rsidRPr="00A33B9F">
        <w:rPr>
          <w:rFonts w:ascii="Times New Roman" w:hAnsi="Times New Roman"/>
          <w:noProof/>
          <w:color w:val="000000" w:themeColor="text1"/>
          <w:sz w:val="24"/>
        </w:rPr>
        <w:t>unkami określonymi</w:t>
      </w:r>
      <w:r w:rsidR="00A33B9F" w:rsidRPr="00A33B9F">
        <w:rPr>
          <w:rFonts w:ascii="Times New Roman" w:hAnsi="Times New Roman"/>
          <w:noProof/>
          <w:color w:val="000000" w:themeColor="text1"/>
          <w:sz w:val="24"/>
        </w:rPr>
        <w:t xml:space="preserve"> w maj</w:t>
      </w:r>
      <w:r w:rsidRPr="00A33B9F">
        <w:rPr>
          <w:rFonts w:ascii="Times New Roman" w:hAnsi="Times New Roman"/>
          <w:noProof/>
          <w:color w:val="000000" w:themeColor="text1"/>
          <w:sz w:val="24"/>
        </w:rPr>
        <w:t xml:space="preserve">ącej zastosowanie umowie wykonawczej. </w:t>
      </w:r>
    </w:p>
    <w:p w14:paraId="0D837EA6" w14:textId="2DB412AE" w:rsidR="121D3F4A" w:rsidRPr="00A33B9F" w:rsidRDefault="121D3F4A" w:rsidP="121D3F4A">
      <w:pPr>
        <w:spacing w:before="120" w:after="0" w:line="259" w:lineRule="auto"/>
        <w:jc w:val="both"/>
        <w:rPr>
          <w:rFonts w:ascii="Times New Roman" w:eastAsia="Times New Roman" w:hAnsi="Times New Roman" w:cs="Times New Roman"/>
          <w:noProof/>
          <w:color w:val="000000" w:themeColor="text1"/>
          <w:sz w:val="24"/>
          <w:szCs w:val="24"/>
        </w:rPr>
      </w:pPr>
    </w:p>
    <w:p w14:paraId="041F5D14" w14:textId="76E7F47B" w:rsidR="02389680" w:rsidRPr="00A33B9F" w:rsidRDefault="02389680" w:rsidP="121D3F4A">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Działanie obejmuje również publikację przewodnika poświęconego transformacji cyfrowej przedsiębiorstw dzięki wykorzystaniu technologii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 Wspomniany przewodnik pełni funkcję kompendium wiedzy (zawierającego również często zadawane pytania), wskazówek</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ykładów stosowania nowoczesnych technologii,</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cesie transformacji cyfrowej przedsiębiorstw</w:t>
      </w:r>
      <w:r w:rsidR="00A33B9F" w:rsidRPr="00A33B9F">
        <w:rPr>
          <w:rFonts w:ascii="Times New Roman" w:hAnsi="Times New Roman"/>
          <w:noProof/>
          <w:color w:val="000000" w:themeColor="text1"/>
          <w:sz w:val="24"/>
        </w:rPr>
        <w:t>. W prz</w:t>
      </w:r>
      <w:r w:rsidRPr="00A33B9F">
        <w:rPr>
          <w:rFonts w:ascii="Times New Roman" w:hAnsi="Times New Roman"/>
          <w:noProof/>
          <w:color w:val="000000" w:themeColor="text1"/>
          <w:sz w:val="24"/>
        </w:rPr>
        <w:t>ewodniku tym porusza się m.in. następujące zagadnienia: aspekty prawne transformacji przedsiębiorstwa dzięki wykorzystaniu przetwarzania</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w:t>
      </w:r>
      <w:r w:rsidR="00A33B9F" w:rsidRPr="00A33B9F">
        <w:rPr>
          <w:rFonts w:ascii="Times New Roman" w:hAnsi="Times New Roman"/>
          <w:noProof/>
          <w:color w:val="000000" w:themeColor="text1"/>
          <w:sz w:val="24"/>
        </w:rPr>
        <w:t xml:space="preserve"> i now</w:t>
      </w:r>
      <w:r w:rsidRPr="00A33B9F">
        <w:rPr>
          <w:rFonts w:ascii="Times New Roman" w:hAnsi="Times New Roman"/>
          <w:noProof/>
          <w:color w:val="000000" w:themeColor="text1"/>
          <w:sz w:val="24"/>
        </w:rPr>
        <w:t>oczesnych technologii bazujących na przetwarzaniu</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kwestie związane</w:t>
      </w:r>
      <w:r w:rsidR="00A33B9F" w:rsidRPr="00A33B9F">
        <w:rPr>
          <w:rFonts w:ascii="Times New Roman" w:hAnsi="Times New Roman"/>
          <w:noProof/>
          <w:color w:val="000000" w:themeColor="text1"/>
          <w:sz w:val="24"/>
        </w:rPr>
        <w:t xml:space="preserve"> z cyb</w:t>
      </w:r>
      <w:r w:rsidRPr="00A33B9F">
        <w:rPr>
          <w:rFonts w:ascii="Times New Roman" w:hAnsi="Times New Roman"/>
          <w:noProof/>
          <w:color w:val="000000" w:themeColor="text1"/>
          <w:sz w:val="24"/>
        </w:rPr>
        <w:t>erbezpieczeństwem, efektywnością energetyczną oraz rozwojem kompetencji cyfrowych, ze szczególnym uwzględnieniem umiejętności związanych</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etwarzaniem</w:t>
      </w:r>
      <w:r w:rsidR="00A33B9F" w:rsidRPr="00A33B9F">
        <w:rPr>
          <w:rFonts w:ascii="Times New Roman" w:hAnsi="Times New Roman"/>
          <w:noProof/>
          <w:color w:val="000000" w:themeColor="text1"/>
          <w:sz w:val="24"/>
        </w:rPr>
        <w:t xml:space="preserve"> w chm</w:t>
      </w:r>
      <w:r w:rsidRPr="00A33B9F">
        <w:rPr>
          <w:rFonts w:ascii="Times New Roman" w:hAnsi="Times New Roman"/>
          <w:noProof/>
          <w:color w:val="000000" w:themeColor="text1"/>
          <w:sz w:val="24"/>
        </w:rPr>
        <w:t>urze. Przewodnik wspiera również działania służące propagowaniu Instrumentu oraz dostarcza przedsiębiorstwom informacji niezbędnych do przygotowania się do złożenia wniosku</w:t>
      </w:r>
      <w:r w:rsidR="00A33B9F" w:rsidRPr="00A33B9F">
        <w:rPr>
          <w:rFonts w:ascii="Times New Roman" w:hAnsi="Times New Roman"/>
          <w:noProof/>
          <w:color w:val="000000" w:themeColor="text1"/>
          <w:sz w:val="24"/>
        </w:rPr>
        <w:t xml:space="preserve"> o prz</w:t>
      </w:r>
      <w:r w:rsidRPr="00A33B9F">
        <w:rPr>
          <w:rFonts w:ascii="Times New Roman" w:hAnsi="Times New Roman"/>
          <w:noProof/>
          <w:color w:val="000000" w:themeColor="text1"/>
          <w:sz w:val="24"/>
        </w:rPr>
        <w:t>yznanie im wsparcia</w:t>
      </w:r>
      <w:r w:rsidR="00A33B9F" w:rsidRPr="00A33B9F">
        <w:rPr>
          <w:rFonts w:ascii="Times New Roman" w:hAnsi="Times New Roman"/>
          <w:noProof/>
          <w:color w:val="000000" w:themeColor="text1"/>
          <w:sz w:val="24"/>
        </w:rPr>
        <w:t xml:space="preserve"> w for</w:t>
      </w:r>
      <w:r w:rsidRPr="00A33B9F">
        <w:rPr>
          <w:rFonts w:ascii="Times New Roman" w:hAnsi="Times New Roman"/>
          <w:noProof/>
          <w:color w:val="000000" w:themeColor="text1"/>
          <w:sz w:val="24"/>
        </w:rPr>
        <w:t>mie pożyczki</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Instrumentu. Przewodnik zawiera opis mechanizmów przekazywania odpowiedniej wiedzy</w:t>
      </w:r>
      <w:r w:rsidR="00A33B9F" w:rsidRPr="00A33B9F">
        <w:rPr>
          <w:rFonts w:ascii="Times New Roman" w:hAnsi="Times New Roman"/>
          <w:noProof/>
          <w:color w:val="000000" w:themeColor="text1"/>
          <w:sz w:val="24"/>
        </w:rPr>
        <w:t xml:space="preserve"> i odp</w:t>
      </w:r>
      <w:r w:rsidRPr="00A33B9F">
        <w:rPr>
          <w:rFonts w:ascii="Times New Roman" w:hAnsi="Times New Roman"/>
          <w:noProof/>
          <w:color w:val="000000" w:themeColor="text1"/>
          <w:sz w:val="24"/>
        </w:rPr>
        <w:t>owiedniego know-how,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również przedsiębiorcom niekwalifikującym się do objęcia ich wsparciem</w:t>
      </w:r>
      <w:r w:rsidR="00A33B9F" w:rsidRPr="00A33B9F">
        <w:rPr>
          <w:rFonts w:ascii="Times New Roman" w:hAnsi="Times New Roman"/>
          <w:noProof/>
          <w:color w:val="000000" w:themeColor="text1"/>
          <w:sz w:val="24"/>
        </w:rPr>
        <w:t xml:space="preserve"> w for</w:t>
      </w:r>
      <w:r w:rsidRPr="00A33B9F">
        <w:rPr>
          <w:rFonts w:ascii="Times New Roman" w:hAnsi="Times New Roman"/>
          <w:noProof/>
          <w:color w:val="000000" w:themeColor="text1"/>
          <w:sz w:val="24"/>
        </w:rPr>
        <w:t>mie pożyczki</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Instrumentu oraz małym przedsiębiorstwom.</w:t>
      </w:r>
    </w:p>
    <w:p w14:paraId="2718F792" w14:textId="1F3626E8" w:rsidR="121D3F4A" w:rsidRPr="00A33B9F" w:rsidRDefault="121D3F4A" w:rsidP="121D3F4A">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p>
    <w:p w14:paraId="6C57C439"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5692820A" w14:textId="77777777" w:rsidR="00387C8F" w:rsidRPr="00A33B9F"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szCs w:val="24"/>
        </w:rPr>
        <w:sectPr w:rsidR="00387C8F" w:rsidRPr="00A33B9F">
          <w:headerReference w:type="even" r:id="rId91"/>
          <w:headerReference w:type="default" r:id="rId92"/>
          <w:footerReference w:type="even" r:id="rId93"/>
          <w:footerReference w:type="default" r:id="rId94"/>
          <w:headerReference w:type="first" r:id="rId95"/>
          <w:footerReference w:type="first" r:id="rId96"/>
          <w:pgSz w:w="11907" w:h="16839"/>
          <w:pgMar w:top="1134" w:right="1417" w:bottom="1134" w:left="1417" w:header="709" w:footer="709" w:gutter="0"/>
          <w:cols w:space="720"/>
        </w:sectPr>
      </w:pPr>
    </w:p>
    <w:p w14:paraId="3D404BC9" w14:textId="42D620EF" w:rsidR="00212550" w:rsidRPr="00A33B9F"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000000"/>
          <w:sz w:val="24"/>
          <w:szCs w:val="24"/>
        </w:rPr>
      </w:pPr>
      <w:r w:rsidRPr="00A33B9F">
        <w:rPr>
          <w:rFonts w:ascii="Times New Roman" w:hAnsi="Times New Roman"/>
          <w:b/>
          <w:noProof/>
          <w:color w:val="000000" w:themeColor="text1"/>
          <w:sz w:val="24"/>
        </w:rPr>
        <w:t xml:space="preserve">C.4. </w:t>
      </w:r>
      <w:r w:rsidRPr="00A33B9F">
        <w:rPr>
          <w:noProof/>
        </w:rPr>
        <w:tab/>
      </w:r>
      <w:r w:rsidRPr="00A33B9F">
        <w:rPr>
          <w:rFonts w:ascii="Times New Roman" w:hAnsi="Times New Roman"/>
          <w:b/>
          <w:noProof/>
          <w:color w:val="000000" w:themeColor="text1"/>
          <w:sz w:val="24"/>
        </w:rPr>
        <w:t>Kamienie milowe, wartości docelowe, wskaźniki</w:t>
      </w:r>
      <w:r w:rsidR="00A33B9F" w:rsidRPr="00A33B9F">
        <w:rPr>
          <w:rFonts w:ascii="Times New Roman" w:hAnsi="Times New Roman"/>
          <w:b/>
          <w:noProof/>
          <w:color w:val="000000" w:themeColor="text1"/>
          <w:sz w:val="24"/>
        </w:rPr>
        <w:t xml:space="preserve"> i har</w:t>
      </w:r>
      <w:r w:rsidRPr="00A33B9F">
        <w:rPr>
          <w:rFonts w:ascii="Times New Roman" w:hAnsi="Times New Roman"/>
          <w:b/>
          <w:noProof/>
          <w:color w:val="000000" w:themeColor="text1"/>
          <w:sz w:val="24"/>
        </w:rPr>
        <w:t>monogram monitorowania</w:t>
      </w:r>
      <w:r w:rsidR="00A33B9F" w:rsidRPr="00A33B9F">
        <w:rPr>
          <w:rFonts w:ascii="Times New Roman" w:hAnsi="Times New Roman"/>
          <w:b/>
          <w:noProof/>
          <w:color w:val="000000" w:themeColor="text1"/>
          <w:sz w:val="24"/>
        </w:rPr>
        <w:t xml:space="preserve"> i rea</w:t>
      </w:r>
      <w:r w:rsidRPr="00A33B9F">
        <w:rPr>
          <w:rFonts w:ascii="Times New Roman" w:hAnsi="Times New Roman"/>
          <w:b/>
          <w:noProof/>
          <w:color w:val="000000" w:themeColor="text1"/>
          <w:sz w:val="24"/>
        </w:rPr>
        <w:t>lizacji dotyczące pożyczki</w:t>
      </w:r>
    </w:p>
    <w:tbl>
      <w:tblPr>
        <w:tblW w:w="155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46"/>
        <w:gridCol w:w="2126"/>
        <w:gridCol w:w="1134"/>
        <w:gridCol w:w="2415"/>
        <w:gridCol w:w="1559"/>
        <w:gridCol w:w="992"/>
        <w:gridCol w:w="993"/>
        <w:gridCol w:w="845"/>
        <w:gridCol w:w="992"/>
        <w:gridCol w:w="851"/>
        <w:gridCol w:w="2840"/>
      </w:tblGrid>
      <w:tr w:rsidR="007C4506" w:rsidRPr="00A33B9F" w14:paraId="20553490" w14:textId="77777777" w:rsidTr="28AD0CF8">
        <w:trPr>
          <w:trHeight w:val="939"/>
          <w:tblHeader/>
          <w:jc w:val="center"/>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ADDDA64" w14:textId="3522F6B3" w:rsidR="007C4506" w:rsidRPr="00A33B9F"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08C2D9B"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95E9546"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24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3B9116E"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ED7D3CA"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8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87CA6E5"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B8A3CEB"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2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5F81A50" w14:textId="3ED9726F"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7C4506" w:rsidRPr="00A33B9F" w14:paraId="7DA79544" w14:textId="77777777" w:rsidTr="28AD0CF8">
        <w:trPr>
          <w:trHeight w:val="1027"/>
          <w:jc w:val="center"/>
        </w:trPr>
        <w:tc>
          <w:tcPr>
            <w:tcW w:w="846" w:type="dxa"/>
            <w:vMerge/>
            <w:vAlign w:val="center"/>
          </w:tcPr>
          <w:p w14:paraId="31A560F4"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70DF735C"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4" w:type="dxa"/>
            <w:vMerge/>
            <w:vAlign w:val="center"/>
          </w:tcPr>
          <w:p w14:paraId="3A413BF6"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415" w:type="dxa"/>
            <w:vMerge/>
            <w:vAlign w:val="center"/>
          </w:tcPr>
          <w:p w14:paraId="33D28B4B"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37EFA3E3"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625D6124"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3D2CD02"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CB8A499"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907727A"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6831318"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2840" w:type="dxa"/>
            <w:vMerge/>
            <w:vAlign w:val="center"/>
          </w:tcPr>
          <w:p w14:paraId="41C6AC2A"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736BBF" w:rsidRPr="00A33B9F" w14:paraId="0AB32230"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904971" w14:textId="102E2EB8"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C1L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742716" w14:textId="33AFA9C5"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C1.2 Podniesienie poziomu dostępności</w:t>
            </w:r>
            <w:r w:rsidR="00A33B9F" w:rsidRPr="00A33B9F">
              <w:rPr>
                <w:rFonts w:ascii="Times New Roman" w:hAnsi="Times New Roman"/>
                <w:noProof/>
                <w:color w:val="000000"/>
                <w:sz w:val="18"/>
              </w:rPr>
              <w:t xml:space="preserve"> i wyk</w:t>
            </w:r>
            <w:r w:rsidRPr="00A33B9F">
              <w:rPr>
                <w:rFonts w:ascii="Times New Roman" w:hAnsi="Times New Roman"/>
                <w:noProof/>
                <w:color w:val="000000"/>
                <w:sz w:val="18"/>
              </w:rPr>
              <w:t>orzystania nowoczesnej łączności przewodowej</w:t>
            </w:r>
            <w:r w:rsidR="00A33B9F" w:rsidRPr="00A33B9F">
              <w:rPr>
                <w:rFonts w:ascii="Times New Roman" w:hAnsi="Times New Roman"/>
                <w:noProof/>
                <w:color w:val="000000"/>
                <w:sz w:val="18"/>
              </w:rPr>
              <w:t xml:space="preserve"> i bez</w:t>
            </w:r>
            <w:r w:rsidRPr="00A33B9F">
              <w:rPr>
                <w:rFonts w:ascii="Times New Roman" w:hAnsi="Times New Roman"/>
                <w:noProof/>
                <w:color w:val="000000"/>
                <w:sz w:val="18"/>
              </w:rPr>
              <w:t>przewodowej na potrzeby społeczne</w:t>
            </w:r>
            <w:r w:rsidR="00A33B9F" w:rsidRPr="00A33B9F">
              <w:rPr>
                <w:rFonts w:ascii="Times New Roman" w:hAnsi="Times New Roman"/>
                <w:noProof/>
                <w:color w:val="000000"/>
                <w:sz w:val="18"/>
              </w:rPr>
              <w:t xml:space="preserve"> i gos</w:t>
            </w:r>
            <w:r w:rsidRPr="00A33B9F">
              <w:rPr>
                <w:rFonts w:ascii="Times New Roman" w:hAnsi="Times New Roman"/>
                <w:noProof/>
                <w:color w:val="000000"/>
                <w:sz w:val="18"/>
              </w:rPr>
              <w:t xml:space="preserve">podarcze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CF9DDB"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D3A6A4" w14:textId="19D90EE6"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Zmiana rozporządzenia</w:t>
            </w:r>
            <w:r w:rsidR="00A33B9F" w:rsidRPr="00A33B9F">
              <w:rPr>
                <w:rFonts w:ascii="Times New Roman" w:hAnsi="Times New Roman"/>
                <w:noProof/>
                <w:color w:val="000000"/>
                <w:sz w:val="18"/>
              </w:rPr>
              <w:t xml:space="preserve"> z dni</w:t>
            </w:r>
            <w:r w:rsidRPr="00A33B9F">
              <w:rPr>
                <w:rFonts w:ascii="Times New Roman" w:hAnsi="Times New Roman"/>
                <w:noProof/>
                <w:color w:val="000000"/>
                <w:sz w:val="18"/>
              </w:rPr>
              <w:t>a 17 lutego 2020</w:t>
            </w:r>
            <w:r w:rsidR="00A33B9F" w:rsidRPr="00A33B9F">
              <w:rPr>
                <w:rFonts w:ascii="Times New Roman" w:hAnsi="Times New Roman"/>
                <w:noProof/>
                <w:color w:val="000000"/>
                <w:sz w:val="18"/>
              </w:rPr>
              <w:t> </w:t>
            </w:r>
            <w:r w:rsidRPr="00A33B9F">
              <w:rPr>
                <w:rFonts w:ascii="Times New Roman" w:hAnsi="Times New Roman"/>
                <w:noProof/>
                <w:color w:val="000000"/>
                <w:sz w:val="18"/>
              </w:rPr>
              <w:t>r.</w:t>
            </w:r>
            <w:r w:rsidR="00A33B9F" w:rsidRPr="00A33B9F">
              <w:rPr>
                <w:rFonts w:ascii="Times New Roman" w:hAnsi="Times New Roman"/>
                <w:noProof/>
                <w:color w:val="000000"/>
                <w:sz w:val="18"/>
              </w:rPr>
              <w:t xml:space="preserve"> w spr</w:t>
            </w:r>
            <w:r w:rsidRPr="00A33B9F">
              <w:rPr>
                <w:rFonts w:ascii="Times New Roman" w:hAnsi="Times New Roman"/>
                <w:noProof/>
                <w:color w:val="000000"/>
                <w:sz w:val="18"/>
              </w:rPr>
              <w:t>awie sposobów sprawdzania dotrzymania dopuszczalnych poziomów pól elektromagnetycznych</w:t>
            </w:r>
            <w:r w:rsidR="00A33B9F" w:rsidRPr="00A33B9F">
              <w:rPr>
                <w:rFonts w:ascii="Times New Roman" w:hAnsi="Times New Roman"/>
                <w:noProof/>
                <w:color w:val="000000"/>
                <w:sz w:val="18"/>
              </w:rPr>
              <w:t xml:space="preserve"> w śro</w:t>
            </w:r>
            <w:r w:rsidRPr="00A33B9F">
              <w:rPr>
                <w:rFonts w:ascii="Times New Roman" w:hAnsi="Times New Roman"/>
                <w:noProof/>
                <w:color w:val="000000"/>
                <w:sz w:val="18"/>
              </w:rPr>
              <w:t>dowisku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D3E70B" w14:textId="425EAF66" w:rsidR="00736BBF" w:rsidRPr="00A33B9F"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rozporządzenia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A0893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578DB2D"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88FFA9"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8C55FB"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C7AB9B"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E49536" w14:textId="2653C137"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zmiany rozporządzenia</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17 lutego 2020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metod pomiaru emisji pól elektromagnetycznych</w:t>
            </w:r>
            <w:r w:rsidR="00A33B9F" w:rsidRPr="00A33B9F">
              <w:rPr>
                <w:rFonts w:ascii="Times New Roman" w:hAnsi="Times New Roman"/>
                <w:noProof/>
                <w:color w:val="000000" w:themeColor="text1"/>
                <w:sz w:val="18"/>
              </w:rPr>
              <w:t xml:space="preserve"> w śro</w:t>
            </w:r>
            <w:r w:rsidRPr="00A33B9F">
              <w:rPr>
                <w:rFonts w:ascii="Times New Roman" w:hAnsi="Times New Roman"/>
                <w:noProof/>
                <w:color w:val="000000" w:themeColor="text1"/>
                <w:sz w:val="18"/>
              </w:rPr>
              <w:t xml:space="preserve">dowisku </w:t>
            </w:r>
          </w:p>
        </w:tc>
      </w:tr>
      <w:tr w:rsidR="00736BBF" w:rsidRPr="00A33B9F" w14:paraId="14E3C55C"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E34955E" w14:textId="56C2F833"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E7C8E0" w14:textId="191608A2"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C1.2 Podniesienie poziomu dostępności</w:t>
            </w:r>
            <w:r w:rsidR="00A33B9F" w:rsidRPr="00A33B9F">
              <w:rPr>
                <w:rFonts w:ascii="Times New Roman" w:hAnsi="Times New Roman"/>
                <w:noProof/>
                <w:color w:val="000000"/>
                <w:sz w:val="18"/>
              </w:rPr>
              <w:t xml:space="preserve"> i wyk</w:t>
            </w:r>
            <w:r w:rsidRPr="00A33B9F">
              <w:rPr>
                <w:rFonts w:ascii="Times New Roman" w:hAnsi="Times New Roman"/>
                <w:noProof/>
                <w:color w:val="000000"/>
                <w:sz w:val="18"/>
              </w:rPr>
              <w:t>orzystania nowoczesnej łączności przewodowej</w:t>
            </w:r>
            <w:r w:rsidR="00A33B9F" w:rsidRPr="00A33B9F">
              <w:rPr>
                <w:rFonts w:ascii="Times New Roman" w:hAnsi="Times New Roman"/>
                <w:noProof/>
                <w:color w:val="000000"/>
                <w:sz w:val="18"/>
              </w:rPr>
              <w:t xml:space="preserve"> i bez</w:t>
            </w:r>
            <w:r w:rsidRPr="00A33B9F">
              <w:rPr>
                <w:rFonts w:ascii="Times New Roman" w:hAnsi="Times New Roman"/>
                <w:noProof/>
                <w:color w:val="000000"/>
                <w:sz w:val="18"/>
              </w:rPr>
              <w:t>przewodowej na potrzeby społeczne</w:t>
            </w:r>
            <w:r w:rsidR="00A33B9F" w:rsidRPr="00A33B9F">
              <w:rPr>
                <w:rFonts w:ascii="Times New Roman" w:hAnsi="Times New Roman"/>
                <w:noProof/>
                <w:color w:val="000000"/>
                <w:sz w:val="18"/>
              </w:rPr>
              <w:t xml:space="preserve"> i gos</w:t>
            </w:r>
            <w:r w:rsidRPr="00A33B9F">
              <w:rPr>
                <w:rFonts w:ascii="Times New Roman" w:hAnsi="Times New Roman"/>
                <w:noProof/>
                <w:color w:val="000000"/>
                <w:sz w:val="18"/>
              </w:rPr>
              <w:t xml:space="preserve">podarcze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F4DD39"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FF7385" w14:textId="2C0393C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Zmiana rozporządzenia Rady Ministrów</w:t>
            </w:r>
            <w:r w:rsidR="00A33B9F" w:rsidRPr="00A33B9F">
              <w:rPr>
                <w:rFonts w:ascii="Times New Roman" w:hAnsi="Times New Roman"/>
                <w:noProof/>
                <w:color w:val="000000"/>
                <w:sz w:val="18"/>
              </w:rPr>
              <w:t xml:space="preserve"> z dni</w:t>
            </w:r>
            <w:r w:rsidRPr="00A33B9F">
              <w:rPr>
                <w:rFonts w:ascii="Times New Roman" w:hAnsi="Times New Roman"/>
                <w:noProof/>
                <w:color w:val="000000"/>
                <w:sz w:val="18"/>
              </w:rPr>
              <w:t>a 10 września 2019</w:t>
            </w:r>
            <w:r w:rsidR="00A33B9F" w:rsidRPr="00A33B9F">
              <w:rPr>
                <w:rFonts w:ascii="Times New Roman" w:hAnsi="Times New Roman"/>
                <w:noProof/>
                <w:color w:val="000000"/>
                <w:sz w:val="18"/>
              </w:rPr>
              <w:t> </w:t>
            </w:r>
            <w:r w:rsidRPr="00A33B9F">
              <w:rPr>
                <w:rFonts w:ascii="Times New Roman" w:hAnsi="Times New Roman"/>
                <w:noProof/>
                <w:color w:val="000000"/>
                <w:sz w:val="18"/>
              </w:rPr>
              <w:t>r.</w:t>
            </w:r>
            <w:r w:rsidR="00A33B9F" w:rsidRPr="00A33B9F">
              <w:rPr>
                <w:rFonts w:ascii="Times New Roman" w:hAnsi="Times New Roman"/>
                <w:noProof/>
                <w:color w:val="000000"/>
                <w:sz w:val="18"/>
              </w:rPr>
              <w:t xml:space="preserve"> w spr</w:t>
            </w:r>
            <w:r w:rsidRPr="00A33B9F">
              <w:rPr>
                <w:rFonts w:ascii="Times New Roman" w:hAnsi="Times New Roman"/>
                <w:noProof/>
                <w:color w:val="000000"/>
                <w:sz w:val="18"/>
              </w:rPr>
              <w:t>awie przedsięwzięć mogących znacząco oddziaływać na środowisko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9F32B6" w14:textId="0CED0670" w:rsidR="00736BBF" w:rsidRPr="00A33B9F"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rozporządzenia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00BD0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F8886C"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F29438"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9B3ACD"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97CBA7"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8B645F" w14:textId="75023A15"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zmienionego rozporządzenia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przedsięwzięć, które mogą mieć znaczący wpływ na środowisko, co spowoduje wyłączenie inwestycji radiokomunikacyjnych</w:t>
            </w:r>
            <w:r w:rsidR="00A33B9F" w:rsidRPr="00A33B9F">
              <w:rPr>
                <w:rFonts w:ascii="Times New Roman" w:hAnsi="Times New Roman"/>
                <w:noProof/>
                <w:color w:val="000000" w:themeColor="text1"/>
                <w:sz w:val="18"/>
              </w:rPr>
              <w:t xml:space="preserve"> z kat</w:t>
            </w:r>
            <w:r w:rsidRPr="00A33B9F">
              <w:rPr>
                <w:rFonts w:ascii="Times New Roman" w:hAnsi="Times New Roman"/>
                <w:noProof/>
                <w:color w:val="000000" w:themeColor="text1"/>
                <w:sz w:val="18"/>
              </w:rPr>
              <w:t xml:space="preserve">alogu przedsięwzięć wymagających przeprowadzenia oceny oddziaływania na środowisko. </w:t>
            </w:r>
          </w:p>
        </w:tc>
      </w:tr>
      <w:tr w:rsidR="00736BBF" w:rsidRPr="00A33B9F" w14:paraId="2AD764E0"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ECBAF40" w14:textId="10B8A594"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C3L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780533" w14:textId="26FB1E3D"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C1.2 Podniesienie poziomu dostępności</w:t>
            </w:r>
            <w:r w:rsidR="00A33B9F" w:rsidRPr="00A33B9F">
              <w:rPr>
                <w:rFonts w:ascii="Times New Roman" w:hAnsi="Times New Roman"/>
                <w:noProof/>
                <w:color w:val="000000"/>
                <w:sz w:val="18"/>
              </w:rPr>
              <w:t xml:space="preserve"> i wyk</w:t>
            </w:r>
            <w:r w:rsidRPr="00A33B9F">
              <w:rPr>
                <w:rFonts w:ascii="Times New Roman" w:hAnsi="Times New Roman"/>
                <w:noProof/>
                <w:color w:val="000000"/>
                <w:sz w:val="18"/>
              </w:rPr>
              <w:t>orzystania nowoczesnej łączności przewodowej</w:t>
            </w:r>
            <w:r w:rsidR="00A33B9F" w:rsidRPr="00A33B9F">
              <w:rPr>
                <w:rFonts w:ascii="Times New Roman" w:hAnsi="Times New Roman"/>
                <w:noProof/>
                <w:color w:val="000000"/>
                <w:sz w:val="18"/>
              </w:rPr>
              <w:t xml:space="preserve"> i bez</w:t>
            </w:r>
            <w:r w:rsidRPr="00A33B9F">
              <w:rPr>
                <w:rFonts w:ascii="Times New Roman" w:hAnsi="Times New Roman"/>
                <w:noProof/>
                <w:color w:val="000000"/>
                <w:sz w:val="18"/>
              </w:rPr>
              <w:t>przewodowej na potrzeby społeczne</w:t>
            </w:r>
            <w:r w:rsidR="00A33B9F" w:rsidRPr="00A33B9F">
              <w:rPr>
                <w:rFonts w:ascii="Times New Roman" w:hAnsi="Times New Roman"/>
                <w:noProof/>
                <w:color w:val="000000"/>
                <w:sz w:val="18"/>
              </w:rPr>
              <w:t xml:space="preserve"> i gos</w:t>
            </w:r>
            <w:r w:rsidRPr="00A33B9F">
              <w:rPr>
                <w:rFonts w:ascii="Times New Roman" w:hAnsi="Times New Roman"/>
                <w:noProof/>
                <w:color w:val="000000"/>
                <w:sz w:val="18"/>
              </w:rPr>
              <w:t xml:space="preserve">podarcze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7C474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8DCAB5" w14:textId="441A908B" w:rsidR="00736BBF" w:rsidRPr="00A33B9F" w:rsidRDefault="3DABDFF4" w:rsidP="28AD0CF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Nowy akt prawny służący likwidacji barier we wdrażaniu sieci 5G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0831AC2" w14:textId="6B19E707" w:rsidR="00736BBF" w:rsidRPr="00A33B9F" w:rsidRDefault="3AC752BC" w:rsidP="28AD0CF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FE01A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264DCC"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996775"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72B8DF"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A7F294E"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5403CB4" w14:textId="62844FB7" w:rsidR="00736BBF" w:rsidRPr="00A33B9F" w:rsidRDefault="30A22D4D" w:rsidP="28AD0CF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lub aktów prawnych, którymi zlikwiduje się bariery we wdrażaniu sieci 5G.</w:t>
            </w:r>
          </w:p>
        </w:tc>
      </w:tr>
      <w:tr w:rsidR="007E7056" w:rsidRPr="00A33B9F" w14:paraId="75E3ADAD"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3F67C8" w14:textId="56F5AFBE" w:rsidR="007E7056" w:rsidRPr="00A33B9F"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C8L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7D2BE5" w14:textId="4892E2D0" w:rsidR="007E7056" w:rsidRPr="00A33B9F" w:rsidRDefault="007E7056" w:rsidP="000248C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C2.2 Reforma podstaw transformacji cyfrowej systemu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099834" w14:textId="257EF31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20DC94" w14:textId="2F293F4F"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Przyjęcie nowej polityki transformacji cyfrowej</w:t>
            </w:r>
            <w:r w:rsidR="00A33B9F" w:rsidRPr="00A33B9F">
              <w:rPr>
                <w:rFonts w:ascii="Times New Roman" w:hAnsi="Times New Roman"/>
                <w:noProof/>
                <w:color w:val="000000"/>
                <w:sz w:val="18"/>
              </w:rPr>
              <w:t xml:space="preserve"> w obs</w:t>
            </w:r>
            <w:r w:rsidRPr="00A33B9F">
              <w:rPr>
                <w:rFonts w:ascii="Times New Roman" w:hAnsi="Times New Roman"/>
                <w:noProof/>
                <w:color w:val="000000"/>
                <w:sz w:val="18"/>
              </w:rPr>
              <w:t>zarze edukacji, stanowiącej podstawę zmian</w:t>
            </w:r>
            <w:r w:rsidR="00A33B9F" w:rsidRPr="00A33B9F">
              <w:rPr>
                <w:rFonts w:ascii="Times New Roman" w:hAnsi="Times New Roman"/>
                <w:noProof/>
                <w:color w:val="000000"/>
                <w:sz w:val="18"/>
              </w:rPr>
              <w:t xml:space="preserve"> w sys</w:t>
            </w:r>
            <w:r w:rsidRPr="00A33B9F">
              <w:rPr>
                <w:rFonts w:ascii="Times New Roman" w:hAnsi="Times New Roman"/>
                <w:noProof/>
                <w:color w:val="000000"/>
                <w:sz w:val="18"/>
              </w:rPr>
              <w:t>temie edukacji</w:t>
            </w:r>
            <w:r w:rsidR="00A33B9F" w:rsidRPr="00A33B9F">
              <w:rPr>
                <w:rFonts w:ascii="Times New Roman" w:hAnsi="Times New Roman"/>
                <w:noProof/>
                <w:color w:val="000000"/>
                <w:sz w:val="18"/>
              </w:rPr>
              <w:t xml:space="preserve"> i rea</w:t>
            </w:r>
            <w:r w:rsidRPr="00A33B9F">
              <w:rPr>
                <w:rFonts w:ascii="Times New Roman" w:hAnsi="Times New Roman"/>
                <w:noProof/>
                <w:color w:val="000000"/>
                <w:sz w:val="18"/>
              </w:rPr>
              <w:t>lizacji inwestycji w ICT oraz służącej określeniu kierunków procesu transformacji cyfrowej systemu edukacji</w:t>
            </w:r>
            <w:r w:rsidR="00A33B9F" w:rsidRPr="00A33B9F">
              <w:rPr>
                <w:rFonts w:ascii="Times New Roman" w:hAnsi="Times New Roman"/>
                <w:noProof/>
                <w:color w:val="000000"/>
                <w:sz w:val="18"/>
              </w:rPr>
              <w:t xml:space="preserve"> w per</w:t>
            </w:r>
            <w:r w:rsidRPr="00A33B9F">
              <w:rPr>
                <w:rFonts w:ascii="Times New Roman" w:hAnsi="Times New Roman"/>
                <w:noProof/>
                <w:color w:val="000000"/>
                <w:sz w:val="18"/>
              </w:rPr>
              <w:t>spektywie krótko-</w:t>
            </w:r>
            <w:r w:rsidR="00A33B9F" w:rsidRPr="00A33B9F">
              <w:rPr>
                <w:rFonts w:ascii="Times New Roman" w:hAnsi="Times New Roman"/>
                <w:noProof/>
                <w:color w:val="000000"/>
                <w:sz w:val="18"/>
              </w:rPr>
              <w:t xml:space="preserve"> i dłu</w:t>
            </w:r>
            <w:r w:rsidRPr="00A33B9F">
              <w:rPr>
                <w:rFonts w:ascii="Times New Roman" w:hAnsi="Times New Roman"/>
                <w:noProof/>
                <w:color w:val="000000"/>
                <w:sz w:val="18"/>
              </w:rPr>
              <w:t>goterminowej</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BB03DD" w14:textId="4CD29698"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Przyjęcie polityki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9016EB" w14:textId="45E81D09"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CC02DA" w14:textId="74AEB79C" w:rsidR="007E7056" w:rsidRPr="00A33B9F"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9611A2" w14:textId="6DC6D79A" w:rsidR="007E7056" w:rsidRPr="00A33B9F"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2F1C51" w14:textId="004A1993"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III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5E1D31" w14:textId="35C3BBCC"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sz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92C030" w14:textId="6A002AC6"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Przyjęcie przez Radę Ministrów uchwały</w:t>
            </w:r>
            <w:r w:rsidR="00A33B9F" w:rsidRPr="00A33B9F">
              <w:rPr>
                <w:rFonts w:ascii="Times New Roman" w:hAnsi="Times New Roman"/>
                <w:noProof/>
                <w:color w:val="000000"/>
                <w:sz w:val="18"/>
              </w:rPr>
              <w:t xml:space="preserve"> w spr</w:t>
            </w:r>
            <w:r w:rsidRPr="00A33B9F">
              <w:rPr>
                <w:rFonts w:ascii="Times New Roman" w:hAnsi="Times New Roman"/>
                <w:noProof/>
                <w:color w:val="000000"/>
                <w:sz w:val="18"/>
              </w:rPr>
              <w:t>awie polityki transformacji cyfrowej obszaru edukacji, mającej charakter dokumentu programowo-strategicznego, służącego do wyznaczenia ram dla polityki państwa</w:t>
            </w:r>
            <w:r w:rsidR="00A33B9F" w:rsidRPr="00A33B9F">
              <w:rPr>
                <w:rFonts w:ascii="Times New Roman" w:hAnsi="Times New Roman"/>
                <w:noProof/>
                <w:color w:val="000000"/>
                <w:sz w:val="18"/>
              </w:rPr>
              <w:t xml:space="preserve"> i dzi</w:t>
            </w:r>
            <w:r w:rsidRPr="00A33B9F">
              <w:rPr>
                <w:rFonts w:ascii="Times New Roman" w:hAnsi="Times New Roman"/>
                <w:noProof/>
                <w:color w:val="000000"/>
                <w:sz w:val="18"/>
              </w:rPr>
              <w:t>ałań podejmowanych</w:t>
            </w:r>
            <w:r w:rsidR="00A33B9F" w:rsidRPr="00A33B9F">
              <w:rPr>
                <w:rFonts w:ascii="Times New Roman" w:hAnsi="Times New Roman"/>
                <w:noProof/>
                <w:color w:val="000000"/>
                <w:sz w:val="18"/>
              </w:rPr>
              <w:t xml:space="preserve"> w obs</w:t>
            </w:r>
            <w:r w:rsidRPr="00A33B9F">
              <w:rPr>
                <w:rFonts w:ascii="Times New Roman" w:hAnsi="Times New Roman"/>
                <w:noProof/>
                <w:color w:val="000000"/>
                <w:sz w:val="18"/>
              </w:rPr>
              <w:t>zarze transformacji cyfrowej edukacji</w:t>
            </w:r>
            <w:r w:rsidR="00A33B9F" w:rsidRPr="00A33B9F">
              <w:rPr>
                <w:rFonts w:ascii="Times New Roman" w:hAnsi="Times New Roman"/>
                <w:noProof/>
                <w:color w:val="000000"/>
                <w:sz w:val="18"/>
              </w:rPr>
              <w:t xml:space="preserve"> w per</w:t>
            </w:r>
            <w:r w:rsidRPr="00A33B9F">
              <w:rPr>
                <w:rFonts w:ascii="Times New Roman" w:hAnsi="Times New Roman"/>
                <w:noProof/>
                <w:color w:val="000000"/>
                <w:sz w:val="18"/>
              </w:rPr>
              <w:t>spektywie krótko-, średnio-</w:t>
            </w:r>
            <w:r w:rsidR="00A33B9F" w:rsidRPr="00A33B9F">
              <w:rPr>
                <w:rFonts w:ascii="Times New Roman" w:hAnsi="Times New Roman"/>
                <w:noProof/>
                <w:color w:val="000000"/>
                <w:sz w:val="18"/>
              </w:rPr>
              <w:t xml:space="preserve"> i dłu</w:t>
            </w:r>
            <w:r w:rsidRPr="00A33B9F">
              <w:rPr>
                <w:rFonts w:ascii="Times New Roman" w:hAnsi="Times New Roman"/>
                <w:noProof/>
                <w:color w:val="000000"/>
                <w:sz w:val="18"/>
              </w:rPr>
              <w:t>goterminowej. Dokument ten stanowi podstawę działań zainteresowanych stron</w:t>
            </w:r>
            <w:r w:rsidR="00A33B9F" w:rsidRPr="00A33B9F">
              <w:rPr>
                <w:rFonts w:ascii="Times New Roman" w:hAnsi="Times New Roman"/>
                <w:noProof/>
                <w:color w:val="000000"/>
                <w:sz w:val="18"/>
              </w:rPr>
              <w:t xml:space="preserve"> i pod</w:t>
            </w:r>
            <w:r w:rsidRPr="00A33B9F">
              <w:rPr>
                <w:rFonts w:ascii="Times New Roman" w:hAnsi="Times New Roman"/>
                <w:noProof/>
                <w:color w:val="000000"/>
                <w:sz w:val="18"/>
              </w:rPr>
              <w:t>miotów będących uczestnikami oraz zostanie wykorzystany do określenia narzędzi służących osiągnięciu</w:t>
            </w:r>
            <w:r w:rsidR="00A33B9F" w:rsidRPr="00A33B9F">
              <w:rPr>
                <w:rFonts w:ascii="Times New Roman" w:hAnsi="Times New Roman"/>
                <w:noProof/>
                <w:color w:val="000000"/>
                <w:sz w:val="18"/>
              </w:rPr>
              <w:t xml:space="preserve"> w peł</w:t>
            </w:r>
            <w:r w:rsidRPr="00A33B9F">
              <w:rPr>
                <w:rFonts w:ascii="Times New Roman" w:hAnsi="Times New Roman"/>
                <w:noProof/>
                <w:color w:val="000000"/>
                <w:sz w:val="18"/>
              </w:rPr>
              <w:t>ni cyfrowego systemu edukacji, dostosowanego do współczesnych wyzwań środowiska edukacji przedszkolnej</w:t>
            </w:r>
            <w:r w:rsidR="00A33B9F" w:rsidRPr="00A33B9F">
              <w:rPr>
                <w:rFonts w:ascii="Times New Roman" w:hAnsi="Times New Roman"/>
                <w:noProof/>
                <w:color w:val="000000"/>
                <w:sz w:val="18"/>
              </w:rPr>
              <w:t xml:space="preserve"> i ksz</w:t>
            </w:r>
            <w:r w:rsidRPr="00A33B9F">
              <w:rPr>
                <w:rFonts w:ascii="Times New Roman" w:hAnsi="Times New Roman"/>
                <w:noProof/>
                <w:color w:val="000000"/>
                <w:sz w:val="18"/>
              </w:rPr>
              <w:t>tałcenia ogólnego. Polityka ta obejmuje plan wdrażania, środki oceny</w:t>
            </w:r>
            <w:r w:rsidR="00A33B9F" w:rsidRPr="00A33B9F">
              <w:rPr>
                <w:rFonts w:ascii="Times New Roman" w:hAnsi="Times New Roman"/>
                <w:noProof/>
                <w:color w:val="000000"/>
                <w:sz w:val="18"/>
              </w:rPr>
              <w:t xml:space="preserve"> i mon</w:t>
            </w:r>
            <w:r w:rsidRPr="00A33B9F">
              <w:rPr>
                <w:rFonts w:ascii="Times New Roman" w:hAnsi="Times New Roman"/>
                <w:noProof/>
                <w:color w:val="000000"/>
                <w:sz w:val="18"/>
              </w:rPr>
              <w:t>itorowania oraz jest opracowywana</w:t>
            </w:r>
            <w:r w:rsidR="00A33B9F" w:rsidRPr="00A33B9F">
              <w:rPr>
                <w:rFonts w:ascii="Times New Roman" w:hAnsi="Times New Roman"/>
                <w:noProof/>
                <w:color w:val="000000"/>
                <w:sz w:val="18"/>
              </w:rPr>
              <w:t xml:space="preserve"> z zas</w:t>
            </w:r>
            <w:r w:rsidRPr="00A33B9F">
              <w:rPr>
                <w:rFonts w:ascii="Times New Roman" w:hAnsi="Times New Roman"/>
                <w:noProof/>
                <w:color w:val="000000"/>
                <w:sz w:val="18"/>
              </w:rPr>
              <w:t xml:space="preserve">tosowaniem podejścia partycypacyjnego. </w:t>
            </w:r>
          </w:p>
        </w:tc>
      </w:tr>
      <w:tr w:rsidR="007E7056" w:rsidRPr="00A33B9F" w14:paraId="24658D48" w14:textId="77777777" w:rsidTr="28AD0CF8">
        <w:trPr>
          <w:trHeight w:val="269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E2122F" w14:textId="06F5C48D" w:rsidR="007E7056" w:rsidRPr="00A33B9F" w:rsidRDefault="007E7056" w:rsidP="007E7056">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C9L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0234B4" w14:textId="65199C9F" w:rsidR="007E7056" w:rsidRPr="00A33B9F" w:rsidRDefault="007E7056" w:rsidP="007E7056">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C2.2.1 Wyposażenie szkół/instytucji</w:t>
            </w:r>
            <w:r w:rsidR="00A33B9F" w:rsidRPr="00A33B9F">
              <w:rPr>
                <w:rFonts w:ascii="Times New Roman" w:hAnsi="Times New Roman"/>
                <w:noProof/>
                <w:color w:val="000000" w:themeColor="text1"/>
                <w:sz w:val="18"/>
              </w:rPr>
              <w:t xml:space="preserve"> w odp</w:t>
            </w:r>
            <w:r w:rsidRPr="00A33B9F">
              <w:rPr>
                <w:rFonts w:ascii="Times New Roman" w:hAnsi="Times New Roman"/>
                <w:noProof/>
                <w:color w:val="000000" w:themeColor="text1"/>
                <w:sz w:val="18"/>
              </w:rPr>
              <w:t>owiednie urządzenia</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rastrukturę ICT</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AF3BF" w14:textId="795E22E0" w:rsidR="007E7056" w:rsidRPr="00A33B9F" w:rsidRDefault="007E7056" w:rsidP="007E7056">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75FD1E" w14:textId="42A5E602" w:rsidR="007E7056" w:rsidRPr="00A33B9F" w:rsidRDefault="007E7056" w:rsidP="007E7056">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Konsultacje publiczne</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ram określających procedury dystrybucji sprzętu ICT oraz udostępniania infrastruktury szkołom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0F38B7" w14:textId="14B633D1" w:rsidR="007E7056" w:rsidRPr="00A33B9F" w:rsidRDefault="007E7056" w:rsidP="007E7056">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Sprawozdanie podsumowujące wyniki konsultacji publicznych</w:t>
            </w:r>
            <w:r w:rsidR="00A33B9F" w:rsidRPr="00A33B9F">
              <w:rPr>
                <w:rFonts w:ascii="Times New Roman" w:hAnsi="Times New Roman"/>
                <w:noProof/>
                <w:color w:val="000000" w:themeColor="text1"/>
                <w:sz w:val="18"/>
              </w:rPr>
              <w:t xml:space="preserve"> i nas</w:t>
            </w:r>
            <w:r w:rsidRPr="00A33B9F">
              <w:rPr>
                <w:rFonts w:ascii="Times New Roman" w:hAnsi="Times New Roman"/>
                <w:noProof/>
                <w:color w:val="000000" w:themeColor="text1"/>
                <w:sz w:val="18"/>
              </w:rPr>
              <w:t>tępujące po nich działania rządu</w:t>
            </w:r>
            <w:r w:rsidR="00C3621A" w:rsidRPr="00A33B9F">
              <w:rPr>
                <w:rFonts w:ascii="Times New Roman" w:hAnsi="Times New Roman"/>
                <w:noProof/>
                <w:color w:val="000000" w:themeColor="text1"/>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0F8D0A" w14:textId="7D445891" w:rsidR="007E7056" w:rsidRPr="00A33B9F" w:rsidRDefault="007E7056" w:rsidP="007E7056">
            <w:pPr>
              <w:pStyle w:val="Normal0"/>
              <w:spacing w:line="240" w:lineRule="auto"/>
              <w:rPr>
                <w:rFonts w:ascii="Times New Roman" w:eastAsia="Times New Roman" w:hAnsi="Times New Roman" w:cs="Times New Roman"/>
                <w:noProof/>
                <w:color w:val="000000" w:themeColor="text1"/>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E8146F" w14:textId="3288E3F1" w:rsidR="007E7056" w:rsidRPr="00A33B9F" w:rsidRDefault="007E7056" w:rsidP="007E7056">
            <w:pPr>
              <w:pStyle w:val="Normal0"/>
              <w:spacing w:line="240" w:lineRule="auto"/>
              <w:rPr>
                <w:rFonts w:ascii="Times New Roman" w:eastAsia="Times New Roman" w:hAnsi="Times New Roman" w:cs="Times New Roman"/>
                <w:noProof/>
                <w:color w:val="000000" w:themeColor="text1"/>
                <w:sz w:val="18"/>
                <w:szCs w:val="18"/>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C5389D" w14:textId="5896CC49" w:rsidR="007E7056" w:rsidRPr="00A33B9F" w:rsidRDefault="007E7056" w:rsidP="007E7056">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0A1BCB" w14:textId="43DB302C" w:rsidR="007E7056" w:rsidRPr="00A33B9F" w:rsidRDefault="007E7056" w:rsidP="007E7056">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130820" w14:textId="257C4BC9" w:rsidR="007E7056" w:rsidRPr="00A33B9F" w:rsidRDefault="007E7056" w:rsidP="007E7056">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CF4AC0" w14:textId="23E022EB" w:rsidR="007E7056" w:rsidRPr="00A33B9F" w:rsidRDefault="007E7056" w:rsidP="007E7056">
            <w:pPr>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Konsultacje publiczne</w:t>
            </w:r>
            <w:r w:rsidR="00A33B9F" w:rsidRPr="00A33B9F">
              <w:rPr>
                <w:rFonts w:ascii="Times New Roman" w:hAnsi="Times New Roman"/>
                <w:noProof/>
                <w:color w:val="000000" w:themeColor="text1"/>
                <w:sz w:val="18"/>
              </w:rPr>
              <w:t xml:space="preserve"> z udz</w:t>
            </w:r>
            <w:r w:rsidRPr="00A33B9F">
              <w:rPr>
                <w:rFonts w:ascii="Times New Roman" w:hAnsi="Times New Roman"/>
                <w:noProof/>
                <w:color w:val="000000" w:themeColor="text1"/>
                <w:sz w:val="18"/>
              </w:rPr>
              <w:t>iałem szeregu zainteresowanych stron</w:t>
            </w:r>
            <w:r w:rsidR="00A33B9F" w:rsidRPr="00A33B9F">
              <w:rPr>
                <w:rFonts w:ascii="Times New Roman" w:hAnsi="Times New Roman"/>
                <w:noProof/>
                <w:color w:val="000000" w:themeColor="text1"/>
                <w:sz w:val="18"/>
              </w:rPr>
              <w:t xml:space="preserve"> i par</w:t>
            </w:r>
            <w:r w:rsidRPr="00A33B9F">
              <w:rPr>
                <w:rFonts w:ascii="Times New Roman" w:hAnsi="Times New Roman"/>
                <w:noProof/>
                <w:color w:val="000000" w:themeColor="text1"/>
                <w:sz w:val="18"/>
              </w:rPr>
              <w:t xml:space="preserve">tnerów społecznych, dotyczące ram dystrybucji sprzętu ICT (zestawu informatycznego na potrzeby nauczania zdalnego) oraz udostępniania infrastruktury szkołom (połączenia LAN, laboratoria STEM i AI). </w:t>
            </w:r>
          </w:p>
          <w:p w14:paraId="4A9AB89F" w14:textId="09B04CE6" w:rsidR="007E7056" w:rsidRPr="00A33B9F" w:rsidRDefault="007E7056" w:rsidP="007E7056">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Wyniki konsultacji podsumowuje się</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awozdaniu zawierającym najważniejsze uwagi zainteresowanych stron</w:t>
            </w:r>
            <w:r w:rsidR="00A33B9F" w:rsidRPr="00A33B9F">
              <w:rPr>
                <w:rFonts w:ascii="Times New Roman" w:hAnsi="Times New Roman"/>
                <w:noProof/>
                <w:color w:val="000000" w:themeColor="text1"/>
                <w:sz w:val="18"/>
              </w:rPr>
              <w:t xml:space="preserve"> i par</w:t>
            </w:r>
            <w:r w:rsidRPr="00A33B9F">
              <w:rPr>
                <w:rFonts w:ascii="Times New Roman" w:hAnsi="Times New Roman"/>
                <w:noProof/>
                <w:color w:val="000000" w:themeColor="text1"/>
                <w:sz w:val="18"/>
              </w:rPr>
              <w:t>tnerów społecznych oraz działania następcze podjęte przez rząd</w:t>
            </w:r>
            <w:r w:rsidR="00A33B9F" w:rsidRPr="00A33B9F">
              <w:rPr>
                <w:rFonts w:ascii="Times New Roman" w:hAnsi="Times New Roman"/>
                <w:noProof/>
                <w:color w:val="000000" w:themeColor="text1"/>
                <w:sz w:val="18"/>
              </w:rPr>
              <w:t xml:space="preserve"> w zwi</w:t>
            </w:r>
            <w:r w:rsidRPr="00A33B9F">
              <w:rPr>
                <w:rFonts w:ascii="Times New Roman" w:hAnsi="Times New Roman"/>
                <w:noProof/>
                <w:color w:val="000000" w:themeColor="text1"/>
                <w:sz w:val="18"/>
              </w:rPr>
              <w:t>ązku</w:t>
            </w:r>
            <w:r w:rsidR="00A33B9F" w:rsidRPr="00A33B9F">
              <w:rPr>
                <w:rFonts w:ascii="Times New Roman" w:hAnsi="Times New Roman"/>
                <w:noProof/>
                <w:color w:val="000000" w:themeColor="text1"/>
                <w:sz w:val="18"/>
              </w:rPr>
              <w:t xml:space="preserve"> z tym</w:t>
            </w:r>
            <w:r w:rsidRPr="00A33B9F">
              <w:rPr>
                <w:rFonts w:ascii="Times New Roman" w:hAnsi="Times New Roman"/>
                <w:noProof/>
                <w:color w:val="000000" w:themeColor="text1"/>
                <w:sz w:val="18"/>
              </w:rPr>
              <w:t>i uwagami.</w:t>
            </w:r>
          </w:p>
        </w:tc>
      </w:tr>
      <w:tr w:rsidR="007E7056" w:rsidRPr="00A33B9F" w14:paraId="0152567C"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81864F" w14:textId="0B5CB53C" w:rsidR="007E7056" w:rsidRPr="00A33B9F"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C10L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97ACF8" w14:textId="7966C49F"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C2.2.1 Wyposażenie szkół/instytucji</w:t>
            </w:r>
            <w:r w:rsidR="00A33B9F" w:rsidRPr="00A33B9F">
              <w:rPr>
                <w:rFonts w:ascii="Times New Roman" w:hAnsi="Times New Roman"/>
                <w:noProof/>
                <w:color w:val="000000" w:themeColor="text1"/>
                <w:sz w:val="18"/>
              </w:rPr>
              <w:t xml:space="preserve"> w odp</w:t>
            </w:r>
            <w:r w:rsidRPr="00A33B9F">
              <w:rPr>
                <w:rFonts w:ascii="Times New Roman" w:hAnsi="Times New Roman"/>
                <w:noProof/>
                <w:color w:val="000000" w:themeColor="text1"/>
                <w:sz w:val="18"/>
              </w:rPr>
              <w:t>owiednie urządzenia</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rastrukturę ICT</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411E03"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CEAD62" w14:textId="7EA18560"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r w:rsidRPr="00A33B9F">
              <w:rPr>
                <w:rFonts w:ascii="Times New Roman" w:hAnsi="Times New Roman"/>
                <w:noProof/>
                <w:color w:val="000000" w:themeColor="text1"/>
                <w:sz w:val="18"/>
              </w:rPr>
              <w:t>Ramy określające procedury dystrybucji urządzeń ICT oraz udostępniania infrastruktury szkołom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002A53" w14:textId="5262A092"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Przyjęcie przez Ministerstwo Edukacji</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ki</w:t>
            </w:r>
            <w:r w:rsidR="00C3621A" w:rsidRPr="00A33B9F">
              <w:rPr>
                <w:rFonts w:ascii="Times New Roman" w:hAnsi="Times New Roman"/>
                <w:noProof/>
                <w:color w:val="000000" w:themeColor="text1"/>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FCBC07"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28B4D0"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4959D4B"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BAA5A8" w14:textId="77777777"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683A13" w14:textId="77777777"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2023</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D2D3D6" w14:textId="55C4C5BB" w:rsidR="007E7056" w:rsidRPr="00A33B9F" w:rsidRDefault="007E7056" w:rsidP="007E7056">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ramach tych określa się minimalne warunki dystrybucji sprzętu ICT oraz udostępniania infrastruktury szkołom będącym beneficjentami, wynikające</w:t>
            </w:r>
            <w:r w:rsidR="00A33B9F" w:rsidRPr="00A33B9F">
              <w:rPr>
                <w:rFonts w:ascii="Times New Roman" w:hAnsi="Times New Roman"/>
                <w:noProof/>
                <w:color w:val="000000" w:themeColor="text1"/>
                <w:sz w:val="18"/>
              </w:rPr>
              <w:t xml:space="preserve"> z wcz</w:t>
            </w:r>
            <w:r w:rsidRPr="00A33B9F">
              <w:rPr>
                <w:rFonts w:ascii="Times New Roman" w:hAnsi="Times New Roman"/>
                <w:noProof/>
                <w:color w:val="000000" w:themeColor="text1"/>
                <w:sz w:val="18"/>
              </w:rPr>
              <w:t>eśniejszych konsultacji publicznych</w:t>
            </w:r>
            <w:r w:rsidR="00A33B9F" w:rsidRPr="00A33B9F">
              <w:rPr>
                <w:rFonts w:ascii="Times New Roman" w:hAnsi="Times New Roman"/>
                <w:noProof/>
                <w:color w:val="000000" w:themeColor="text1"/>
                <w:sz w:val="18"/>
              </w:rPr>
              <w:t xml:space="preserve"> z róż</w:t>
            </w:r>
            <w:r w:rsidRPr="00A33B9F">
              <w:rPr>
                <w:rFonts w:ascii="Times New Roman" w:hAnsi="Times New Roman"/>
                <w:noProof/>
                <w:color w:val="000000" w:themeColor="text1"/>
                <w:sz w:val="18"/>
              </w:rPr>
              <w:t>nymi zainteresowanymi stronami</w:t>
            </w:r>
            <w:r w:rsidR="00A33B9F" w:rsidRPr="00A33B9F">
              <w:rPr>
                <w:rFonts w:ascii="Times New Roman" w:hAnsi="Times New Roman"/>
                <w:noProof/>
                <w:color w:val="000000" w:themeColor="text1"/>
                <w:sz w:val="18"/>
              </w:rPr>
              <w:t xml:space="preserve"> i par</w:t>
            </w:r>
            <w:r w:rsidRPr="00A33B9F">
              <w:rPr>
                <w:rFonts w:ascii="Times New Roman" w:hAnsi="Times New Roman"/>
                <w:noProof/>
                <w:color w:val="000000" w:themeColor="text1"/>
                <w:sz w:val="18"/>
              </w:rPr>
              <w:t xml:space="preserve">tnerami społecznymi. </w:t>
            </w:r>
          </w:p>
          <w:p w14:paraId="6F6AADFC" w14:textId="1822FA8C" w:rsidR="007E7056" w:rsidRPr="00A33B9F" w:rsidRDefault="007E7056" w:rsidP="007E7056">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p>
          <w:p w14:paraId="6AA1933B" w14:textId="0F36EC69" w:rsidR="007E7056" w:rsidRPr="00A33B9F" w:rsidRDefault="667FBA32" w:rsidP="007E7056">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ramach określa się jasne kryteria wyboru szkół będących beneficjentami; kryteria te odzwierciedlają potrzeby, jeżeli chodzi</w:t>
            </w:r>
            <w:r w:rsidR="00A33B9F" w:rsidRPr="00A33B9F">
              <w:rPr>
                <w:rFonts w:ascii="Times New Roman" w:hAnsi="Times New Roman"/>
                <w:noProof/>
                <w:color w:val="000000" w:themeColor="text1"/>
                <w:sz w:val="18"/>
              </w:rPr>
              <w:t xml:space="preserve"> o spr</w:t>
            </w:r>
            <w:r w:rsidRPr="00A33B9F">
              <w:rPr>
                <w:rFonts w:ascii="Times New Roman" w:hAnsi="Times New Roman"/>
                <w:noProof/>
                <w:color w:val="000000" w:themeColor="text1"/>
                <w:sz w:val="18"/>
              </w:rPr>
              <w:t>zęt</w:t>
            </w:r>
            <w:r w:rsidR="00A33B9F" w:rsidRPr="00A33B9F">
              <w:rPr>
                <w:rFonts w:ascii="Times New Roman" w:hAnsi="Times New Roman"/>
                <w:noProof/>
                <w:color w:val="000000" w:themeColor="text1"/>
                <w:sz w:val="18"/>
              </w:rPr>
              <w:t xml:space="preserve"> i inf</w:t>
            </w:r>
            <w:r w:rsidRPr="00A33B9F">
              <w:rPr>
                <w:rFonts w:ascii="Times New Roman" w:hAnsi="Times New Roman"/>
                <w:noProof/>
                <w:color w:val="000000" w:themeColor="text1"/>
                <w:sz w:val="18"/>
              </w:rPr>
              <w:t>rastrukturę ICT, takie jak laboratoria, oraz ich potencjalny wpływ na wyniki szkół</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edukacji.</w:t>
            </w:r>
            <w:r w:rsidR="00C3621A" w:rsidRPr="00A33B9F">
              <w:rPr>
                <w:rFonts w:ascii="Times New Roman" w:hAnsi="Times New Roman"/>
                <w:noProof/>
                <w:color w:val="000000" w:themeColor="text1"/>
                <w:sz w:val="18"/>
              </w:rPr>
              <w:t xml:space="preserve"> </w:t>
            </w:r>
          </w:p>
          <w:p w14:paraId="539A33D8" w14:textId="77777777" w:rsidR="007E7056" w:rsidRPr="00A33B9F" w:rsidRDefault="007E7056" w:rsidP="007E7056">
            <w:pPr>
              <w:spacing w:after="0" w:line="240" w:lineRule="auto"/>
              <w:rPr>
                <w:rFonts w:ascii="Times New Roman" w:eastAsia="Times New Roman" w:hAnsi="Times New Roman" w:cs="Times New Roman"/>
                <w:noProof/>
                <w:color w:val="000000" w:themeColor="text1"/>
                <w:sz w:val="18"/>
                <w:szCs w:val="18"/>
              </w:rPr>
            </w:pPr>
          </w:p>
          <w:p w14:paraId="2598F88D" w14:textId="74992D49" w:rsidR="007E7056" w:rsidRPr="00A33B9F" w:rsidRDefault="11FA407C" w:rsidP="007E7056">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Biorąc pod uwagę potrzeby poszczególnych szkół będących beneficjentami, zaproszenie do składania ofert na dostawę infrastruktury</w:t>
            </w:r>
            <w:r w:rsidR="00A33B9F" w:rsidRPr="00A33B9F">
              <w:rPr>
                <w:rFonts w:ascii="Times New Roman" w:hAnsi="Times New Roman"/>
                <w:noProof/>
                <w:color w:val="000000" w:themeColor="text1"/>
                <w:sz w:val="18"/>
              </w:rPr>
              <w:t xml:space="preserve"> i spr</w:t>
            </w:r>
            <w:r w:rsidRPr="00A33B9F">
              <w:rPr>
                <w:rFonts w:ascii="Times New Roman" w:hAnsi="Times New Roman"/>
                <w:noProof/>
                <w:color w:val="000000" w:themeColor="text1"/>
                <w:sz w:val="18"/>
              </w:rPr>
              <w:t>zętu ICT, które zostanie przeprowadzone po konsultacjach, musi być zgodne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równości, otwartości, przejrzystości</w:t>
            </w:r>
            <w:r w:rsidR="00A33B9F" w:rsidRPr="00A33B9F">
              <w:rPr>
                <w:rFonts w:ascii="Times New Roman" w:hAnsi="Times New Roman"/>
                <w:noProof/>
                <w:color w:val="000000" w:themeColor="text1"/>
                <w:sz w:val="18"/>
              </w:rPr>
              <w:t xml:space="preserve"> i spr</w:t>
            </w:r>
            <w:r w:rsidRPr="00A33B9F">
              <w:rPr>
                <w:rFonts w:ascii="Times New Roman" w:hAnsi="Times New Roman"/>
                <w:noProof/>
                <w:color w:val="000000" w:themeColor="text1"/>
                <w:sz w:val="18"/>
              </w:rPr>
              <w:t>awiedliwości oraz musi zapewniać zrównoważony podział między szkoły</w:t>
            </w:r>
            <w:r w:rsidR="00A33B9F" w:rsidRPr="00A33B9F">
              <w:rPr>
                <w:rFonts w:ascii="Times New Roman" w:hAnsi="Times New Roman"/>
                <w:noProof/>
                <w:color w:val="000000" w:themeColor="text1"/>
                <w:sz w:val="18"/>
              </w:rPr>
              <w:t xml:space="preserve"> w cał</w:t>
            </w:r>
            <w:r w:rsidRPr="00A33B9F">
              <w:rPr>
                <w:rFonts w:ascii="Times New Roman" w:hAnsi="Times New Roman"/>
                <w:noProof/>
                <w:color w:val="000000" w:themeColor="text1"/>
                <w:sz w:val="18"/>
              </w:rPr>
              <w:t>ym kraju na podstawie zarówno liczby ludności, jak</w:t>
            </w:r>
            <w:r w:rsidR="00A33B9F" w:rsidRPr="00A33B9F">
              <w:rPr>
                <w:rFonts w:ascii="Times New Roman" w:hAnsi="Times New Roman"/>
                <w:noProof/>
                <w:color w:val="000000" w:themeColor="text1"/>
                <w:sz w:val="18"/>
              </w:rPr>
              <w:t xml:space="preserve"> i zas</w:t>
            </w:r>
            <w:r w:rsidRPr="00A33B9F">
              <w:rPr>
                <w:rFonts w:ascii="Times New Roman" w:hAnsi="Times New Roman"/>
                <w:noProof/>
                <w:color w:val="000000" w:themeColor="text1"/>
                <w:sz w:val="18"/>
              </w:rPr>
              <w:t>ięgu geograficznego.</w:t>
            </w:r>
          </w:p>
        </w:tc>
      </w:tr>
      <w:tr w:rsidR="007E7056" w:rsidRPr="00A33B9F" w14:paraId="518BE6AA"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A6DDB2F" w14:textId="26F737DB" w:rsidR="007E7056" w:rsidRPr="00A33B9F"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C12L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7E7C88" w14:textId="1138008F"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C2.2.1 Wyposażenie szkół/instytucji</w:t>
            </w:r>
            <w:r w:rsidR="00A33B9F" w:rsidRPr="00A33B9F">
              <w:rPr>
                <w:rFonts w:ascii="Times New Roman" w:hAnsi="Times New Roman"/>
                <w:noProof/>
                <w:color w:val="000000"/>
                <w:sz w:val="18"/>
              </w:rPr>
              <w:t xml:space="preserve"> w odp</w:t>
            </w:r>
            <w:r w:rsidRPr="00A33B9F">
              <w:rPr>
                <w:rFonts w:ascii="Times New Roman" w:hAnsi="Times New Roman"/>
                <w:noProof/>
                <w:color w:val="000000"/>
                <w:sz w:val="18"/>
              </w:rPr>
              <w:t>owiednie urządzenia</w:t>
            </w:r>
            <w:r w:rsidR="00A33B9F" w:rsidRPr="00A33B9F">
              <w:rPr>
                <w:rFonts w:ascii="Times New Roman" w:hAnsi="Times New Roman"/>
                <w:noProof/>
                <w:color w:val="000000"/>
                <w:sz w:val="18"/>
              </w:rPr>
              <w:t xml:space="preserve"> i inf</w:t>
            </w:r>
            <w:r w:rsidRPr="00A33B9F">
              <w:rPr>
                <w:rFonts w:ascii="Times New Roman" w:hAnsi="Times New Roman"/>
                <w:noProof/>
                <w:color w:val="000000"/>
                <w:sz w:val="18"/>
              </w:rPr>
              <w:t>rastrukturę ICT</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7C3ACE" w14:textId="798A70BD"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6E8E307" w14:textId="2ADF0946"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r w:rsidRPr="00A33B9F">
              <w:rPr>
                <w:rFonts w:ascii="Times New Roman" w:hAnsi="Times New Roman"/>
                <w:noProof/>
                <w:color w:val="000000"/>
                <w:sz w:val="18"/>
              </w:rPr>
              <w:t>Sale lekcyjne</w:t>
            </w:r>
            <w:r w:rsidR="00A33B9F" w:rsidRPr="00A33B9F">
              <w:rPr>
                <w:rFonts w:ascii="Times New Roman" w:hAnsi="Times New Roman"/>
                <w:noProof/>
                <w:color w:val="000000"/>
                <w:sz w:val="18"/>
              </w:rPr>
              <w:t xml:space="preserve"> w szk</w:t>
            </w:r>
            <w:r w:rsidRPr="00A33B9F">
              <w:rPr>
                <w:rFonts w:ascii="Times New Roman" w:hAnsi="Times New Roman"/>
                <w:noProof/>
                <w:color w:val="000000"/>
                <w:sz w:val="18"/>
              </w:rPr>
              <w:t>ołach zawodowych oraz instytucjach kształcenia ogólnego wyposażone</w:t>
            </w:r>
            <w:r w:rsidR="00A33B9F" w:rsidRPr="00A33B9F">
              <w:rPr>
                <w:rFonts w:ascii="Times New Roman" w:hAnsi="Times New Roman"/>
                <w:noProof/>
                <w:color w:val="000000"/>
                <w:sz w:val="18"/>
              </w:rPr>
              <w:t xml:space="preserve"> w nar</w:t>
            </w:r>
            <w:r w:rsidRPr="00A33B9F">
              <w:rPr>
                <w:rFonts w:ascii="Times New Roman" w:hAnsi="Times New Roman"/>
                <w:noProof/>
                <w:color w:val="000000"/>
                <w:sz w:val="18"/>
              </w:rPr>
              <w:t>zędzia informatyczne</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umożliwienia nauczania zdalnego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5A567C"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B4D62B" w14:textId="1988FF59"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892B07" w14:textId="203CE683" w:rsidR="007E7056" w:rsidRPr="00A33B9F"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C448BAC" w14:textId="37311D7E" w:rsidR="007E7056" w:rsidRPr="00A33B9F"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100 000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AF477C" w14:textId="18DBD1A3" w:rsidR="007E7056" w:rsidRPr="00A33B9F" w:rsidRDefault="23C97EB4" w:rsidP="39AECE4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63F95" w14:textId="4094DF74" w:rsidR="007E7056" w:rsidRPr="00A33B9F" w:rsidRDefault="23C97EB4" w:rsidP="39AECE4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697409" w14:textId="4D0994CD" w:rsidR="007E7056" w:rsidRPr="00A33B9F" w:rsidRDefault="46F87959" w:rsidP="28AD0CF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sal lekcyjnych</w:t>
            </w:r>
            <w:r w:rsidR="00A33B9F" w:rsidRPr="00A33B9F">
              <w:rPr>
                <w:rFonts w:ascii="Times New Roman" w:hAnsi="Times New Roman"/>
                <w:noProof/>
                <w:color w:val="000000" w:themeColor="text1"/>
                <w:sz w:val="18"/>
              </w:rPr>
              <w:t xml:space="preserve"> w szk</w:t>
            </w:r>
            <w:r w:rsidRPr="00A33B9F">
              <w:rPr>
                <w:rFonts w:ascii="Times New Roman" w:hAnsi="Times New Roman"/>
                <w:noProof/>
                <w:color w:val="000000" w:themeColor="text1"/>
                <w:sz w:val="18"/>
              </w:rPr>
              <w:t>ołach zawodowych oraz instytucjach kształcenia ogólnego, które zostaną wyposażone</w:t>
            </w:r>
            <w:r w:rsidR="00A33B9F" w:rsidRPr="00A33B9F">
              <w:rPr>
                <w:rFonts w:ascii="Times New Roman" w:hAnsi="Times New Roman"/>
                <w:noProof/>
                <w:color w:val="000000" w:themeColor="text1"/>
                <w:sz w:val="18"/>
              </w:rPr>
              <w:t xml:space="preserve"> w sze</w:t>
            </w:r>
            <w:r w:rsidRPr="00A33B9F">
              <w:rPr>
                <w:rFonts w:ascii="Times New Roman" w:hAnsi="Times New Roman"/>
                <w:noProof/>
                <w:color w:val="000000" w:themeColor="text1"/>
                <w:sz w:val="18"/>
              </w:rPr>
              <w:t>reg narzędzi informatycznych, aby nauczyciele mogli prowadzić lekcje zdalne</w:t>
            </w:r>
            <w:r w:rsidR="00A33B9F" w:rsidRPr="00A33B9F">
              <w:rPr>
                <w:rFonts w:ascii="Times New Roman" w:hAnsi="Times New Roman"/>
                <w:noProof/>
                <w:color w:val="000000" w:themeColor="text1"/>
                <w:sz w:val="18"/>
              </w:rPr>
              <w:t xml:space="preserve"> z pom</w:t>
            </w:r>
            <w:r w:rsidRPr="00A33B9F">
              <w:rPr>
                <w:rFonts w:ascii="Times New Roman" w:hAnsi="Times New Roman"/>
                <w:noProof/>
                <w:color w:val="000000" w:themeColor="text1"/>
                <w:sz w:val="18"/>
              </w:rPr>
              <w:t>ieszczeń placówki. Narzędzia te obejmują komputerowe urządzenia peryferyjne</w:t>
            </w:r>
            <w:r w:rsidR="00A33B9F" w:rsidRPr="00A33B9F">
              <w:rPr>
                <w:rFonts w:ascii="Times New Roman" w:hAnsi="Times New Roman"/>
                <w:noProof/>
                <w:color w:val="000000" w:themeColor="text1"/>
                <w:sz w:val="18"/>
              </w:rPr>
              <w:t xml:space="preserve"> i urz</w:t>
            </w:r>
            <w:r w:rsidRPr="00A33B9F">
              <w:rPr>
                <w:rFonts w:ascii="Times New Roman" w:hAnsi="Times New Roman"/>
                <w:noProof/>
                <w:color w:val="000000" w:themeColor="text1"/>
                <w:sz w:val="18"/>
              </w:rPr>
              <w:t>ądzenia mobilne, ale nie obejmują laptopów.</w:t>
            </w:r>
          </w:p>
          <w:p w14:paraId="4B2445CF" w14:textId="01102C02"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6474FA54" w14:textId="0303F8D1"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Wybór sprzedawców dokona się</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uczciwy, konkurencyjny</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ejrzysty zgodnie</w:t>
            </w:r>
            <w:r w:rsidR="00A33B9F" w:rsidRPr="00A33B9F">
              <w:rPr>
                <w:rFonts w:ascii="Times New Roman" w:hAnsi="Times New Roman"/>
                <w:noProof/>
                <w:color w:val="000000" w:themeColor="text1"/>
                <w:sz w:val="18"/>
              </w:rPr>
              <w:t xml:space="preserve"> z ram</w:t>
            </w:r>
            <w:r w:rsidRPr="00A33B9F">
              <w:rPr>
                <w:rFonts w:ascii="Times New Roman" w:hAnsi="Times New Roman"/>
                <w:noProof/>
                <w:color w:val="000000" w:themeColor="text1"/>
                <w:sz w:val="18"/>
              </w:rPr>
              <w:t>ami kamienia milowego C10L.</w:t>
            </w:r>
          </w:p>
          <w:p w14:paraId="491894CA"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56D20162" w14:textId="6A51743F"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Odbiorcy końcowi ani instytucje samorządowe na szczeblu lokalnym nie będą dokonywać zwrotów na rzecz polskiego rządu</w:t>
            </w:r>
            <w:r w:rsidR="00A33B9F" w:rsidRPr="00A33B9F">
              <w:rPr>
                <w:rFonts w:ascii="Times New Roman" w:hAnsi="Times New Roman"/>
                <w:noProof/>
                <w:color w:val="000000" w:themeColor="text1"/>
                <w:sz w:val="18"/>
              </w:rPr>
              <w:t xml:space="preserve"> w żad</w:t>
            </w:r>
            <w:r w:rsidRPr="00A33B9F">
              <w:rPr>
                <w:rFonts w:ascii="Times New Roman" w:hAnsi="Times New Roman"/>
                <w:noProof/>
                <w:color w:val="000000" w:themeColor="text1"/>
                <w:sz w:val="18"/>
              </w:rPr>
              <w:t>nej formie.</w:t>
            </w:r>
          </w:p>
        </w:tc>
      </w:tr>
      <w:tr w:rsidR="007E7056" w:rsidRPr="00A33B9F" w14:paraId="721A0D02"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B8798E" w14:textId="54EFEAB6" w:rsidR="007E7056" w:rsidRPr="00A33B9F"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C13L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C2856" w14:textId="38CD50D5"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C2.2.1 Wyposażenie szkół/instytucji</w:t>
            </w:r>
            <w:r w:rsidR="00A33B9F" w:rsidRPr="00A33B9F">
              <w:rPr>
                <w:rFonts w:ascii="Times New Roman" w:hAnsi="Times New Roman"/>
                <w:noProof/>
                <w:color w:val="000000"/>
                <w:sz w:val="18"/>
              </w:rPr>
              <w:t xml:space="preserve"> w odp</w:t>
            </w:r>
            <w:r w:rsidRPr="00A33B9F">
              <w:rPr>
                <w:rFonts w:ascii="Times New Roman" w:hAnsi="Times New Roman"/>
                <w:noProof/>
                <w:color w:val="000000"/>
                <w:sz w:val="18"/>
              </w:rPr>
              <w:t>owiednie urządzenia</w:t>
            </w:r>
            <w:r w:rsidR="00A33B9F" w:rsidRPr="00A33B9F">
              <w:rPr>
                <w:rFonts w:ascii="Times New Roman" w:hAnsi="Times New Roman"/>
                <w:noProof/>
                <w:color w:val="000000"/>
                <w:sz w:val="18"/>
              </w:rPr>
              <w:t xml:space="preserve"> i inf</w:t>
            </w:r>
            <w:r w:rsidRPr="00A33B9F">
              <w:rPr>
                <w:rFonts w:ascii="Times New Roman" w:hAnsi="Times New Roman"/>
                <w:noProof/>
                <w:color w:val="000000"/>
                <w:sz w:val="18"/>
              </w:rPr>
              <w:t>rastrukturę ICT</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44265C" w14:textId="4F14003D"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807D54" w14:textId="28684F4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r w:rsidRPr="00A33B9F">
              <w:rPr>
                <w:rFonts w:ascii="Times New Roman" w:hAnsi="Times New Roman"/>
                <w:noProof/>
                <w:color w:val="000000" w:themeColor="text1"/>
                <w:sz w:val="18"/>
              </w:rPr>
              <w:t>Utworzenie laboratoriów sztucznej inteligencji (AI) oraz laboratoriów nauk przyrodniczych, technologii, inżynierii</w:t>
            </w:r>
            <w:r w:rsidR="00A33B9F" w:rsidRPr="00A33B9F">
              <w:rPr>
                <w:rFonts w:ascii="Times New Roman" w:hAnsi="Times New Roman"/>
                <w:noProof/>
                <w:color w:val="000000" w:themeColor="text1"/>
                <w:sz w:val="18"/>
              </w:rPr>
              <w:t xml:space="preserve"> i mat</w:t>
            </w:r>
            <w:r w:rsidRPr="00A33B9F">
              <w:rPr>
                <w:rFonts w:ascii="Times New Roman" w:hAnsi="Times New Roman"/>
                <w:noProof/>
                <w:color w:val="000000" w:themeColor="text1"/>
                <w:sz w:val="18"/>
              </w:rPr>
              <w:t>ematyki (STEM)</w:t>
            </w:r>
            <w:r w:rsidR="00A33B9F" w:rsidRPr="00A33B9F">
              <w:rPr>
                <w:rFonts w:ascii="Times New Roman" w:hAnsi="Times New Roman"/>
                <w:noProof/>
                <w:color w:val="000000" w:themeColor="text1"/>
                <w:sz w:val="18"/>
              </w:rPr>
              <w:t xml:space="preserve"> w szk</w:t>
            </w:r>
            <w:r w:rsidRPr="00A33B9F">
              <w:rPr>
                <w:rFonts w:ascii="Times New Roman" w:hAnsi="Times New Roman"/>
                <w:noProof/>
                <w:color w:val="000000" w:themeColor="text1"/>
                <w:sz w:val="18"/>
              </w:rPr>
              <w:t>ołach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54B431"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9189E0" w14:textId="37B8C9CE"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633A8E" w14:textId="02DD30D4" w:rsidR="007E7056" w:rsidRPr="00A33B9F"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highlight w:val="yellow"/>
              </w:rPr>
            </w:pPr>
            <w:r w:rsidRPr="00A33B9F">
              <w:rPr>
                <w:rFonts w:ascii="Times New Roman" w:hAnsi="Times New Roman"/>
                <w:noProof/>
                <w:color w:val="000000"/>
                <w:sz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CA2DCE" w14:textId="686825FA" w:rsidR="007E7056" w:rsidRPr="00A33B9F" w:rsidRDefault="007E7056" w:rsidP="007E705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highlight w:val="yellow"/>
              </w:rPr>
            </w:pPr>
            <w:r w:rsidRPr="00A33B9F">
              <w:rPr>
                <w:rFonts w:ascii="Times New Roman" w:hAnsi="Times New Roman"/>
                <w:noProof/>
                <w:color w:val="000000" w:themeColor="text1"/>
                <w:sz w:val="18"/>
              </w:rPr>
              <w:t>16 000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4C17F8" w14:textId="79B8D0BC"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4060A9" w14:textId="19DC1E76"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3E985A" w14:textId="2969DB44"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 szkół wyposażonych</w:t>
            </w:r>
            <w:r w:rsidR="00A33B9F" w:rsidRPr="00A33B9F">
              <w:rPr>
                <w:rFonts w:ascii="Times New Roman" w:hAnsi="Times New Roman"/>
                <w:noProof/>
                <w:color w:val="000000" w:themeColor="text1"/>
                <w:sz w:val="18"/>
              </w:rPr>
              <w:t xml:space="preserve"> w lab</w:t>
            </w:r>
            <w:r w:rsidRPr="00A33B9F">
              <w:rPr>
                <w:rFonts w:ascii="Times New Roman" w:hAnsi="Times New Roman"/>
                <w:noProof/>
                <w:color w:val="000000" w:themeColor="text1"/>
                <w:sz w:val="18"/>
              </w:rPr>
              <w:t>oratoria sztucznej inteligencji (AI) lub laboratoria nauk przyrodniczych, technologii, inżynierii</w:t>
            </w:r>
            <w:r w:rsidR="00A33B9F" w:rsidRPr="00A33B9F">
              <w:rPr>
                <w:rFonts w:ascii="Times New Roman" w:hAnsi="Times New Roman"/>
                <w:noProof/>
                <w:color w:val="000000" w:themeColor="text1"/>
                <w:sz w:val="18"/>
              </w:rPr>
              <w:t xml:space="preserve"> i mat</w:t>
            </w:r>
            <w:r w:rsidRPr="00A33B9F">
              <w:rPr>
                <w:rFonts w:ascii="Times New Roman" w:hAnsi="Times New Roman"/>
                <w:noProof/>
                <w:color w:val="000000" w:themeColor="text1"/>
                <w:sz w:val="18"/>
              </w:rPr>
              <w:t>ematyki (STEM)</w:t>
            </w:r>
          </w:p>
          <w:p w14:paraId="07B8A779" w14:textId="21667E3D"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7405A1FB" w14:textId="0DCA54C3"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 szczególności</w:t>
            </w:r>
            <w:r w:rsidR="00A33B9F" w:rsidRPr="00A33B9F">
              <w:rPr>
                <w:rFonts w:ascii="Times New Roman" w:hAnsi="Times New Roman"/>
                <w:noProof/>
                <w:color w:val="000000"/>
                <w:sz w:val="18"/>
              </w:rPr>
              <w:t xml:space="preserve"> w lab</w:t>
            </w:r>
            <w:r w:rsidRPr="00A33B9F">
              <w:rPr>
                <w:rFonts w:ascii="Times New Roman" w:hAnsi="Times New Roman"/>
                <w:noProof/>
                <w:color w:val="000000"/>
                <w:sz w:val="18"/>
              </w:rPr>
              <w:t>oratoria STEM zostanie wyposażonych 4 000 szkół średnich, natomiast</w:t>
            </w:r>
            <w:r w:rsidR="00A33B9F" w:rsidRPr="00A33B9F">
              <w:rPr>
                <w:rFonts w:ascii="Times New Roman" w:hAnsi="Times New Roman"/>
                <w:noProof/>
                <w:color w:val="000000"/>
                <w:sz w:val="18"/>
              </w:rPr>
              <w:t xml:space="preserve"> w lab</w:t>
            </w:r>
            <w:r w:rsidRPr="00A33B9F">
              <w:rPr>
                <w:rFonts w:ascii="Times New Roman" w:hAnsi="Times New Roman"/>
                <w:noProof/>
                <w:color w:val="000000"/>
                <w:sz w:val="18"/>
              </w:rPr>
              <w:t>oratoria AI – 12 000 szkół,</w:t>
            </w:r>
            <w:r w:rsidR="00A33B9F" w:rsidRPr="00A33B9F">
              <w:rPr>
                <w:rFonts w:ascii="Times New Roman" w:hAnsi="Times New Roman"/>
                <w:noProof/>
                <w:color w:val="000000"/>
                <w:sz w:val="18"/>
              </w:rPr>
              <w:t xml:space="preserve"> w tym </w:t>
            </w:r>
            <w:r w:rsidRPr="00A33B9F">
              <w:rPr>
                <w:rFonts w:ascii="Times New Roman" w:hAnsi="Times New Roman"/>
                <w:noProof/>
                <w:color w:val="000000"/>
                <w:sz w:val="18"/>
              </w:rPr>
              <w:t>8 000 szkół podstawowych</w:t>
            </w:r>
            <w:r w:rsidR="00A33B9F" w:rsidRPr="00A33B9F">
              <w:rPr>
                <w:rFonts w:ascii="Times New Roman" w:hAnsi="Times New Roman"/>
                <w:noProof/>
                <w:color w:val="000000"/>
                <w:sz w:val="18"/>
              </w:rPr>
              <w:t xml:space="preserve"> i 4</w:t>
            </w:r>
            <w:r w:rsidRPr="00A33B9F">
              <w:rPr>
                <w:rFonts w:ascii="Times New Roman" w:hAnsi="Times New Roman"/>
                <w:noProof/>
                <w:color w:val="000000"/>
                <w:sz w:val="18"/>
              </w:rPr>
              <w:t xml:space="preserve"> 000 szkół średnich.</w:t>
            </w:r>
          </w:p>
          <w:p w14:paraId="3A5B363E"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p w14:paraId="66818692" w14:textId="03C34422" w:rsidR="007E7056" w:rsidRPr="00A33B9F" w:rsidRDefault="007E7056" w:rsidP="007E7056">
            <w:pPr>
              <w:pStyle w:val="paragraph"/>
              <w:spacing w:before="0" w:beforeAutospacing="0" w:after="0" w:afterAutospacing="0"/>
              <w:textAlignment w:val="baseline"/>
              <w:rPr>
                <w:noProof/>
                <w:color w:val="000000" w:themeColor="text1"/>
                <w:sz w:val="18"/>
                <w:szCs w:val="18"/>
              </w:rPr>
            </w:pPr>
            <w:r w:rsidRPr="00A33B9F">
              <w:rPr>
                <w:noProof/>
                <w:color w:val="000000" w:themeColor="text1"/>
                <w:sz w:val="18"/>
              </w:rPr>
              <w:t>Do prowadzenia zajęć</w:t>
            </w:r>
            <w:r w:rsidR="00A33B9F" w:rsidRPr="00A33B9F">
              <w:rPr>
                <w:noProof/>
                <w:color w:val="000000" w:themeColor="text1"/>
                <w:sz w:val="18"/>
              </w:rPr>
              <w:t xml:space="preserve"> z wyk</w:t>
            </w:r>
            <w:r w:rsidRPr="00A33B9F">
              <w:rPr>
                <w:noProof/>
                <w:color w:val="000000" w:themeColor="text1"/>
                <w:sz w:val="18"/>
              </w:rPr>
              <w:t>orzystaniem laboratoriów AI i STEM zostanie przewidziana wystarczająca liczba wykwalifikowanych nauczycieli informatyki.</w:t>
            </w:r>
          </w:p>
          <w:p w14:paraId="00F621CE"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p w14:paraId="6CC8E585" w14:textId="534A0002"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Dostawy przyznaje się</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awiedliwy</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ejrzysty sposób uzgodniony</w:t>
            </w:r>
            <w:r w:rsidR="00A33B9F" w:rsidRPr="00A33B9F">
              <w:rPr>
                <w:rFonts w:ascii="Times New Roman" w:hAnsi="Times New Roman"/>
                <w:noProof/>
                <w:color w:val="000000" w:themeColor="text1"/>
                <w:sz w:val="18"/>
              </w:rPr>
              <w:t xml:space="preserve"> z ins</w:t>
            </w:r>
            <w:r w:rsidRPr="00A33B9F">
              <w:rPr>
                <w:rFonts w:ascii="Times New Roman" w:hAnsi="Times New Roman"/>
                <w:noProof/>
                <w:color w:val="000000" w:themeColor="text1"/>
                <w:sz w:val="18"/>
              </w:rPr>
              <w:t>tytucjami samorządowymi na szczeblu lokalnym</w:t>
            </w:r>
            <w:r w:rsidR="00A33B9F" w:rsidRPr="00A33B9F">
              <w:rPr>
                <w:rFonts w:ascii="Times New Roman" w:hAnsi="Times New Roman"/>
                <w:noProof/>
                <w:color w:val="000000" w:themeColor="text1"/>
                <w:sz w:val="18"/>
              </w:rPr>
              <w:t xml:space="preserve"> i nie</w:t>
            </w:r>
            <w:r w:rsidRPr="00A33B9F">
              <w:rPr>
                <w:rFonts w:ascii="Times New Roman" w:hAnsi="Times New Roman"/>
                <w:noProof/>
                <w:color w:val="000000" w:themeColor="text1"/>
                <w:sz w:val="18"/>
              </w:rPr>
              <w:t xml:space="preserve"> są one zwracane polskiemu rządowi</w:t>
            </w:r>
            <w:r w:rsidR="00A33B9F" w:rsidRPr="00A33B9F">
              <w:rPr>
                <w:rFonts w:ascii="Times New Roman" w:hAnsi="Times New Roman"/>
                <w:noProof/>
                <w:color w:val="000000" w:themeColor="text1"/>
                <w:sz w:val="18"/>
              </w:rPr>
              <w:t xml:space="preserve"> w żad</w:t>
            </w:r>
            <w:r w:rsidRPr="00A33B9F">
              <w:rPr>
                <w:rFonts w:ascii="Times New Roman" w:hAnsi="Times New Roman"/>
                <w:noProof/>
                <w:color w:val="000000" w:themeColor="text1"/>
                <w:sz w:val="18"/>
              </w:rPr>
              <w:t>nej formie przez odbiorców końcowych ani instytucje samorządowe na szczeblu lokalnym.</w:t>
            </w:r>
          </w:p>
        </w:tc>
      </w:tr>
      <w:tr w:rsidR="007E7056" w:rsidRPr="00A33B9F" w14:paraId="66027981"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198E7F0" w14:textId="4901E869" w:rsidR="007E7056" w:rsidRPr="00A33B9F" w:rsidRDefault="007E7056" w:rsidP="007E7056">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C14L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06D606" w14:textId="367F4299"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C2.2.1 Wyposażenie szkół/instytucji</w:t>
            </w:r>
            <w:r w:rsidR="00A33B9F" w:rsidRPr="00A33B9F">
              <w:rPr>
                <w:rFonts w:ascii="Times New Roman" w:hAnsi="Times New Roman"/>
                <w:noProof/>
                <w:color w:val="000000"/>
                <w:sz w:val="18"/>
              </w:rPr>
              <w:t xml:space="preserve"> w odp</w:t>
            </w:r>
            <w:r w:rsidRPr="00A33B9F">
              <w:rPr>
                <w:rFonts w:ascii="Times New Roman" w:hAnsi="Times New Roman"/>
                <w:noProof/>
                <w:color w:val="000000"/>
                <w:sz w:val="18"/>
              </w:rPr>
              <w:t>owiednie urządzenia</w:t>
            </w:r>
            <w:r w:rsidR="00A33B9F" w:rsidRPr="00A33B9F">
              <w:rPr>
                <w:rFonts w:ascii="Times New Roman" w:hAnsi="Times New Roman"/>
                <w:noProof/>
                <w:color w:val="000000"/>
                <w:sz w:val="18"/>
              </w:rPr>
              <w:t xml:space="preserve"> i inf</w:t>
            </w:r>
            <w:r w:rsidRPr="00A33B9F">
              <w:rPr>
                <w:rFonts w:ascii="Times New Roman" w:hAnsi="Times New Roman"/>
                <w:noProof/>
                <w:color w:val="000000"/>
                <w:sz w:val="18"/>
              </w:rPr>
              <w:t>rastrukturę ICT</w:t>
            </w:r>
            <w:r w:rsidR="00A33B9F" w:rsidRPr="00A33B9F">
              <w:rPr>
                <w:rFonts w:ascii="Times New Roman" w:hAnsi="Times New Roman"/>
                <w:noProof/>
                <w:color w:val="000000"/>
                <w:sz w:val="18"/>
              </w:rPr>
              <w:t xml:space="preserve"> w cel</w:t>
            </w:r>
            <w:r w:rsidRPr="00A33B9F">
              <w:rPr>
                <w:rFonts w:ascii="Times New Roman" w:hAnsi="Times New Roman"/>
                <w:noProof/>
                <w:color w:val="000000"/>
                <w:sz w:val="18"/>
              </w:rPr>
              <w:t>u poprawy ogólnej wydajności systemów edukacji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4D9D58" w14:textId="24B751E0"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99E181" w14:textId="2827D9D6"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Cyfryzacja systemu egzaminacyjnego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6CF5F8" w14:textId="2F2433D0"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Sprawozdanie</w:t>
            </w:r>
            <w:r w:rsidR="00A33B9F" w:rsidRPr="00A33B9F">
              <w:rPr>
                <w:rFonts w:ascii="Times New Roman" w:hAnsi="Times New Roman"/>
                <w:noProof/>
                <w:color w:val="000000"/>
                <w:sz w:val="18"/>
              </w:rPr>
              <w:t xml:space="preserve"> z pom</w:t>
            </w:r>
            <w:r w:rsidRPr="00A33B9F">
              <w:rPr>
                <w:rFonts w:ascii="Times New Roman" w:hAnsi="Times New Roman"/>
                <w:noProof/>
                <w:color w:val="000000"/>
                <w:sz w:val="18"/>
              </w:rPr>
              <w:t>yślnego zakończenia cyfryzacji systemu egzaminacyjnego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24F859"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582C3A"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A561E5" w14:textId="77777777"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A96A33" w14:textId="4A5E5E1E"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5C28D5" w14:textId="1C5FA949" w:rsidR="007E7056" w:rsidRPr="00A33B9F" w:rsidRDefault="007E7056" w:rsidP="007E705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2025</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997220F" w14:textId="2EF6729B" w:rsidR="007E7056" w:rsidRPr="00A33B9F" w:rsidRDefault="007E7056" w:rsidP="007E705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System egzaminacyjny zostanie zreorganizowany</w:t>
            </w:r>
            <w:r w:rsidR="00A33B9F" w:rsidRPr="00A33B9F">
              <w:rPr>
                <w:rFonts w:ascii="Times New Roman" w:hAnsi="Times New Roman"/>
                <w:noProof/>
                <w:color w:val="000000" w:themeColor="text1"/>
                <w:sz w:val="18"/>
              </w:rPr>
              <w:t xml:space="preserve"> i uno</w:t>
            </w:r>
            <w:r w:rsidRPr="00A33B9F">
              <w:rPr>
                <w:rFonts w:ascii="Times New Roman" w:hAnsi="Times New Roman"/>
                <w:noProof/>
                <w:color w:val="000000" w:themeColor="text1"/>
                <w:sz w:val="18"/>
              </w:rPr>
              <w:t>wocześniony</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możliwości przeprowadzania egzaminów</w:t>
            </w:r>
            <w:r w:rsidR="00A33B9F" w:rsidRPr="00A33B9F">
              <w:rPr>
                <w:rFonts w:ascii="Times New Roman" w:hAnsi="Times New Roman"/>
                <w:noProof/>
                <w:color w:val="000000" w:themeColor="text1"/>
                <w:sz w:val="18"/>
              </w:rPr>
              <w:t xml:space="preserve"> w spo</w:t>
            </w:r>
            <w:r w:rsidRPr="00A33B9F">
              <w:rPr>
                <w:rFonts w:ascii="Times New Roman" w:hAnsi="Times New Roman"/>
                <w:noProof/>
                <w:color w:val="000000" w:themeColor="text1"/>
                <w:sz w:val="18"/>
              </w:rPr>
              <w:t>sób zdalny. Cyfryzacja obecnego systemu egzaminacyjnego będzie obejmować reorganizację</w:t>
            </w:r>
            <w:r w:rsidR="00A33B9F" w:rsidRPr="00A33B9F">
              <w:rPr>
                <w:rFonts w:ascii="Times New Roman" w:hAnsi="Times New Roman"/>
                <w:noProof/>
                <w:color w:val="000000" w:themeColor="text1"/>
                <w:sz w:val="18"/>
              </w:rPr>
              <w:t xml:space="preserve"> i uno</w:t>
            </w:r>
            <w:r w:rsidRPr="00A33B9F">
              <w:rPr>
                <w:rFonts w:ascii="Times New Roman" w:hAnsi="Times New Roman"/>
                <w:noProof/>
                <w:color w:val="000000" w:themeColor="text1"/>
                <w:sz w:val="18"/>
              </w:rPr>
              <w:t>wocześnienie centralnych</w:t>
            </w:r>
            <w:r w:rsidR="00A33B9F" w:rsidRPr="00A33B9F">
              <w:rPr>
                <w:rFonts w:ascii="Times New Roman" w:hAnsi="Times New Roman"/>
                <w:noProof/>
                <w:color w:val="000000" w:themeColor="text1"/>
                <w:sz w:val="18"/>
              </w:rPr>
              <w:t xml:space="preserve"> i reg</w:t>
            </w:r>
            <w:r w:rsidRPr="00A33B9F">
              <w:rPr>
                <w:rFonts w:ascii="Times New Roman" w:hAnsi="Times New Roman"/>
                <w:noProof/>
                <w:color w:val="000000" w:themeColor="text1"/>
                <w:sz w:val="18"/>
              </w:rPr>
              <w:t>ionalnych komisji egzaminacyjnych oraz Ośrodka Edukacji Informatycznej.</w:t>
            </w:r>
          </w:p>
        </w:tc>
      </w:tr>
      <w:tr w:rsidR="121D3F4A" w:rsidRPr="00A33B9F" w14:paraId="4008674A"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C75BA9" w14:textId="730EDB34" w:rsidR="61630E58" w:rsidRPr="00A33B9F" w:rsidRDefault="61630E58" w:rsidP="001340D2">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C15L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D676C3" w14:textId="1E0DECF3" w:rsidR="61630E58" w:rsidRPr="00A33B9F" w:rsidRDefault="7E03FB21"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C4.1.1 Wspieranie transformacji cyfrowej przedsiębiorstw dzięki wykorzystaniu technologii przetwarzania</w:t>
            </w:r>
            <w:r w:rsidR="00A33B9F" w:rsidRPr="00A33B9F">
              <w:rPr>
                <w:rFonts w:ascii="Times New Roman" w:hAnsi="Times New Roman"/>
                <w:noProof/>
                <w:color w:val="000000" w:themeColor="text1"/>
                <w:sz w:val="18"/>
              </w:rPr>
              <w:t xml:space="preserve"> w chm</w:t>
            </w:r>
            <w:r w:rsidRPr="00A33B9F">
              <w:rPr>
                <w:rFonts w:ascii="Times New Roman" w:hAnsi="Times New Roman"/>
                <w:noProof/>
                <w:color w:val="000000" w:themeColor="text1"/>
                <w:sz w:val="18"/>
              </w:rPr>
              <w:t>urze</w:t>
            </w:r>
            <w:r w:rsidR="00C3621A" w:rsidRPr="00A33B9F">
              <w:rPr>
                <w:rFonts w:ascii="Times New Roman" w:hAnsi="Times New Roman"/>
                <w:noProof/>
                <w:color w:val="000000" w:themeColor="text1"/>
                <w:sz w:val="18"/>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2895945" w14:textId="7B1F75A1"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D76FA8" w14:textId="50791F52"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Przewodnik poświęcony transformacji cyfrowej przedsiębiorstw dzięki wykorzystaniu technologii przetwarzania</w:t>
            </w:r>
            <w:r w:rsidR="00A33B9F" w:rsidRPr="00A33B9F">
              <w:rPr>
                <w:rFonts w:ascii="Times New Roman" w:hAnsi="Times New Roman"/>
                <w:noProof/>
                <w:color w:val="000000" w:themeColor="text1"/>
                <w:sz w:val="18"/>
              </w:rPr>
              <w:t xml:space="preserve"> w chm</w:t>
            </w:r>
            <w:r w:rsidRPr="00A33B9F">
              <w:rPr>
                <w:rFonts w:ascii="Times New Roman" w:hAnsi="Times New Roman"/>
                <w:noProof/>
                <w:color w:val="000000" w:themeColor="text1"/>
                <w:sz w:val="18"/>
              </w:rPr>
              <w:t>urze</w:t>
            </w:r>
            <w:r w:rsidR="00C3621A" w:rsidRPr="00A33B9F">
              <w:rPr>
                <w:rFonts w:ascii="Times New Roman" w:hAnsi="Times New Roman"/>
                <w:noProof/>
                <w:color w:val="000000" w:themeColor="text1"/>
                <w:sz w:val="18"/>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DB50C16" w14:textId="408B538F"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Publikacja na stronie internetowej ministerstwa właściwego do spraw komputeryzacji</w:t>
            </w:r>
          </w:p>
          <w:p w14:paraId="4C8033A4" w14:textId="1E2A80DC"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4F3C30" w14:textId="7A807A8F"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8D1E91" w14:textId="6A1577B0"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EAD671" w14:textId="249307ED"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D14D327" w14:textId="074382C7"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EE578D" w14:textId="5A8C14F3"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2024</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38BC89" w14:textId="19675962"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Opublikowanie przewodnika poświęconego transformacji cyfrowej przedsiębiorstw dzięki wykorzystaniu technologii przetwarzania</w:t>
            </w:r>
            <w:r w:rsidR="00A33B9F" w:rsidRPr="00A33B9F">
              <w:rPr>
                <w:rFonts w:ascii="Times New Roman" w:hAnsi="Times New Roman"/>
                <w:noProof/>
                <w:color w:val="000000" w:themeColor="text1"/>
                <w:sz w:val="18"/>
              </w:rPr>
              <w:t xml:space="preserve"> w chm</w:t>
            </w:r>
            <w:r w:rsidRPr="00A33B9F">
              <w:rPr>
                <w:rFonts w:ascii="Times New Roman" w:hAnsi="Times New Roman"/>
                <w:noProof/>
                <w:color w:val="000000" w:themeColor="text1"/>
                <w:sz w:val="18"/>
              </w:rPr>
              <w:t>urze na stronie internetowej właściwego ministerstwa. Wspomniany przewodnik pełni funkcję kompendium wiedzy (zawierającego również często zadawane pytania), wskazówek</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ykładów stosowania nowoczesnych technologii,</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przetwarzania</w:t>
            </w:r>
            <w:r w:rsidR="00A33B9F" w:rsidRPr="00A33B9F">
              <w:rPr>
                <w:rFonts w:ascii="Times New Roman" w:hAnsi="Times New Roman"/>
                <w:noProof/>
                <w:color w:val="000000" w:themeColor="text1"/>
                <w:sz w:val="18"/>
              </w:rPr>
              <w:t xml:space="preserve"> w chm</w:t>
            </w:r>
            <w:r w:rsidRPr="00A33B9F">
              <w:rPr>
                <w:rFonts w:ascii="Times New Roman" w:hAnsi="Times New Roman"/>
                <w:noProof/>
                <w:color w:val="000000" w:themeColor="text1"/>
                <w:sz w:val="18"/>
              </w:rPr>
              <w:t>urze,</w:t>
            </w:r>
            <w:r w:rsidR="00A33B9F" w:rsidRPr="00A33B9F">
              <w:rPr>
                <w:rFonts w:ascii="Times New Roman" w:hAnsi="Times New Roman"/>
                <w:noProof/>
                <w:color w:val="000000" w:themeColor="text1"/>
                <w:sz w:val="18"/>
              </w:rPr>
              <w:t xml:space="preserve"> w pro</w:t>
            </w:r>
            <w:r w:rsidRPr="00A33B9F">
              <w:rPr>
                <w:rFonts w:ascii="Times New Roman" w:hAnsi="Times New Roman"/>
                <w:noProof/>
                <w:color w:val="000000" w:themeColor="text1"/>
                <w:sz w:val="18"/>
              </w:rPr>
              <w:t>cesie transformacji cyfrowej przedsiębiorstw. Za przygotowanie stosownych dokumentów odpowiada minister właściwy do spraw komputeryzacji.</w:t>
            </w:r>
            <w:r w:rsidR="00C3621A" w:rsidRPr="00A33B9F">
              <w:rPr>
                <w:rFonts w:ascii="Times New Roman" w:hAnsi="Times New Roman"/>
                <w:noProof/>
                <w:color w:val="000000" w:themeColor="text1"/>
                <w:sz w:val="18"/>
              </w:rPr>
              <w:t xml:space="preserve"> </w:t>
            </w:r>
          </w:p>
          <w:p w14:paraId="21C9D95A" w14:textId="6AA5959D"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r>
      <w:tr w:rsidR="121D3F4A" w:rsidRPr="00A33B9F" w14:paraId="78B9A43C"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6D4D6F" w14:textId="3708956C" w:rsidR="61630E58" w:rsidRPr="00A33B9F" w:rsidRDefault="61630E58" w:rsidP="001340D2">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C16L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0DE7ED" w14:textId="197C02F7" w:rsidR="61630E58" w:rsidRPr="00A33B9F" w:rsidRDefault="7E03FB21" w:rsidP="121D3F4A">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C4.1.1 Wspieranie transformacji cyfrowej przedsiębiorstw dzięki wykorzystaniu technologii przetwarzania</w:t>
            </w:r>
            <w:r w:rsidR="00A33B9F" w:rsidRPr="00A33B9F">
              <w:rPr>
                <w:rFonts w:ascii="Times New Roman" w:hAnsi="Times New Roman"/>
                <w:noProof/>
                <w:color w:val="000000" w:themeColor="text1"/>
                <w:sz w:val="18"/>
              </w:rPr>
              <w:t xml:space="preserve"> w chm</w:t>
            </w:r>
            <w:r w:rsidRPr="00A33B9F">
              <w:rPr>
                <w:rFonts w:ascii="Times New Roman" w:hAnsi="Times New Roman"/>
                <w:noProof/>
                <w:color w:val="000000" w:themeColor="text1"/>
                <w:sz w:val="18"/>
              </w:rPr>
              <w:t xml:space="preserve">urze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9400A7" w14:textId="6C7C4FF1"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77ACDF" w14:textId="0C1FB486"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Umowa wykonawcza</w:t>
            </w:r>
          </w:p>
          <w:p w14:paraId="1E1743FD" w14:textId="3F0ECC7B"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DC8744" w14:textId="7DE70299" w:rsidR="121D3F4A" w:rsidRPr="00A33B9F" w:rsidRDefault="61630E58" w:rsidP="00A226E3">
            <w:pPr>
              <w:pStyle w:val="Normal0"/>
              <w:spacing w:after="0" w:line="240" w:lineRule="auto"/>
              <w:rPr>
                <w:noProof/>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umowy wykonawczej między ministrem właściwym do spraw komputeryzacji</w:t>
            </w:r>
            <w:r w:rsidR="00A33B9F" w:rsidRPr="00A33B9F">
              <w:rPr>
                <w:rFonts w:ascii="Times New Roman" w:hAnsi="Times New Roman"/>
                <w:noProof/>
                <w:color w:val="000000" w:themeColor="text1"/>
                <w:sz w:val="18"/>
              </w:rPr>
              <w:t xml:space="preserve"> a Ban</w:t>
            </w:r>
            <w:r w:rsidRPr="00A33B9F">
              <w:rPr>
                <w:rFonts w:ascii="Times New Roman" w:hAnsi="Times New Roman"/>
                <w:noProof/>
                <w:color w:val="000000" w:themeColor="text1"/>
                <w:sz w:val="18"/>
              </w:rPr>
              <w:t>kiem Gospodarstwa Krajowego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808C8F" w14:textId="567121DD"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0D9B1BB" w14:textId="3ECBC96B"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5DB958" w14:textId="1BCB281E"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82BA74" w14:textId="6DB9B267"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C5099C5" w14:textId="1B0E1F5F"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2024</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EB0652" w14:textId="2D8E3AE7"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umowy wykonawczej między ministrem właściwym do spraw komputeryzacji</w:t>
            </w:r>
            <w:r w:rsidR="00A33B9F" w:rsidRPr="00A33B9F">
              <w:rPr>
                <w:rFonts w:ascii="Times New Roman" w:hAnsi="Times New Roman"/>
                <w:noProof/>
                <w:color w:val="000000" w:themeColor="text1"/>
                <w:sz w:val="18"/>
              </w:rPr>
              <w:t xml:space="preserve"> a Ban</w:t>
            </w:r>
            <w:r w:rsidRPr="00A33B9F">
              <w:rPr>
                <w:rFonts w:ascii="Times New Roman" w:hAnsi="Times New Roman"/>
                <w:noProof/>
                <w:color w:val="000000" w:themeColor="text1"/>
                <w:sz w:val="18"/>
              </w:rPr>
              <w:t>kiem Gospodarstwa Krajowego.</w:t>
            </w:r>
          </w:p>
          <w:p w14:paraId="775E5BEC" w14:textId="56A38DF0"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r>
      <w:tr w:rsidR="121D3F4A" w:rsidRPr="00A33B9F" w14:paraId="067F09BA"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FEE9B7A" w14:textId="0589A8BF" w:rsidR="61630E58" w:rsidRPr="00A33B9F" w:rsidRDefault="61630E58" w:rsidP="001340D2">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C17L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B177B3" w14:textId="3C871283" w:rsidR="61630E58" w:rsidRPr="00A33B9F" w:rsidRDefault="7E03FB21" w:rsidP="121D3F4A">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C4.1.1 Wspieranie transformacji cyfrowej przedsiębiorstw dzięki wykorzystaniu technologii przetwarzania</w:t>
            </w:r>
            <w:r w:rsidR="00A33B9F" w:rsidRPr="00A33B9F">
              <w:rPr>
                <w:rFonts w:ascii="Times New Roman" w:hAnsi="Times New Roman"/>
                <w:noProof/>
                <w:color w:val="000000" w:themeColor="text1"/>
                <w:sz w:val="18"/>
              </w:rPr>
              <w:t xml:space="preserve"> w chm</w:t>
            </w:r>
            <w:r w:rsidRPr="00A33B9F">
              <w:rPr>
                <w:rFonts w:ascii="Times New Roman" w:hAnsi="Times New Roman"/>
                <w:noProof/>
                <w:color w:val="000000" w:themeColor="text1"/>
                <w:sz w:val="18"/>
              </w:rPr>
              <w:t>urze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19EFB4" w14:textId="2AD1C4E6"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AE946" w14:textId="29769622"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Umowy prawne podpisane</w:t>
            </w:r>
            <w:r w:rsidR="00A33B9F" w:rsidRPr="00A33B9F">
              <w:rPr>
                <w:rFonts w:ascii="Times New Roman" w:hAnsi="Times New Roman"/>
                <w:noProof/>
                <w:color w:val="000000" w:themeColor="text1"/>
                <w:sz w:val="18"/>
              </w:rPr>
              <w:t xml:space="preserve"> z ben</w:t>
            </w:r>
            <w:r w:rsidRPr="00A33B9F">
              <w:rPr>
                <w:rFonts w:ascii="Times New Roman" w:hAnsi="Times New Roman"/>
                <w:noProof/>
                <w:color w:val="000000" w:themeColor="text1"/>
                <w:sz w:val="18"/>
              </w:rPr>
              <w:t>eficjentami końcowymi</w:t>
            </w:r>
          </w:p>
          <w:p w14:paraId="793DDF74" w14:textId="12AF55BD"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B6C3E4" w14:textId="09EAA1C7"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5A84EC1" w14:textId="3F6D2EB1"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w:t>
            </w:r>
          </w:p>
          <w:p w14:paraId="214830EA" w14:textId="155586C3"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8C29F4" w14:textId="57FB4C11"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A4BC0D" w14:textId="33056740"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100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29E89AC" w14:textId="1E8AC059"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5E60A9" w14:textId="43865253"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1AC59D" w14:textId="6D0BD015"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Bank Gospodarstwa Krajowego zawiera prawnie wiążące umowy</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finansowania</w:t>
            </w:r>
            <w:r w:rsidR="00A33B9F" w:rsidRPr="00A33B9F">
              <w:rPr>
                <w:rFonts w:ascii="Times New Roman" w:hAnsi="Times New Roman"/>
                <w:noProof/>
                <w:color w:val="000000" w:themeColor="text1"/>
                <w:sz w:val="18"/>
              </w:rPr>
              <w:t xml:space="preserve"> z ben</w:t>
            </w:r>
            <w:r w:rsidRPr="00A33B9F">
              <w:rPr>
                <w:rFonts w:ascii="Times New Roman" w:hAnsi="Times New Roman"/>
                <w:noProof/>
                <w:color w:val="000000" w:themeColor="text1"/>
                <w:sz w:val="18"/>
              </w:rPr>
              <w:t>eficjentami końcowymi opiewające na kwotę niezbędną do wykorzystania 100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inwestycji RRF</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Instrumentu (uwzględniając opłaty za zarządzanie).</w:t>
            </w:r>
            <w:r w:rsidR="00C3621A" w:rsidRPr="00A33B9F">
              <w:rPr>
                <w:rFonts w:ascii="Times New Roman" w:hAnsi="Times New Roman"/>
                <w:noProof/>
                <w:color w:val="000000" w:themeColor="text1"/>
                <w:sz w:val="18"/>
              </w:rPr>
              <w:t xml:space="preserve"> </w:t>
            </w:r>
          </w:p>
        </w:tc>
      </w:tr>
      <w:tr w:rsidR="121D3F4A" w:rsidRPr="00A33B9F" w14:paraId="6E8451DC" w14:textId="77777777" w:rsidTr="28AD0CF8">
        <w:trPr>
          <w:trHeight w:val="313"/>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8B0BC5" w14:textId="4535CEE3" w:rsidR="61630E58" w:rsidRPr="00A33B9F" w:rsidRDefault="61630E58" w:rsidP="001340D2">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C18L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97FC33" w14:textId="31B059BB" w:rsidR="61630E58" w:rsidRPr="00A33B9F" w:rsidRDefault="7E03FB21" w:rsidP="121D3F4A">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C4.1.1 Wspieranie transformacji cyfrowej przedsiębiorstw dzięki wykorzystaniu technologii przetwarzania</w:t>
            </w:r>
            <w:r w:rsidR="00A33B9F" w:rsidRPr="00A33B9F">
              <w:rPr>
                <w:rFonts w:ascii="Times New Roman" w:hAnsi="Times New Roman"/>
                <w:noProof/>
                <w:color w:val="000000" w:themeColor="text1"/>
                <w:sz w:val="18"/>
              </w:rPr>
              <w:t xml:space="preserve"> w chm</w:t>
            </w:r>
            <w:r w:rsidRPr="00A33B9F">
              <w:rPr>
                <w:rFonts w:ascii="Times New Roman" w:hAnsi="Times New Roman"/>
                <w:noProof/>
                <w:color w:val="000000" w:themeColor="text1"/>
                <w:sz w:val="18"/>
              </w:rPr>
              <w:t>urze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A90ED93" w14:textId="2B0F15DE" w:rsidR="61630E58" w:rsidRPr="00A33B9F" w:rsidRDefault="61630E58" w:rsidP="001340D2">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49CC8F" w14:textId="7D515697"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Ministerstwo zakończyło inwestycję</w:t>
            </w:r>
          </w:p>
          <w:p w14:paraId="714D3829" w14:textId="66AF6EB5"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58E3BC" w14:textId="05FFF14D"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Zaświadczenie potwierdzające przekazanie środków</w:t>
            </w:r>
          </w:p>
          <w:p w14:paraId="52B66A9F" w14:textId="21CECAAE"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C1A291" w14:textId="6C8D2D09"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7ACBE" w14:textId="6C42A5BF"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highlight w:val="yellow"/>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B27932" w14:textId="75019B00" w:rsidR="121D3F4A" w:rsidRPr="00A33B9F" w:rsidRDefault="121D3F4A" w:rsidP="001340D2">
            <w:pPr>
              <w:pStyle w:val="Normal0"/>
              <w:spacing w:line="240" w:lineRule="auto"/>
              <w:rPr>
                <w:rFonts w:ascii="Times New Roman" w:eastAsia="Times New Roman" w:hAnsi="Times New Roman" w:cs="Times New Roman"/>
                <w:noProof/>
                <w:color w:val="000000" w:themeColor="text1"/>
                <w:sz w:val="18"/>
                <w:szCs w:val="18"/>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B67AB" w14:textId="5A478CA9"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D41BD9" w14:textId="1C367D46" w:rsidR="61630E58" w:rsidRPr="00A33B9F" w:rsidRDefault="61630E58" w:rsidP="001340D2">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09F9C50" w14:textId="5ED67A98" w:rsidR="61630E58" w:rsidRPr="00A33B9F" w:rsidRDefault="61630E58" w:rsidP="001340D2">
            <w:pPr>
              <w:pStyle w:val="Normal0"/>
              <w:spacing w:after="0" w:line="240" w:lineRule="auto"/>
              <w:rPr>
                <w:noProof/>
              </w:rPr>
            </w:pPr>
            <w:r w:rsidRPr="00A33B9F">
              <w:rPr>
                <w:rFonts w:ascii="Times New Roman" w:hAnsi="Times New Roman"/>
                <w:noProof/>
                <w:color w:val="000000" w:themeColor="text1"/>
                <w:sz w:val="18"/>
              </w:rPr>
              <w:t>Polska przekaże Bankowi Gospodarstwa Krajowego kwotę 650 000 000 EUR na potrzeby Instrumentu.</w:t>
            </w:r>
          </w:p>
          <w:p w14:paraId="39D95624" w14:textId="7DD4D4F8" w:rsidR="121D3F4A" w:rsidRPr="00A33B9F" w:rsidRDefault="121D3F4A" w:rsidP="121D3F4A">
            <w:pPr>
              <w:pStyle w:val="Normal0"/>
              <w:spacing w:line="240" w:lineRule="auto"/>
              <w:rPr>
                <w:rFonts w:ascii="Times New Roman" w:eastAsia="Times New Roman" w:hAnsi="Times New Roman" w:cs="Times New Roman"/>
                <w:noProof/>
                <w:color w:val="000000" w:themeColor="text1"/>
                <w:sz w:val="18"/>
                <w:szCs w:val="18"/>
              </w:rPr>
            </w:pPr>
          </w:p>
        </w:tc>
      </w:tr>
    </w:tbl>
    <w:p w14:paraId="7BD58BA2"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sectPr w:rsidR="007C4506" w:rsidRPr="00A33B9F" w:rsidSect="009B6BB9">
          <w:headerReference w:type="even" r:id="rId97"/>
          <w:headerReference w:type="default" r:id="rId98"/>
          <w:footerReference w:type="even" r:id="rId99"/>
          <w:footerReference w:type="default" r:id="rId100"/>
          <w:headerReference w:type="first" r:id="rId101"/>
          <w:footerReference w:type="first" r:id="rId102"/>
          <w:pgSz w:w="16839" w:h="11907" w:orient="landscape"/>
          <w:pgMar w:top="720" w:right="720" w:bottom="720" w:left="720" w:header="709" w:footer="709" w:gutter="0"/>
          <w:cols w:space="720"/>
          <w:docGrid w:linePitch="299"/>
        </w:sectPr>
      </w:pPr>
    </w:p>
    <w:p w14:paraId="53144A02"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smallCaps/>
          <w:noProof/>
          <w:color w:val="000000"/>
          <w:sz w:val="24"/>
          <w:szCs w:val="24"/>
        </w:rPr>
      </w:pPr>
      <w:r w:rsidRPr="00A33B9F">
        <w:rPr>
          <w:rFonts w:ascii="Times New Roman" w:hAnsi="Times New Roman"/>
          <w:b/>
          <w:noProof/>
          <w:color w:val="000000"/>
          <w:sz w:val="24"/>
        </w:rPr>
        <w:t>D. KOMPONENT D:</w:t>
      </w:r>
      <w:r w:rsidRPr="00A33B9F">
        <w:rPr>
          <w:rFonts w:ascii="Times New Roman" w:hAnsi="Times New Roman"/>
          <w:b/>
          <w:smallCaps/>
          <w:noProof/>
          <w:color w:val="000000"/>
          <w:sz w:val="24"/>
        </w:rPr>
        <w:t xml:space="preserve"> „EFEKTYWNOŚĆ, DOSTĘPNOŚĆ I JAKOŚĆ SYSTEMU OCHRONY ZDROWIA”</w:t>
      </w:r>
    </w:p>
    <w:p w14:paraId="1BC08902" w14:textId="5B1F55ED" w:rsidR="007C4506" w:rsidRPr="00A33B9F"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Komponent ten odnosi się do szeregu wyzwań, przed którymi stoi obecnie polski system opieki zdrowotnej</w:t>
      </w:r>
      <w:r w:rsidR="00A33B9F" w:rsidRPr="00A33B9F">
        <w:rPr>
          <w:rFonts w:ascii="Times New Roman" w:hAnsi="Times New Roman"/>
          <w:noProof/>
          <w:color w:val="000000" w:themeColor="text1"/>
          <w:sz w:val="24"/>
        </w:rPr>
        <w:t>. W świ</w:t>
      </w:r>
      <w:r w:rsidRPr="00A33B9F">
        <w:rPr>
          <w:rFonts w:ascii="Times New Roman" w:hAnsi="Times New Roman"/>
          <w:noProof/>
          <w:color w:val="000000" w:themeColor="text1"/>
          <w:sz w:val="24"/>
        </w:rPr>
        <w:t>etle spodziewanego</w:t>
      </w:r>
      <w:r w:rsidR="00A33B9F" w:rsidRPr="00A33B9F">
        <w:rPr>
          <w:rFonts w:ascii="Times New Roman" w:hAnsi="Times New Roman"/>
          <w:noProof/>
          <w:color w:val="000000" w:themeColor="text1"/>
          <w:sz w:val="24"/>
        </w:rPr>
        <w:t xml:space="preserve"> w śre</w:t>
      </w:r>
      <w:r w:rsidRPr="00A33B9F">
        <w:rPr>
          <w:rFonts w:ascii="Times New Roman" w:hAnsi="Times New Roman"/>
          <w:noProof/>
          <w:color w:val="000000" w:themeColor="text1"/>
          <w:sz w:val="24"/>
        </w:rPr>
        <w:t>dnim</w:t>
      </w:r>
      <w:r w:rsidR="00A33B9F" w:rsidRPr="00A33B9F">
        <w:rPr>
          <w:rFonts w:ascii="Times New Roman" w:hAnsi="Times New Roman"/>
          <w:noProof/>
          <w:color w:val="000000" w:themeColor="text1"/>
          <w:sz w:val="24"/>
        </w:rPr>
        <w:t xml:space="preserve"> i dłu</w:t>
      </w:r>
      <w:r w:rsidRPr="00A33B9F">
        <w:rPr>
          <w:rFonts w:ascii="Times New Roman" w:hAnsi="Times New Roman"/>
          <w:noProof/>
          <w:color w:val="000000" w:themeColor="text1"/>
          <w:sz w:val="24"/>
        </w:rPr>
        <w:t>gim okresie znacznego wzrostu wydatków na opiekę zdrowotną, który przełoży się na obciążenie finansów publicznych, szczególne znaczenie ma przesunięcie nacisku na podstawową opiekę zdrowotną</w:t>
      </w:r>
      <w:r w:rsidR="00A33B9F" w:rsidRPr="00A33B9F">
        <w:rPr>
          <w:rFonts w:ascii="Times New Roman" w:hAnsi="Times New Roman"/>
          <w:noProof/>
          <w:color w:val="000000" w:themeColor="text1"/>
          <w:sz w:val="24"/>
        </w:rPr>
        <w:t xml:space="preserve"> i lec</w:t>
      </w:r>
      <w:r w:rsidRPr="00A33B9F">
        <w:rPr>
          <w:rFonts w:ascii="Times New Roman" w:hAnsi="Times New Roman"/>
          <w:noProof/>
          <w:color w:val="000000" w:themeColor="text1"/>
          <w:sz w:val="24"/>
        </w:rPr>
        <w:t>zenie ambulatoryjne. Sektor szpitali wymaga pilnej reformy, której będą towarzyszyć ukierunkowane inwestycje. Niektóre szpitale mają wysokie zadłużenie</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ki wskaźnik obłożenia,</w:t>
      </w:r>
      <w:r w:rsidR="00A33B9F" w:rsidRPr="00A33B9F">
        <w:rPr>
          <w:rFonts w:ascii="Times New Roman" w:hAnsi="Times New Roman"/>
          <w:noProof/>
          <w:color w:val="000000" w:themeColor="text1"/>
          <w:sz w:val="24"/>
        </w:rPr>
        <w:t xml:space="preserve"> a tym</w:t>
      </w:r>
      <w:r w:rsidRPr="00A33B9F">
        <w:rPr>
          <w:rFonts w:ascii="Times New Roman" w:hAnsi="Times New Roman"/>
          <w:noProof/>
          <w:color w:val="000000" w:themeColor="text1"/>
          <w:sz w:val="24"/>
        </w:rPr>
        <w:t>czasem wiele zabiegów medycznych wykonywanych obecnie</w:t>
      </w:r>
      <w:r w:rsidR="00A33B9F" w:rsidRPr="00A33B9F">
        <w:rPr>
          <w:rFonts w:ascii="Times New Roman" w:hAnsi="Times New Roman"/>
          <w:noProof/>
          <w:color w:val="000000" w:themeColor="text1"/>
          <w:sz w:val="24"/>
        </w:rPr>
        <w:t xml:space="preserve"> w szp</w:t>
      </w:r>
      <w:r w:rsidRPr="00A33B9F">
        <w:rPr>
          <w:rFonts w:ascii="Times New Roman" w:hAnsi="Times New Roman"/>
          <w:noProof/>
          <w:color w:val="000000" w:themeColor="text1"/>
          <w:sz w:val="24"/>
        </w:rPr>
        <w:t>italach można przeprowadzać na niższych szczeblach systemu opieki zdrowotnej i po niższych kosztach. System podstawowej opieki zdrowotnej jest niedofinansowany, cierpi na niedobór pracowników medycznych,</w:t>
      </w:r>
      <w:r w:rsidR="00A33B9F" w:rsidRPr="00A33B9F">
        <w:rPr>
          <w:rFonts w:ascii="Times New Roman" w:hAnsi="Times New Roman"/>
          <w:noProof/>
          <w:color w:val="000000" w:themeColor="text1"/>
          <w:sz w:val="24"/>
        </w:rPr>
        <w:t xml:space="preserve"> a jeg</w:t>
      </w:r>
      <w:r w:rsidRPr="00A33B9F">
        <w:rPr>
          <w:rFonts w:ascii="Times New Roman" w:hAnsi="Times New Roman"/>
          <w:noProof/>
          <w:color w:val="000000" w:themeColor="text1"/>
          <w:sz w:val="24"/>
        </w:rPr>
        <w:t>o usługi są przeciążone. Jednocześnie system szpitalny boryka się</w:t>
      </w:r>
      <w:r w:rsidR="00A33B9F" w:rsidRPr="00A33B9F">
        <w:rPr>
          <w:rFonts w:ascii="Times New Roman" w:hAnsi="Times New Roman"/>
          <w:noProof/>
          <w:color w:val="000000" w:themeColor="text1"/>
          <w:sz w:val="24"/>
        </w:rPr>
        <w:t xml:space="preserve"> z pro</w:t>
      </w:r>
      <w:r w:rsidRPr="00A33B9F">
        <w:rPr>
          <w:rFonts w:ascii="Times New Roman" w:hAnsi="Times New Roman"/>
          <w:noProof/>
          <w:color w:val="000000" w:themeColor="text1"/>
          <w:sz w:val="24"/>
        </w:rPr>
        <w:t>blemami chronicznego niedofinansowania,</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jeżeli chodzi</w:t>
      </w:r>
      <w:r w:rsidR="00A33B9F" w:rsidRPr="00A33B9F">
        <w:rPr>
          <w:rFonts w:ascii="Times New Roman" w:hAnsi="Times New Roman"/>
          <w:noProof/>
          <w:color w:val="000000" w:themeColor="text1"/>
          <w:sz w:val="24"/>
        </w:rPr>
        <w:t xml:space="preserve"> o zas</w:t>
      </w:r>
      <w:r w:rsidRPr="00A33B9F">
        <w:rPr>
          <w:rFonts w:ascii="Times New Roman" w:hAnsi="Times New Roman"/>
          <w:noProof/>
          <w:color w:val="000000" w:themeColor="text1"/>
          <w:sz w:val="24"/>
        </w:rPr>
        <w:t>oby ludzkie. Ze względu na niekorzystne warunki pracy, m.in. niskie wynagrodzenia, zawody medyczne nie cieszą się dużą popularnością</w:t>
      </w:r>
      <w:r w:rsidR="00A33B9F" w:rsidRPr="00A33B9F">
        <w:rPr>
          <w:rFonts w:ascii="Times New Roman" w:hAnsi="Times New Roman"/>
          <w:noProof/>
          <w:color w:val="000000" w:themeColor="text1"/>
          <w:sz w:val="24"/>
        </w:rPr>
        <w:t xml:space="preserve"> i nas</w:t>
      </w:r>
      <w:r w:rsidRPr="00A33B9F">
        <w:rPr>
          <w:rFonts w:ascii="Times New Roman" w:hAnsi="Times New Roman"/>
          <w:noProof/>
          <w:color w:val="000000" w:themeColor="text1"/>
          <w:sz w:val="24"/>
        </w:rPr>
        <w:t>tąpił znaczący drenaż mózgów. Niedobór zasobów ludzkich plasuje Polskę na jednym</w:t>
      </w:r>
      <w:r w:rsidR="00A33B9F" w:rsidRPr="00A33B9F">
        <w:rPr>
          <w:rFonts w:ascii="Times New Roman" w:hAnsi="Times New Roman"/>
          <w:noProof/>
          <w:color w:val="000000" w:themeColor="text1"/>
          <w:sz w:val="24"/>
        </w:rPr>
        <w:t xml:space="preserve"> z naj</w:t>
      </w:r>
      <w:r w:rsidRPr="00A33B9F">
        <w:rPr>
          <w:rFonts w:ascii="Times New Roman" w:hAnsi="Times New Roman"/>
          <w:noProof/>
          <w:color w:val="000000" w:themeColor="text1"/>
          <w:sz w:val="24"/>
        </w:rPr>
        <w:t>niższych miejsc</w:t>
      </w:r>
      <w:r w:rsidR="00A33B9F" w:rsidRPr="00A33B9F">
        <w:rPr>
          <w:rFonts w:ascii="Times New Roman" w:hAnsi="Times New Roman"/>
          <w:noProof/>
          <w:color w:val="000000" w:themeColor="text1"/>
          <w:sz w:val="24"/>
        </w:rPr>
        <w:t xml:space="preserve"> w por</w:t>
      </w:r>
      <w:r w:rsidRPr="00A33B9F">
        <w:rPr>
          <w:rFonts w:ascii="Times New Roman" w:hAnsi="Times New Roman"/>
          <w:noProof/>
          <w:color w:val="000000" w:themeColor="text1"/>
          <w:sz w:val="24"/>
        </w:rPr>
        <w:t>ównaniu</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ymi państwami członkowskimi</w:t>
      </w:r>
      <w:r w:rsidR="00A33B9F" w:rsidRPr="00A33B9F">
        <w:rPr>
          <w:rFonts w:ascii="Times New Roman" w:hAnsi="Times New Roman"/>
          <w:noProof/>
          <w:color w:val="000000" w:themeColor="text1"/>
          <w:sz w:val="24"/>
        </w:rPr>
        <w:t xml:space="preserve"> i spr</w:t>
      </w:r>
      <w:r w:rsidRPr="00A33B9F">
        <w:rPr>
          <w:rFonts w:ascii="Times New Roman" w:hAnsi="Times New Roman"/>
          <w:noProof/>
          <w:color w:val="000000" w:themeColor="text1"/>
          <w:sz w:val="24"/>
        </w:rPr>
        <w:t>awia, że wysoko wykwalifikowani specjaliści są nakłaniani do kontynuowania pracy po osiągnięciu wieku emerytalnego. Dostęp do opieki zależy od regionu. Wykorzystanie e-zdrowia</w:t>
      </w:r>
      <w:r w:rsidR="00A33B9F" w:rsidRPr="00A33B9F">
        <w:rPr>
          <w:rFonts w:ascii="Times New Roman" w:hAnsi="Times New Roman"/>
          <w:noProof/>
          <w:color w:val="000000" w:themeColor="text1"/>
          <w:sz w:val="24"/>
        </w:rPr>
        <w:t xml:space="preserve"> i now</w:t>
      </w:r>
      <w:r w:rsidRPr="00A33B9F">
        <w:rPr>
          <w:rFonts w:ascii="Times New Roman" w:hAnsi="Times New Roman"/>
          <w:noProof/>
          <w:color w:val="000000" w:themeColor="text1"/>
          <w:sz w:val="24"/>
        </w:rPr>
        <w:t>oczesnych praktyk zarządzania jest niewystarczające.</w:t>
      </w:r>
    </w:p>
    <w:p w14:paraId="7CEB1380" w14:textId="60848401" w:rsidR="007C4506" w:rsidRPr="00A33B9F" w:rsidRDefault="00B31839">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 tego komponentu są wielowymiarowe: reforma sektora szpitali</w:t>
      </w:r>
      <w:r w:rsidR="00A33B9F" w:rsidRPr="00A33B9F">
        <w:rPr>
          <w:rFonts w:ascii="Times New Roman" w:hAnsi="Times New Roman"/>
          <w:noProof/>
          <w:color w:val="000000"/>
          <w:sz w:val="24"/>
        </w:rPr>
        <w:t xml:space="preserve"> i wsp</w:t>
      </w:r>
      <w:r w:rsidRPr="00A33B9F">
        <w:rPr>
          <w:rFonts w:ascii="Times New Roman" w:hAnsi="Times New Roman"/>
          <w:noProof/>
          <w:color w:val="000000"/>
          <w:sz w:val="24"/>
        </w:rPr>
        <w:t>arcie go inwestycjami zgodnie</w:t>
      </w:r>
      <w:r w:rsidR="00A33B9F" w:rsidRPr="00A33B9F">
        <w:rPr>
          <w:rFonts w:ascii="Times New Roman" w:hAnsi="Times New Roman"/>
          <w:noProof/>
          <w:color w:val="000000"/>
          <w:sz w:val="24"/>
        </w:rPr>
        <w:t xml:space="preserve"> z pot</w:t>
      </w:r>
      <w:r w:rsidRPr="00A33B9F">
        <w:rPr>
          <w:rFonts w:ascii="Times New Roman" w:hAnsi="Times New Roman"/>
          <w:noProof/>
          <w:color w:val="000000"/>
          <w:sz w:val="24"/>
        </w:rPr>
        <w:t>rzebą racjonalizacji piramidy opieki zdrowotnej, przyspieszenie procesów transformacji cyfrowej ochrony zdrowia, stworzenie wspierających warunków dla zwiększenia liczebności kadry medycznej, wsparcie inwestycji</w:t>
      </w:r>
      <w:r w:rsidR="00A33B9F" w:rsidRPr="00A33B9F">
        <w:rPr>
          <w:rFonts w:ascii="Times New Roman" w:hAnsi="Times New Roman"/>
          <w:noProof/>
          <w:color w:val="000000"/>
          <w:sz w:val="24"/>
        </w:rPr>
        <w:t xml:space="preserve"> w utw</w:t>
      </w:r>
      <w:r w:rsidRPr="00A33B9F">
        <w:rPr>
          <w:rFonts w:ascii="Times New Roman" w:hAnsi="Times New Roman"/>
          <w:noProof/>
          <w:color w:val="000000"/>
          <w:sz w:val="24"/>
        </w:rPr>
        <w:t>orzenie specjalistycznych centrów badawczych</w:t>
      </w:r>
      <w:r w:rsidR="00A33B9F" w:rsidRPr="00A33B9F">
        <w:rPr>
          <w:rFonts w:ascii="Times New Roman" w:hAnsi="Times New Roman"/>
          <w:noProof/>
          <w:color w:val="000000"/>
          <w:sz w:val="24"/>
        </w:rPr>
        <w:t xml:space="preserve"> i ana</w:t>
      </w:r>
      <w:r w:rsidRPr="00A33B9F">
        <w:rPr>
          <w:rFonts w:ascii="Times New Roman" w:hAnsi="Times New Roman"/>
          <w:noProof/>
          <w:color w:val="000000"/>
          <w:sz w:val="24"/>
        </w:rPr>
        <w:t>litycznych na potrzeby nauk medycznych oraz stworzenie sprzyjających warunków dla rozwoju produkcji leków</w:t>
      </w:r>
      <w:r w:rsidR="00A33B9F" w:rsidRPr="00A33B9F">
        <w:rPr>
          <w:rFonts w:ascii="Times New Roman" w:hAnsi="Times New Roman"/>
          <w:noProof/>
          <w:color w:val="000000"/>
          <w:sz w:val="24"/>
        </w:rPr>
        <w:t xml:space="preserve"> w Pol</w:t>
      </w:r>
      <w:r w:rsidRPr="00A33B9F">
        <w:rPr>
          <w:rFonts w:ascii="Times New Roman" w:hAnsi="Times New Roman"/>
          <w:noProof/>
          <w:color w:val="000000"/>
          <w:sz w:val="24"/>
        </w:rPr>
        <w:t>sce.</w:t>
      </w:r>
    </w:p>
    <w:p w14:paraId="34A2857A" w14:textId="6C970600" w:rsidR="007C4506" w:rsidRPr="00A33B9F" w:rsidRDefault="19B67CF2">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Komponent ten przyczynia się do realizacji zalecenia dla poszczególnych krajów dotyczącego poprawy odporności, dostępności</w:t>
      </w:r>
      <w:r w:rsidR="00A33B9F" w:rsidRPr="00A33B9F">
        <w:rPr>
          <w:rFonts w:ascii="Times New Roman" w:hAnsi="Times New Roman"/>
          <w:noProof/>
          <w:color w:val="000000" w:themeColor="text1"/>
          <w:sz w:val="24"/>
        </w:rPr>
        <w:t xml:space="preserve"> i sku</w:t>
      </w:r>
      <w:r w:rsidRPr="00A33B9F">
        <w:rPr>
          <w:rFonts w:ascii="Times New Roman" w:hAnsi="Times New Roman"/>
          <w:noProof/>
          <w:color w:val="000000" w:themeColor="text1"/>
          <w:sz w:val="24"/>
        </w:rPr>
        <w:t>teczności systemu opieki zdrowotnej, m.in. poprzez zapewnienie wystarczających zasobów</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yspieszenie wdrażania usług</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 xml:space="preserve">resie e-zdrowia (zalecenie dla poszczególnych krajów 1 2020). </w:t>
      </w:r>
    </w:p>
    <w:p w14:paraId="0394D839" w14:textId="78FDA16B" w:rsidR="007C4506" w:rsidRPr="00A33B9F" w:rsidRDefault="0916BEA7" w:rsidP="4FB1767A">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Oczekuje się, że żaden ze środków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komponencie nie spowoduje poważnych szkód dla celów środowiskowych</w:t>
      </w:r>
      <w:r w:rsidR="00A33B9F" w:rsidRPr="00A33B9F">
        <w:rPr>
          <w:rFonts w:ascii="Times New Roman" w:hAnsi="Times New Roman"/>
          <w:noProof/>
          <w:color w:val="000000" w:themeColor="text1"/>
          <w:sz w:val="24"/>
        </w:rPr>
        <w:t xml:space="preserve"> w roz</w:t>
      </w:r>
      <w:r w:rsidRPr="00A33B9F">
        <w:rPr>
          <w:rFonts w:ascii="Times New Roman" w:hAnsi="Times New Roman"/>
          <w:noProof/>
          <w:color w:val="000000" w:themeColor="text1"/>
          <w:sz w:val="24"/>
        </w:rPr>
        <w:t>umieniu art.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17 rozporządzenia Parlamentu Europejskiego</w:t>
      </w:r>
      <w:r w:rsidR="00A33B9F" w:rsidRPr="00A33B9F">
        <w:rPr>
          <w:rFonts w:ascii="Times New Roman" w:hAnsi="Times New Roman"/>
          <w:noProof/>
          <w:color w:val="000000" w:themeColor="text1"/>
          <w:sz w:val="24"/>
        </w:rPr>
        <w:t xml:space="preserve"> i Rad</w:t>
      </w:r>
      <w:r w:rsidRPr="00A33B9F">
        <w:rPr>
          <w:rFonts w:ascii="Times New Roman" w:hAnsi="Times New Roman"/>
          <w:noProof/>
          <w:color w:val="000000" w:themeColor="text1"/>
          <w:sz w:val="24"/>
        </w:rPr>
        <w:t>y (UE) 2020/852, biorąc pod uwagę opis środków</w:t>
      </w:r>
      <w:r w:rsidR="00A33B9F" w:rsidRPr="00A33B9F">
        <w:rPr>
          <w:rFonts w:ascii="Times New Roman" w:hAnsi="Times New Roman"/>
          <w:noProof/>
          <w:color w:val="000000" w:themeColor="text1"/>
          <w:sz w:val="24"/>
        </w:rPr>
        <w:t xml:space="preserve"> i dzi</w:t>
      </w:r>
      <w:r w:rsidRPr="00A33B9F">
        <w:rPr>
          <w:rFonts w:ascii="Times New Roman" w:hAnsi="Times New Roman"/>
          <w:noProof/>
          <w:color w:val="000000" w:themeColor="text1"/>
          <w:sz w:val="24"/>
        </w:rPr>
        <w:t>ałań ograniczających ryzyko</w:t>
      </w:r>
      <w:r w:rsidR="00A33B9F" w:rsidRPr="00A33B9F">
        <w:rPr>
          <w:rFonts w:ascii="Times New Roman" w:hAnsi="Times New Roman"/>
          <w:noProof/>
          <w:color w:val="000000" w:themeColor="text1"/>
          <w:sz w:val="24"/>
        </w:rPr>
        <w:t xml:space="preserve"> w pla</w:t>
      </w:r>
      <w:r w:rsidRPr="00A33B9F">
        <w:rPr>
          <w:rFonts w:ascii="Times New Roman" w:hAnsi="Times New Roman"/>
          <w:noProof/>
          <w:color w:val="000000" w:themeColor="text1"/>
          <w:sz w:val="24"/>
        </w:rPr>
        <w:t>nie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zgodnie</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 xml:space="preserve">ycznymi technicznymi dotyczącymi stosowania zasady „nie czyń poważnych szkód” (2021/C 58/01). </w:t>
      </w:r>
    </w:p>
    <w:p w14:paraId="4357A966" w14:textId="77777777" w:rsidR="00D74DEB" w:rsidRPr="00A33B9F" w:rsidRDefault="00D74DEB" w:rsidP="00FD5556">
      <w:pPr>
        <w:pStyle w:val="Normal0"/>
        <w:pBdr>
          <w:top w:val="nil"/>
          <w:left w:val="nil"/>
          <w:bottom w:val="nil"/>
          <w:right w:val="nil"/>
          <w:between w:val="nil"/>
        </w:pBdr>
        <w:spacing w:before="120" w:after="120" w:line="240" w:lineRule="auto"/>
        <w:ind w:left="720"/>
        <w:jc w:val="both"/>
        <w:rPr>
          <w:rFonts w:ascii="Times New Roman" w:eastAsia="Times New Roman" w:hAnsi="Times New Roman" w:cs="Times New Roman"/>
          <w:noProof/>
          <w:color w:val="000000"/>
          <w:sz w:val="24"/>
          <w:szCs w:val="24"/>
        </w:rPr>
      </w:pPr>
    </w:p>
    <w:p w14:paraId="75A2EEF8" w14:textId="671DE4C2" w:rsidR="00C05DFD" w:rsidRPr="00A33B9F" w:rsidRDefault="67AB9BF0">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r w:rsidRPr="00A33B9F">
        <w:rPr>
          <w:rFonts w:ascii="Times New Roman" w:hAnsi="Times New Roman"/>
          <w:b/>
          <w:noProof/>
          <w:color w:val="000000" w:themeColor="text1"/>
          <w:sz w:val="24"/>
        </w:rPr>
        <w:t xml:space="preserve">D.1. </w:t>
      </w:r>
      <w:r w:rsidRPr="00A33B9F">
        <w:rPr>
          <w:noProof/>
        </w:rPr>
        <w:tab/>
      </w:r>
      <w:r w:rsidRPr="00A33B9F">
        <w:rPr>
          <w:rFonts w:ascii="Times New Roman" w:hAnsi="Times New Roman"/>
          <w:b/>
          <w:noProof/>
          <w:color w:val="000000" w:themeColor="text1"/>
          <w:sz w:val="24"/>
        </w:rPr>
        <w:t>Opis reform</w:t>
      </w:r>
      <w:r w:rsidR="00A33B9F" w:rsidRPr="00A33B9F">
        <w:rPr>
          <w:rFonts w:ascii="Times New Roman" w:hAnsi="Times New Roman"/>
          <w:b/>
          <w:noProof/>
          <w:color w:val="000000" w:themeColor="text1"/>
          <w:sz w:val="24"/>
        </w:rPr>
        <w:t xml:space="preserve"> i inw</w:t>
      </w:r>
      <w:r w:rsidRPr="00A33B9F">
        <w:rPr>
          <w:rFonts w:ascii="Times New Roman" w:hAnsi="Times New Roman"/>
          <w:b/>
          <w:noProof/>
          <w:color w:val="000000" w:themeColor="text1"/>
          <w:sz w:val="24"/>
        </w:rPr>
        <w:t>estycji, które mają być finansowane</w:t>
      </w:r>
      <w:r w:rsidR="00A33B9F" w:rsidRPr="00A33B9F">
        <w:rPr>
          <w:rFonts w:ascii="Times New Roman" w:hAnsi="Times New Roman"/>
          <w:b/>
          <w:noProof/>
          <w:color w:val="000000" w:themeColor="text1"/>
          <w:sz w:val="24"/>
        </w:rPr>
        <w:t xml:space="preserve"> z bez</w:t>
      </w:r>
      <w:r w:rsidRPr="00A33B9F">
        <w:rPr>
          <w:rFonts w:ascii="Times New Roman" w:hAnsi="Times New Roman"/>
          <w:b/>
          <w:noProof/>
          <w:color w:val="000000" w:themeColor="text1"/>
          <w:sz w:val="24"/>
        </w:rPr>
        <w:t>zwrotnego wsparcia finansowego</w:t>
      </w:r>
    </w:p>
    <w:p w14:paraId="44690661" w14:textId="77777777" w:rsidR="007C4506" w:rsidRPr="00A33B9F" w:rsidRDefault="007C4506" w:rsidP="1B11766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p>
    <w:p w14:paraId="16440E8E" w14:textId="49925678"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D1.1 Zwiększenie efektywności, dostępności</w:t>
      </w:r>
      <w:r w:rsidR="00A33B9F" w:rsidRPr="00A33B9F">
        <w:rPr>
          <w:rFonts w:ascii="Times New Roman" w:hAnsi="Times New Roman"/>
          <w:b/>
          <w:noProof/>
          <w:color w:val="000000"/>
          <w:sz w:val="24"/>
          <w:u w:val="single"/>
        </w:rPr>
        <w:t xml:space="preserve"> i jak</w:t>
      </w:r>
      <w:r w:rsidRPr="00A33B9F">
        <w:rPr>
          <w:rFonts w:ascii="Times New Roman" w:hAnsi="Times New Roman"/>
          <w:b/>
          <w:noProof/>
          <w:color w:val="000000"/>
          <w:sz w:val="24"/>
          <w:u w:val="single"/>
        </w:rPr>
        <w:t>ości świadczeń zdrowotnych</w:t>
      </w:r>
    </w:p>
    <w:p w14:paraId="3EE4104E" w14:textId="6EE68440"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wprowadzenie kompleksowych działań polegających na restrukturyzacji szpitali publicznych. Reforma ma zapewnić trwałą poprawę odporności, skuteczności, jakości</w:t>
      </w:r>
      <w:r w:rsidR="00A33B9F" w:rsidRPr="00A33B9F">
        <w:rPr>
          <w:rFonts w:ascii="Times New Roman" w:hAnsi="Times New Roman"/>
          <w:noProof/>
          <w:color w:val="000000" w:themeColor="text1"/>
          <w:sz w:val="24"/>
        </w:rPr>
        <w:t xml:space="preserve"> i dos</w:t>
      </w:r>
      <w:r w:rsidRPr="00A33B9F">
        <w:rPr>
          <w:rFonts w:ascii="Times New Roman" w:hAnsi="Times New Roman"/>
          <w:noProof/>
          <w:color w:val="000000" w:themeColor="text1"/>
          <w:sz w:val="24"/>
        </w:rPr>
        <w:t>tępności opieki zdrowotnej</w:t>
      </w:r>
      <w:r w:rsidR="00A33B9F" w:rsidRPr="00A33B9F">
        <w:rPr>
          <w:rFonts w:ascii="Times New Roman" w:hAnsi="Times New Roman"/>
          <w:noProof/>
          <w:color w:val="000000" w:themeColor="text1"/>
          <w:sz w:val="24"/>
        </w:rPr>
        <w:t xml:space="preserve"> i opi</w:t>
      </w:r>
      <w:r w:rsidRPr="00A33B9F">
        <w:rPr>
          <w:rFonts w:ascii="Times New Roman" w:hAnsi="Times New Roman"/>
          <w:noProof/>
          <w:color w:val="000000" w:themeColor="text1"/>
          <w:sz w:val="24"/>
        </w:rPr>
        <w:t>eki długoterminowej, poprawę sytuacji finansowej szpitali publicznych oraz procesów nadzorowania</w:t>
      </w:r>
      <w:r w:rsidR="00A33B9F" w:rsidRPr="00A33B9F">
        <w:rPr>
          <w:rFonts w:ascii="Times New Roman" w:hAnsi="Times New Roman"/>
          <w:noProof/>
          <w:color w:val="000000" w:themeColor="text1"/>
          <w:sz w:val="24"/>
        </w:rPr>
        <w:t xml:space="preserve"> i zar</w:t>
      </w:r>
      <w:r w:rsidRPr="00A33B9F">
        <w:rPr>
          <w:rFonts w:ascii="Times New Roman" w:hAnsi="Times New Roman"/>
          <w:noProof/>
          <w:color w:val="000000" w:themeColor="text1"/>
          <w:sz w:val="24"/>
        </w:rPr>
        <w:t>ządzania tymi jednostkami. Reforma dotyczy całego sektora szpitali,</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którego świadczone są usługi opieki zdrowotnej finansowane ze środków publicznych.</w:t>
      </w:r>
    </w:p>
    <w:p w14:paraId="72D401FD" w14:textId="64B55D73"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ma również zapewnić podstawy do działań prowadzących do racjonalizacji piramidy opieki zdrowotnej, m.in. poprzez wprowadzenie nowych przepisów ustawy</w:t>
      </w:r>
      <w:r w:rsidR="00A33B9F" w:rsidRPr="00A33B9F">
        <w:rPr>
          <w:rFonts w:ascii="Times New Roman" w:hAnsi="Times New Roman"/>
          <w:noProof/>
          <w:color w:val="000000"/>
          <w:sz w:val="24"/>
        </w:rPr>
        <w:t xml:space="preserve"> o pod</w:t>
      </w:r>
      <w:r w:rsidRPr="00A33B9F">
        <w:rPr>
          <w:rFonts w:ascii="Times New Roman" w:hAnsi="Times New Roman"/>
          <w:noProof/>
          <w:color w:val="000000"/>
          <w:sz w:val="24"/>
        </w:rPr>
        <w:t>stawowej opiece zdrowotnej.</w:t>
      </w:r>
    </w:p>
    <w:p w14:paraId="7834828A" w14:textId="4A76E096" w:rsidR="007C4506" w:rsidRPr="00A33B9F" w:rsidRDefault="6B5A8FD1" w:rsidP="7A2BD2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Reforma sektora szpitali zostanie wprowadzona jedną nową ustawą, która będzie mogła jednak wprowadzać zmiany do już istniejących ustaw, takich jak: ustawa</w:t>
      </w:r>
      <w:r w:rsidR="00A33B9F" w:rsidRPr="00A33B9F">
        <w:rPr>
          <w:rFonts w:ascii="Times New Roman" w:hAnsi="Times New Roman"/>
          <w:noProof/>
          <w:color w:val="000000" w:themeColor="text1"/>
          <w:sz w:val="24"/>
        </w:rPr>
        <w:t xml:space="preserve"> o dzi</w:t>
      </w:r>
      <w:r w:rsidRPr="00A33B9F">
        <w:rPr>
          <w:rFonts w:ascii="Times New Roman" w:hAnsi="Times New Roman"/>
          <w:noProof/>
          <w:color w:val="000000" w:themeColor="text1"/>
          <w:sz w:val="24"/>
        </w:rPr>
        <w:t>ałalności leczniczej czy ustawa</w:t>
      </w:r>
      <w:r w:rsidR="00A33B9F" w:rsidRPr="00A33B9F">
        <w:rPr>
          <w:rFonts w:ascii="Times New Roman" w:hAnsi="Times New Roman"/>
          <w:noProof/>
          <w:color w:val="000000" w:themeColor="text1"/>
          <w:sz w:val="24"/>
        </w:rPr>
        <w:t xml:space="preserve"> o świ</w:t>
      </w:r>
      <w:r w:rsidRPr="00A33B9F">
        <w:rPr>
          <w:rFonts w:ascii="Times New Roman" w:hAnsi="Times New Roman"/>
          <w:noProof/>
          <w:color w:val="000000" w:themeColor="text1"/>
          <w:sz w:val="24"/>
        </w:rPr>
        <w:t xml:space="preserve">adczeniach opieki zdrowotnej finansowanych ze środków publicznych. Najważniejsze postanowienia reformy są następujące: </w:t>
      </w:r>
    </w:p>
    <w:p w14:paraId="495D48EB" w14:textId="2034B38E" w:rsidR="007C4506" w:rsidRPr="00A33B9F" w:rsidRDefault="6B5A8FD1" w:rsidP="7A2BD2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 restrukturyzacja sektora szpitali poprzez konsolidację, przeprofilowanie oraz zmianę zakresu</w:t>
      </w:r>
      <w:r w:rsidR="00A33B9F" w:rsidRPr="00A33B9F">
        <w:rPr>
          <w:rFonts w:ascii="Times New Roman" w:hAnsi="Times New Roman"/>
          <w:noProof/>
          <w:color w:val="000000" w:themeColor="text1"/>
          <w:sz w:val="24"/>
        </w:rPr>
        <w:t xml:space="preserve"> i str</w:t>
      </w:r>
      <w:r w:rsidRPr="00A33B9F">
        <w:rPr>
          <w:rFonts w:ascii="Times New Roman" w:hAnsi="Times New Roman"/>
          <w:noProof/>
          <w:color w:val="000000" w:themeColor="text1"/>
          <w:sz w:val="24"/>
        </w:rPr>
        <w:t>uktury usług opieki zdrowotnej świadczonych przez szpitale, na podstawie krajowych</w:t>
      </w:r>
      <w:r w:rsidR="00A33B9F" w:rsidRPr="00A33B9F">
        <w:rPr>
          <w:rFonts w:ascii="Times New Roman" w:hAnsi="Times New Roman"/>
          <w:noProof/>
          <w:color w:val="000000" w:themeColor="text1"/>
          <w:sz w:val="24"/>
        </w:rPr>
        <w:t xml:space="preserve"> i reg</w:t>
      </w:r>
      <w:r w:rsidRPr="00A33B9F">
        <w:rPr>
          <w:rFonts w:ascii="Times New Roman" w:hAnsi="Times New Roman"/>
          <w:noProof/>
          <w:color w:val="000000" w:themeColor="text1"/>
          <w:sz w:val="24"/>
        </w:rPr>
        <w:t>ionalnych planów przekształceń oraz mapy potrzeb zdrowotnych,</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odpowiednią aktualizację sieci szpitali</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procesu restrukturyzacji uwzględnia się potrzeby szpitali objętych nadzorem Ministra Obrony Narodowej lub Ministra Spraw Wewnętrznych związane</w:t>
      </w:r>
      <w:r w:rsidR="00A33B9F" w:rsidRPr="00A33B9F">
        <w:rPr>
          <w:rFonts w:ascii="Times New Roman" w:hAnsi="Times New Roman"/>
          <w:noProof/>
          <w:color w:val="000000" w:themeColor="text1"/>
          <w:sz w:val="24"/>
        </w:rPr>
        <w:t xml:space="preserve"> z wpł</w:t>
      </w:r>
      <w:r w:rsidRPr="00A33B9F">
        <w:rPr>
          <w:rFonts w:ascii="Times New Roman" w:hAnsi="Times New Roman"/>
          <w:noProof/>
          <w:color w:val="000000" w:themeColor="text1"/>
          <w:sz w:val="24"/>
        </w:rPr>
        <w:t>ywem wojny</w:t>
      </w:r>
      <w:r w:rsidR="00A33B9F" w:rsidRPr="00A33B9F">
        <w:rPr>
          <w:rFonts w:ascii="Times New Roman" w:hAnsi="Times New Roman"/>
          <w:noProof/>
          <w:color w:val="000000" w:themeColor="text1"/>
          <w:sz w:val="24"/>
        </w:rPr>
        <w:t xml:space="preserve"> w Ukr</w:t>
      </w:r>
      <w:r w:rsidRPr="00A33B9F">
        <w:rPr>
          <w:rFonts w:ascii="Times New Roman" w:hAnsi="Times New Roman"/>
          <w:noProof/>
          <w:color w:val="000000" w:themeColor="text1"/>
          <w:sz w:val="24"/>
        </w:rPr>
        <w:t>ainie;</w:t>
      </w:r>
    </w:p>
    <w:p w14:paraId="2E9A9DCB" w14:textId="45055B1F"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 podstawy do działań na rzecz racjonalizacji piramidy opieki zdrowotnej poprzez przesunięcie niektórych świadczeń zdrowotnych ze szpitali na niższe poziomy opieki (podstawowa opieka zdrowotna, opieka ambulatoryjna)</w:t>
      </w:r>
      <w:r w:rsidR="00A33B9F" w:rsidRPr="00A33B9F">
        <w:rPr>
          <w:rFonts w:ascii="Times New Roman" w:hAnsi="Times New Roman"/>
          <w:noProof/>
          <w:color w:val="000000"/>
          <w:sz w:val="24"/>
        </w:rPr>
        <w:t xml:space="preserve"> z odp</w:t>
      </w:r>
      <w:r w:rsidRPr="00A33B9F">
        <w:rPr>
          <w:rFonts w:ascii="Times New Roman" w:hAnsi="Times New Roman"/>
          <w:noProof/>
          <w:color w:val="000000"/>
          <w:sz w:val="24"/>
        </w:rPr>
        <w:t>owiednio zmienionymi zapisami</w:t>
      </w:r>
      <w:r w:rsidR="00A33B9F" w:rsidRPr="00A33B9F">
        <w:rPr>
          <w:rFonts w:ascii="Times New Roman" w:hAnsi="Times New Roman"/>
          <w:noProof/>
          <w:color w:val="000000"/>
          <w:sz w:val="24"/>
        </w:rPr>
        <w:t xml:space="preserve"> w roc</w:t>
      </w:r>
      <w:r w:rsidRPr="00A33B9F">
        <w:rPr>
          <w:rFonts w:ascii="Times New Roman" w:hAnsi="Times New Roman"/>
          <w:noProof/>
          <w:color w:val="000000"/>
          <w:sz w:val="24"/>
        </w:rPr>
        <w:t>znych planach finansowych NFZ (Narodowego Funduszu Zdrowia) oraz</w:t>
      </w:r>
    </w:p>
    <w:p w14:paraId="66808C47" w14:textId="0581843E"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 zmiany</w:t>
      </w:r>
      <w:r w:rsidR="00A33B9F" w:rsidRPr="00A33B9F">
        <w:rPr>
          <w:rFonts w:ascii="Times New Roman" w:hAnsi="Times New Roman"/>
          <w:noProof/>
          <w:color w:val="000000"/>
          <w:sz w:val="24"/>
        </w:rPr>
        <w:t xml:space="preserve"> w sys</w:t>
      </w:r>
      <w:r w:rsidRPr="00A33B9F">
        <w:rPr>
          <w:rFonts w:ascii="Times New Roman" w:hAnsi="Times New Roman"/>
          <w:noProof/>
          <w:color w:val="000000"/>
          <w:sz w:val="24"/>
        </w:rPr>
        <w:t>temie finansowania szpitali, zapewniające skuteczną</w:t>
      </w:r>
      <w:r w:rsidR="00A33B9F" w:rsidRPr="00A33B9F">
        <w:rPr>
          <w:rFonts w:ascii="Times New Roman" w:hAnsi="Times New Roman"/>
          <w:noProof/>
          <w:color w:val="000000"/>
          <w:sz w:val="24"/>
        </w:rPr>
        <w:t xml:space="preserve"> i trw</w:t>
      </w:r>
      <w:r w:rsidRPr="00A33B9F">
        <w:rPr>
          <w:rFonts w:ascii="Times New Roman" w:hAnsi="Times New Roman"/>
          <w:noProof/>
          <w:color w:val="000000"/>
          <w:sz w:val="24"/>
        </w:rPr>
        <w:t>ałą restrukturyzację,</w:t>
      </w:r>
      <w:r w:rsidR="00A33B9F" w:rsidRPr="00A33B9F">
        <w:rPr>
          <w:rFonts w:ascii="Times New Roman" w:hAnsi="Times New Roman"/>
          <w:noProof/>
          <w:color w:val="000000"/>
          <w:sz w:val="24"/>
        </w:rPr>
        <w:t xml:space="preserve"> w tym</w:t>
      </w:r>
      <w:r w:rsidRPr="00A33B9F">
        <w:rPr>
          <w:rFonts w:ascii="Times New Roman" w:hAnsi="Times New Roman"/>
          <w:noProof/>
          <w:color w:val="000000"/>
          <w:sz w:val="24"/>
        </w:rPr>
        <w:t xml:space="preserve"> rozwiązanie kwestii umarzania długów szpitali</w:t>
      </w:r>
      <w:r w:rsidR="00A33B9F" w:rsidRPr="00A33B9F">
        <w:rPr>
          <w:rFonts w:ascii="Times New Roman" w:hAnsi="Times New Roman"/>
          <w:noProof/>
          <w:color w:val="000000"/>
          <w:sz w:val="24"/>
        </w:rPr>
        <w:t xml:space="preserve"> w spo</w:t>
      </w:r>
      <w:r w:rsidRPr="00A33B9F">
        <w:rPr>
          <w:rFonts w:ascii="Times New Roman" w:hAnsi="Times New Roman"/>
          <w:noProof/>
          <w:color w:val="000000"/>
          <w:sz w:val="24"/>
        </w:rPr>
        <w:t>sób zrównoważony, na podstawie przejrzystych</w:t>
      </w:r>
      <w:r w:rsidR="00A33B9F" w:rsidRPr="00A33B9F">
        <w:rPr>
          <w:rFonts w:ascii="Times New Roman" w:hAnsi="Times New Roman"/>
          <w:noProof/>
          <w:color w:val="000000"/>
          <w:sz w:val="24"/>
        </w:rPr>
        <w:t xml:space="preserve"> i opa</w:t>
      </w:r>
      <w:r w:rsidRPr="00A33B9F">
        <w:rPr>
          <w:rFonts w:ascii="Times New Roman" w:hAnsi="Times New Roman"/>
          <w:noProof/>
          <w:color w:val="000000"/>
          <w:sz w:val="24"/>
        </w:rPr>
        <w:t>rtych na dowodach kryteriów oraz solidnego systemu finansowania szpitali, motywującego do właściwego świadczenia opieki oraz zwiększania efektywności</w:t>
      </w:r>
      <w:r w:rsidR="00A33B9F" w:rsidRPr="00A33B9F">
        <w:rPr>
          <w:rFonts w:ascii="Times New Roman" w:hAnsi="Times New Roman"/>
          <w:noProof/>
          <w:color w:val="000000"/>
          <w:sz w:val="24"/>
        </w:rPr>
        <w:t xml:space="preserve"> i jak</w:t>
      </w:r>
      <w:r w:rsidRPr="00A33B9F">
        <w:rPr>
          <w:rFonts w:ascii="Times New Roman" w:hAnsi="Times New Roman"/>
          <w:noProof/>
          <w:color w:val="000000"/>
          <w:sz w:val="24"/>
        </w:rPr>
        <w:t>ości opieki,</w:t>
      </w:r>
      <w:r w:rsidR="00A33B9F" w:rsidRPr="00A33B9F">
        <w:rPr>
          <w:rFonts w:ascii="Times New Roman" w:hAnsi="Times New Roman"/>
          <w:noProof/>
          <w:color w:val="000000"/>
          <w:sz w:val="24"/>
        </w:rPr>
        <w:t xml:space="preserve"> a tak</w:t>
      </w:r>
      <w:r w:rsidRPr="00A33B9F">
        <w:rPr>
          <w:rFonts w:ascii="Times New Roman" w:hAnsi="Times New Roman"/>
          <w:noProof/>
          <w:color w:val="000000"/>
          <w:sz w:val="24"/>
        </w:rPr>
        <w:t>że stworzenie profesjonalnego systemu nadzoru nad szpitalami, wzmocnienie kadry zarządzającej oraz zachęcanie do stosowania nowoczesnych systemów, narzędzi</w:t>
      </w:r>
      <w:r w:rsidR="00A33B9F" w:rsidRPr="00A33B9F">
        <w:rPr>
          <w:rFonts w:ascii="Times New Roman" w:hAnsi="Times New Roman"/>
          <w:noProof/>
          <w:color w:val="000000"/>
          <w:sz w:val="24"/>
        </w:rPr>
        <w:t xml:space="preserve"> i met</w:t>
      </w:r>
      <w:r w:rsidRPr="00A33B9F">
        <w:rPr>
          <w:rFonts w:ascii="Times New Roman" w:hAnsi="Times New Roman"/>
          <w:noProof/>
          <w:color w:val="000000"/>
          <w:sz w:val="24"/>
        </w:rPr>
        <w:t>od zarządzania</w:t>
      </w:r>
      <w:r w:rsidR="00A33B9F" w:rsidRPr="00A33B9F">
        <w:rPr>
          <w:rFonts w:ascii="Times New Roman" w:hAnsi="Times New Roman"/>
          <w:noProof/>
          <w:color w:val="000000"/>
          <w:sz w:val="24"/>
        </w:rPr>
        <w:t xml:space="preserve"> w opi</w:t>
      </w:r>
      <w:r w:rsidRPr="00A33B9F">
        <w:rPr>
          <w:rFonts w:ascii="Times New Roman" w:hAnsi="Times New Roman"/>
          <w:noProof/>
          <w:color w:val="000000"/>
          <w:sz w:val="24"/>
        </w:rPr>
        <w:t>ece zdrowotnej.</w:t>
      </w:r>
    </w:p>
    <w:p w14:paraId="0B7B3277" w14:textId="5E17D75E"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Reformę sektora szpitali należy uzupełnić</w:t>
      </w:r>
      <w:r w:rsidR="00A33B9F" w:rsidRPr="00A33B9F">
        <w:rPr>
          <w:rFonts w:ascii="Times New Roman" w:hAnsi="Times New Roman"/>
          <w:noProof/>
          <w:color w:val="000000"/>
          <w:sz w:val="24"/>
        </w:rPr>
        <w:t xml:space="preserve"> o ref</w:t>
      </w:r>
      <w:r w:rsidRPr="00A33B9F">
        <w:rPr>
          <w:rFonts w:ascii="Times New Roman" w:hAnsi="Times New Roman"/>
          <w:noProof/>
          <w:color w:val="000000"/>
          <w:sz w:val="24"/>
        </w:rPr>
        <w:t>ormy Krajowej Sieci Onkologicznej</w:t>
      </w:r>
      <w:r w:rsidR="00A33B9F" w:rsidRPr="00A33B9F">
        <w:rPr>
          <w:rFonts w:ascii="Times New Roman" w:hAnsi="Times New Roman"/>
          <w:noProof/>
          <w:color w:val="000000"/>
          <w:sz w:val="24"/>
        </w:rPr>
        <w:t xml:space="preserve"> i Kra</w:t>
      </w:r>
      <w:r w:rsidRPr="00A33B9F">
        <w:rPr>
          <w:rFonts w:ascii="Times New Roman" w:hAnsi="Times New Roman"/>
          <w:noProof/>
          <w:color w:val="000000"/>
          <w:sz w:val="24"/>
        </w:rPr>
        <w:t>jowej Sieci Kardiologicznej oraz jakości opieki zdrowotnej</w:t>
      </w:r>
      <w:r w:rsidR="00A33B9F" w:rsidRPr="00A33B9F">
        <w:rPr>
          <w:rFonts w:ascii="Times New Roman" w:hAnsi="Times New Roman"/>
          <w:noProof/>
          <w:color w:val="000000"/>
          <w:sz w:val="24"/>
        </w:rPr>
        <w:t xml:space="preserve"> i bez</w:t>
      </w:r>
      <w:r w:rsidRPr="00A33B9F">
        <w:rPr>
          <w:rFonts w:ascii="Times New Roman" w:hAnsi="Times New Roman"/>
          <w:noProof/>
          <w:color w:val="000000"/>
          <w:sz w:val="24"/>
        </w:rPr>
        <w:t>pieczeństwa pacjentów. Celem tych reform jest poprawa dostępu do usług</w:t>
      </w:r>
      <w:r w:rsidR="00A33B9F" w:rsidRPr="00A33B9F">
        <w:rPr>
          <w:rFonts w:ascii="Times New Roman" w:hAnsi="Times New Roman"/>
          <w:noProof/>
          <w:color w:val="000000"/>
          <w:sz w:val="24"/>
        </w:rPr>
        <w:t xml:space="preserve"> w zak</w:t>
      </w:r>
      <w:r w:rsidRPr="00A33B9F">
        <w:rPr>
          <w:rFonts w:ascii="Times New Roman" w:hAnsi="Times New Roman"/>
          <w:noProof/>
          <w:color w:val="000000"/>
          <w:sz w:val="24"/>
        </w:rPr>
        <w:t>resie opieki onkologicznej</w:t>
      </w:r>
      <w:r w:rsidR="00A33B9F" w:rsidRPr="00A33B9F">
        <w:rPr>
          <w:rFonts w:ascii="Times New Roman" w:hAnsi="Times New Roman"/>
          <w:noProof/>
          <w:color w:val="000000"/>
          <w:sz w:val="24"/>
        </w:rPr>
        <w:t xml:space="preserve"> i kar</w:t>
      </w:r>
      <w:r w:rsidRPr="00A33B9F">
        <w:rPr>
          <w:rFonts w:ascii="Times New Roman" w:hAnsi="Times New Roman"/>
          <w:noProof/>
          <w:color w:val="000000"/>
          <w:sz w:val="24"/>
        </w:rPr>
        <w:t>diologicznej oraz poprawa jakości tych usług. Reforma dotycząca jakości opieki zdrowotnej</w:t>
      </w:r>
      <w:r w:rsidR="00A33B9F" w:rsidRPr="00A33B9F">
        <w:rPr>
          <w:rFonts w:ascii="Times New Roman" w:hAnsi="Times New Roman"/>
          <w:noProof/>
          <w:color w:val="000000"/>
          <w:sz w:val="24"/>
        </w:rPr>
        <w:t xml:space="preserve"> i bez</w:t>
      </w:r>
      <w:r w:rsidRPr="00A33B9F">
        <w:rPr>
          <w:rFonts w:ascii="Times New Roman" w:hAnsi="Times New Roman"/>
          <w:noProof/>
          <w:color w:val="000000"/>
          <w:sz w:val="24"/>
        </w:rPr>
        <w:t>pieczeństwa pacjentów ma na celu wprowadzenie rozwiązań systemowych</w:t>
      </w:r>
      <w:r w:rsidR="00A33B9F" w:rsidRPr="00A33B9F">
        <w:rPr>
          <w:rFonts w:ascii="Times New Roman" w:hAnsi="Times New Roman"/>
          <w:noProof/>
          <w:color w:val="000000"/>
          <w:sz w:val="24"/>
        </w:rPr>
        <w:t xml:space="preserve"> w zak</w:t>
      </w:r>
      <w:r w:rsidRPr="00A33B9F">
        <w:rPr>
          <w:rFonts w:ascii="Times New Roman" w:hAnsi="Times New Roman"/>
          <w:noProof/>
          <w:color w:val="000000"/>
          <w:sz w:val="24"/>
        </w:rPr>
        <w:t>resie norm jakości przepisów ochrony zdrowia oraz ich monitorowanie</w:t>
      </w:r>
      <w:r w:rsidR="00A33B9F" w:rsidRPr="00A33B9F">
        <w:rPr>
          <w:rFonts w:ascii="Times New Roman" w:hAnsi="Times New Roman"/>
          <w:noProof/>
          <w:color w:val="000000"/>
          <w:sz w:val="24"/>
        </w:rPr>
        <w:t xml:space="preserve"> w cel</w:t>
      </w:r>
      <w:r w:rsidRPr="00A33B9F">
        <w:rPr>
          <w:rFonts w:ascii="Times New Roman" w:hAnsi="Times New Roman"/>
          <w:noProof/>
          <w:color w:val="000000"/>
          <w:sz w:val="24"/>
        </w:rPr>
        <w:t xml:space="preserve">u uzyskania trwałych efektów reformy. </w:t>
      </w:r>
    </w:p>
    <w:p w14:paraId="1F8D5F9D" w14:textId="70D2BE17" w:rsidR="00E90B8F" w:rsidRPr="00A33B9F" w:rsidRDefault="00E90B8F" w:rsidP="00E90B8F">
      <w:pPr>
        <w:pBdr>
          <w:top w:val="nil"/>
          <w:left w:val="nil"/>
          <w:bottom w:val="nil"/>
          <w:right w:val="nil"/>
          <w:between w:val="nil"/>
        </w:pBdr>
        <w:tabs>
          <w:tab w:val="left" w:pos="3500"/>
          <w:tab w:val="left" w:pos="3901"/>
        </w:tabs>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obejmie również pakiet legislacyjny dotyczący uruchomienia krajowych usług</w:t>
      </w:r>
      <w:r w:rsidR="00A33B9F" w:rsidRPr="00A33B9F">
        <w:rPr>
          <w:rFonts w:ascii="Times New Roman" w:hAnsi="Times New Roman"/>
          <w:noProof/>
          <w:color w:val="000000"/>
          <w:sz w:val="24"/>
        </w:rPr>
        <w:t xml:space="preserve"> w zak</w:t>
      </w:r>
      <w:r w:rsidRPr="00A33B9F">
        <w:rPr>
          <w:rFonts w:ascii="Times New Roman" w:hAnsi="Times New Roman"/>
          <w:noProof/>
          <w:color w:val="000000"/>
          <w:sz w:val="24"/>
        </w:rPr>
        <w:t>resie e-zdrowia oraz ich integracji</w:t>
      </w:r>
      <w:r w:rsidR="00A33B9F" w:rsidRPr="00A33B9F">
        <w:rPr>
          <w:rFonts w:ascii="Times New Roman" w:hAnsi="Times New Roman"/>
          <w:noProof/>
          <w:color w:val="000000"/>
          <w:sz w:val="24"/>
        </w:rPr>
        <w:t xml:space="preserve"> z ist</w:t>
      </w:r>
      <w:r w:rsidRPr="00A33B9F">
        <w:rPr>
          <w:rFonts w:ascii="Times New Roman" w:hAnsi="Times New Roman"/>
          <w:noProof/>
          <w:color w:val="000000"/>
          <w:sz w:val="24"/>
        </w:rPr>
        <w:t>niejącymi/dostępnymi systemami e-zdrowia na poziomie krajowym</w:t>
      </w:r>
      <w:r w:rsidR="00A33B9F" w:rsidRPr="00A33B9F">
        <w:rPr>
          <w:rFonts w:ascii="Times New Roman" w:hAnsi="Times New Roman"/>
          <w:noProof/>
          <w:color w:val="000000"/>
          <w:sz w:val="24"/>
        </w:rPr>
        <w:t xml:space="preserve"> i reg</w:t>
      </w:r>
      <w:r w:rsidRPr="00A33B9F">
        <w:rPr>
          <w:rFonts w:ascii="Times New Roman" w:hAnsi="Times New Roman"/>
          <w:noProof/>
          <w:color w:val="000000"/>
          <w:sz w:val="24"/>
        </w:rPr>
        <w:t>ionalnym.</w:t>
      </w:r>
    </w:p>
    <w:p w14:paraId="5DA92445" w14:textId="7A6EF05E"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reformy zostanie zakończona do dnia 31 marca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4539910" w14:textId="77777777" w:rsidR="007C4506" w:rsidRPr="00A33B9F"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76C2A75C" w14:textId="53F30E93"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D1.1.1 Rozwój</w:t>
      </w:r>
      <w:r w:rsidR="00A33B9F" w:rsidRPr="00A33B9F">
        <w:rPr>
          <w:rFonts w:ascii="Times New Roman" w:hAnsi="Times New Roman"/>
          <w:b/>
          <w:noProof/>
          <w:color w:val="000000" w:themeColor="text1"/>
          <w:sz w:val="24"/>
          <w:u w:val="single"/>
        </w:rPr>
        <w:t xml:space="preserve"> i mod</w:t>
      </w:r>
      <w:r w:rsidRPr="00A33B9F">
        <w:rPr>
          <w:rFonts w:ascii="Times New Roman" w:hAnsi="Times New Roman"/>
          <w:b/>
          <w:noProof/>
          <w:color w:val="000000" w:themeColor="text1"/>
          <w:sz w:val="24"/>
          <w:u w:val="single"/>
        </w:rPr>
        <w:t>ernizacja infrastruktury centrów opieki wysokospecjalistycznej</w:t>
      </w:r>
      <w:r w:rsidR="00A33B9F" w:rsidRPr="00A33B9F">
        <w:rPr>
          <w:rFonts w:ascii="Times New Roman" w:hAnsi="Times New Roman"/>
          <w:b/>
          <w:noProof/>
          <w:color w:val="000000" w:themeColor="text1"/>
          <w:sz w:val="24"/>
          <w:u w:val="single"/>
        </w:rPr>
        <w:t xml:space="preserve"> i inn</w:t>
      </w:r>
      <w:r w:rsidRPr="00A33B9F">
        <w:rPr>
          <w:rFonts w:ascii="Times New Roman" w:hAnsi="Times New Roman"/>
          <w:b/>
          <w:noProof/>
          <w:color w:val="000000" w:themeColor="text1"/>
          <w:sz w:val="24"/>
          <w:u w:val="single"/>
        </w:rPr>
        <w:t>ych podmiotów leczniczych</w:t>
      </w:r>
    </w:p>
    <w:p w14:paraId="3446A8FC" w14:textId="20A9F377" w:rsidR="007C4506" w:rsidRPr="00A33B9F" w:rsidRDefault="372C7ECC" w:rsidP="00D23F6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inwestycji jest wsparcie szpitali, których potrzeby inwestycyjne wynikają</w:t>
      </w:r>
      <w:r w:rsidR="00A33B9F" w:rsidRPr="00A33B9F">
        <w:rPr>
          <w:rFonts w:ascii="Times New Roman" w:hAnsi="Times New Roman"/>
          <w:noProof/>
          <w:color w:val="000000" w:themeColor="text1"/>
          <w:sz w:val="24"/>
        </w:rPr>
        <w:t xml:space="preserve"> z pro</w:t>
      </w:r>
      <w:r w:rsidRPr="00A33B9F">
        <w:rPr>
          <w:rFonts w:ascii="Times New Roman" w:hAnsi="Times New Roman"/>
          <w:noProof/>
          <w:color w:val="000000" w:themeColor="text1"/>
          <w:sz w:val="24"/>
        </w:rPr>
        <w:t>cesów reformy, takich jak konsolidacja, przeprofilowanie</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ekształcenie</w:t>
      </w:r>
      <w:r w:rsidR="00A33B9F" w:rsidRPr="00A33B9F">
        <w:rPr>
          <w:rFonts w:ascii="Times New Roman" w:hAnsi="Times New Roman"/>
          <w:noProof/>
          <w:color w:val="000000" w:themeColor="text1"/>
          <w:sz w:val="24"/>
        </w:rPr>
        <w:t xml:space="preserve"> w pod</w:t>
      </w:r>
      <w:r w:rsidRPr="00A33B9F">
        <w:rPr>
          <w:rFonts w:ascii="Times New Roman" w:hAnsi="Times New Roman"/>
          <w:noProof/>
          <w:color w:val="000000" w:themeColor="text1"/>
          <w:sz w:val="24"/>
        </w:rPr>
        <w:t>mioty opieki długoterminowej. Należna interwencja inwestycyjna</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RRF ma na celu wsparcie szpitali, których potrzeby inwestycyjne określono wyłącznie</w:t>
      </w:r>
      <w:r w:rsidR="00A33B9F" w:rsidRPr="00A33B9F">
        <w:rPr>
          <w:rFonts w:ascii="Times New Roman" w:hAnsi="Times New Roman"/>
          <w:noProof/>
          <w:color w:val="000000" w:themeColor="text1"/>
          <w:sz w:val="24"/>
        </w:rPr>
        <w:t xml:space="preserve"> w wyn</w:t>
      </w:r>
      <w:r w:rsidRPr="00A33B9F">
        <w:rPr>
          <w:rFonts w:ascii="Times New Roman" w:hAnsi="Times New Roman"/>
          <w:noProof/>
          <w:color w:val="000000" w:themeColor="text1"/>
          <w:sz w:val="24"/>
        </w:rPr>
        <w:t>iku procesów</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reformy D.1.1. Do podmiotów leczniczych kwalifikujących się do wsparcia zaliczają się szpitale</w:t>
      </w:r>
      <w:r w:rsidR="00A33B9F" w:rsidRPr="00A33B9F">
        <w:rPr>
          <w:rFonts w:ascii="Times New Roman" w:hAnsi="Times New Roman"/>
          <w:noProof/>
          <w:color w:val="000000" w:themeColor="text1"/>
          <w:sz w:val="24"/>
        </w:rPr>
        <w:t xml:space="preserve"> w roz</w:t>
      </w:r>
      <w:r w:rsidRPr="00A33B9F">
        <w:rPr>
          <w:rFonts w:ascii="Times New Roman" w:hAnsi="Times New Roman"/>
          <w:noProof/>
          <w:color w:val="000000" w:themeColor="text1"/>
          <w:sz w:val="24"/>
        </w:rPr>
        <w:t>umieniu przepisów ustawy</w:t>
      </w:r>
      <w:r w:rsidR="00A33B9F" w:rsidRPr="00A33B9F">
        <w:rPr>
          <w:rFonts w:ascii="Times New Roman" w:hAnsi="Times New Roman"/>
          <w:noProof/>
          <w:color w:val="000000" w:themeColor="text1"/>
          <w:sz w:val="24"/>
        </w:rPr>
        <w:t xml:space="preserve"> o dzi</w:t>
      </w:r>
      <w:r w:rsidRPr="00A33B9F">
        <w:rPr>
          <w:rFonts w:ascii="Times New Roman" w:hAnsi="Times New Roman"/>
          <w:noProof/>
          <w:color w:val="000000" w:themeColor="text1"/>
          <w:sz w:val="24"/>
        </w:rPr>
        <w:t>ałalności leczniczej</w:t>
      </w:r>
      <w:r w:rsidR="00A33B9F" w:rsidRPr="00A33B9F">
        <w:rPr>
          <w:rFonts w:ascii="Times New Roman" w:hAnsi="Times New Roman"/>
          <w:noProof/>
          <w:color w:val="000000" w:themeColor="text1"/>
          <w:sz w:val="24"/>
        </w:rPr>
        <w:t xml:space="preserve"> z 1</w:t>
      </w:r>
      <w:r w:rsidRPr="00A33B9F">
        <w:rPr>
          <w:rFonts w:ascii="Times New Roman" w:hAnsi="Times New Roman"/>
          <w:noProof/>
          <w:color w:val="000000" w:themeColor="text1"/>
          <w:sz w:val="24"/>
        </w:rPr>
        <w:t>5 kwietnia 2011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Wsparcie obejmuje wyłącznie zakres działań związanych</w:t>
      </w:r>
      <w:r w:rsidR="00A33B9F" w:rsidRPr="00A33B9F">
        <w:rPr>
          <w:rFonts w:ascii="Times New Roman" w:hAnsi="Times New Roman"/>
          <w:noProof/>
          <w:color w:val="000000" w:themeColor="text1"/>
          <w:sz w:val="24"/>
        </w:rPr>
        <w:t xml:space="preserve"> z udz</w:t>
      </w:r>
      <w:r w:rsidRPr="00A33B9F">
        <w:rPr>
          <w:rFonts w:ascii="Times New Roman" w:hAnsi="Times New Roman"/>
          <w:noProof/>
          <w:color w:val="000000" w:themeColor="text1"/>
          <w:sz w:val="24"/>
        </w:rPr>
        <w:t>ielaniem świadczeń zdrowotnych finansowanych przez Narodowy Fundusz Zdrowia</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 xml:space="preserve"> obejmuje działalności komercyjnej. Kryteria wsparcia finansowego zostaną dostosowane do kluczowych obszarów interwencji, takich jak: (i) zasięg (m.in. populacja objęta wsparciem; świadczenia objęte wsparciem; dostęp do opieki we właściwym czasie), (ii) równość (m.in. równość</w:t>
      </w:r>
      <w:r w:rsidR="00A33B9F" w:rsidRPr="00A33B9F">
        <w:rPr>
          <w:rFonts w:ascii="Times New Roman" w:hAnsi="Times New Roman"/>
          <w:noProof/>
          <w:color w:val="000000" w:themeColor="text1"/>
          <w:sz w:val="24"/>
        </w:rPr>
        <w:t xml:space="preserve"> w fin</w:t>
      </w:r>
      <w:r w:rsidRPr="00A33B9F">
        <w:rPr>
          <w:rFonts w:ascii="Times New Roman" w:hAnsi="Times New Roman"/>
          <w:noProof/>
          <w:color w:val="000000" w:themeColor="text1"/>
          <w:sz w:val="24"/>
        </w:rPr>
        <w:t>ansowaniu; równość</w:t>
      </w:r>
      <w:r w:rsidR="00A33B9F" w:rsidRPr="00A33B9F">
        <w:rPr>
          <w:rFonts w:ascii="Times New Roman" w:hAnsi="Times New Roman"/>
          <w:noProof/>
          <w:color w:val="000000" w:themeColor="text1"/>
          <w:sz w:val="24"/>
        </w:rPr>
        <w:t xml:space="preserve"> w świ</w:t>
      </w:r>
      <w:r w:rsidRPr="00A33B9F">
        <w:rPr>
          <w:rFonts w:ascii="Times New Roman" w:hAnsi="Times New Roman"/>
          <w:noProof/>
          <w:color w:val="000000" w:themeColor="text1"/>
          <w:sz w:val="24"/>
        </w:rPr>
        <w:t>adczeniu</w:t>
      </w:r>
      <w:r w:rsidR="00A33B9F" w:rsidRPr="00A33B9F">
        <w:rPr>
          <w:rFonts w:ascii="Times New Roman" w:hAnsi="Times New Roman"/>
          <w:noProof/>
          <w:color w:val="000000" w:themeColor="text1"/>
          <w:sz w:val="24"/>
        </w:rPr>
        <w:t xml:space="preserve"> i wyk</w:t>
      </w:r>
      <w:r w:rsidRPr="00A33B9F">
        <w:rPr>
          <w:rFonts w:ascii="Times New Roman" w:hAnsi="Times New Roman"/>
          <w:noProof/>
          <w:color w:val="000000" w:themeColor="text1"/>
          <w:sz w:val="24"/>
        </w:rPr>
        <w:t>orzystywaniu świadczeń; równość</w:t>
      </w:r>
      <w:r w:rsidR="00A33B9F" w:rsidRPr="00A33B9F">
        <w:rPr>
          <w:rFonts w:ascii="Times New Roman" w:hAnsi="Times New Roman"/>
          <w:noProof/>
          <w:color w:val="000000" w:themeColor="text1"/>
          <w:sz w:val="24"/>
        </w:rPr>
        <w:t xml:space="preserve"> w wyn</w:t>
      </w:r>
      <w:r w:rsidRPr="00A33B9F">
        <w:rPr>
          <w:rFonts w:ascii="Times New Roman" w:hAnsi="Times New Roman"/>
          <w:noProof/>
          <w:color w:val="000000" w:themeColor="text1"/>
          <w:sz w:val="24"/>
        </w:rPr>
        <w:t>ikach zdrowotnych), (iii) efektywność,</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działalności operacyjnej (efektywność</w:t>
      </w:r>
      <w:r w:rsidR="00A33B9F" w:rsidRPr="00A33B9F">
        <w:rPr>
          <w:rFonts w:ascii="Times New Roman" w:hAnsi="Times New Roman"/>
          <w:noProof/>
          <w:color w:val="000000" w:themeColor="text1"/>
          <w:sz w:val="24"/>
        </w:rPr>
        <w:t xml:space="preserve"> w osi</w:t>
      </w:r>
      <w:r w:rsidRPr="00A33B9F">
        <w:rPr>
          <w:rFonts w:ascii="Times New Roman" w:hAnsi="Times New Roman"/>
          <w:noProof/>
          <w:color w:val="000000" w:themeColor="text1"/>
          <w:sz w:val="24"/>
        </w:rPr>
        <w:t>ąganiu wyników; efektywność</w:t>
      </w:r>
      <w:r w:rsidR="00A33B9F" w:rsidRPr="00A33B9F">
        <w:rPr>
          <w:rFonts w:ascii="Times New Roman" w:hAnsi="Times New Roman"/>
          <w:noProof/>
          <w:color w:val="000000" w:themeColor="text1"/>
          <w:sz w:val="24"/>
        </w:rPr>
        <w:t xml:space="preserve"> w gro</w:t>
      </w:r>
      <w:r w:rsidRPr="00A33B9F">
        <w:rPr>
          <w:rFonts w:ascii="Times New Roman" w:hAnsi="Times New Roman"/>
          <w:noProof/>
          <w:color w:val="000000" w:themeColor="text1"/>
          <w:sz w:val="24"/>
        </w:rPr>
        <w:t>madzeniu środków), (iv) jakość opieki oraz (v) dostępność zasobów (m.in. zasobów ludzkich; zasobów finansowych).</w:t>
      </w:r>
    </w:p>
    <w:p w14:paraId="6F7DED5A" w14:textId="297234A2" w:rsidR="007C4506" w:rsidRPr="00A33B9F" w:rsidRDefault="1D99814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Główne kategorie projektów inwestycyjnych obejmą inwestycje</w:t>
      </w:r>
      <w:r w:rsidR="00A33B9F" w:rsidRPr="00A33B9F">
        <w:rPr>
          <w:rFonts w:ascii="Times New Roman" w:hAnsi="Times New Roman"/>
          <w:noProof/>
          <w:color w:val="000000" w:themeColor="text1"/>
          <w:sz w:val="24"/>
        </w:rPr>
        <w:t xml:space="preserve"> w now</w:t>
      </w:r>
      <w:r w:rsidRPr="00A33B9F">
        <w:rPr>
          <w:rFonts w:ascii="Times New Roman" w:hAnsi="Times New Roman"/>
          <w:noProof/>
          <w:color w:val="000000" w:themeColor="text1"/>
          <w:sz w:val="24"/>
        </w:rPr>
        <w:t>y sprzęt medyczny oraz infrastrukturę</w:t>
      </w:r>
      <w:r w:rsidR="00A33B9F" w:rsidRPr="00A33B9F">
        <w:rPr>
          <w:rFonts w:ascii="Times New Roman" w:hAnsi="Times New Roman"/>
          <w:noProof/>
          <w:color w:val="000000" w:themeColor="text1"/>
          <w:sz w:val="24"/>
        </w:rPr>
        <w:t xml:space="preserve"> i rob</w:t>
      </w:r>
      <w:r w:rsidRPr="00A33B9F">
        <w:rPr>
          <w:rFonts w:ascii="Times New Roman" w:hAnsi="Times New Roman"/>
          <w:noProof/>
          <w:color w:val="000000" w:themeColor="text1"/>
          <w:sz w:val="24"/>
        </w:rPr>
        <w:t xml:space="preserve">oty budowlane. </w:t>
      </w:r>
    </w:p>
    <w:p w14:paraId="39A3E2A5" w14:textId="02C02B14"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inwestycji zostanie zakończona do dnia 30 czerwca 2026</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5A7E0CF2"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16EA372A" w14:textId="02B66CB7" w:rsidR="007C4506" w:rsidRPr="00A33B9F" w:rsidRDefault="00B31839" w:rsidP="0035718C">
      <w:pPr>
        <w:pStyle w:val="Normal0"/>
        <w:pageBreakBefore/>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D1.1.2 Przyspieszenie procesów transformacji cyfrowej ochrony zdrowia poprzez dalszy rozwój usług cyfrowych</w:t>
      </w:r>
      <w:r w:rsidR="00A33B9F" w:rsidRPr="00A33B9F">
        <w:rPr>
          <w:rFonts w:ascii="Times New Roman" w:hAnsi="Times New Roman"/>
          <w:b/>
          <w:noProof/>
          <w:color w:val="000000"/>
          <w:sz w:val="24"/>
          <w:u w:val="single"/>
        </w:rPr>
        <w:t xml:space="preserve"> w och</w:t>
      </w:r>
      <w:r w:rsidRPr="00A33B9F">
        <w:rPr>
          <w:rFonts w:ascii="Times New Roman" w:hAnsi="Times New Roman"/>
          <w:b/>
          <w:noProof/>
          <w:color w:val="000000"/>
          <w:sz w:val="24"/>
          <w:u w:val="single"/>
        </w:rPr>
        <w:t>ronie zdrowia</w:t>
      </w:r>
    </w:p>
    <w:p w14:paraId="3C2CB7B6" w14:textId="61C7AB41" w:rsidR="007C4506" w:rsidRPr="00A33B9F" w:rsidRDefault="00B31839" w:rsidP="00E3440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inwestycji jest przyspieszenie transformacji cyfrowej ochrony zdrowia poprzez wprowadzenie nowych usług cyfrowych</w:t>
      </w:r>
      <w:r w:rsidR="00A33B9F" w:rsidRPr="00A33B9F">
        <w:rPr>
          <w:rFonts w:ascii="Times New Roman" w:hAnsi="Times New Roman"/>
          <w:noProof/>
          <w:color w:val="000000" w:themeColor="text1"/>
          <w:sz w:val="24"/>
        </w:rPr>
        <w:t xml:space="preserve"> w och</w:t>
      </w:r>
      <w:r w:rsidRPr="00A33B9F">
        <w:rPr>
          <w:rFonts w:ascii="Times New Roman" w:hAnsi="Times New Roman"/>
          <w:noProof/>
          <w:color w:val="000000" w:themeColor="text1"/>
          <w:sz w:val="24"/>
        </w:rPr>
        <w:t xml:space="preserve">ronie zdrowia oraz dalszy rozwój istniejących usług cyfrowych. Inwestycja polega na wdrożeniu nowych e-usług, takich jak: </w:t>
      </w:r>
    </w:p>
    <w:p w14:paraId="41E88125" w14:textId="215EBC9F" w:rsidR="007C4506" w:rsidRPr="00A33B9F" w:rsidRDefault="0A87BA0A" w:rsidP="00E3440D">
      <w:pPr>
        <w:pStyle w:val="Normal0"/>
        <w:numPr>
          <w:ilvl w:val="0"/>
          <w:numId w:val="9"/>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narzędzie wspomagające analizę stanu zdrowia pacjenta,</w:t>
      </w:r>
    </w:p>
    <w:p w14:paraId="1D75A048" w14:textId="452052FC" w:rsidR="007C4506" w:rsidRPr="00A33B9F" w:rsidRDefault="0A87BA0A" w:rsidP="00E3440D">
      <w:pPr>
        <w:pStyle w:val="Normal0"/>
        <w:numPr>
          <w:ilvl w:val="0"/>
          <w:numId w:val="9"/>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narzędzia dla lekarzy wspierające podejmowanie decyzji oparte na algorytmach AI oraz centralne repozytorium danych medycznych zintegrowane</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ymi kluczowymi systemami opieki zdrowotnej oraz</w:t>
      </w:r>
    </w:p>
    <w:p w14:paraId="2E906F5D" w14:textId="3F1CF154" w:rsidR="007C4506" w:rsidRPr="00A33B9F" w:rsidRDefault="0A87BA0A" w:rsidP="00E3440D">
      <w:pPr>
        <w:pStyle w:val="Normal0"/>
        <w:numPr>
          <w:ilvl w:val="0"/>
          <w:numId w:val="9"/>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centralne repozytorium danych medycznych zintegrowane</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ymi kluczowymi systemami opieki zdrowotnej.</w:t>
      </w:r>
    </w:p>
    <w:p w14:paraId="56F59D10" w14:textId="4B46503A" w:rsidR="007C4506" w:rsidRPr="00A33B9F" w:rsidRDefault="28E67F4E" w:rsidP="00E3440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Centrum e-Zdrowia ustanowione zostanie również Centrum Operacji Bezpieczeństwa (SOC). Centrum to przyczyni się do wzmocnienia zasobów informatycznych Centrum e-Zdrowia</w:t>
      </w:r>
      <w:r w:rsidR="00A33B9F" w:rsidRPr="00A33B9F">
        <w:rPr>
          <w:rFonts w:ascii="Times New Roman" w:hAnsi="Times New Roman"/>
          <w:noProof/>
          <w:color w:val="000000" w:themeColor="text1"/>
          <w:sz w:val="24"/>
        </w:rPr>
        <w:t xml:space="preserve"> i dos</w:t>
      </w:r>
      <w:r w:rsidRPr="00A33B9F">
        <w:rPr>
          <w:rFonts w:ascii="Times New Roman" w:hAnsi="Times New Roman"/>
          <w:noProof/>
          <w:color w:val="000000" w:themeColor="text1"/>
          <w:sz w:val="24"/>
        </w:rPr>
        <w:t>tosowanie ich do rosnących potrzeb</w:t>
      </w:r>
      <w:r w:rsidR="00A33B9F" w:rsidRPr="00A33B9F">
        <w:rPr>
          <w:rFonts w:ascii="Times New Roman" w:hAnsi="Times New Roman"/>
          <w:noProof/>
          <w:color w:val="000000" w:themeColor="text1"/>
          <w:sz w:val="24"/>
        </w:rPr>
        <w:t xml:space="preserve"> w obs</w:t>
      </w:r>
      <w:r w:rsidRPr="00A33B9F">
        <w:rPr>
          <w:rFonts w:ascii="Times New Roman" w:hAnsi="Times New Roman"/>
          <w:noProof/>
          <w:color w:val="000000" w:themeColor="text1"/>
          <w:sz w:val="24"/>
        </w:rPr>
        <w:t xml:space="preserve">zarze cyberbezpieczeństwa. </w:t>
      </w:r>
    </w:p>
    <w:p w14:paraId="67917374" w14:textId="6065A928" w:rsidR="007C4506" w:rsidRPr="00A33B9F" w:rsidRDefault="00B31839" w:rsidP="00E3440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inwestycji zostanie zakończona do dnia 31 marca 2026</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1AC5CDBE"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u w:val="single"/>
        </w:rPr>
      </w:pPr>
    </w:p>
    <w:p w14:paraId="24BF7C14"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D2.1 Stworzenie odpowiednich warunków dla zwiększenia liczebności kadry medycznej</w:t>
      </w:r>
    </w:p>
    <w:p w14:paraId="10C1ADB3" w14:textId="6A207031"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przyczynienie się do poprawy dopasowania potrzeb</w:t>
      </w:r>
      <w:r w:rsidR="00A33B9F" w:rsidRPr="00A33B9F">
        <w:rPr>
          <w:rFonts w:ascii="Times New Roman" w:hAnsi="Times New Roman"/>
          <w:noProof/>
          <w:color w:val="000000"/>
          <w:sz w:val="24"/>
        </w:rPr>
        <w:t xml:space="preserve"> i dos</w:t>
      </w:r>
      <w:r w:rsidRPr="00A33B9F">
        <w:rPr>
          <w:rFonts w:ascii="Times New Roman" w:hAnsi="Times New Roman"/>
          <w:noProof/>
          <w:color w:val="000000"/>
          <w:sz w:val="24"/>
        </w:rPr>
        <w:t>tępności przedstawicieli zawodów medycznych</w:t>
      </w:r>
      <w:r w:rsidR="00A33B9F" w:rsidRPr="00A33B9F">
        <w:rPr>
          <w:rFonts w:ascii="Times New Roman" w:hAnsi="Times New Roman"/>
          <w:noProof/>
          <w:color w:val="000000"/>
          <w:sz w:val="24"/>
        </w:rPr>
        <w:t xml:space="preserve"> w Pol</w:t>
      </w:r>
      <w:r w:rsidRPr="00A33B9F">
        <w:rPr>
          <w:rFonts w:ascii="Times New Roman" w:hAnsi="Times New Roman"/>
          <w:noProof/>
          <w:color w:val="000000"/>
          <w:sz w:val="24"/>
        </w:rPr>
        <w:t xml:space="preserve">sce. </w:t>
      </w:r>
    </w:p>
    <w:p w14:paraId="1C81E123" w14:textId="743B83F4"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Reforma będzie obejmować inicjatywy mające na celu zachęcenie osób młodych do podejmowania</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tynuowania studiów medycznych,</w:t>
      </w:r>
      <w:r w:rsidR="00A33B9F" w:rsidRPr="00A33B9F">
        <w:rPr>
          <w:rFonts w:ascii="Times New Roman" w:hAnsi="Times New Roman"/>
          <w:noProof/>
          <w:color w:val="000000" w:themeColor="text1"/>
          <w:sz w:val="24"/>
        </w:rPr>
        <w:t xml:space="preserve"> a nas</w:t>
      </w:r>
      <w:r w:rsidRPr="00A33B9F">
        <w:rPr>
          <w:rFonts w:ascii="Times New Roman" w:hAnsi="Times New Roman"/>
          <w:noProof/>
          <w:color w:val="000000" w:themeColor="text1"/>
          <w:sz w:val="24"/>
        </w:rPr>
        <w:t>tępnie do wykonywania zawodu medycznego</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Obejmuje ona (i) wprowadzenie systemu udzielania pożyczek dla studentów medycyny,</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zachęt finansowych do wykonywania zawodu</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po zakończeniu studiów oraz (ii) utworzenie studiów II stopnia dla lekarzy medycyny ratunkowej, co przełoży się na wzrost kwalifikacji</w:t>
      </w:r>
      <w:r w:rsidR="00A33B9F" w:rsidRPr="00A33B9F">
        <w:rPr>
          <w:rFonts w:ascii="Times New Roman" w:hAnsi="Times New Roman"/>
          <w:noProof/>
          <w:color w:val="000000" w:themeColor="text1"/>
          <w:sz w:val="24"/>
        </w:rPr>
        <w:t xml:space="preserve"> i doc</w:t>
      </w:r>
      <w:r w:rsidRPr="00A33B9F">
        <w:rPr>
          <w:rFonts w:ascii="Times New Roman" w:hAnsi="Times New Roman"/>
          <w:noProof/>
          <w:color w:val="000000" w:themeColor="text1"/>
          <w:sz w:val="24"/>
        </w:rPr>
        <w:t>hodów tych specjalistów.</w:t>
      </w:r>
    </w:p>
    <w:p w14:paraId="6D26946E" w14:textId="4F6C5EE4"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będzie polegać także na wprowadzeniu przepisów mających na celu poprawę atrakcyjności zawodów medycznych oraz warunków pracy przedstawicieli zawodów medycznych. Przepisy przyczynią się do zwiększenia elastyczności kształcenia podyplomowego, m.in. dzięki umożliwieniu przyznawania lekarzom nowego certyfikatu kompetencji zawodowych</w:t>
      </w:r>
      <w:r w:rsidR="00A33B9F" w:rsidRPr="00A33B9F">
        <w:rPr>
          <w:rFonts w:ascii="Times New Roman" w:hAnsi="Times New Roman"/>
          <w:noProof/>
          <w:color w:val="000000"/>
          <w:sz w:val="24"/>
        </w:rPr>
        <w:t xml:space="preserve"> w róż</w:t>
      </w:r>
      <w:r w:rsidRPr="00A33B9F">
        <w:rPr>
          <w:rFonts w:ascii="Times New Roman" w:hAnsi="Times New Roman"/>
          <w:noProof/>
          <w:color w:val="000000"/>
          <w:sz w:val="24"/>
        </w:rPr>
        <w:t>nych dziedzinach specjalistycznych. Ponadto reforma przyczyni się do podwyższenia najniższego wynagrodzenia podstawowego dla szerokiego kręgu przedstawicieli zawodów medycznych oraz reorganizacji podziału niektórych kompetencji między lekarzy</w:t>
      </w:r>
      <w:r w:rsidR="00A33B9F" w:rsidRPr="00A33B9F">
        <w:rPr>
          <w:rFonts w:ascii="Times New Roman" w:hAnsi="Times New Roman"/>
          <w:noProof/>
          <w:color w:val="000000"/>
          <w:sz w:val="24"/>
        </w:rPr>
        <w:t xml:space="preserve"> i wys</w:t>
      </w:r>
      <w:r w:rsidRPr="00A33B9F">
        <w:rPr>
          <w:rFonts w:ascii="Times New Roman" w:hAnsi="Times New Roman"/>
          <w:noProof/>
          <w:color w:val="000000"/>
          <w:sz w:val="24"/>
        </w:rPr>
        <w:t>pecjalizowanych pracowników medycznych, pracowników służb ratownictwa medycznego, pielęgniarki</w:t>
      </w:r>
      <w:r w:rsidR="00A33B9F" w:rsidRPr="00A33B9F">
        <w:rPr>
          <w:rFonts w:ascii="Times New Roman" w:hAnsi="Times New Roman"/>
          <w:noProof/>
          <w:color w:val="000000"/>
          <w:sz w:val="24"/>
        </w:rPr>
        <w:t xml:space="preserve"> i inn</w:t>
      </w:r>
      <w:r w:rsidRPr="00A33B9F">
        <w:rPr>
          <w:rFonts w:ascii="Times New Roman" w:hAnsi="Times New Roman"/>
          <w:noProof/>
          <w:color w:val="000000"/>
          <w:sz w:val="24"/>
        </w:rPr>
        <w:t xml:space="preserve">ych opiekunów medycznych, po zapewnieniu odpowiednich szkoleń. </w:t>
      </w:r>
    </w:p>
    <w:p w14:paraId="4675729F" w14:textId="121E713D"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30 czerwca 2026</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342D4C27" w14:textId="77777777" w:rsidR="007C4506" w:rsidRPr="00A33B9F"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534B5041" w14:textId="2B0AFE64"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D2.1.1. Inwestycje związane</w:t>
      </w:r>
      <w:r w:rsidR="00A33B9F" w:rsidRPr="00A33B9F">
        <w:rPr>
          <w:rFonts w:ascii="Times New Roman" w:hAnsi="Times New Roman"/>
          <w:b/>
          <w:noProof/>
          <w:color w:val="000000"/>
          <w:sz w:val="24"/>
          <w:u w:val="single"/>
        </w:rPr>
        <w:t xml:space="preserve"> z mod</w:t>
      </w:r>
      <w:r w:rsidRPr="00A33B9F">
        <w:rPr>
          <w:rFonts w:ascii="Times New Roman" w:hAnsi="Times New Roman"/>
          <w:b/>
          <w:noProof/>
          <w:color w:val="000000"/>
          <w:sz w:val="24"/>
          <w:u w:val="single"/>
        </w:rPr>
        <w:t>ernizacją</w:t>
      </w:r>
      <w:r w:rsidR="00A33B9F" w:rsidRPr="00A33B9F">
        <w:rPr>
          <w:rFonts w:ascii="Times New Roman" w:hAnsi="Times New Roman"/>
          <w:b/>
          <w:noProof/>
          <w:color w:val="000000"/>
          <w:sz w:val="24"/>
          <w:u w:val="single"/>
        </w:rPr>
        <w:t xml:space="preserve"> i dop</w:t>
      </w:r>
      <w:r w:rsidRPr="00A33B9F">
        <w:rPr>
          <w:rFonts w:ascii="Times New Roman" w:hAnsi="Times New Roman"/>
          <w:b/>
          <w:noProof/>
          <w:color w:val="000000"/>
          <w:sz w:val="24"/>
          <w:u w:val="single"/>
        </w:rPr>
        <w:t>osażeniem obiektów dydaktycznych</w:t>
      </w:r>
      <w:r w:rsidR="00A33B9F" w:rsidRPr="00A33B9F">
        <w:rPr>
          <w:rFonts w:ascii="Times New Roman" w:hAnsi="Times New Roman"/>
          <w:b/>
          <w:noProof/>
          <w:color w:val="000000"/>
          <w:sz w:val="24"/>
          <w:u w:val="single"/>
        </w:rPr>
        <w:t xml:space="preserve"> w zwi</w:t>
      </w:r>
      <w:r w:rsidRPr="00A33B9F">
        <w:rPr>
          <w:rFonts w:ascii="Times New Roman" w:hAnsi="Times New Roman"/>
          <w:b/>
          <w:noProof/>
          <w:color w:val="000000"/>
          <w:sz w:val="24"/>
          <w:u w:val="single"/>
        </w:rPr>
        <w:t>ązku ze zwiększeniem limitów przyjęć na studia medyczne</w:t>
      </w:r>
    </w:p>
    <w:p w14:paraId="0BB9BF31" w14:textId="44EE1015"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inwestycji jest zwiększenie potencjału obiektów dydaktycznych</w:t>
      </w:r>
      <w:r w:rsidR="00A33B9F" w:rsidRPr="00A33B9F">
        <w:rPr>
          <w:rFonts w:ascii="Times New Roman" w:hAnsi="Times New Roman"/>
          <w:noProof/>
          <w:color w:val="000000"/>
          <w:sz w:val="24"/>
        </w:rPr>
        <w:t xml:space="preserve"> z obs</w:t>
      </w:r>
      <w:r w:rsidRPr="00A33B9F">
        <w:rPr>
          <w:rFonts w:ascii="Times New Roman" w:hAnsi="Times New Roman"/>
          <w:noProof/>
          <w:color w:val="000000"/>
          <w:sz w:val="24"/>
        </w:rPr>
        <w:t xml:space="preserve">zaru medycyny oraz wsparcie studentów podejmujących studia medyczne. </w:t>
      </w:r>
    </w:p>
    <w:p w14:paraId="1305FD10" w14:textId="00280409"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Składa się ona</w:t>
      </w:r>
      <w:r w:rsidR="00A33B9F" w:rsidRPr="00A33B9F">
        <w:rPr>
          <w:rFonts w:ascii="Times New Roman" w:hAnsi="Times New Roman"/>
          <w:noProof/>
          <w:color w:val="000000" w:themeColor="text1"/>
          <w:sz w:val="24"/>
        </w:rPr>
        <w:t xml:space="preserve"> z uzu</w:t>
      </w:r>
      <w:r w:rsidRPr="00A33B9F">
        <w:rPr>
          <w:rFonts w:ascii="Times New Roman" w:hAnsi="Times New Roman"/>
          <w:noProof/>
          <w:color w:val="000000" w:themeColor="text1"/>
          <w:sz w:val="24"/>
        </w:rPr>
        <w:t>pełniających się subinwestycji, których celem jest (i) stworzenie tymczasowego systemu zachęt do podejmowania</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tynuowania studiów na wybranych kierunkach medycznych, (ii) modernizacja bazy dydaktycznej na potrzeby kształcenia przedklinicznego, (iii) wdrożenie nowych rozwiązań</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kształcenia</w:t>
      </w:r>
      <w:r w:rsidR="00A33B9F" w:rsidRPr="00A33B9F">
        <w:rPr>
          <w:rFonts w:ascii="Times New Roman" w:hAnsi="Times New Roman"/>
          <w:noProof/>
          <w:color w:val="000000" w:themeColor="text1"/>
          <w:sz w:val="24"/>
        </w:rPr>
        <w:t xml:space="preserve"> z wyk</w:t>
      </w:r>
      <w:r w:rsidRPr="00A33B9F">
        <w:rPr>
          <w:rFonts w:ascii="Times New Roman" w:hAnsi="Times New Roman"/>
          <w:noProof/>
          <w:color w:val="000000" w:themeColor="text1"/>
          <w:sz w:val="24"/>
        </w:rPr>
        <w:t>orzystaniem technologii cyfrowych, (iv) dostosowanie</w:t>
      </w:r>
      <w:r w:rsidR="00A33B9F" w:rsidRPr="00A33B9F">
        <w:rPr>
          <w:rFonts w:ascii="Times New Roman" w:hAnsi="Times New Roman"/>
          <w:noProof/>
          <w:color w:val="000000" w:themeColor="text1"/>
          <w:sz w:val="24"/>
        </w:rPr>
        <w:t xml:space="preserve"> i udo</w:t>
      </w:r>
      <w:r w:rsidRPr="00A33B9F">
        <w:rPr>
          <w:rFonts w:ascii="Times New Roman" w:hAnsi="Times New Roman"/>
          <w:noProof/>
          <w:color w:val="000000" w:themeColor="text1"/>
          <w:sz w:val="24"/>
        </w:rPr>
        <w:t>skonalenie bazy klinicznej na potrzeby nauczania</w:t>
      </w:r>
      <w:r w:rsidR="00A33B9F" w:rsidRPr="00A33B9F">
        <w:rPr>
          <w:rFonts w:ascii="Times New Roman" w:hAnsi="Times New Roman"/>
          <w:noProof/>
          <w:color w:val="000000" w:themeColor="text1"/>
          <w:sz w:val="24"/>
        </w:rPr>
        <w:t xml:space="preserve"> w cen</w:t>
      </w:r>
      <w:r w:rsidRPr="00A33B9F">
        <w:rPr>
          <w:rFonts w:ascii="Times New Roman" w:hAnsi="Times New Roman"/>
          <w:noProof/>
          <w:color w:val="000000" w:themeColor="text1"/>
          <w:sz w:val="24"/>
        </w:rPr>
        <w:t>tralnych szpitalach klinicznych, (v) wdrożenie programów szkoleniowych</w:t>
      </w:r>
      <w:r w:rsidR="00A33B9F" w:rsidRPr="00A33B9F">
        <w:rPr>
          <w:rFonts w:ascii="Times New Roman" w:hAnsi="Times New Roman"/>
          <w:noProof/>
          <w:color w:val="000000" w:themeColor="text1"/>
          <w:sz w:val="24"/>
        </w:rPr>
        <w:t xml:space="preserve"> i sys</w:t>
      </w:r>
      <w:r w:rsidRPr="00A33B9F">
        <w:rPr>
          <w:rFonts w:ascii="Times New Roman" w:hAnsi="Times New Roman"/>
          <w:noProof/>
          <w:color w:val="000000" w:themeColor="text1"/>
          <w:sz w:val="24"/>
        </w:rPr>
        <w:t>temów zachęt dla kadry nauczycielskiej, (vi) modernizacja bibliotek uczelni medycznych, mieszkań dla studentów</w:t>
      </w:r>
      <w:r w:rsidR="00A33B9F" w:rsidRPr="00A33B9F">
        <w:rPr>
          <w:rFonts w:ascii="Times New Roman" w:hAnsi="Times New Roman"/>
          <w:noProof/>
          <w:color w:val="000000" w:themeColor="text1"/>
          <w:sz w:val="24"/>
        </w:rPr>
        <w:t xml:space="preserve"> i sys</w:t>
      </w:r>
      <w:r w:rsidRPr="00A33B9F">
        <w:rPr>
          <w:rFonts w:ascii="Times New Roman" w:hAnsi="Times New Roman"/>
          <w:noProof/>
          <w:color w:val="000000" w:themeColor="text1"/>
          <w:sz w:val="24"/>
        </w:rPr>
        <w:t>temów informatycznych oraz (vii) cyfryzacja procesów administracyjnych na potrzeby zarządzania</w:t>
      </w:r>
      <w:r w:rsidR="00A33B9F" w:rsidRPr="00A33B9F">
        <w:rPr>
          <w:rFonts w:ascii="Times New Roman" w:hAnsi="Times New Roman"/>
          <w:noProof/>
          <w:color w:val="000000" w:themeColor="text1"/>
          <w:sz w:val="24"/>
        </w:rPr>
        <w:t xml:space="preserve"> i kie</w:t>
      </w:r>
      <w:r w:rsidRPr="00A33B9F">
        <w:rPr>
          <w:rFonts w:ascii="Times New Roman" w:hAnsi="Times New Roman"/>
          <w:noProof/>
          <w:color w:val="000000" w:themeColor="text1"/>
          <w:sz w:val="24"/>
        </w:rPr>
        <w:t>rowania uczelniami medycznymi.</w:t>
      </w:r>
    </w:p>
    <w:p w14:paraId="4D8B9E12" w14:textId="32970FC9" w:rsidR="00925159"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inwestycji zostanie zakończona do dnia 30 czerwca 2026</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62D82DC8" w14:textId="09921286"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D3.1 Zwiększenie efektywności</w:t>
      </w:r>
      <w:r w:rsidR="00A33B9F" w:rsidRPr="00A33B9F">
        <w:rPr>
          <w:rFonts w:ascii="Times New Roman" w:hAnsi="Times New Roman"/>
          <w:b/>
          <w:noProof/>
          <w:color w:val="000000"/>
          <w:sz w:val="24"/>
          <w:u w:val="single"/>
        </w:rPr>
        <w:t xml:space="preserve"> i jak</w:t>
      </w:r>
      <w:r w:rsidRPr="00A33B9F">
        <w:rPr>
          <w:rFonts w:ascii="Times New Roman" w:hAnsi="Times New Roman"/>
          <w:b/>
          <w:noProof/>
          <w:color w:val="000000"/>
          <w:sz w:val="24"/>
          <w:u w:val="single"/>
        </w:rPr>
        <w:t>ości systemu opieki zdrowotnej przez wzmocnienie</w:t>
      </w:r>
      <w:r w:rsidRPr="00A33B9F">
        <w:rPr>
          <w:rFonts w:ascii="Times New Roman" w:hAnsi="Times New Roman"/>
          <w:noProof/>
          <w:color w:val="000000"/>
          <w:sz w:val="24"/>
          <w:u w:val="single"/>
        </w:rPr>
        <w:t xml:space="preserve"> </w:t>
      </w:r>
      <w:r w:rsidRPr="00A33B9F">
        <w:rPr>
          <w:rFonts w:ascii="Times New Roman" w:hAnsi="Times New Roman"/>
          <w:b/>
          <w:noProof/>
          <w:color w:val="000000"/>
          <w:sz w:val="24"/>
          <w:u w:val="single"/>
        </w:rPr>
        <w:t>zaplecza naukowego</w:t>
      </w:r>
      <w:r w:rsidR="00A33B9F" w:rsidRPr="00A33B9F">
        <w:rPr>
          <w:rFonts w:ascii="Times New Roman" w:hAnsi="Times New Roman"/>
          <w:b/>
          <w:noProof/>
          <w:color w:val="000000"/>
          <w:sz w:val="24"/>
          <w:u w:val="single"/>
        </w:rPr>
        <w:t xml:space="preserve"> w dzi</w:t>
      </w:r>
      <w:r w:rsidRPr="00A33B9F">
        <w:rPr>
          <w:rFonts w:ascii="Times New Roman" w:hAnsi="Times New Roman"/>
          <w:b/>
          <w:noProof/>
          <w:color w:val="000000"/>
          <w:sz w:val="24"/>
          <w:u w:val="single"/>
        </w:rPr>
        <w:t>edzinie nauk medycznych</w:t>
      </w:r>
      <w:r w:rsidR="00A33B9F" w:rsidRPr="00A33B9F">
        <w:rPr>
          <w:rFonts w:ascii="Times New Roman" w:hAnsi="Times New Roman"/>
          <w:b/>
          <w:noProof/>
          <w:color w:val="000000"/>
          <w:sz w:val="24"/>
          <w:u w:val="single"/>
        </w:rPr>
        <w:t xml:space="preserve"> i nau</w:t>
      </w:r>
      <w:r w:rsidRPr="00A33B9F">
        <w:rPr>
          <w:rFonts w:ascii="Times New Roman" w:hAnsi="Times New Roman"/>
          <w:b/>
          <w:noProof/>
          <w:color w:val="000000"/>
          <w:sz w:val="24"/>
          <w:u w:val="single"/>
        </w:rPr>
        <w:t>k</w:t>
      </w:r>
      <w:r w:rsidR="00A33B9F" w:rsidRPr="00A33B9F">
        <w:rPr>
          <w:rFonts w:ascii="Times New Roman" w:hAnsi="Times New Roman"/>
          <w:b/>
          <w:noProof/>
          <w:color w:val="000000"/>
          <w:sz w:val="24"/>
          <w:u w:val="single"/>
        </w:rPr>
        <w:t xml:space="preserve"> o zdr</w:t>
      </w:r>
      <w:r w:rsidRPr="00A33B9F">
        <w:rPr>
          <w:rFonts w:ascii="Times New Roman" w:hAnsi="Times New Roman"/>
          <w:b/>
          <w:noProof/>
          <w:color w:val="000000"/>
          <w:sz w:val="24"/>
          <w:u w:val="single"/>
        </w:rPr>
        <w:t>owiu</w:t>
      </w:r>
    </w:p>
    <w:p w14:paraId="01404654" w14:textId="4D185F65"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reformy jest przyczynienie się do poprawy jakości</w:t>
      </w:r>
      <w:r w:rsidR="00A33B9F" w:rsidRPr="00A33B9F">
        <w:rPr>
          <w:rFonts w:ascii="Times New Roman" w:hAnsi="Times New Roman"/>
          <w:noProof/>
          <w:color w:val="000000"/>
          <w:sz w:val="24"/>
        </w:rPr>
        <w:t xml:space="preserve"> i efe</w:t>
      </w:r>
      <w:r w:rsidRPr="00A33B9F">
        <w:rPr>
          <w:rFonts w:ascii="Times New Roman" w:hAnsi="Times New Roman"/>
          <w:noProof/>
          <w:color w:val="000000"/>
          <w:sz w:val="24"/>
        </w:rPr>
        <w:t>ktywności systemu opieki zdrowotnej poprzez wsparcie badań</w:t>
      </w:r>
      <w:r w:rsidR="00A33B9F" w:rsidRPr="00A33B9F">
        <w:rPr>
          <w:rFonts w:ascii="Times New Roman" w:hAnsi="Times New Roman"/>
          <w:noProof/>
          <w:color w:val="000000"/>
          <w:sz w:val="24"/>
        </w:rPr>
        <w:t xml:space="preserve"> i roz</w:t>
      </w:r>
      <w:r w:rsidRPr="00A33B9F">
        <w:rPr>
          <w:rFonts w:ascii="Times New Roman" w:hAnsi="Times New Roman"/>
          <w:noProof/>
          <w:color w:val="000000"/>
          <w:sz w:val="24"/>
        </w:rPr>
        <w:t>woju</w:t>
      </w:r>
      <w:r w:rsidR="00A33B9F" w:rsidRPr="00A33B9F">
        <w:rPr>
          <w:rFonts w:ascii="Times New Roman" w:hAnsi="Times New Roman"/>
          <w:noProof/>
          <w:color w:val="000000"/>
          <w:sz w:val="24"/>
        </w:rPr>
        <w:t xml:space="preserve"> w dzi</w:t>
      </w:r>
      <w:r w:rsidRPr="00A33B9F">
        <w:rPr>
          <w:rFonts w:ascii="Times New Roman" w:hAnsi="Times New Roman"/>
          <w:noProof/>
          <w:color w:val="000000"/>
          <w:sz w:val="24"/>
        </w:rPr>
        <w:t>edzinach medycyny</w:t>
      </w:r>
      <w:r w:rsidR="00A33B9F" w:rsidRPr="00A33B9F">
        <w:rPr>
          <w:rFonts w:ascii="Times New Roman" w:hAnsi="Times New Roman"/>
          <w:noProof/>
          <w:color w:val="000000"/>
          <w:sz w:val="24"/>
        </w:rPr>
        <w:t xml:space="preserve"> i zdr</w:t>
      </w:r>
      <w:r w:rsidRPr="00A33B9F">
        <w:rPr>
          <w:rFonts w:ascii="Times New Roman" w:hAnsi="Times New Roman"/>
          <w:noProof/>
          <w:color w:val="000000"/>
          <w:sz w:val="24"/>
        </w:rPr>
        <w:t>owia.</w:t>
      </w:r>
    </w:p>
    <w:p w14:paraId="23380319" w14:textId="4EAD1DB3"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obejmie nowe przepisy</w:t>
      </w:r>
      <w:r w:rsidR="00A33B9F" w:rsidRPr="00A33B9F">
        <w:rPr>
          <w:rFonts w:ascii="Times New Roman" w:hAnsi="Times New Roman"/>
          <w:noProof/>
          <w:color w:val="000000"/>
          <w:sz w:val="24"/>
        </w:rPr>
        <w:t xml:space="preserve"> w dzi</w:t>
      </w:r>
      <w:r w:rsidRPr="00A33B9F">
        <w:rPr>
          <w:rFonts w:ascii="Times New Roman" w:hAnsi="Times New Roman"/>
          <w:noProof/>
          <w:color w:val="000000"/>
          <w:sz w:val="24"/>
        </w:rPr>
        <w:t>edzinie badań klinicznych produktów leczniczych stosowanych</w:t>
      </w:r>
      <w:r w:rsidR="00A33B9F" w:rsidRPr="00A33B9F">
        <w:rPr>
          <w:rFonts w:ascii="Times New Roman" w:hAnsi="Times New Roman"/>
          <w:noProof/>
          <w:color w:val="000000"/>
          <w:sz w:val="24"/>
        </w:rPr>
        <w:t xml:space="preserve"> u lud</w:t>
      </w:r>
      <w:r w:rsidRPr="00A33B9F">
        <w:rPr>
          <w:rFonts w:ascii="Times New Roman" w:hAnsi="Times New Roman"/>
          <w:noProof/>
          <w:color w:val="000000"/>
          <w:sz w:val="24"/>
        </w:rPr>
        <w:t>zi,</w:t>
      </w:r>
      <w:r w:rsidR="00A33B9F" w:rsidRPr="00A33B9F">
        <w:rPr>
          <w:rFonts w:ascii="Times New Roman" w:hAnsi="Times New Roman"/>
          <w:noProof/>
          <w:color w:val="000000"/>
          <w:sz w:val="24"/>
        </w:rPr>
        <w:t xml:space="preserve"> w tym</w:t>
      </w:r>
      <w:r w:rsidRPr="00A33B9F">
        <w:rPr>
          <w:rFonts w:ascii="Times New Roman" w:hAnsi="Times New Roman"/>
          <w:noProof/>
          <w:color w:val="000000"/>
          <w:sz w:val="24"/>
        </w:rPr>
        <w:t xml:space="preserve"> przejrzysty system oraz ograniczenie barier administracyjnych</w:t>
      </w:r>
      <w:r w:rsidR="00A33B9F" w:rsidRPr="00A33B9F">
        <w:rPr>
          <w:rFonts w:ascii="Times New Roman" w:hAnsi="Times New Roman"/>
          <w:noProof/>
          <w:color w:val="000000"/>
          <w:sz w:val="24"/>
        </w:rPr>
        <w:t xml:space="preserve"> i pra</w:t>
      </w:r>
      <w:r w:rsidRPr="00A33B9F">
        <w:rPr>
          <w:rFonts w:ascii="Times New Roman" w:hAnsi="Times New Roman"/>
          <w:noProof/>
          <w:color w:val="000000"/>
          <w:sz w:val="24"/>
        </w:rPr>
        <w:t>wnych. Ponadto reforma obejmie opracowanie</w:t>
      </w:r>
      <w:r w:rsidR="00A33B9F" w:rsidRPr="00A33B9F">
        <w:rPr>
          <w:rFonts w:ascii="Times New Roman" w:hAnsi="Times New Roman"/>
          <w:noProof/>
          <w:color w:val="000000"/>
          <w:sz w:val="24"/>
        </w:rPr>
        <w:t xml:space="preserve"> i wdr</w:t>
      </w:r>
      <w:r w:rsidRPr="00A33B9F">
        <w:rPr>
          <w:rFonts w:ascii="Times New Roman" w:hAnsi="Times New Roman"/>
          <w:noProof/>
          <w:color w:val="000000"/>
          <w:sz w:val="24"/>
        </w:rPr>
        <w:t>ożenie strategicznego Planu Rozwoju Sektora Biomedycznego</w:t>
      </w:r>
      <w:r w:rsidR="00A33B9F" w:rsidRPr="00A33B9F">
        <w:rPr>
          <w:rFonts w:ascii="Times New Roman" w:hAnsi="Times New Roman"/>
          <w:noProof/>
          <w:color w:val="000000"/>
          <w:sz w:val="24"/>
        </w:rPr>
        <w:t xml:space="preserve"> w Pol</w:t>
      </w:r>
      <w:r w:rsidRPr="00A33B9F">
        <w:rPr>
          <w:rFonts w:ascii="Times New Roman" w:hAnsi="Times New Roman"/>
          <w:noProof/>
          <w:color w:val="000000"/>
          <w:sz w:val="24"/>
        </w:rPr>
        <w:t>sce, opartego na ocenie potrzeb polskiego sektora biomedycznego, istniejących barier dla jego rozwoju oraz obszarów</w:t>
      </w:r>
      <w:r w:rsidR="00A33B9F" w:rsidRPr="00A33B9F">
        <w:rPr>
          <w:rFonts w:ascii="Times New Roman" w:hAnsi="Times New Roman"/>
          <w:noProof/>
          <w:color w:val="000000"/>
          <w:sz w:val="24"/>
        </w:rPr>
        <w:t xml:space="preserve"> o pot</w:t>
      </w:r>
      <w:r w:rsidRPr="00A33B9F">
        <w:rPr>
          <w:rFonts w:ascii="Times New Roman" w:hAnsi="Times New Roman"/>
          <w:noProof/>
          <w:color w:val="000000"/>
          <w:sz w:val="24"/>
        </w:rPr>
        <w:t>encjalnej przewadze konkurencyjnej.</w:t>
      </w:r>
    </w:p>
    <w:p w14:paraId="5E8F5EC1" w14:textId="46E38FA6"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Realizacja reformy zostanie zakończona do dnia 31 grudnia 2022</w:t>
      </w:r>
      <w:r w:rsidR="00A33B9F" w:rsidRPr="00A33B9F">
        <w:rPr>
          <w:rFonts w:ascii="Times New Roman" w:hAnsi="Times New Roman"/>
          <w:noProof/>
          <w:color w:val="000000"/>
          <w:sz w:val="24"/>
        </w:rPr>
        <w:t> </w:t>
      </w:r>
      <w:r w:rsidRPr="00A33B9F">
        <w:rPr>
          <w:rFonts w:ascii="Times New Roman" w:hAnsi="Times New Roman"/>
          <w:noProof/>
          <w:color w:val="000000"/>
          <w:sz w:val="24"/>
        </w:rPr>
        <w:t xml:space="preserve">r. </w:t>
      </w:r>
    </w:p>
    <w:p w14:paraId="6CEB15CE" w14:textId="77777777" w:rsidR="007C4506" w:rsidRPr="00A33B9F" w:rsidRDefault="007C4506">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p>
    <w:p w14:paraId="7F06B03C" w14:textId="244B911F"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D3.1.1 Kompleksowy rozwój badań</w:t>
      </w:r>
      <w:r w:rsidR="00A33B9F" w:rsidRPr="00A33B9F">
        <w:rPr>
          <w:rFonts w:ascii="Times New Roman" w:hAnsi="Times New Roman"/>
          <w:b/>
          <w:noProof/>
          <w:color w:val="000000"/>
          <w:sz w:val="24"/>
          <w:u w:val="single"/>
        </w:rPr>
        <w:t xml:space="preserve"> w zak</w:t>
      </w:r>
      <w:r w:rsidRPr="00A33B9F">
        <w:rPr>
          <w:rFonts w:ascii="Times New Roman" w:hAnsi="Times New Roman"/>
          <w:b/>
          <w:noProof/>
          <w:color w:val="000000"/>
          <w:sz w:val="24"/>
          <w:u w:val="single"/>
        </w:rPr>
        <w:t>resie nauk medycznych</w:t>
      </w:r>
      <w:r w:rsidR="00A33B9F" w:rsidRPr="00A33B9F">
        <w:rPr>
          <w:rFonts w:ascii="Times New Roman" w:hAnsi="Times New Roman"/>
          <w:b/>
          <w:noProof/>
          <w:color w:val="000000"/>
          <w:sz w:val="24"/>
          <w:u w:val="single"/>
        </w:rPr>
        <w:t xml:space="preserve"> i nau</w:t>
      </w:r>
      <w:r w:rsidRPr="00A33B9F">
        <w:rPr>
          <w:rFonts w:ascii="Times New Roman" w:hAnsi="Times New Roman"/>
          <w:b/>
          <w:noProof/>
          <w:color w:val="000000"/>
          <w:sz w:val="24"/>
          <w:u w:val="single"/>
        </w:rPr>
        <w:t>k</w:t>
      </w:r>
      <w:r w:rsidR="00A33B9F" w:rsidRPr="00A33B9F">
        <w:rPr>
          <w:rFonts w:ascii="Times New Roman" w:hAnsi="Times New Roman"/>
          <w:b/>
          <w:noProof/>
          <w:color w:val="000000"/>
          <w:sz w:val="24"/>
          <w:u w:val="single"/>
        </w:rPr>
        <w:t xml:space="preserve"> o zdr</w:t>
      </w:r>
      <w:r w:rsidRPr="00A33B9F">
        <w:rPr>
          <w:rFonts w:ascii="Times New Roman" w:hAnsi="Times New Roman"/>
          <w:b/>
          <w:noProof/>
          <w:color w:val="000000"/>
          <w:sz w:val="24"/>
          <w:u w:val="single"/>
        </w:rPr>
        <w:t>owiu</w:t>
      </w:r>
    </w:p>
    <w:p w14:paraId="0A53A9A1" w14:textId="11B963A6"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inwestycji jest wzmocnienie odporności systemu opieki zdrowotnej poprzez wsparcie badań</w:t>
      </w:r>
      <w:r w:rsidR="00A33B9F" w:rsidRPr="00A33B9F">
        <w:rPr>
          <w:rFonts w:ascii="Times New Roman" w:hAnsi="Times New Roman"/>
          <w:noProof/>
          <w:color w:val="000000"/>
          <w:sz w:val="24"/>
        </w:rPr>
        <w:t xml:space="preserve"> i roz</w:t>
      </w:r>
      <w:r w:rsidRPr="00A33B9F">
        <w:rPr>
          <w:rFonts w:ascii="Times New Roman" w:hAnsi="Times New Roman"/>
          <w:noProof/>
          <w:color w:val="000000"/>
          <w:sz w:val="24"/>
        </w:rPr>
        <w:t>woju</w:t>
      </w:r>
      <w:r w:rsidR="00A33B9F" w:rsidRPr="00A33B9F">
        <w:rPr>
          <w:rFonts w:ascii="Times New Roman" w:hAnsi="Times New Roman"/>
          <w:noProof/>
          <w:color w:val="000000"/>
          <w:sz w:val="24"/>
        </w:rPr>
        <w:t xml:space="preserve"> w dzi</w:t>
      </w:r>
      <w:r w:rsidRPr="00A33B9F">
        <w:rPr>
          <w:rFonts w:ascii="Times New Roman" w:hAnsi="Times New Roman"/>
          <w:noProof/>
          <w:color w:val="000000"/>
          <w:sz w:val="24"/>
        </w:rPr>
        <w:t>edzinach medycyny</w:t>
      </w:r>
      <w:r w:rsidR="00A33B9F" w:rsidRPr="00A33B9F">
        <w:rPr>
          <w:rFonts w:ascii="Times New Roman" w:hAnsi="Times New Roman"/>
          <w:noProof/>
          <w:color w:val="000000"/>
          <w:sz w:val="24"/>
        </w:rPr>
        <w:t xml:space="preserve"> i zdr</w:t>
      </w:r>
      <w:r w:rsidRPr="00A33B9F">
        <w:rPr>
          <w:rFonts w:ascii="Times New Roman" w:hAnsi="Times New Roman"/>
          <w:noProof/>
          <w:color w:val="000000"/>
          <w:sz w:val="24"/>
        </w:rPr>
        <w:t>owia.</w:t>
      </w:r>
    </w:p>
    <w:p w14:paraId="77001C23" w14:textId="77777777" w:rsidR="007C4506"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Inwestycja obejmuje następujące działania:</w:t>
      </w:r>
    </w:p>
    <w:p w14:paraId="4F856028" w14:textId="2885FDCB" w:rsidR="007C4506" w:rsidRPr="00A33B9F" w:rsidRDefault="0A87BA0A" w:rsidP="00394B30">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konkursy</w:t>
      </w:r>
      <w:r w:rsidR="00A33B9F" w:rsidRPr="00A33B9F">
        <w:rPr>
          <w:rFonts w:ascii="Times New Roman" w:hAnsi="Times New Roman"/>
          <w:noProof/>
          <w:color w:val="000000" w:themeColor="text1"/>
          <w:sz w:val="24"/>
        </w:rPr>
        <w:t xml:space="preserve"> o udz</w:t>
      </w:r>
      <w:r w:rsidRPr="00A33B9F">
        <w:rPr>
          <w:rFonts w:ascii="Times New Roman" w:hAnsi="Times New Roman"/>
          <w:noProof/>
          <w:color w:val="000000" w:themeColor="text1"/>
          <w:sz w:val="24"/>
        </w:rPr>
        <w:t>ielenie dotacji na finansowanie działalności badawczo-rozwojowej ze szczególnym uwzględnieniem innowacji produktowych, m.in.</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leków, rozwoju wyrobów medycznych,</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do zastosowań mobilnych,</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rozwoju</w:t>
      </w:r>
      <w:r w:rsidR="00A33B9F" w:rsidRPr="00A33B9F">
        <w:rPr>
          <w:rFonts w:ascii="Times New Roman" w:hAnsi="Times New Roman"/>
          <w:noProof/>
          <w:color w:val="000000" w:themeColor="text1"/>
          <w:sz w:val="24"/>
        </w:rPr>
        <w:t xml:space="preserve"> i wdr</w:t>
      </w:r>
      <w:r w:rsidRPr="00A33B9F">
        <w:rPr>
          <w:rFonts w:ascii="Times New Roman" w:hAnsi="Times New Roman"/>
          <w:noProof/>
          <w:color w:val="000000" w:themeColor="text1"/>
          <w:sz w:val="24"/>
        </w:rPr>
        <w:t>ażania narzędzi ICT dla celów medycznych</w:t>
      </w:r>
      <w:r w:rsidR="00A33B9F" w:rsidRPr="00A33B9F">
        <w:rPr>
          <w:rFonts w:ascii="Times New Roman" w:hAnsi="Times New Roman"/>
          <w:noProof/>
          <w:color w:val="000000" w:themeColor="text1"/>
          <w:sz w:val="24"/>
        </w:rPr>
        <w:t xml:space="preserve"> i zdr</w:t>
      </w:r>
      <w:r w:rsidRPr="00A33B9F">
        <w:rPr>
          <w:rFonts w:ascii="Times New Roman" w:hAnsi="Times New Roman"/>
          <w:noProof/>
          <w:color w:val="000000" w:themeColor="text1"/>
          <w:sz w:val="24"/>
        </w:rPr>
        <w:t>owotnych,</w:t>
      </w:r>
    </w:p>
    <w:p w14:paraId="6654CDEB" w14:textId="3FBC496E" w:rsidR="007C4506" w:rsidRPr="00A33B9F" w:rsidRDefault="0A87BA0A" w:rsidP="00394B30">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rozwój dodatkowych Centrów Wsparcia Badań Klinicznych, których zadaniem będzie prowadzenie działalności badawczej</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badań klinicznych, stworzenie elektronicznej platformy komunikacyjnej dla Polskiej Sieci Badań Klinicznych oraz wyszukiwarki internetowej</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badań klinicznych,</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działania uświadamiające</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zakresie,</w:t>
      </w:r>
    </w:p>
    <w:p w14:paraId="3A9E953E" w14:textId="5E2D2C14" w:rsidR="007C4506" w:rsidRPr="00A33B9F" w:rsidRDefault="0A87BA0A" w:rsidP="00394B30">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inne działania wspierające</w:t>
      </w:r>
      <w:r w:rsidR="00A33B9F" w:rsidRPr="00A33B9F">
        <w:rPr>
          <w:rFonts w:ascii="Times New Roman" w:hAnsi="Times New Roman"/>
          <w:noProof/>
          <w:color w:val="000000" w:themeColor="text1"/>
          <w:sz w:val="24"/>
        </w:rPr>
        <w:t xml:space="preserve"> w sek</w:t>
      </w:r>
      <w:r w:rsidRPr="00A33B9F">
        <w:rPr>
          <w:rFonts w:ascii="Times New Roman" w:hAnsi="Times New Roman"/>
          <w:noProof/>
          <w:color w:val="000000" w:themeColor="text1"/>
          <w:sz w:val="24"/>
        </w:rPr>
        <w:t>torze biomedycznym,</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badania sektora oraz wsparcie dla uczelni</w:t>
      </w:r>
      <w:r w:rsidR="00A33B9F" w:rsidRPr="00A33B9F">
        <w:rPr>
          <w:rFonts w:ascii="Times New Roman" w:hAnsi="Times New Roman"/>
          <w:noProof/>
          <w:color w:val="000000" w:themeColor="text1"/>
          <w:sz w:val="24"/>
        </w:rPr>
        <w:t xml:space="preserve"> i ink</w:t>
      </w:r>
      <w:r w:rsidRPr="00A33B9F">
        <w:rPr>
          <w:rFonts w:ascii="Times New Roman" w:hAnsi="Times New Roman"/>
          <w:noProof/>
          <w:color w:val="000000" w:themeColor="text1"/>
          <w:sz w:val="24"/>
        </w:rPr>
        <w:t>ubatorów technologicznych oraz</w:t>
      </w:r>
    </w:p>
    <w:p w14:paraId="1C88DBB6" w14:textId="1B362277" w:rsidR="007C4506" w:rsidRPr="00A33B9F" w:rsidRDefault="0A87BA0A" w:rsidP="00394B30">
      <w:pPr>
        <w:pStyle w:val="Normal0"/>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utworzenie Centrum Badawczo-Analitycznego</w:t>
      </w:r>
      <w:r w:rsidR="00A33B9F" w:rsidRPr="00A33B9F">
        <w:rPr>
          <w:rFonts w:ascii="Times New Roman" w:hAnsi="Times New Roman"/>
          <w:noProof/>
          <w:color w:val="000000" w:themeColor="text1"/>
          <w:sz w:val="24"/>
        </w:rPr>
        <w:t xml:space="preserve"> w str</w:t>
      </w:r>
      <w:r w:rsidRPr="00A33B9F">
        <w:rPr>
          <w:rFonts w:ascii="Times New Roman" w:hAnsi="Times New Roman"/>
          <w:noProof/>
          <w:color w:val="000000" w:themeColor="text1"/>
          <w:sz w:val="24"/>
        </w:rPr>
        <w:t>ukturach Narodowego Instytutu Zdrowia Publicznego PZH – Państwowego Instytutu Badawczego, którego głównym zadaniem będzie monitorowanie szerokiego spektrum zagrożeń dla zdrowia ludzkiego oraz sytuacji zdrowotnej</w:t>
      </w:r>
      <w:r w:rsidR="00A33B9F" w:rsidRPr="00A33B9F">
        <w:rPr>
          <w:rFonts w:ascii="Times New Roman" w:hAnsi="Times New Roman"/>
          <w:noProof/>
          <w:color w:val="000000" w:themeColor="text1"/>
          <w:sz w:val="24"/>
        </w:rPr>
        <w:t xml:space="preserve"> i pot</w:t>
      </w:r>
      <w:r w:rsidRPr="00A33B9F">
        <w:rPr>
          <w:rFonts w:ascii="Times New Roman" w:hAnsi="Times New Roman"/>
          <w:noProof/>
          <w:color w:val="000000" w:themeColor="text1"/>
          <w:sz w:val="24"/>
        </w:rPr>
        <w:t>rzeb zdrowotnych ludności</w:t>
      </w:r>
      <w:r w:rsidR="00A33B9F" w:rsidRPr="00A33B9F">
        <w:rPr>
          <w:rFonts w:ascii="Times New Roman" w:hAnsi="Times New Roman"/>
          <w:noProof/>
          <w:color w:val="000000" w:themeColor="text1"/>
          <w:sz w:val="24"/>
        </w:rPr>
        <w:t>. W skł</w:t>
      </w:r>
      <w:r w:rsidRPr="00A33B9F">
        <w:rPr>
          <w:rFonts w:ascii="Times New Roman" w:hAnsi="Times New Roman"/>
          <w:noProof/>
          <w:color w:val="000000" w:themeColor="text1"/>
          <w:sz w:val="24"/>
        </w:rPr>
        <w:t>ad powiązanej infrastruktury wchodzić będą również laboratoria</w:t>
      </w:r>
      <w:r w:rsidR="00A33B9F" w:rsidRPr="00A33B9F">
        <w:rPr>
          <w:rFonts w:ascii="Times New Roman" w:hAnsi="Times New Roman"/>
          <w:noProof/>
          <w:color w:val="000000" w:themeColor="text1"/>
          <w:sz w:val="24"/>
        </w:rPr>
        <w:t xml:space="preserve"> o sze</w:t>
      </w:r>
      <w:r w:rsidRPr="00A33B9F">
        <w:rPr>
          <w:rFonts w:ascii="Times New Roman" w:hAnsi="Times New Roman"/>
          <w:noProof/>
          <w:color w:val="000000" w:themeColor="text1"/>
          <w:sz w:val="24"/>
        </w:rPr>
        <w:t>rokim zakresie poziomów ochrony biologicznej,</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do poziomu BSL-3+,</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kampus, który będzie wykorzystywany do działalności szkoleniowej</w:t>
      </w:r>
      <w:r w:rsidR="00A33B9F" w:rsidRPr="00A33B9F">
        <w:rPr>
          <w:rFonts w:ascii="Times New Roman" w:hAnsi="Times New Roman"/>
          <w:noProof/>
          <w:color w:val="000000" w:themeColor="text1"/>
          <w:sz w:val="24"/>
        </w:rPr>
        <w:t xml:space="preserve"> i edu</w:t>
      </w:r>
      <w:r w:rsidRPr="00A33B9F">
        <w:rPr>
          <w:rFonts w:ascii="Times New Roman" w:hAnsi="Times New Roman"/>
          <w:noProof/>
          <w:color w:val="000000" w:themeColor="text1"/>
          <w:sz w:val="24"/>
        </w:rPr>
        <w:t>kacyjnej.</w:t>
      </w:r>
    </w:p>
    <w:p w14:paraId="47245435" w14:textId="6E1999A9" w:rsidR="00387C8F" w:rsidRPr="00A33B9F" w:rsidRDefault="00B31839">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sectPr w:rsidR="00387C8F" w:rsidRPr="00A33B9F" w:rsidSect="00387C8F">
          <w:headerReference w:type="even" r:id="rId103"/>
          <w:headerReference w:type="default" r:id="rId104"/>
          <w:footerReference w:type="even" r:id="rId105"/>
          <w:footerReference w:type="default" r:id="rId106"/>
          <w:headerReference w:type="first" r:id="rId107"/>
          <w:footerReference w:type="first" r:id="rId108"/>
          <w:pgSz w:w="11907" w:h="16839"/>
          <w:pgMar w:top="1134" w:right="1418" w:bottom="1134" w:left="1418" w:header="709" w:footer="709" w:gutter="0"/>
          <w:cols w:space="720"/>
        </w:sectPr>
      </w:pPr>
      <w:r w:rsidRPr="00A33B9F">
        <w:rPr>
          <w:rFonts w:ascii="Times New Roman" w:hAnsi="Times New Roman"/>
          <w:noProof/>
          <w:color w:val="000000"/>
          <w:sz w:val="24"/>
        </w:rPr>
        <w:t>Realizacja inwestycji zostanie zakończona do dnia 30 czerwca 2026</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5753B035" w14:textId="4787EC07" w:rsidR="007C4506" w:rsidRPr="00A33B9F" w:rsidRDefault="00387C8F">
      <w:pPr>
        <w:pStyle w:val="Normal0"/>
        <w:pBdr>
          <w:top w:val="nil"/>
          <w:left w:val="nil"/>
          <w:bottom w:val="nil"/>
          <w:right w:val="nil"/>
          <w:between w:val="nil"/>
        </w:pBdr>
        <w:spacing w:before="6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b/>
          <w:noProof/>
          <w:color w:val="000000"/>
          <w:sz w:val="24"/>
        </w:rPr>
        <w:t xml:space="preserve">D.2.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na potrzeby bezzwrotnego wsparcia finansowego</w:t>
      </w:r>
    </w:p>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96"/>
        <w:gridCol w:w="2069"/>
        <w:gridCol w:w="1026"/>
        <w:gridCol w:w="1738"/>
        <w:gridCol w:w="1520"/>
        <w:gridCol w:w="1217"/>
        <w:gridCol w:w="1245"/>
        <w:gridCol w:w="832"/>
        <w:gridCol w:w="970"/>
        <w:gridCol w:w="694"/>
        <w:gridCol w:w="3444"/>
      </w:tblGrid>
      <w:tr w:rsidR="008C116B" w:rsidRPr="00A33B9F" w14:paraId="0E748055" w14:textId="77777777" w:rsidTr="1CE0CE0C">
        <w:trPr>
          <w:trHeight w:val="939"/>
          <w:tblHeader/>
        </w:trPr>
        <w:tc>
          <w:tcPr>
            <w:tcW w:w="709" w:type="dxa"/>
            <w:vMerge w:val="restart"/>
            <w:shd w:val="clear" w:color="auto" w:fill="BDD7EE"/>
            <w:vAlign w:val="center"/>
          </w:tcPr>
          <w:p w14:paraId="36286FED" w14:textId="146665F7" w:rsidR="007C4506" w:rsidRPr="00A33B9F"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2126" w:type="dxa"/>
            <w:vMerge w:val="restart"/>
            <w:shd w:val="clear" w:color="auto" w:fill="BDD7EE"/>
            <w:vAlign w:val="center"/>
          </w:tcPr>
          <w:p w14:paraId="3B20702A"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050" w:type="dxa"/>
            <w:vMerge w:val="restart"/>
            <w:shd w:val="clear" w:color="auto" w:fill="BDD7EE"/>
            <w:vAlign w:val="center"/>
          </w:tcPr>
          <w:p w14:paraId="0E73BAB9"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785" w:type="dxa"/>
            <w:vMerge w:val="restart"/>
            <w:shd w:val="clear" w:color="auto" w:fill="BDD7EE"/>
            <w:vAlign w:val="center"/>
          </w:tcPr>
          <w:p w14:paraId="0100A987"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560" w:type="dxa"/>
            <w:vMerge w:val="restart"/>
            <w:shd w:val="clear" w:color="auto" w:fill="BDD7EE"/>
            <w:vAlign w:val="center"/>
          </w:tcPr>
          <w:p w14:paraId="35671211" w14:textId="77777777" w:rsidR="007C4506" w:rsidRPr="00A33B9F"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 xml:space="preserve">Wskaźniki jakościowe </w:t>
            </w:r>
            <w:r w:rsidRPr="00A33B9F">
              <w:rPr>
                <w:rFonts w:ascii="Times New Roman" w:hAnsi="Times New Roman"/>
                <w:b/>
                <w:noProof/>
                <w:color w:val="000000" w:themeColor="text1"/>
                <w:sz w:val="18"/>
              </w:rPr>
              <w:br/>
              <w:t>(dla kamieni milowych)</w:t>
            </w:r>
          </w:p>
        </w:tc>
        <w:tc>
          <w:tcPr>
            <w:tcW w:w="2976" w:type="dxa"/>
            <w:gridSpan w:val="3"/>
            <w:shd w:val="clear" w:color="auto" w:fill="BDD7EE"/>
            <w:vAlign w:val="center"/>
          </w:tcPr>
          <w:p w14:paraId="12B4FCE4" w14:textId="77777777" w:rsidR="007C4506" w:rsidRPr="00A33B9F"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Wskaźniki ilościowe</w:t>
            </w:r>
            <w:r w:rsidRPr="00A33B9F">
              <w:rPr>
                <w:noProof/>
              </w:rPr>
              <w:t xml:space="preserve"> </w:t>
            </w:r>
            <w:r w:rsidRPr="00A33B9F">
              <w:rPr>
                <w:noProof/>
              </w:rPr>
              <w:br/>
            </w:r>
            <w:r w:rsidRPr="00A33B9F">
              <w:rPr>
                <w:rFonts w:ascii="Times New Roman" w:hAnsi="Times New Roman"/>
                <w:b/>
                <w:noProof/>
                <w:color w:val="000000" w:themeColor="text1"/>
                <w:sz w:val="18"/>
              </w:rPr>
              <w:t>(dla wartości docelowych)</w:t>
            </w:r>
          </w:p>
        </w:tc>
        <w:tc>
          <w:tcPr>
            <w:tcW w:w="1701" w:type="dxa"/>
            <w:gridSpan w:val="2"/>
            <w:shd w:val="clear" w:color="auto" w:fill="BDD7EE"/>
            <w:vAlign w:val="center"/>
          </w:tcPr>
          <w:p w14:paraId="0F6AA94A"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544" w:type="dxa"/>
            <w:vMerge w:val="restart"/>
            <w:shd w:val="clear" w:color="auto" w:fill="BDD7EE"/>
            <w:vAlign w:val="center"/>
          </w:tcPr>
          <w:p w14:paraId="1FA168C9" w14:textId="3424B2AD"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CA5542" w:rsidRPr="00A33B9F" w14:paraId="589F7CEC" w14:textId="77777777" w:rsidTr="1CE0CE0C">
        <w:trPr>
          <w:trHeight w:val="1027"/>
        </w:trPr>
        <w:tc>
          <w:tcPr>
            <w:tcW w:w="709" w:type="dxa"/>
            <w:vMerge/>
            <w:vAlign w:val="center"/>
          </w:tcPr>
          <w:p w14:paraId="10FDAA0E"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2126" w:type="dxa"/>
            <w:vMerge/>
            <w:vAlign w:val="center"/>
          </w:tcPr>
          <w:p w14:paraId="774AF2BF"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050" w:type="dxa"/>
            <w:vMerge/>
            <w:vAlign w:val="center"/>
          </w:tcPr>
          <w:p w14:paraId="7A292896"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85" w:type="dxa"/>
            <w:vMerge/>
            <w:vAlign w:val="center"/>
          </w:tcPr>
          <w:p w14:paraId="2191599E"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60" w:type="dxa"/>
            <w:vMerge/>
            <w:vAlign w:val="center"/>
          </w:tcPr>
          <w:p w14:paraId="7673E5AE"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47" w:type="dxa"/>
            <w:shd w:val="clear" w:color="auto" w:fill="BDD7EE"/>
            <w:vAlign w:val="center"/>
          </w:tcPr>
          <w:p w14:paraId="45673889"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1276" w:type="dxa"/>
            <w:shd w:val="clear" w:color="auto" w:fill="BDD7EE"/>
            <w:vAlign w:val="center"/>
          </w:tcPr>
          <w:p w14:paraId="26CBA2F5" w14:textId="29210A03"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850" w:type="dxa"/>
            <w:shd w:val="clear" w:color="auto" w:fill="BDD7EE"/>
            <w:vAlign w:val="center"/>
          </w:tcPr>
          <w:p w14:paraId="498E2A4F"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93" w:type="dxa"/>
            <w:shd w:val="clear" w:color="auto" w:fill="BDD7EE"/>
            <w:vAlign w:val="center"/>
          </w:tcPr>
          <w:p w14:paraId="3E7658C2"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708" w:type="dxa"/>
            <w:shd w:val="clear" w:color="auto" w:fill="BDD7EE"/>
            <w:vAlign w:val="center"/>
          </w:tcPr>
          <w:p w14:paraId="6A32D50D"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544" w:type="dxa"/>
            <w:vMerge/>
            <w:vAlign w:val="center"/>
          </w:tcPr>
          <w:p w14:paraId="041D98D7"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78D2D074" w14:textId="77777777" w:rsidTr="1CE0CE0C">
        <w:trPr>
          <w:trHeight w:val="739"/>
        </w:trPr>
        <w:tc>
          <w:tcPr>
            <w:tcW w:w="709" w:type="dxa"/>
            <w:shd w:val="clear" w:color="auto" w:fill="C6EFCE"/>
          </w:tcPr>
          <w:p w14:paraId="64507562" w14:textId="470AA91E"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D1G</w:t>
            </w:r>
          </w:p>
        </w:tc>
        <w:tc>
          <w:tcPr>
            <w:tcW w:w="2126" w:type="dxa"/>
            <w:shd w:val="clear" w:color="auto" w:fill="C6EFCE"/>
          </w:tcPr>
          <w:p w14:paraId="2CD91D8F" w14:textId="0EB4E310"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shd w:val="clear" w:color="auto" w:fill="C6EFCE"/>
          </w:tcPr>
          <w:p w14:paraId="2F69FD4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4F3F4E04" w14:textId="7B215B78" w:rsidR="00736BBF" w:rsidRPr="00A33B9F" w:rsidRDefault="25274543" w:rsidP="00AF04A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ustawy</w:t>
            </w:r>
            <w:r w:rsidR="00A33B9F" w:rsidRPr="00A33B9F">
              <w:rPr>
                <w:rStyle w:val="normaltextrun"/>
                <w:rFonts w:ascii="Times New Roman" w:hAnsi="Times New Roman"/>
                <w:noProof/>
                <w:color w:val="000000" w:themeColor="text1"/>
                <w:sz w:val="18"/>
              </w:rPr>
              <w:t xml:space="preserve"> o mod</w:t>
            </w:r>
            <w:r w:rsidRPr="00A33B9F">
              <w:rPr>
                <w:rStyle w:val="normaltextrun"/>
                <w:rFonts w:ascii="Times New Roman" w:hAnsi="Times New Roman"/>
                <w:noProof/>
                <w:color w:val="000000" w:themeColor="text1"/>
                <w:sz w:val="18"/>
              </w:rPr>
              <w:t>ernizacji</w:t>
            </w:r>
            <w:r w:rsidR="00A33B9F" w:rsidRPr="00A33B9F">
              <w:rPr>
                <w:rStyle w:val="normaltextrun"/>
                <w:rFonts w:ascii="Times New Roman" w:hAnsi="Times New Roman"/>
                <w:noProof/>
                <w:color w:val="000000" w:themeColor="text1"/>
                <w:sz w:val="18"/>
              </w:rPr>
              <w:t xml:space="preserve"> i pop</w:t>
            </w:r>
            <w:r w:rsidRPr="00A33B9F">
              <w:rPr>
                <w:rStyle w:val="normaltextrun"/>
                <w:rFonts w:ascii="Times New Roman" w:hAnsi="Times New Roman"/>
                <w:noProof/>
                <w:color w:val="000000" w:themeColor="text1"/>
                <w:sz w:val="18"/>
              </w:rPr>
              <w:t>rawie efektywności szpitalnictwa</w:t>
            </w:r>
            <w:r w:rsidRPr="00A33B9F">
              <w:rPr>
                <w:rStyle w:val="eop"/>
                <w:rFonts w:ascii="Times New Roman" w:hAnsi="Times New Roman"/>
                <w:noProof/>
                <w:color w:val="000000" w:themeColor="text1"/>
                <w:sz w:val="18"/>
              </w:rPr>
              <w:t xml:space="preserve"> </w:t>
            </w:r>
          </w:p>
        </w:tc>
        <w:tc>
          <w:tcPr>
            <w:tcW w:w="1560" w:type="dxa"/>
            <w:shd w:val="clear" w:color="auto" w:fill="C6EFCE"/>
          </w:tcPr>
          <w:p w14:paraId="38B13BEC" w14:textId="31239492" w:rsidR="00736BBF" w:rsidRPr="00A33B9F" w:rsidRDefault="1F4ECB26" w:rsidP="00AF04A2">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49F15541" w14:textId="27B130DD"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276" w:type="dxa"/>
            <w:shd w:val="clear" w:color="auto" w:fill="C6EFCE"/>
          </w:tcPr>
          <w:p w14:paraId="0A6C1A37"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3BA6614D"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5F22C449" w14:textId="28801A51" w:rsidR="00736BBF" w:rsidRPr="00A33B9F" w:rsidRDefault="00736BBF" w:rsidP="006635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III kw.</w:t>
            </w:r>
          </w:p>
        </w:tc>
        <w:tc>
          <w:tcPr>
            <w:tcW w:w="708" w:type="dxa"/>
            <w:shd w:val="clear" w:color="auto" w:fill="C6EFCE"/>
          </w:tcPr>
          <w:p w14:paraId="1438688F"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62ED4A29" w14:textId="62DD6B2F" w:rsidR="00736BBF" w:rsidRPr="00A33B9F" w:rsidRDefault="7F3E5904" w:rsidP="7A2BD239">
            <w:pPr>
              <w:pStyle w:val="paragraph"/>
              <w:spacing w:before="0" w:beforeAutospacing="0" w:after="0" w:afterAutospacing="0"/>
              <w:textAlignment w:val="baseline"/>
              <w:rPr>
                <w:noProof/>
                <w:color w:val="000000" w:themeColor="text1"/>
                <w:sz w:val="18"/>
                <w:szCs w:val="18"/>
              </w:rPr>
            </w:pPr>
            <w:r w:rsidRPr="00A33B9F">
              <w:rPr>
                <w:rStyle w:val="normaltextrun"/>
                <w:noProof/>
                <w:color w:val="000000" w:themeColor="text1"/>
                <w:sz w:val="18"/>
              </w:rPr>
              <w:t>Wejście</w:t>
            </w:r>
            <w:r w:rsidR="00A33B9F" w:rsidRPr="00A33B9F">
              <w:rPr>
                <w:rStyle w:val="normaltextrun"/>
                <w:noProof/>
                <w:color w:val="000000" w:themeColor="text1"/>
                <w:sz w:val="18"/>
              </w:rPr>
              <w:t xml:space="preserve"> w życ</w:t>
            </w:r>
            <w:r w:rsidRPr="00A33B9F">
              <w:rPr>
                <w:rStyle w:val="normaltextrun"/>
                <w:noProof/>
                <w:color w:val="000000" w:themeColor="text1"/>
                <w:sz w:val="18"/>
              </w:rPr>
              <w:t>ie ustawy</w:t>
            </w:r>
            <w:r w:rsidR="00A33B9F" w:rsidRPr="00A33B9F">
              <w:rPr>
                <w:rStyle w:val="normaltextrun"/>
                <w:noProof/>
                <w:color w:val="000000" w:themeColor="text1"/>
                <w:sz w:val="18"/>
              </w:rPr>
              <w:t xml:space="preserve"> o mod</w:t>
            </w:r>
            <w:r w:rsidRPr="00A33B9F">
              <w:rPr>
                <w:rStyle w:val="normaltextrun"/>
                <w:noProof/>
                <w:color w:val="000000" w:themeColor="text1"/>
                <w:sz w:val="18"/>
              </w:rPr>
              <w:t>ernizacji</w:t>
            </w:r>
            <w:r w:rsidR="00A33B9F" w:rsidRPr="00A33B9F">
              <w:rPr>
                <w:rStyle w:val="normaltextrun"/>
                <w:noProof/>
                <w:color w:val="000000" w:themeColor="text1"/>
                <w:sz w:val="18"/>
              </w:rPr>
              <w:t xml:space="preserve"> i pop</w:t>
            </w:r>
            <w:r w:rsidRPr="00A33B9F">
              <w:rPr>
                <w:rStyle w:val="normaltextrun"/>
                <w:noProof/>
                <w:color w:val="000000" w:themeColor="text1"/>
                <w:sz w:val="18"/>
              </w:rPr>
              <w:t>rawie efektywności szpitalnictwa,</w:t>
            </w:r>
            <w:r w:rsidR="00A33B9F" w:rsidRPr="00A33B9F">
              <w:rPr>
                <w:rStyle w:val="normaltextrun"/>
                <w:noProof/>
                <w:color w:val="000000" w:themeColor="text1"/>
                <w:sz w:val="18"/>
              </w:rPr>
              <w:t xml:space="preserve"> w któ</w:t>
            </w:r>
            <w:r w:rsidRPr="00A33B9F">
              <w:rPr>
                <w:rStyle w:val="normaltextrun"/>
                <w:noProof/>
                <w:color w:val="000000" w:themeColor="text1"/>
                <w:sz w:val="18"/>
              </w:rPr>
              <w:t>rej zostanie przewidziane, co następuje:</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 restrukturyzacja sektora szpitali poprzez konsolidację, przeprofilowanie oraz zmianę zakresu</w:t>
            </w:r>
            <w:r w:rsidR="00A33B9F" w:rsidRPr="00A33B9F">
              <w:rPr>
                <w:rStyle w:val="normaltextrun"/>
                <w:noProof/>
                <w:color w:val="000000" w:themeColor="text1"/>
                <w:sz w:val="18"/>
              </w:rPr>
              <w:t xml:space="preserve"> i str</w:t>
            </w:r>
            <w:r w:rsidRPr="00A33B9F">
              <w:rPr>
                <w:rStyle w:val="normaltextrun"/>
                <w:noProof/>
                <w:color w:val="000000" w:themeColor="text1"/>
                <w:sz w:val="18"/>
              </w:rPr>
              <w:t>uktury usług opieki zdrowotnej świadczonych przez szpitale, na podstawie krajowych</w:t>
            </w:r>
            <w:r w:rsidR="00A33B9F" w:rsidRPr="00A33B9F">
              <w:rPr>
                <w:rStyle w:val="normaltextrun"/>
                <w:noProof/>
                <w:color w:val="000000" w:themeColor="text1"/>
                <w:sz w:val="18"/>
              </w:rPr>
              <w:t xml:space="preserve"> i reg</w:t>
            </w:r>
            <w:r w:rsidRPr="00A33B9F">
              <w:rPr>
                <w:rStyle w:val="normaltextrun"/>
                <w:noProof/>
                <w:color w:val="000000" w:themeColor="text1"/>
                <w:sz w:val="18"/>
              </w:rPr>
              <w:t>ionalnych planów przekształceń oraz mapy potrzeb zdrowotnych zarówno na poziomie krajowym, jak</w:t>
            </w:r>
            <w:r w:rsidR="00A33B9F" w:rsidRPr="00A33B9F">
              <w:rPr>
                <w:rStyle w:val="normaltextrun"/>
                <w:noProof/>
                <w:color w:val="000000" w:themeColor="text1"/>
                <w:sz w:val="18"/>
              </w:rPr>
              <w:t xml:space="preserve"> i reg</w:t>
            </w:r>
            <w:r w:rsidRPr="00A33B9F">
              <w:rPr>
                <w:rStyle w:val="normaltextrun"/>
                <w:noProof/>
                <w:color w:val="000000" w:themeColor="text1"/>
                <w:sz w:val="18"/>
              </w:rPr>
              <w:t>ionalnym,</w:t>
            </w:r>
            <w:r w:rsidR="00A33B9F" w:rsidRPr="00A33B9F">
              <w:rPr>
                <w:rStyle w:val="normaltextrun"/>
                <w:noProof/>
                <w:color w:val="000000" w:themeColor="text1"/>
                <w:sz w:val="18"/>
              </w:rPr>
              <w:t xml:space="preserve"> a tak</w:t>
            </w:r>
            <w:r w:rsidRPr="00A33B9F">
              <w:rPr>
                <w:rStyle w:val="normaltextrun"/>
                <w:noProof/>
                <w:color w:val="000000" w:themeColor="text1"/>
                <w:sz w:val="18"/>
              </w:rPr>
              <w:t>że odpowiednią aktualizację sieci szpitali</w:t>
            </w:r>
            <w:r w:rsidR="00A33B9F" w:rsidRPr="00A33B9F">
              <w:rPr>
                <w:rStyle w:val="normaltextrun"/>
                <w:noProof/>
                <w:color w:val="000000" w:themeColor="text1"/>
                <w:sz w:val="18"/>
              </w:rPr>
              <w:t>. W ram</w:t>
            </w:r>
            <w:r w:rsidRPr="00A33B9F">
              <w:rPr>
                <w:rStyle w:val="normaltextrun"/>
                <w:noProof/>
                <w:color w:val="000000" w:themeColor="text1"/>
                <w:sz w:val="18"/>
              </w:rPr>
              <w:t>ach procesu restrukturyzacji uwzględnia się potrzeby szpitali objętych nadzorem Ministra Obrony Narodowej lub Ministra Spraw Wewnętrznych związane</w:t>
            </w:r>
            <w:r w:rsidR="00A33B9F" w:rsidRPr="00A33B9F">
              <w:rPr>
                <w:rStyle w:val="normaltextrun"/>
                <w:noProof/>
                <w:color w:val="000000" w:themeColor="text1"/>
                <w:sz w:val="18"/>
              </w:rPr>
              <w:t xml:space="preserve"> z wpł</w:t>
            </w:r>
            <w:r w:rsidRPr="00A33B9F">
              <w:rPr>
                <w:rStyle w:val="normaltextrun"/>
                <w:noProof/>
                <w:color w:val="000000" w:themeColor="text1"/>
                <w:sz w:val="18"/>
              </w:rPr>
              <w:t>ywem wojny</w:t>
            </w:r>
            <w:r w:rsidR="00A33B9F" w:rsidRPr="00A33B9F">
              <w:rPr>
                <w:rStyle w:val="normaltextrun"/>
                <w:noProof/>
                <w:color w:val="000000" w:themeColor="text1"/>
                <w:sz w:val="18"/>
              </w:rPr>
              <w:t xml:space="preserve"> w Ukr</w:t>
            </w:r>
            <w:r w:rsidRPr="00A33B9F">
              <w:rPr>
                <w:rStyle w:val="normaltextrun"/>
                <w:noProof/>
                <w:color w:val="000000" w:themeColor="text1"/>
                <w:sz w:val="18"/>
              </w:rPr>
              <w:t>ainie;</w:t>
            </w:r>
            <w:r w:rsidR="00C3621A" w:rsidRPr="00A33B9F">
              <w:rPr>
                <w:rStyle w:val="normaltextrun"/>
                <w:noProof/>
                <w:color w:val="000000" w:themeColor="text1"/>
                <w:sz w:val="18"/>
              </w:rPr>
              <w:t xml:space="preserve"> </w:t>
            </w:r>
            <w:r w:rsidRPr="00A33B9F">
              <w:rPr>
                <w:noProof/>
              </w:rPr>
              <w:br/>
            </w:r>
            <w:r w:rsidRPr="00A33B9F">
              <w:rPr>
                <w:rStyle w:val="normaltextrun"/>
                <w:noProof/>
                <w:color w:val="000000" w:themeColor="text1"/>
                <w:sz w:val="18"/>
              </w:rPr>
              <w:t>– podstawy do działań na rzecz racjonalizacji piramidy opieki zdrowotnej poprzez przesunięcie niektórych świadczeń zdrowotnych ze szpitali na niższe poziomy opieki (podstawowa opieka zdrowotna, opieka ambulatoryjna)</w:t>
            </w:r>
            <w:r w:rsidR="00A33B9F" w:rsidRPr="00A33B9F">
              <w:rPr>
                <w:rStyle w:val="normaltextrun"/>
                <w:noProof/>
                <w:color w:val="000000" w:themeColor="text1"/>
                <w:sz w:val="18"/>
              </w:rPr>
              <w:t xml:space="preserve"> z odp</w:t>
            </w:r>
            <w:r w:rsidRPr="00A33B9F">
              <w:rPr>
                <w:rStyle w:val="normaltextrun"/>
                <w:noProof/>
                <w:color w:val="000000" w:themeColor="text1"/>
                <w:sz w:val="18"/>
              </w:rPr>
              <w:t>owiednio zmienionymi zapisami</w:t>
            </w:r>
            <w:r w:rsidR="00A33B9F" w:rsidRPr="00A33B9F">
              <w:rPr>
                <w:rStyle w:val="normaltextrun"/>
                <w:noProof/>
                <w:color w:val="000000" w:themeColor="text1"/>
                <w:sz w:val="18"/>
              </w:rPr>
              <w:t xml:space="preserve"> w roc</w:t>
            </w:r>
            <w:r w:rsidRPr="00A33B9F">
              <w:rPr>
                <w:rStyle w:val="normaltextrun"/>
                <w:noProof/>
                <w:color w:val="000000" w:themeColor="text1"/>
                <w:sz w:val="18"/>
              </w:rPr>
              <w:t>znych planach finansowych NFZ (Narodowego Funduszu Zdrowia);</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 reforma systemu finansowania szpitali, zapewniająca skuteczną</w:t>
            </w:r>
            <w:r w:rsidR="00A33B9F" w:rsidRPr="00A33B9F">
              <w:rPr>
                <w:rStyle w:val="normaltextrun"/>
                <w:noProof/>
                <w:color w:val="000000" w:themeColor="text1"/>
                <w:sz w:val="18"/>
              </w:rPr>
              <w:t xml:space="preserve"> i trw</w:t>
            </w:r>
            <w:r w:rsidRPr="00A33B9F">
              <w:rPr>
                <w:rStyle w:val="normaltextrun"/>
                <w:noProof/>
                <w:color w:val="000000" w:themeColor="text1"/>
                <w:sz w:val="18"/>
              </w:rPr>
              <w:t>ałą restrukturyzację,</w:t>
            </w:r>
            <w:r w:rsidR="00A33B9F" w:rsidRPr="00A33B9F">
              <w:rPr>
                <w:rStyle w:val="normaltextrun"/>
                <w:noProof/>
                <w:color w:val="000000" w:themeColor="text1"/>
                <w:sz w:val="18"/>
              </w:rPr>
              <w:t xml:space="preserve"> w tym</w:t>
            </w:r>
            <w:r w:rsidRPr="00A33B9F">
              <w:rPr>
                <w:rStyle w:val="normaltextrun"/>
                <w:noProof/>
                <w:color w:val="000000" w:themeColor="text1"/>
                <w:sz w:val="18"/>
              </w:rPr>
              <w:t xml:space="preserve"> rozwiązanie kwestii umarzania długów szpitali</w:t>
            </w:r>
            <w:r w:rsidR="00A33B9F" w:rsidRPr="00A33B9F">
              <w:rPr>
                <w:rStyle w:val="normaltextrun"/>
                <w:noProof/>
                <w:color w:val="000000" w:themeColor="text1"/>
                <w:sz w:val="18"/>
              </w:rPr>
              <w:t xml:space="preserve"> w spo</w:t>
            </w:r>
            <w:r w:rsidRPr="00A33B9F">
              <w:rPr>
                <w:rStyle w:val="normaltextrun"/>
                <w:noProof/>
                <w:color w:val="000000" w:themeColor="text1"/>
                <w:sz w:val="18"/>
              </w:rPr>
              <w:t>sób zrównoważony, na podstawie przejrzystych</w:t>
            </w:r>
            <w:r w:rsidR="00A33B9F" w:rsidRPr="00A33B9F">
              <w:rPr>
                <w:rStyle w:val="normaltextrun"/>
                <w:noProof/>
                <w:color w:val="000000" w:themeColor="text1"/>
                <w:sz w:val="18"/>
              </w:rPr>
              <w:t xml:space="preserve"> i opa</w:t>
            </w:r>
            <w:r w:rsidRPr="00A33B9F">
              <w:rPr>
                <w:rStyle w:val="normaltextrun"/>
                <w:noProof/>
                <w:color w:val="000000" w:themeColor="text1"/>
                <w:sz w:val="18"/>
              </w:rPr>
              <w:t>rtych na dowodach kryteriów oraz motywowanie do właściwego świadczenia opieki oraz zwiększania efektywności</w:t>
            </w:r>
            <w:r w:rsidR="00A33B9F" w:rsidRPr="00A33B9F">
              <w:rPr>
                <w:rStyle w:val="normaltextrun"/>
                <w:noProof/>
                <w:color w:val="000000" w:themeColor="text1"/>
                <w:sz w:val="18"/>
              </w:rPr>
              <w:t xml:space="preserve"> i jak</w:t>
            </w:r>
            <w:r w:rsidRPr="00A33B9F">
              <w:rPr>
                <w:rStyle w:val="normaltextrun"/>
                <w:noProof/>
                <w:color w:val="000000" w:themeColor="text1"/>
                <w:sz w:val="18"/>
              </w:rPr>
              <w:t>ości opieki;</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 stworzenie profesjonalnego systemu nadzoru nad szpitalami, wzmocnienie kadry zarządzającej oraz zachęcanie do stosowania nowoczesnych systemów, narzędzi</w:t>
            </w:r>
            <w:r w:rsidR="00A33B9F" w:rsidRPr="00A33B9F">
              <w:rPr>
                <w:rStyle w:val="normaltextrun"/>
                <w:noProof/>
                <w:color w:val="000000" w:themeColor="text1"/>
                <w:sz w:val="18"/>
              </w:rPr>
              <w:t xml:space="preserve"> i met</w:t>
            </w:r>
            <w:r w:rsidRPr="00A33B9F">
              <w:rPr>
                <w:rStyle w:val="normaltextrun"/>
                <w:noProof/>
                <w:color w:val="000000" w:themeColor="text1"/>
                <w:sz w:val="18"/>
              </w:rPr>
              <w:t>od zarządzania</w:t>
            </w:r>
            <w:r w:rsidR="00A33B9F" w:rsidRPr="00A33B9F">
              <w:rPr>
                <w:rStyle w:val="normaltextrun"/>
                <w:noProof/>
                <w:color w:val="000000" w:themeColor="text1"/>
                <w:sz w:val="18"/>
              </w:rPr>
              <w:t xml:space="preserve"> w opi</w:t>
            </w:r>
            <w:r w:rsidRPr="00A33B9F">
              <w:rPr>
                <w:rStyle w:val="normaltextrun"/>
                <w:noProof/>
                <w:color w:val="000000" w:themeColor="text1"/>
                <w:sz w:val="18"/>
              </w:rPr>
              <w:t>ece zdrowotnej.</w:t>
            </w:r>
            <w:r w:rsidRPr="00A33B9F">
              <w:rPr>
                <w:rStyle w:val="scxw147420095"/>
                <w:noProof/>
                <w:color w:val="000000" w:themeColor="text1"/>
                <w:sz w:val="18"/>
              </w:rPr>
              <w:t xml:space="preserve"> </w:t>
            </w:r>
          </w:p>
        </w:tc>
      </w:tr>
      <w:tr w:rsidR="008C116B" w:rsidRPr="00A33B9F" w14:paraId="6A24184E" w14:textId="77777777" w:rsidTr="1CE0CE0C">
        <w:trPr>
          <w:trHeight w:val="313"/>
        </w:trPr>
        <w:tc>
          <w:tcPr>
            <w:tcW w:w="709" w:type="dxa"/>
            <w:shd w:val="clear" w:color="auto" w:fill="C6EFCE"/>
          </w:tcPr>
          <w:p w14:paraId="4BD2DB98" w14:textId="7F06AD1A" w:rsidR="00736BBF" w:rsidRPr="00A33B9F"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D2G</w:t>
            </w:r>
          </w:p>
        </w:tc>
        <w:tc>
          <w:tcPr>
            <w:tcW w:w="2126" w:type="dxa"/>
            <w:shd w:val="clear" w:color="auto" w:fill="C6EFCE"/>
          </w:tcPr>
          <w:p w14:paraId="76E5744B" w14:textId="1A6ECB98"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shd w:val="clear" w:color="auto" w:fill="C6EFCE"/>
          </w:tcPr>
          <w:p w14:paraId="646575E8" w14:textId="77777777"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1785" w:type="dxa"/>
            <w:shd w:val="clear" w:color="auto" w:fill="C6EFCE"/>
          </w:tcPr>
          <w:p w14:paraId="7B7D2F5B" w14:textId="32E87060" w:rsidR="00736BBF" w:rsidRPr="00A33B9F" w:rsidRDefault="34CE5B00" w:rsidP="0066357D">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zarządzenia Prezesa Narodowego Funduszu Zdrowia (NFZ)</w:t>
            </w:r>
            <w:r w:rsidR="00A33B9F" w:rsidRPr="00A33B9F">
              <w:rPr>
                <w:rStyle w:val="normaltextrun"/>
                <w:rFonts w:ascii="Times New Roman" w:hAnsi="Times New Roman"/>
                <w:noProof/>
                <w:color w:val="000000" w:themeColor="text1"/>
                <w:sz w:val="18"/>
              </w:rPr>
              <w:t xml:space="preserve"> w spr</w:t>
            </w:r>
            <w:r w:rsidRPr="00A33B9F">
              <w:rPr>
                <w:rStyle w:val="normaltextrun"/>
                <w:rFonts w:ascii="Times New Roman" w:hAnsi="Times New Roman"/>
                <w:noProof/>
                <w:color w:val="000000" w:themeColor="text1"/>
                <w:sz w:val="18"/>
              </w:rPr>
              <w:t>awie wzmocnienia podstawowej opieki zdrowotnej</w:t>
            </w:r>
            <w:r w:rsidR="00A33B9F" w:rsidRPr="00A33B9F">
              <w:rPr>
                <w:rStyle w:val="normaltextrun"/>
                <w:rFonts w:ascii="Times New Roman" w:hAnsi="Times New Roman"/>
                <w:noProof/>
                <w:color w:val="000000" w:themeColor="text1"/>
                <w:sz w:val="18"/>
              </w:rPr>
              <w:t xml:space="preserve"> i sko</w:t>
            </w:r>
            <w:r w:rsidRPr="00A33B9F">
              <w:rPr>
                <w:rStyle w:val="normaltextrun"/>
                <w:rFonts w:ascii="Times New Roman" w:hAnsi="Times New Roman"/>
                <w:noProof/>
                <w:color w:val="000000" w:themeColor="text1"/>
                <w:sz w:val="18"/>
              </w:rPr>
              <w:t>ordynowanej opieki zdrowotnej,</w:t>
            </w:r>
            <w:r w:rsidR="00A33B9F" w:rsidRPr="00A33B9F">
              <w:rPr>
                <w:rStyle w:val="normaltextrun"/>
                <w:rFonts w:ascii="Times New Roman" w:hAnsi="Times New Roman"/>
                <w:noProof/>
                <w:color w:val="000000" w:themeColor="text1"/>
                <w:sz w:val="18"/>
              </w:rPr>
              <w:t xml:space="preserve"> a nas</w:t>
            </w:r>
            <w:r w:rsidRPr="00A33B9F">
              <w:rPr>
                <w:rStyle w:val="normaltextrun"/>
                <w:rFonts w:ascii="Times New Roman" w:hAnsi="Times New Roman"/>
                <w:noProof/>
                <w:color w:val="000000" w:themeColor="text1"/>
                <w:sz w:val="18"/>
              </w:rPr>
              <w:t>tępnie przepisów finansowych (w tym zmian</w:t>
            </w:r>
            <w:r w:rsidR="00A33B9F" w:rsidRPr="00A33B9F">
              <w:rPr>
                <w:rStyle w:val="normaltextrun"/>
                <w:rFonts w:ascii="Times New Roman" w:hAnsi="Times New Roman"/>
                <w:noProof/>
                <w:color w:val="000000" w:themeColor="text1"/>
                <w:sz w:val="18"/>
              </w:rPr>
              <w:t xml:space="preserve"> w umo</w:t>
            </w:r>
            <w:r w:rsidRPr="00A33B9F">
              <w:rPr>
                <w:rStyle w:val="normaltextrun"/>
                <w:rFonts w:ascii="Times New Roman" w:hAnsi="Times New Roman"/>
                <w:noProof/>
                <w:color w:val="000000" w:themeColor="text1"/>
                <w:sz w:val="18"/>
              </w:rPr>
              <w:t>wach), umożliwiającego wdrożenie na szczeblu krajowym</w:t>
            </w:r>
            <w:r w:rsidRPr="00A33B9F">
              <w:rPr>
                <w:rStyle w:val="eop"/>
                <w:rFonts w:ascii="Times New Roman" w:hAnsi="Times New Roman"/>
                <w:noProof/>
                <w:color w:val="000000" w:themeColor="text1"/>
                <w:sz w:val="18"/>
              </w:rPr>
              <w:t xml:space="preserve"> </w:t>
            </w:r>
          </w:p>
        </w:tc>
        <w:tc>
          <w:tcPr>
            <w:tcW w:w="1560" w:type="dxa"/>
            <w:shd w:val="clear" w:color="auto" w:fill="C6EFCE"/>
          </w:tcPr>
          <w:p w14:paraId="2AA9D7B0" w14:textId="4BD5561A" w:rsidR="00736BBF" w:rsidRPr="00A33B9F" w:rsidRDefault="11BD3D58"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zar</w:t>
            </w:r>
            <w:r w:rsidRPr="00A33B9F">
              <w:rPr>
                <w:rFonts w:ascii="Times New Roman" w:hAnsi="Times New Roman"/>
                <w:noProof/>
                <w:color w:val="000000" w:themeColor="text1"/>
                <w:sz w:val="18"/>
              </w:rPr>
              <w:t>ządzeniu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55B33694" w14:textId="77777777"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1276" w:type="dxa"/>
            <w:shd w:val="clear" w:color="auto" w:fill="C6EFCE"/>
          </w:tcPr>
          <w:p w14:paraId="4455F193" w14:textId="77777777" w:rsidR="00736BBF" w:rsidRPr="00A33B9F" w:rsidRDefault="00736BBF" w:rsidP="00736BBF">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p>
        </w:tc>
        <w:tc>
          <w:tcPr>
            <w:tcW w:w="850" w:type="dxa"/>
            <w:shd w:val="clear" w:color="auto" w:fill="C6EFCE"/>
          </w:tcPr>
          <w:p w14:paraId="1C2776EB" w14:textId="77777777" w:rsidR="00736BBF" w:rsidRPr="00A33B9F" w:rsidRDefault="00736BBF" w:rsidP="00736BBF">
            <w:pPr>
              <w:pStyle w:val="Normal0"/>
              <w:pBdr>
                <w:top w:val="nil"/>
                <w:left w:val="nil"/>
                <w:bottom w:val="nil"/>
                <w:right w:val="nil"/>
                <w:between w:val="nil"/>
              </w:pBdr>
              <w:spacing w:line="240" w:lineRule="auto"/>
              <w:jc w:val="right"/>
              <w:rPr>
                <w:rFonts w:ascii="Times New Roman" w:eastAsia="Times New Roman" w:hAnsi="Times New Roman" w:cs="Times New Roman"/>
                <w:noProof/>
                <w:color w:val="000000"/>
                <w:sz w:val="18"/>
                <w:szCs w:val="18"/>
              </w:rPr>
            </w:pPr>
          </w:p>
        </w:tc>
        <w:tc>
          <w:tcPr>
            <w:tcW w:w="993" w:type="dxa"/>
            <w:shd w:val="clear" w:color="auto" w:fill="C6EFCE"/>
          </w:tcPr>
          <w:p w14:paraId="6E7A7A39" w14:textId="73378D83" w:rsidR="00736BBF" w:rsidRPr="00A33B9F" w:rsidRDefault="00736BBF" w:rsidP="0066357D">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8" w:type="dxa"/>
            <w:shd w:val="clear" w:color="auto" w:fill="C6EFCE"/>
          </w:tcPr>
          <w:p w14:paraId="4F2C266B" w14:textId="77777777" w:rsidR="00736BBF" w:rsidRPr="00A33B9F"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544" w:type="dxa"/>
            <w:shd w:val="clear" w:color="auto" w:fill="C6EFCE"/>
          </w:tcPr>
          <w:p w14:paraId="3CDFAC00" w14:textId="6C17FEB6" w:rsidR="00736BBF" w:rsidRPr="00A33B9F" w:rsidRDefault="34CE5B00" w:rsidP="22896D13">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Wejście</w:t>
            </w:r>
            <w:r w:rsidR="00A33B9F" w:rsidRPr="00A33B9F">
              <w:rPr>
                <w:rStyle w:val="normaltextrun"/>
                <w:noProof/>
                <w:color w:val="000000" w:themeColor="text1"/>
                <w:sz w:val="18"/>
              </w:rPr>
              <w:t xml:space="preserve"> w życ</w:t>
            </w:r>
            <w:r w:rsidRPr="00A33B9F">
              <w:rPr>
                <w:rStyle w:val="normaltextrun"/>
                <w:noProof/>
                <w:color w:val="000000" w:themeColor="text1"/>
                <w:sz w:val="18"/>
              </w:rPr>
              <w:t>ie zarządzenia Prezesa Narodowego Funduszu Zdrowia (NFZ) wzmacniającego podstawową opiekę zdrowotną</w:t>
            </w:r>
            <w:r w:rsidR="00A33B9F" w:rsidRPr="00A33B9F">
              <w:rPr>
                <w:rStyle w:val="normaltextrun"/>
                <w:noProof/>
                <w:color w:val="000000" w:themeColor="text1"/>
                <w:sz w:val="18"/>
              </w:rPr>
              <w:t xml:space="preserve"> i sko</w:t>
            </w:r>
            <w:r w:rsidRPr="00A33B9F">
              <w:rPr>
                <w:rStyle w:val="normaltextrun"/>
                <w:noProof/>
                <w:color w:val="000000" w:themeColor="text1"/>
                <w:sz w:val="18"/>
              </w:rPr>
              <w:t>ordynowaną opiekę zdrowotną, umożliwiającego wdrożenie na szczeblu krajowym</w:t>
            </w:r>
            <w:r w:rsidR="00A33B9F" w:rsidRPr="00A33B9F">
              <w:rPr>
                <w:rStyle w:val="normaltextrun"/>
                <w:noProof/>
                <w:color w:val="000000" w:themeColor="text1"/>
                <w:sz w:val="18"/>
              </w:rPr>
              <w:t xml:space="preserve"> i obe</w:t>
            </w:r>
            <w:r w:rsidRPr="00A33B9F">
              <w:rPr>
                <w:rStyle w:val="normaltextrun"/>
                <w:noProof/>
                <w:color w:val="000000" w:themeColor="text1"/>
                <w:sz w:val="18"/>
              </w:rPr>
              <w:t>jmującego:</w:t>
            </w:r>
            <w:r w:rsidRPr="00A33B9F">
              <w:rPr>
                <w:rStyle w:val="eop"/>
                <w:noProof/>
                <w:color w:val="000000" w:themeColor="text1"/>
                <w:sz w:val="18"/>
              </w:rPr>
              <w:t xml:space="preserve"> </w:t>
            </w:r>
          </w:p>
          <w:p w14:paraId="6BD660ED" w14:textId="77777777"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sz w:val="18"/>
              </w:rPr>
              <w:t>– profilaktyczną opiekę zdrowotną (opłata za zadania);</w:t>
            </w:r>
            <w:r w:rsidRPr="00A33B9F">
              <w:rPr>
                <w:rStyle w:val="eop"/>
                <w:noProof/>
                <w:color w:val="000000"/>
                <w:sz w:val="18"/>
              </w:rPr>
              <w:t xml:space="preserve"> </w:t>
            </w:r>
          </w:p>
          <w:p w14:paraId="1A5157A4" w14:textId="41541F58"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 oczekiwane wyniki zdrowotne</w:t>
            </w:r>
            <w:r w:rsidR="00A33B9F" w:rsidRPr="00A33B9F">
              <w:rPr>
                <w:rStyle w:val="normaltextrun"/>
                <w:noProof/>
                <w:color w:val="000000" w:themeColor="text1"/>
                <w:sz w:val="18"/>
              </w:rPr>
              <w:t xml:space="preserve"> i jak</w:t>
            </w:r>
            <w:r w:rsidRPr="00A33B9F">
              <w:rPr>
                <w:rStyle w:val="normaltextrun"/>
                <w:noProof/>
                <w:color w:val="000000" w:themeColor="text1"/>
                <w:sz w:val="18"/>
              </w:rPr>
              <w:t>ość opieki (wprowadzenie zachęt); oraz</w:t>
            </w:r>
            <w:r w:rsidRPr="00A33B9F">
              <w:rPr>
                <w:rStyle w:val="eop"/>
                <w:noProof/>
                <w:color w:val="000000" w:themeColor="text1"/>
                <w:sz w:val="18"/>
              </w:rPr>
              <w:t xml:space="preserve"> </w:t>
            </w:r>
          </w:p>
          <w:p w14:paraId="3D9BE5A7" w14:textId="77AAF23A"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 program zarządzania chorobami przewlekłymi</w:t>
            </w:r>
            <w:r w:rsidR="00A33B9F" w:rsidRPr="00A33B9F">
              <w:rPr>
                <w:rStyle w:val="normaltextrun"/>
                <w:noProof/>
                <w:color w:val="000000" w:themeColor="text1"/>
                <w:sz w:val="18"/>
              </w:rPr>
              <w:t xml:space="preserve"> i koo</w:t>
            </w:r>
            <w:r w:rsidRPr="00A33B9F">
              <w:rPr>
                <w:rStyle w:val="normaltextrun"/>
                <w:noProof/>
                <w:color w:val="000000" w:themeColor="text1"/>
                <w:sz w:val="18"/>
              </w:rPr>
              <w:t>rdynatora opieki.</w:t>
            </w:r>
            <w:r w:rsidRPr="00A33B9F">
              <w:rPr>
                <w:rStyle w:val="eop"/>
                <w:noProof/>
                <w:color w:val="000000" w:themeColor="text1"/>
                <w:sz w:val="18"/>
              </w:rPr>
              <w:t xml:space="preserve"> </w:t>
            </w:r>
          </w:p>
          <w:p w14:paraId="76BC9B45" w14:textId="3743390B" w:rsidR="00736BBF" w:rsidRPr="00A33B9F" w:rsidRDefault="00736BBF" w:rsidP="00AC6B2E">
            <w:pPr>
              <w:pStyle w:val="paragraph"/>
              <w:spacing w:before="0" w:beforeAutospacing="0" w:after="0" w:afterAutospacing="0"/>
              <w:textAlignment w:val="baseline"/>
              <w:rPr>
                <w:noProof/>
                <w:sz w:val="18"/>
                <w:szCs w:val="18"/>
              </w:rPr>
            </w:pPr>
            <w:r w:rsidRPr="00A33B9F">
              <w:rPr>
                <w:rStyle w:val="normaltextrun"/>
                <w:noProof/>
                <w:color w:val="000000"/>
                <w:sz w:val="18"/>
              </w:rPr>
              <w:t>Na mocy zarządzenia wprowadzone zostaną rozwiązania finansowe przewidujące dodatkowe zasoby finansowe na umowy</w:t>
            </w:r>
            <w:r w:rsidR="00A33B9F" w:rsidRPr="00A33B9F">
              <w:rPr>
                <w:rStyle w:val="normaltextrun"/>
                <w:noProof/>
                <w:color w:val="000000"/>
                <w:sz w:val="18"/>
              </w:rPr>
              <w:t xml:space="preserve"> o świ</w:t>
            </w:r>
            <w:r w:rsidRPr="00A33B9F">
              <w:rPr>
                <w:rStyle w:val="normaltextrun"/>
                <w:noProof/>
                <w:color w:val="000000"/>
                <w:sz w:val="18"/>
              </w:rPr>
              <w:t>adczenie podstawowej opieki zdrowotnej,</w:t>
            </w:r>
            <w:r w:rsidR="00A33B9F" w:rsidRPr="00A33B9F">
              <w:rPr>
                <w:rStyle w:val="normaltextrun"/>
                <w:noProof/>
                <w:color w:val="000000"/>
                <w:sz w:val="18"/>
              </w:rPr>
              <w:t xml:space="preserve"> z wył</w:t>
            </w:r>
            <w:r w:rsidRPr="00A33B9F">
              <w:rPr>
                <w:rStyle w:val="normaltextrun"/>
                <w:noProof/>
                <w:color w:val="000000"/>
                <w:sz w:val="18"/>
              </w:rPr>
              <w:t>ączeniem nocnej</w:t>
            </w:r>
            <w:r w:rsidR="00A33B9F" w:rsidRPr="00A33B9F">
              <w:rPr>
                <w:rStyle w:val="normaltextrun"/>
                <w:noProof/>
                <w:color w:val="000000"/>
                <w:sz w:val="18"/>
              </w:rPr>
              <w:t xml:space="preserve"> i świ</w:t>
            </w:r>
            <w:r w:rsidRPr="00A33B9F">
              <w:rPr>
                <w:rStyle w:val="normaltextrun"/>
                <w:noProof/>
                <w:color w:val="000000"/>
                <w:sz w:val="18"/>
              </w:rPr>
              <w:t>ątecznej opieki zdrowotnej.</w:t>
            </w:r>
            <w:r w:rsidRPr="00A33B9F">
              <w:rPr>
                <w:rStyle w:val="normaltextrun"/>
                <w:noProof/>
                <w:sz w:val="18"/>
              </w:rPr>
              <w:t xml:space="preserve"> </w:t>
            </w:r>
          </w:p>
        </w:tc>
      </w:tr>
      <w:tr w:rsidR="008C116B" w:rsidRPr="00A33B9F" w14:paraId="40055B3A" w14:textId="77777777" w:rsidTr="1CE0CE0C">
        <w:trPr>
          <w:trHeight w:val="313"/>
        </w:trPr>
        <w:tc>
          <w:tcPr>
            <w:tcW w:w="709" w:type="dxa"/>
            <w:shd w:val="clear" w:color="auto" w:fill="C6EFCE"/>
          </w:tcPr>
          <w:p w14:paraId="484EB49F" w14:textId="061D7BAA"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D3G</w:t>
            </w:r>
          </w:p>
        </w:tc>
        <w:tc>
          <w:tcPr>
            <w:tcW w:w="2126" w:type="dxa"/>
            <w:shd w:val="clear" w:color="auto" w:fill="C6EFCE"/>
          </w:tcPr>
          <w:p w14:paraId="5EFBF919" w14:textId="1E07BBC0"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shd w:val="clear" w:color="auto" w:fill="C6EFCE"/>
          </w:tcPr>
          <w:p w14:paraId="5E4235A4"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135FBE31" w14:textId="53FD9558"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sz w:val="18"/>
              </w:rPr>
              <w:t>Wejście</w:t>
            </w:r>
            <w:r w:rsidR="00A33B9F" w:rsidRPr="00A33B9F">
              <w:rPr>
                <w:rStyle w:val="normaltextrun"/>
                <w:rFonts w:ascii="Times New Roman" w:hAnsi="Times New Roman"/>
                <w:noProof/>
                <w:color w:val="000000"/>
                <w:sz w:val="18"/>
              </w:rPr>
              <w:t xml:space="preserve"> w życ</w:t>
            </w:r>
            <w:r w:rsidRPr="00A33B9F">
              <w:rPr>
                <w:rStyle w:val="normaltextrun"/>
                <w:rFonts w:ascii="Times New Roman" w:hAnsi="Times New Roman"/>
                <w:noProof/>
                <w:color w:val="000000"/>
                <w:sz w:val="18"/>
              </w:rPr>
              <w:t>ie ustawy</w:t>
            </w:r>
            <w:r w:rsidR="00A33B9F" w:rsidRPr="00A33B9F">
              <w:rPr>
                <w:rStyle w:val="normaltextrun"/>
                <w:rFonts w:ascii="Times New Roman" w:hAnsi="Times New Roman"/>
                <w:noProof/>
                <w:color w:val="000000"/>
                <w:sz w:val="18"/>
              </w:rPr>
              <w:t xml:space="preserve"> o jak</w:t>
            </w:r>
            <w:r w:rsidRPr="00A33B9F">
              <w:rPr>
                <w:rStyle w:val="normaltextrun"/>
                <w:rFonts w:ascii="Times New Roman" w:hAnsi="Times New Roman"/>
                <w:noProof/>
                <w:color w:val="000000"/>
                <w:sz w:val="18"/>
              </w:rPr>
              <w:t>ości</w:t>
            </w:r>
            <w:r w:rsidR="00A33B9F" w:rsidRPr="00A33B9F">
              <w:rPr>
                <w:rStyle w:val="normaltextrun"/>
                <w:rFonts w:ascii="Times New Roman" w:hAnsi="Times New Roman"/>
                <w:noProof/>
                <w:color w:val="000000"/>
                <w:sz w:val="18"/>
              </w:rPr>
              <w:t xml:space="preserve"> w och</w:t>
            </w:r>
            <w:r w:rsidRPr="00A33B9F">
              <w:rPr>
                <w:rStyle w:val="normaltextrun"/>
                <w:rFonts w:ascii="Times New Roman" w:hAnsi="Times New Roman"/>
                <w:noProof/>
                <w:color w:val="000000"/>
                <w:sz w:val="18"/>
              </w:rPr>
              <w:t>ronie zdrowia</w:t>
            </w:r>
            <w:r w:rsidR="00A33B9F" w:rsidRPr="00A33B9F">
              <w:rPr>
                <w:rStyle w:val="normaltextrun"/>
                <w:rFonts w:ascii="Times New Roman" w:hAnsi="Times New Roman"/>
                <w:noProof/>
                <w:color w:val="000000"/>
                <w:sz w:val="18"/>
              </w:rPr>
              <w:t xml:space="preserve"> i bez</w:t>
            </w:r>
            <w:r w:rsidRPr="00A33B9F">
              <w:rPr>
                <w:rStyle w:val="normaltextrun"/>
                <w:rFonts w:ascii="Times New Roman" w:hAnsi="Times New Roman"/>
                <w:noProof/>
                <w:color w:val="000000"/>
                <w:sz w:val="18"/>
              </w:rPr>
              <w:t>pieczeństwie pacjentów, wraz</w:t>
            </w:r>
            <w:r w:rsidR="00A33B9F" w:rsidRPr="00A33B9F">
              <w:rPr>
                <w:rStyle w:val="normaltextrun"/>
                <w:rFonts w:ascii="Times New Roman" w:hAnsi="Times New Roman"/>
                <w:noProof/>
                <w:color w:val="000000"/>
                <w:sz w:val="18"/>
              </w:rPr>
              <w:t xml:space="preserve"> z nie</w:t>
            </w:r>
            <w:r w:rsidRPr="00A33B9F">
              <w:rPr>
                <w:rStyle w:val="normaltextrun"/>
                <w:rFonts w:ascii="Times New Roman" w:hAnsi="Times New Roman"/>
                <w:noProof/>
                <w:color w:val="000000"/>
                <w:sz w:val="18"/>
              </w:rPr>
              <w:t>zbędnymi przepisami wykonawczymi</w:t>
            </w:r>
            <w:r w:rsidRPr="00A33B9F">
              <w:rPr>
                <w:rStyle w:val="eop"/>
                <w:rFonts w:ascii="Times New Roman" w:hAnsi="Times New Roman"/>
                <w:noProof/>
                <w:color w:val="000000"/>
                <w:sz w:val="18"/>
              </w:rPr>
              <w:t xml:space="preserve"> </w:t>
            </w:r>
          </w:p>
        </w:tc>
        <w:tc>
          <w:tcPr>
            <w:tcW w:w="1560" w:type="dxa"/>
            <w:shd w:val="clear" w:color="auto" w:fill="C6EFCE"/>
          </w:tcPr>
          <w:p w14:paraId="7881A0ED" w14:textId="25C6EE33" w:rsidR="00736BBF" w:rsidRPr="00A33B9F"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1247" w:type="dxa"/>
            <w:shd w:val="clear" w:color="auto" w:fill="C6EFCE"/>
          </w:tcPr>
          <w:p w14:paraId="5B10199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3AF5D263"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1592C48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1B37B511" w14:textId="4C2C635B"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III kw.</w:t>
            </w:r>
          </w:p>
        </w:tc>
        <w:tc>
          <w:tcPr>
            <w:tcW w:w="708" w:type="dxa"/>
            <w:shd w:val="clear" w:color="auto" w:fill="C6EFCE"/>
          </w:tcPr>
          <w:p w14:paraId="116D4EA9" w14:textId="507F4CD8"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3544" w:type="dxa"/>
            <w:shd w:val="clear" w:color="auto" w:fill="C6EFCE"/>
          </w:tcPr>
          <w:p w14:paraId="04E1832E" w14:textId="638231C0" w:rsidR="00736BBF" w:rsidRPr="00A33B9F" w:rsidRDefault="25274543" w:rsidP="4E569026">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Wejście</w:t>
            </w:r>
            <w:r w:rsidR="00A33B9F" w:rsidRPr="00A33B9F">
              <w:rPr>
                <w:rStyle w:val="normaltextrun"/>
                <w:noProof/>
                <w:color w:val="000000" w:themeColor="text1"/>
                <w:sz w:val="18"/>
              </w:rPr>
              <w:t xml:space="preserve"> w życ</w:t>
            </w:r>
            <w:r w:rsidRPr="00A33B9F">
              <w:rPr>
                <w:rStyle w:val="normaltextrun"/>
                <w:noProof/>
                <w:color w:val="000000" w:themeColor="text1"/>
                <w:sz w:val="18"/>
              </w:rPr>
              <w:t>ie ustawy</w:t>
            </w:r>
            <w:r w:rsidR="00A33B9F" w:rsidRPr="00A33B9F">
              <w:rPr>
                <w:rStyle w:val="normaltextrun"/>
                <w:noProof/>
                <w:color w:val="000000" w:themeColor="text1"/>
                <w:sz w:val="18"/>
              </w:rPr>
              <w:t xml:space="preserve"> o jak</w:t>
            </w:r>
            <w:r w:rsidRPr="00A33B9F">
              <w:rPr>
                <w:rStyle w:val="normaltextrun"/>
                <w:noProof/>
                <w:color w:val="000000" w:themeColor="text1"/>
                <w:sz w:val="18"/>
              </w:rPr>
              <w:t>ości</w:t>
            </w:r>
            <w:r w:rsidR="00A33B9F" w:rsidRPr="00A33B9F">
              <w:rPr>
                <w:rStyle w:val="normaltextrun"/>
                <w:noProof/>
                <w:color w:val="000000" w:themeColor="text1"/>
                <w:sz w:val="18"/>
              </w:rPr>
              <w:t xml:space="preserve"> w och</w:t>
            </w:r>
            <w:r w:rsidRPr="00A33B9F">
              <w:rPr>
                <w:rStyle w:val="normaltextrun"/>
                <w:noProof/>
                <w:color w:val="000000" w:themeColor="text1"/>
                <w:sz w:val="18"/>
              </w:rPr>
              <w:t>ronie zdrowia</w:t>
            </w:r>
            <w:r w:rsidR="00A33B9F" w:rsidRPr="00A33B9F">
              <w:rPr>
                <w:rStyle w:val="normaltextrun"/>
                <w:noProof/>
                <w:color w:val="000000" w:themeColor="text1"/>
                <w:sz w:val="18"/>
              </w:rPr>
              <w:t xml:space="preserve"> i bez</w:t>
            </w:r>
            <w:r w:rsidRPr="00A33B9F">
              <w:rPr>
                <w:rStyle w:val="normaltextrun"/>
                <w:noProof/>
                <w:color w:val="000000" w:themeColor="text1"/>
                <w:sz w:val="18"/>
              </w:rPr>
              <w:t>pieczeństwie pacjentów, która będzie określać przepisy dotyczące następujących elementów:</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1) autoryzacji: system oceny podmiotów prowadzących działalność leczniczą</w:t>
            </w:r>
            <w:r w:rsidR="00A33B9F" w:rsidRPr="00A33B9F">
              <w:rPr>
                <w:rStyle w:val="normaltextrun"/>
                <w:noProof/>
                <w:color w:val="000000" w:themeColor="text1"/>
                <w:sz w:val="18"/>
              </w:rPr>
              <w:t xml:space="preserve"> w rod</w:t>
            </w:r>
            <w:r w:rsidRPr="00A33B9F">
              <w:rPr>
                <w:rStyle w:val="normaltextrun"/>
                <w:noProof/>
                <w:color w:val="000000" w:themeColor="text1"/>
                <w:sz w:val="18"/>
              </w:rPr>
              <w:t>zaju świadczeń szpitalnych</w:t>
            </w:r>
            <w:r w:rsidR="00A33B9F" w:rsidRPr="00A33B9F">
              <w:rPr>
                <w:rStyle w:val="normaltextrun"/>
                <w:noProof/>
                <w:color w:val="000000" w:themeColor="text1"/>
                <w:sz w:val="18"/>
              </w:rPr>
              <w:t xml:space="preserve"> w świ</w:t>
            </w:r>
            <w:r w:rsidRPr="00A33B9F">
              <w:rPr>
                <w:rStyle w:val="normaltextrun"/>
                <w:noProof/>
                <w:color w:val="000000" w:themeColor="text1"/>
                <w:sz w:val="18"/>
              </w:rPr>
              <w:t>etle spełniania przez nie wymagań Ministerstwa Zdrowia</w:t>
            </w:r>
            <w:r w:rsidR="00A33B9F" w:rsidRPr="00A33B9F">
              <w:rPr>
                <w:rStyle w:val="normaltextrun"/>
                <w:noProof/>
                <w:color w:val="000000" w:themeColor="text1"/>
                <w:sz w:val="18"/>
              </w:rPr>
              <w:t xml:space="preserve"> i Nar</w:t>
            </w:r>
            <w:r w:rsidRPr="00A33B9F">
              <w:rPr>
                <w:rStyle w:val="normaltextrun"/>
                <w:noProof/>
                <w:color w:val="000000" w:themeColor="text1"/>
                <w:sz w:val="18"/>
              </w:rPr>
              <w:t>odowego Funduszu Zdrowia (tzw. „wymagania koszykowe”);</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2) akredytacji: ramy zewnętrznej oceny jakości opieki zdrowotnej</w:t>
            </w:r>
            <w:r w:rsidR="00A33B9F" w:rsidRPr="00A33B9F">
              <w:rPr>
                <w:rStyle w:val="normaltextrun"/>
                <w:noProof/>
                <w:color w:val="000000" w:themeColor="text1"/>
                <w:sz w:val="18"/>
              </w:rPr>
              <w:t xml:space="preserve"> i bez</w:t>
            </w:r>
            <w:r w:rsidRPr="00A33B9F">
              <w:rPr>
                <w:rStyle w:val="normaltextrun"/>
                <w:noProof/>
                <w:color w:val="000000" w:themeColor="text1"/>
                <w:sz w:val="18"/>
              </w:rPr>
              <w:t>pieczeństwa pacjenta</w:t>
            </w:r>
            <w:r w:rsidR="00A33B9F" w:rsidRPr="00A33B9F">
              <w:rPr>
                <w:rStyle w:val="normaltextrun"/>
                <w:noProof/>
                <w:color w:val="000000" w:themeColor="text1"/>
                <w:sz w:val="18"/>
              </w:rPr>
              <w:t xml:space="preserve"> w szp</w:t>
            </w:r>
            <w:r w:rsidRPr="00A33B9F">
              <w:rPr>
                <w:rStyle w:val="normaltextrun"/>
                <w:noProof/>
                <w:color w:val="000000" w:themeColor="text1"/>
                <w:sz w:val="18"/>
              </w:rPr>
              <w:t>italach;</w:t>
            </w:r>
            <w:r w:rsidRPr="00A33B9F">
              <w:rPr>
                <w:noProof/>
              </w:rPr>
              <w:t xml:space="preserve"> </w:t>
            </w:r>
            <w:r w:rsidRPr="00A33B9F">
              <w:rPr>
                <w:noProof/>
              </w:rPr>
              <w:br/>
            </w:r>
            <w:r w:rsidRPr="00A33B9F">
              <w:rPr>
                <w:rStyle w:val="normaltextrun"/>
                <w:noProof/>
                <w:color w:val="000000" w:themeColor="text1"/>
                <w:sz w:val="18"/>
              </w:rPr>
              <w:t>3) monitorowania zdarzeń niepożądanych: ramy działań prowadzonych przez podmioty lecznicze,</w:t>
            </w:r>
            <w:r w:rsidR="00A33B9F" w:rsidRPr="00A33B9F">
              <w:rPr>
                <w:rStyle w:val="normaltextrun"/>
                <w:noProof/>
                <w:color w:val="000000" w:themeColor="text1"/>
                <w:sz w:val="18"/>
              </w:rPr>
              <w:t xml:space="preserve"> w szc</w:t>
            </w:r>
            <w:r w:rsidRPr="00A33B9F">
              <w:rPr>
                <w:rStyle w:val="normaltextrun"/>
                <w:noProof/>
                <w:color w:val="000000" w:themeColor="text1"/>
                <w:sz w:val="18"/>
              </w:rPr>
              <w:t>zególności polegających na zgłaszaniu zdarzeń niepożądanych, prowadzeniu ich systematycznej analizy oraz wdrażaniu wniosków</w:t>
            </w:r>
            <w:r w:rsidR="00A33B9F" w:rsidRPr="00A33B9F">
              <w:rPr>
                <w:rStyle w:val="normaltextrun"/>
                <w:noProof/>
                <w:color w:val="000000" w:themeColor="text1"/>
                <w:sz w:val="18"/>
              </w:rPr>
              <w:t xml:space="preserve"> z tak</w:t>
            </w:r>
            <w:r w:rsidRPr="00A33B9F">
              <w:rPr>
                <w:rStyle w:val="normaltextrun"/>
                <w:noProof/>
                <w:color w:val="000000" w:themeColor="text1"/>
                <w:sz w:val="18"/>
              </w:rPr>
              <w:t>iej analizy</w:t>
            </w:r>
            <w:r w:rsidR="00A33B9F" w:rsidRPr="00A33B9F">
              <w:rPr>
                <w:rStyle w:val="normaltextrun"/>
                <w:noProof/>
                <w:color w:val="000000" w:themeColor="text1"/>
                <w:sz w:val="18"/>
              </w:rPr>
              <w:t xml:space="preserve"> w cel</w:t>
            </w:r>
            <w:r w:rsidRPr="00A33B9F">
              <w:rPr>
                <w:rStyle w:val="normaltextrun"/>
                <w:noProof/>
                <w:color w:val="000000" w:themeColor="text1"/>
                <w:sz w:val="18"/>
              </w:rPr>
              <w:t>u zapobiegania wystąpieniu podobnych zdarzeń niepożądanych</w:t>
            </w:r>
            <w:r w:rsidR="00A33B9F" w:rsidRPr="00A33B9F">
              <w:rPr>
                <w:rStyle w:val="normaltextrun"/>
                <w:noProof/>
                <w:color w:val="000000" w:themeColor="text1"/>
                <w:sz w:val="18"/>
              </w:rPr>
              <w:t xml:space="preserve"> w prz</w:t>
            </w:r>
            <w:r w:rsidRPr="00A33B9F">
              <w:rPr>
                <w:rStyle w:val="normaltextrun"/>
                <w:noProof/>
                <w:color w:val="000000" w:themeColor="text1"/>
                <w:sz w:val="18"/>
              </w:rPr>
              <w:t>yszłości;</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4) rejestrów medycznych: wzmocnienie nadzoru nad prowadzeniem rejestrów medycznych oraz określenie zasad ich tworzenia</w:t>
            </w:r>
            <w:r w:rsidR="00A33B9F" w:rsidRPr="00A33B9F">
              <w:rPr>
                <w:rStyle w:val="normaltextrun"/>
                <w:noProof/>
                <w:color w:val="000000" w:themeColor="text1"/>
                <w:sz w:val="18"/>
              </w:rPr>
              <w:t xml:space="preserve"> i fin</w:t>
            </w:r>
            <w:r w:rsidRPr="00A33B9F">
              <w:rPr>
                <w:rStyle w:val="normaltextrun"/>
                <w:noProof/>
                <w:color w:val="000000" w:themeColor="text1"/>
                <w:sz w:val="18"/>
              </w:rPr>
              <w:t>ansowania;</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5) doświadczeń pacjentów: ustanowienie ram pomiaru doświadczeń pacjentów</w:t>
            </w:r>
            <w:r w:rsidR="00A33B9F" w:rsidRPr="00A33B9F">
              <w:rPr>
                <w:rStyle w:val="normaltextrun"/>
                <w:noProof/>
                <w:color w:val="000000" w:themeColor="text1"/>
                <w:sz w:val="18"/>
              </w:rPr>
              <w:t xml:space="preserve"> w odn</w:t>
            </w:r>
            <w:r w:rsidRPr="00A33B9F">
              <w:rPr>
                <w:rStyle w:val="normaltextrun"/>
                <w:noProof/>
                <w:color w:val="000000" w:themeColor="text1"/>
                <w:sz w:val="18"/>
              </w:rPr>
              <w:t>iesieniu do zapisów dotyczących zawierania umów przez NFZ; oraz</w:t>
            </w:r>
            <w:r w:rsidRPr="00A33B9F">
              <w:rPr>
                <w:rStyle w:val="eop"/>
                <w:noProof/>
                <w:color w:val="000000" w:themeColor="text1"/>
                <w:sz w:val="18"/>
              </w:rPr>
              <w:t xml:space="preserve"> </w:t>
            </w:r>
          </w:p>
          <w:p w14:paraId="6817658B" w14:textId="3E441E4A"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sz w:val="18"/>
              </w:rPr>
              <w:t>6) rehospitalizacji: ramy śledzenia</w:t>
            </w:r>
            <w:r w:rsidR="00A33B9F" w:rsidRPr="00A33B9F">
              <w:rPr>
                <w:rStyle w:val="normaltextrun"/>
                <w:rFonts w:ascii="Times New Roman" w:hAnsi="Times New Roman"/>
                <w:noProof/>
                <w:color w:val="000000"/>
                <w:sz w:val="18"/>
              </w:rPr>
              <w:t xml:space="preserve"> i ana</w:t>
            </w:r>
            <w:r w:rsidRPr="00A33B9F">
              <w:rPr>
                <w:rStyle w:val="normaltextrun"/>
                <w:rFonts w:ascii="Times New Roman" w:hAnsi="Times New Roman"/>
                <w:noProof/>
                <w:color w:val="000000"/>
                <w:sz w:val="18"/>
              </w:rPr>
              <w:t>lizy 30-dniowych wskaźników ponownych przyjęć związanych</w:t>
            </w:r>
            <w:r w:rsidR="00A33B9F" w:rsidRPr="00A33B9F">
              <w:rPr>
                <w:rStyle w:val="normaltextrun"/>
                <w:rFonts w:ascii="Times New Roman" w:hAnsi="Times New Roman"/>
                <w:noProof/>
                <w:color w:val="000000"/>
                <w:sz w:val="18"/>
              </w:rPr>
              <w:t xml:space="preserve"> z zap</w:t>
            </w:r>
            <w:r w:rsidRPr="00A33B9F">
              <w:rPr>
                <w:rStyle w:val="normaltextrun"/>
                <w:rFonts w:ascii="Times New Roman" w:hAnsi="Times New Roman"/>
                <w:noProof/>
                <w:color w:val="000000"/>
                <w:sz w:val="18"/>
              </w:rPr>
              <w:t>isami dotyczącymi zawierania umów przez NFZ (za pomocą rozporządzenia wykonawczego).</w:t>
            </w:r>
            <w:r w:rsidRPr="00A33B9F">
              <w:rPr>
                <w:rStyle w:val="eop"/>
                <w:rFonts w:ascii="Times New Roman" w:hAnsi="Times New Roman"/>
                <w:noProof/>
                <w:color w:val="000000"/>
                <w:sz w:val="18"/>
              </w:rPr>
              <w:t xml:space="preserve"> </w:t>
            </w:r>
          </w:p>
        </w:tc>
      </w:tr>
      <w:tr w:rsidR="008C116B" w:rsidRPr="00A33B9F" w14:paraId="4CD99052" w14:textId="77777777" w:rsidTr="1CE0CE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D619A73" w14:textId="341DD50B" w:rsidR="00736BBF" w:rsidRPr="00A33B9F"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D4G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8C0D27" w14:textId="3D777A3F"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9AB36D" w14:textId="77777777"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Kamień milowy </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30BB56" w14:textId="01B09055" w:rsidR="00736BBF" w:rsidRPr="00A33B9F" w:rsidRDefault="25274543"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ustawy</w:t>
            </w:r>
            <w:r w:rsidR="00A33B9F" w:rsidRPr="00A33B9F">
              <w:rPr>
                <w:rStyle w:val="normaltextrun"/>
                <w:rFonts w:ascii="Times New Roman" w:hAnsi="Times New Roman"/>
                <w:noProof/>
                <w:color w:val="000000" w:themeColor="text1"/>
                <w:sz w:val="18"/>
              </w:rPr>
              <w:t xml:space="preserve"> o Kra</w:t>
            </w:r>
            <w:r w:rsidRPr="00A33B9F">
              <w:rPr>
                <w:rStyle w:val="normaltextrun"/>
                <w:rFonts w:ascii="Times New Roman" w:hAnsi="Times New Roman"/>
                <w:noProof/>
                <w:color w:val="000000" w:themeColor="text1"/>
                <w:sz w:val="18"/>
              </w:rPr>
              <w:t>jowej Sieci Onkologicznej służącej ustanowieniu zasad funkcjonowania sieci poprzez wprowadzenie nowej struktury</w:t>
            </w:r>
            <w:r w:rsidR="00A33B9F" w:rsidRPr="00A33B9F">
              <w:rPr>
                <w:rStyle w:val="normaltextrun"/>
                <w:rFonts w:ascii="Times New Roman" w:hAnsi="Times New Roman"/>
                <w:noProof/>
                <w:color w:val="000000" w:themeColor="text1"/>
                <w:sz w:val="18"/>
              </w:rPr>
              <w:t xml:space="preserve"> i now</w:t>
            </w:r>
            <w:r w:rsidRPr="00A33B9F">
              <w:rPr>
                <w:rStyle w:val="normaltextrun"/>
                <w:rFonts w:ascii="Times New Roman" w:hAnsi="Times New Roman"/>
                <w:noProof/>
                <w:color w:val="000000" w:themeColor="text1"/>
                <w:sz w:val="18"/>
              </w:rPr>
              <w:t>ego modelu zarządzania opieką onkologiczną</w:t>
            </w:r>
            <w:r w:rsidR="00C3621A" w:rsidRPr="00A33B9F">
              <w:rPr>
                <w:rStyle w:val="normaltextrun"/>
                <w:rFonts w:ascii="Times New Roman" w:hAnsi="Times New Roman"/>
                <w:noProof/>
                <w:color w:val="000000" w:themeColor="text1"/>
                <w:sz w:val="18"/>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F2FEF40" w14:textId="673180CF"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akc</w:t>
            </w:r>
            <w:r w:rsidRPr="00A33B9F">
              <w:rPr>
                <w:rFonts w:ascii="Times New Roman" w:hAnsi="Times New Roman"/>
                <w:noProof/>
                <w:color w:val="000000"/>
                <w:sz w:val="18"/>
              </w:rPr>
              <w:t>ie wskazujący na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w:t>
            </w:r>
            <w:r w:rsidR="00C3621A" w:rsidRPr="00A33B9F">
              <w:rPr>
                <w:rFonts w:ascii="Times New Roman" w:hAnsi="Times New Roman"/>
                <w:noProof/>
                <w:color w:val="000000"/>
                <w:sz w:val="18"/>
              </w:rPr>
              <w:t xml:space="preserve">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D62D461" w14:textId="77777777"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8B034E" w14:textId="77777777"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2506DD" w14:textId="77777777" w:rsidR="00736BBF" w:rsidRPr="00A33B9F" w:rsidRDefault="00736BBF" w:rsidP="00736BBF">
            <w:pPr>
              <w:pStyle w:val="Normal0"/>
              <w:pBdr>
                <w:top w:val="nil"/>
                <w:left w:val="nil"/>
                <w:bottom w:val="nil"/>
                <w:right w:val="nil"/>
                <w:between w:val="nil"/>
              </w:pBdr>
              <w:spacing w:line="240" w:lineRule="auto"/>
              <w:rPr>
                <w:rFonts w:ascii="Times New Roman" w:eastAsia="Times New Roman" w:hAnsi="Times New Roman" w:cs="Times New Roman"/>
                <w:noProof/>
                <w:color w:val="000000"/>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0B7E7" w14:textId="5DEC6E20" w:rsidR="00736BBF" w:rsidRPr="00A33B9F"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III kw.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817D66" w14:textId="77777777" w:rsidR="00736BBF" w:rsidRPr="00A33B9F" w:rsidRDefault="00736BBF" w:rsidP="00736BBF">
            <w:pPr>
              <w:pStyle w:val="Normal0"/>
              <w:pBdr>
                <w:top w:val="nil"/>
                <w:left w:val="nil"/>
                <w:bottom w:val="nil"/>
                <w:right w:val="nil"/>
                <w:between w:val="nil"/>
              </w:pBdr>
              <w:spacing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0769E7F" w14:textId="1390F7CD" w:rsidR="00736BBF" w:rsidRPr="00A33B9F" w:rsidRDefault="39DD3781"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ustawy</w:t>
            </w:r>
            <w:r w:rsidR="00A33B9F" w:rsidRPr="00A33B9F">
              <w:rPr>
                <w:rStyle w:val="normaltextrun"/>
                <w:rFonts w:ascii="Times New Roman" w:hAnsi="Times New Roman"/>
                <w:noProof/>
                <w:color w:val="000000" w:themeColor="text1"/>
                <w:sz w:val="18"/>
              </w:rPr>
              <w:t xml:space="preserve"> o Kra</w:t>
            </w:r>
            <w:r w:rsidRPr="00A33B9F">
              <w:rPr>
                <w:rStyle w:val="normaltextrun"/>
                <w:rFonts w:ascii="Times New Roman" w:hAnsi="Times New Roman"/>
                <w:noProof/>
                <w:color w:val="000000" w:themeColor="text1"/>
                <w:sz w:val="18"/>
              </w:rPr>
              <w:t>jowej Sieci Onkologicznej, dzięki której wszyscy pacjenci, niezależnie od miejsca zamieszkania, otrzymają opiekę onkologiczną opartą na takich samych standardach diagnostycznych</w:t>
            </w:r>
            <w:r w:rsidR="00A33B9F" w:rsidRPr="00A33B9F">
              <w:rPr>
                <w:rStyle w:val="normaltextrun"/>
                <w:rFonts w:ascii="Times New Roman" w:hAnsi="Times New Roman"/>
                <w:noProof/>
                <w:color w:val="000000" w:themeColor="text1"/>
                <w:sz w:val="18"/>
              </w:rPr>
              <w:t xml:space="preserve"> i ter</w:t>
            </w:r>
            <w:r w:rsidRPr="00A33B9F">
              <w:rPr>
                <w:rStyle w:val="normaltextrun"/>
                <w:rFonts w:ascii="Times New Roman" w:hAnsi="Times New Roman"/>
                <w:noProof/>
                <w:color w:val="000000" w:themeColor="text1"/>
                <w:sz w:val="18"/>
              </w:rPr>
              <w:t>apeutycznych.</w:t>
            </w:r>
            <w:r w:rsidR="00C3621A" w:rsidRPr="00A33B9F">
              <w:rPr>
                <w:rStyle w:val="normaltextrun"/>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Reforma będzie ukierunkowana na:</w:t>
            </w:r>
            <w:r w:rsidR="00C3621A" w:rsidRPr="00A33B9F">
              <w:rPr>
                <w:rStyle w:val="normaltextrun"/>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poprawę organizacji systemu opieki kardiologicznej poprzez zapewnienie pacjentom dostępu do najwyższej jakości procesów diagnostycznych</w:t>
            </w:r>
            <w:r w:rsidR="00A33B9F" w:rsidRPr="00A33B9F">
              <w:rPr>
                <w:rStyle w:val="normaltextrun"/>
                <w:rFonts w:ascii="Times New Roman" w:hAnsi="Times New Roman"/>
                <w:noProof/>
                <w:color w:val="000000" w:themeColor="text1"/>
                <w:sz w:val="18"/>
              </w:rPr>
              <w:t xml:space="preserve"> i ter</w:t>
            </w:r>
            <w:r w:rsidRPr="00A33B9F">
              <w:rPr>
                <w:rStyle w:val="normaltextrun"/>
                <w:rFonts w:ascii="Times New Roman" w:hAnsi="Times New Roman"/>
                <w:noProof/>
                <w:color w:val="000000" w:themeColor="text1"/>
                <w:sz w:val="18"/>
              </w:rPr>
              <w:t>apeutycznych oraz kompleksowej opieki na całej „ścieżce opieki”</w:t>
            </w:r>
            <w:r w:rsidR="00A33B9F" w:rsidRPr="00A33B9F">
              <w:rPr>
                <w:rStyle w:val="normaltextrun"/>
                <w:rFonts w:ascii="Times New Roman" w:hAnsi="Times New Roman"/>
                <w:noProof/>
                <w:color w:val="000000" w:themeColor="text1"/>
                <w:sz w:val="18"/>
              </w:rPr>
              <w:t xml:space="preserve"> w obs</w:t>
            </w:r>
            <w:r w:rsidRPr="00A33B9F">
              <w:rPr>
                <w:rStyle w:val="normaltextrun"/>
                <w:rFonts w:ascii="Times New Roman" w:hAnsi="Times New Roman"/>
                <w:noProof/>
                <w:color w:val="000000" w:themeColor="text1"/>
                <w:sz w:val="18"/>
              </w:rPr>
              <w:t>zarach podstawowej opieki zdrowotnej, ambulatoryjnej opieki specjalistycznej (AOS), leczenia szpitalnego</w:t>
            </w:r>
            <w:r w:rsidR="00A33B9F" w:rsidRPr="00A33B9F">
              <w:rPr>
                <w:rStyle w:val="normaltextrun"/>
                <w:rFonts w:ascii="Times New Roman" w:hAnsi="Times New Roman"/>
                <w:noProof/>
                <w:color w:val="000000" w:themeColor="text1"/>
                <w:sz w:val="18"/>
              </w:rPr>
              <w:t xml:space="preserve"> i reh</w:t>
            </w:r>
            <w:r w:rsidRPr="00A33B9F">
              <w:rPr>
                <w:rStyle w:val="normaltextrun"/>
                <w:rFonts w:ascii="Times New Roman" w:hAnsi="Times New Roman"/>
                <w:noProof/>
                <w:color w:val="000000" w:themeColor="text1"/>
                <w:sz w:val="18"/>
              </w:rPr>
              <w:t>abilitacji;</w:t>
            </w:r>
            <w:r w:rsidR="00C3621A" w:rsidRPr="00A33B9F">
              <w:rPr>
                <w:rStyle w:val="normaltextrun"/>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stworzenie nowej struktury organizacyjnej</w:t>
            </w:r>
            <w:r w:rsidR="00A33B9F" w:rsidRPr="00A33B9F">
              <w:rPr>
                <w:rStyle w:val="normaltextrun"/>
                <w:rFonts w:ascii="Times New Roman" w:hAnsi="Times New Roman"/>
                <w:noProof/>
                <w:color w:val="000000" w:themeColor="text1"/>
                <w:sz w:val="18"/>
              </w:rPr>
              <w:t xml:space="preserve"> i now</w:t>
            </w:r>
            <w:r w:rsidRPr="00A33B9F">
              <w:rPr>
                <w:rStyle w:val="normaltextrun"/>
                <w:rFonts w:ascii="Times New Roman" w:hAnsi="Times New Roman"/>
                <w:noProof/>
                <w:color w:val="000000" w:themeColor="text1"/>
                <w:sz w:val="18"/>
              </w:rPr>
              <w:t>ego modelu zarządzania opieką onkologiczną,</w:t>
            </w:r>
            <w:r w:rsidR="00A33B9F" w:rsidRPr="00A33B9F">
              <w:rPr>
                <w:rStyle w:val="normaltextrun"/>
                <w:rFonts w:ascii="Times New Roman" w:hAnsi="Times New Roman"/>
                <w:noProof/>
                <w:color w:val="000000" w:themeColor="text1"/>
                <w:sz w:val="18"/>
              </w:rPr>
              <w:t xml:space="preserve"> w tym</w:t>
            </w:r>
            <w:r w:rsidRPr="00A33B9F">
              <w:rPr>
                <w:rStyle w:val="normaltextrun"/>
                <w:rFonts w:ascii="Times New Roman" w:hAnsi="Times New Roman"/>
                <w:noProof/>
                <w:color w:val="000000" w:themeColor="text1"/>
                <w:sz w:val="18"/>
              </w:rPr>
              <w:t xml:space="preserve"> centrów monitorowania;</w:t>
            </w:r>
            <w:r w:rsidRPr="00A33B9F">
              <w:rPr>
                <w:rStyle w:val="eop"/>
                <w:rFonts w:ascii="Times New Roman" w:hAnsi="Times New Roman"/>
                <w:noProof/>
                <w:color w:val="000000" w:themeColor="text1"/>
                <w:sz w:val="18"/>
              </w:rPr>
              <w:t xml:space="preserve"> </w:t>
            </w:r>
          </w:p>
          <w:p w14:paraId="7ED0614C" w14:textId="6ABC1103" w:rsidR="00736BBF" w:rsidRPr="00A33B9F" w:rsidRDefault="00736BBF" w:rsidP="00736BBF">
            <w:pPr>
              <w:pStyle w:val="Normal0"/>
              <w:pBdr>
                <w:top w:val="nil"/>
                <w:left w:val="nil"/>
                <w:bottom w:val="nil"/>
                <w:right w:val="nil"/>
                <w:between w:val="nil"/>
              </w:pBdr>
              <w:spacing w:after="0" w:line="240" w:lineRule="auto"/>
              <w:rPr>
                <w:rStyle w:val="eop"/>
                <w:rFonts w:ascii="Times New Roman" w:hAnsi="Times New Roman" w:cs="Times New Roman"/>
                <w:noProof/>
                <w:color w:val="000000"/>
                <w:sz w:val="18"/>
                <w:szCs w:val="18"/>
              </w:rPr>
            </w:pPr>
            <w:r w:rsidRPr="00A33B9F">
              <w:rPr>
                <w:rStyle w:val="normaltextrun"/>
                <w:rFonts w:ascii="Times New Roman" w:hAnsi="Times New Roman"/>
                <w:noProof/>
                <w:color w:val="000000" w:themeColor="text1"/>
                <w:sz w:val="18"/>
              </w:rPr>
              <w:t>– poprawę jakości życia pacjentów</w:t>
            </w:r>
            <w:r w:rsidR="00A33B9F" w:rsidRPr="00A33B9F">
              <w:rPr>
                <w:rStyle w:val="normaltextrun"/>
                <w:rFonts w:ascii="Times New Roman" w:hAnsi="Times New Roman"/>
                <w:noProof/>
                <w:color w:val="000000" w:themeColor="text1"/>
                <w:sz w:val="18"/>
              </w:rPr>
              <w:t xml:space="preserve"> w tra</w:t>
            </w:r>
            <w:r w:rsidRPr="00A33B9F">
              <w:rPr>
                <w:rStyle w:val="normaltextrun"/>
                <w:rFonts w:ascii="Times New Roman" w:hAnsi="Times New Roman"/>
                <w:noProof/>
                <w:color w:val="000000" w:themeColor="text1"/>
                <w:sz w:val="18"/>
              </w:rPr>
              <w:t>kcie leczenia onkologicznego i po nim.</w:t>
            </w:r>
          </w:p>
        </w:tc>
      </w:tr>
      <w:tr w:rsidR="008C116B" w:rsidRPr="00A33B9F" w14:paraId="46073544" w14:textId="77777777" w:rsidTr="1CE0CE0C">
        <w:trPr>
          <w:trHeight w:val="313"/>
        </w:trPr>
        <w:tc>
          <w:tcPr>
            <w:tcW w:w="709" w:type="dxa"/>
            <w:shd w:val="clear" w:color="auto" w:fill="C6EFCE"/>
          </w:tcPr>
          <w:p w14:paraId="71A6816C" w14:textId="7782C7E2"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D5G</w:t>
            </w:r>
          </w:p>
        </w:tc>
        <w:tc>
          <w:tcPr>
            <w:tcW w:w="2126" w:type="dxa"/>
            <w:shd w:val="clear" w:color="auto" w:fill="C6EFCE"/>
          </w:tcPr>
          <w:p w14:paraId="0349810A" w14:textId="48AAC00D"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shd w:val="clear" w:color="auto" w:fill="C6EFCE"/>
          </w:tcPr>
          <w:p w14:paraId="6F03D32A"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39E528F6" w14:textId="5EE28F74"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ustawy</w:t>
            </w:r>
            <w:r w:rsidR="00A33B9F" w:rsidRPr="00A33B9F">
              <w:rPr>
                <w:rStyle w:val="normaltextrun"/>
                <w:rFonts w:ascii="Times New Roman" w:hAnsi="Times New Roman"/>
                <w:noProof/>
                <w:color w:val="000000" w:themeColor="text1"/>
                <w:sz w:val="18"/>
              </w:rPr>
              <w:t xml:space="preserve"> o Kra</w:t>
            </w:r>
            <w:r w:rsidRPr="00A33B9F">
              <w:rPr>
                <w:rStyle w:val="normaltextrun"/>
                <w:rFonts w:ascii="Times New Roman" w:hAnsi="Times New Roman"/>
                <w:noProof/>
                <w:color w:val="000000" w:themeColor="text1"/>
                <w:sz w:val="18"/>
              </w:rPr>
              <w:t>jowej Sieci Kardiologicznej ustanawiającej przepisy</w:t>
            </w:r>
            <w:r w:rsidR="00A33B9F" w:rsidRPr="00A33B9F">
              <w:rPr>
                <w:rStyle w:val="normaltextrun"/>
                <w:rFonts w:ascii="Times New Roman" w:hAnsi="Times New Roman"/>
                <w:noProof/>
                <w:color w:val="000000" w:themeColor="text1"/>
                <w:sz w:val="18"/>
              </w:rPr>
              <w:t xml:space="preserve"> w zak</w:t>
            </w:r>
            <w:r w:rsidRPr="00A33B9F">
              <w:rPr>
                <w:rStyle w:val="normaltextrun"/>
                <w:rFonts w:ascii="Times New Roman" w:hAnsi="Times New Roman"/>
                <w:noProof/>
                <w:color w:val="000000" w:themeColor="text1"/>
                <w:sz w:val="18"/>
              </w:rPr>
              <w:t>resie funkcjonowania sieci poprzez wprowadzenie nowej struktury</w:t>
            </w:r>
            <w:r w:rsidR="00A33B9F" w:rsidRPr="00A33B9F">
              <w:rPr>
                <w:rStyle w:val="normaltextrun"/>
                <w:rFonts w:ascii="Times New Roman" w:hAnsi="Times New Roman"/>
                <w:noProof/>
                <w:color w:val="000000" w:themeColor="text1"/>
                <w:sz w:val="18"/>
              </w:rPr>
              <w:t xml:space="preserve"> i now</w:t>
            </w:r>
            <w:r w:rsidRPr="00A33B9F">
              <w:rPr>
                <w:rStyle w:val="normaltextrun"/>
                <w:rFonts w:ascii="Times New Roman" w:hAnsi="Times New Roman"/>
                <w:noProof/>
                <w:color w:val="000000" w:themeColor="text1"/>
                <w:sz w:val="18"/>
              </w:rPr>
              <w:t>ego modelu zarządzania opieką kardiologiczną</w:t>
            </w:r>
            <w:r w:rsidR="00C3621A" w:rsidRPr="00A33B9F">
              <w:rPr>
                <w:rStyle w:val="normaltextrun"/>
                <w:rFonts w:ascii="Times New Roman" w:hAnsi="Times New Roman"/>
                <w:noProof/>
                <w:color w:val="000000" w:themeColor="text1"/>
                <w:sz w:val="18"/>
              </w:rPr>
              <w:t xml:space="preserve"> </w:t>
            </w:r>
          </w:p>
        </w:tc>
        <w:tc>
          <w:tcPr>
            <w:tcW w:w="1560" w:type="dxa"/>
            <w:shd w:val="clear" w:color="auto" w:fill="C6EFCE"/>
          </w:tcPr>
          <w:p w14:paraId="76ECEC89" w14:textId="4C3EB64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Przepis</w:t>
            </w:r>
            <w:r w:rsidR="00A33B9F" w:rsidRPr="00A33B9F">
              <w:rPr>
                <w:rFonts w:ascii="Times New Roman" w:hAnsi="Times New Roman"/>
                <w:noProof/>
                <w:color w:val="000000"/>
                <w:sz w:val="18"/>
              </w:rPr>
              <w:t xml:space="preserve"> w akc</w:t>
            </w:r>
            <w:r w:rsidRPr="00A33B9F">
              <w:rPr>
                <w:rFonts w:ascii="Times New Roman" w:hAnsi="Times New Roman"/>
                <w:noProof/>
                <w:color w:val="000000"/>
                <w:sz w:val="18"/>
              </w:rPr>
              <w:t>ie wskazujący na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w:t>
            </w:r>
          </w:p>
        </w:tc>
        <w:tc>
          <w:tcPr>
            <w:tcW w:w="1247" w:type="dxa"/>
            <w:shd w:val="clear" w:color="auto" w:fill="C6EFCE"/>
          </w:tcPr>
          <w:p w14:paraId="6F35629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74D4F69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6EB27A1D"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481278EE"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3E200CF8"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3544" w:type="dxa"/>
            <w:shd w:val="clear" w:color="auto" w:fill="C6EFCE"/>
          </w:tcPr>
          <w:p w14:paraId="6819DD36" w14:textId="780EA3D4" w:rsidR="00736BBF" w:rsidRPr="00A33B9F" w:rsidRDefault="39DD3781"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ustawy</w:t>
            </w:r>
            <w:r w:rsidR="00A33B9F" w:rsidRPr="00A33B9F">
              <w:rPr>
                <w:rStyle w:val="normaltextrun"/>
                <w:rFonts w:ascii="Times New Roman" w:hAnsi="Times New Roman"/>
                <w:noProof/>
                <w:color w:val="000000" w:themeColor="text1"/>
                <w:sz w:val="18"/>
              </w:rPr>
              <w:t xml:space="preserve"> o Kra</w:t>
            </w:r>
            <w:r w:rsidRPr="00A33B9F">
              <w:rPr>
                <w:rStyle w:val="normaltextrun"/>
                <w:rFonts w:ascii="Times New Roman" w:hAnsi="Times New Roman"/>
                <w:noProof/>
                <w:color w:val="000000" w:themeColor="text1"/>
                <w:sz w:val="18"/>
              </w:rPr>
              <w:t>jowej Sieci Kardiologicznej, która zapewni, aby wszyscy pacjenci, niezależnie od miejsca zamieszkania, otrzymali opiekę kardiologiczną opartą na takich samych standardach diagnostycznych</w:t>
            </w:r>
            <w:r w:rsidR="00A33B9F" w:rsidRPr="00A33B9F">
              <w:rPr>
                <w:rStyle w:val="normaltextrun"/>
                <w:rFonts w:ascii="Times New Roman" w:hAnsi="Times New Roman"/>
                <w:noProof/>
                <w:color w:val="000000" w:themeColor="text1"/>
                <w:sz w:val="18"/>
              </w:rPr>
              <w:t xml:space="preserve"> i ter</w:t>
            </w:r>
            <w:r w:rsidRPr="00A33B9F">
              <w:rPr>
                <w:rStyle w:val="normaltextrun"/>
                <w:rFonts w:ascii="Times New Roman" w:hAnsi="Times New Roman"/>
                <w:noProof/>
                <w:color w:val="000000" w:themeColor="text1"/>
                <w:sz w:val="18"/>
              </w:rPr>
              <w:t>apeutycznych, czyli jednolicie określonych ścieżkach opieki, i by system elastycznie reagował na ich potrzeby.</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Reforma będzie ukierunkowana na:</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poprawę organizacji systemu opieki kardiologicznej poprzez zapewnienie pacjentom dostępu do najwyższej jakości procesów diagnostycznych</w:t>
            </w:r>
            <w:r w:rsidR="00A33B9F" w:rsidRPr="00A33B9F">
              <w:rPr>
                <w:rStyle w:val="normaltextrun"/>
                <w:rFonts w:ascii="Times New Roman" w:hAnsi="Times New Roman"/>
                <w:noProof/>
                <w:color w:val="000000" w:themeColor="text1"/>
                <w:sz w:val="18"/>
              </w:rPr>
              <w:t xml:space="preserve"> i ter</w:t>
            </w:r>
            <w:r w:rsidRPr="00A33B9F">
              <w:rPr>
                <w:rStyle w:val="normaltextrun"/>
                <w:rFonts w:ascii="Times New Roman" w:hAnsi="Times New Roman"/>
                <w:noProof/>
                <w:color w:val="000000" w:themeColor="text1"/>
                <w:sz w:val="18"/>
              </w:rPr>
              <w:t>apeutycznych oraz kompleksowej opieki na całej „ścieżce opieki”</w:t>
            </w:r>
            <w:r w:rsidR="00A33B9F" w:rsidRPr="00A33B9F">
              <w:rPr>
                <w:rStyle w:val="normaltextrun"/>
                <w:rFonts w:ascii="Times New Roman" w:hAnsi="Times New Roman"/>
                <w:noProof/>
                <w:color w:val="000000" w:themeColor="text1"/>
                <w:sz w:val="18"/>
              </w:rPr>
              <w:t xml:space="preserve"> w obs</w:t>
            </w:r>
            <w:r w:rsidRPr="00A33B9F">
              <w:rPr>
                <w:rStyle w:val="normaltextrun"/>
                <w:rFonts w:ascii="Times New Roman" w:hAnsi="Times New Roman"/>
                <w:noProof/>
                <w:color w:val="000000" w:themeColor="text1"/>
                <w:sz w:val="18"/>
              </w:rPr>
              <w:t>zarach podstawowej opieki zdrowotnej, ambulatoryjnej opieki specjalistycznej (AOS), leczenia szpitalnego</w:t>
            </w:r>
            <w:r w:rsidR="00A33B9F" w:rsidRPr="00A33B9F">
              <w:rPr>
                <w:rStyle w:val="normaltextrun"/>
                <w:rFonts w:ascii="Times New Roman" w:hAnsi="Times New Roman"/>
                <w:noProof/>
                <w:color w:val="000000" w:themeColor="text1"/>
                <w:sz w:val="18"/>
              </w:rPr>
              <w:t xml:space="preserve"> i reh</w:t>
            </w:r>
            <w:r w:rsidRPr="00A33B9F">
              <w:rPr>
                <w:rStyle w:val="normaltextrun"/>
                <w:rFonts w:ascii="Times New Roman" w:hAnsi="Times New Roman"/>
                <w:noProof/>
                <w:color w:val="000000" w:themeColor="text1"/>
                <w:sz w:val="18"/>
              </w:rPr>
              <w:t>abilitacji;</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stworzenie nowej struktury organizacyjnej</w:t>
            </w:r>
            <w:r w:rsidR="00A33B9F" w:rsidRPr="00A33B9F">
              <w:rPr>
                <w:rStyle w:val="normaltextrun"/>
                <w:rFonts w:ascii="Times New Roman" w:hAnsi="Times New Roman"/>
                <w:noProof/>
                <w:color w:val="000000" w:themeColor="text1"/>
                <w:sz w:val="18"/>
              </w:rPr>
              <w:t xml:space="preserve"> i now</w:t>
            </w:r>
            <w:r w:rsidRPr="00A33B9F">
              <w:rPr>
                <w:rStyle w:val="normaltextrun"/>
                <w:rFonts w:ascii="Times New Roman" w:hAnsi="Times New Roman"/>
                <w:noProof/>
                <w:color w:val="000000" w:themeColor="text1"/>
                <w:sz w:val="18"/>
              </w:rPr>
              <w:t>ego modelu zarządzania opieką kardiologiczną;</w:t>
            </w:r>
          </w:p>
          <w:p w14:paraId="45AE8DB4" w14:textId="0F65EBD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 poprawę jakości życia pacjentów</w:t>
            </w:r>
            <w:r w:rsidR="00A33B9F" w:rsidRPr="00A33B9F">
              <w:rPr>
                <w:rStyle w:val="normaltextrun"/>
                <w:rFonts w:ascii="Times New Roman" w:hAnsi="Times New Roman"/>
                <w:noProof/>
                <w:color w:val="000000" w:themeColor="text1"/>
                <w:sz w:val="18"/>
              </w:rPr>
              <w:t xml:space="preserve"> w tra</w:t>
            </w:r>
            <w:r w:rsidRPr="00A33B9F">
              <w:rPr>
                <w:rStyle w:val="normaltextrun"/>
                <w:rFonts w:ascii="Times New Roman" w:hAnsi="Times New Roman"/>
                <w:noProof/>
                <w:color w:val="000000" w:themeColor="text1"/>
                <w:sz w:val="18"/>
              </w:rPr>
              <w:t>kcie leczenia kardiologicznego i po nim.</w:t>
            </w:r>
            <w:r w:rsidRPr="00A33B9F">
              <w:rPr>
                <w:rStyle w:val="eop"/>
                <w:rFonts w:ascii="Times New Roman" w:hAnsi="Times New Roman"/>
                <w:noProof/>
                <w:color w:val="000000" w:themeColor="text1"/>
                <w:sz w:val="18"/>
              </w:rPr>
              <w:t xml:space="preserve"> </w:t>
            </w:r>
          </w:p>
        </w:tc>
      </w:tr>
      <w:tr w:rsidR="008C116B" w:rsidRPr="00A33B9F" w14:paraId="44FE5A25" w14:textId="77777777" w:rsidTr="1CE0CE0C">
        <w:trPr>
          <w:trHeight w:val="313"/>
        </w:trPr>
        <w:tc>
          <w:tcPr>
            <w:tcW w:w="709" w:type="dxa"/>
            <w:shd w:val="clear" w:color="auto" w:fill="C6EFCE"/>
          </w:tcPr>
          <w:p w14:paraId="211DE1D2" w14:textId="6F3B0E7A"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D6G</w:t>
            </w:r>
          </w:p>
        </w:tc>
        <w:tc>
          <w:tcPr>
            <w:tcW w:w="2126" w:type="dxa"/>
            <w:shd w:val="clear" w:color="auto" w:fill="C6EFCE"/>
          </w:tcPr>
          <w:p w14:paraId="70906D63" w14:textId="1A77356F"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shd w:val="clear" w:color="auto" w:fill="C6EFCE"/>
          </w:tcPr>
          <w:p w14:paraId="6390AE9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3DE5AC53" w14:textId="08EAC375"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pakietu legislacyjnego dotyczącego uruchomienia krajowych usług</w:t>
            </w:r>
            <w:r w:rsidR="00A33B9F" w:rsidRPr="00A33B9F">
              <w:rPr>
                <w:rStyle w:val="normaltextrun"/>
                <w:rFonts w:ascii="Times New Roman" w:hAnsi="Times New Roman"/>
                <w:noProof/>
                <w:color w:val="000000" w:themeColor="text1"/>
                <w:sz w:val="18"/>
              </w:rPr>
              <w:t xml:space="preserve"> w zak</w:t>
            </w:r>
            <w:r w:rsidRPr="00A33B9F">
              <w:rPr>
                <w:rStyle w:val="normaltextrun"/>
                <w:rFonts w:ascii="Times New Roman" w:hAnsi="Times New Roman"/>
                <w:noProof/>
                <w:color w:val="000000" w:themeColor="text1"/>
                <w:sz w:val="18"/>
              </w:rPr>
              <w:t>resie e-zdrowia oraz ich integracji</w:t>
            </w:r>
            <w:r w:rsidR="00A33B9F" w:rsidRPr="00A33B9F">
              <w:rPr>
                <w:rStyle w:val="normaltextrun"/>
                <w:rFonts w:ascii="Times New Roman" w:hAnsi="Times New Roman"/>
                <w:noProof/>
                <w:color w:val="000000" w:themeColor="text1"/>
                <w:sz w:val="18"/>
              </w:rPr>
              <w:t xml:space="preserve"> z ist</w:t>
            </w:r>
            <w:r w:rsidRPr="00A33B9F">
              <w:rPr>
                <w:rStyle w:val="normaltextrun"/>
                <w:rFonts w:ascii="Times New Roman" w:hAnsi="Times New Roman"/>
                <w:noProof/>
                <w:color w:val="000000" w:themeColor="text1"/>
                <w:sz w:val="18"/>
              </w:rPr>
              <w:t>niejącymi/dostępnymi systemami e-zdrowia na poziomie krajowym</w:t>
            </w:r>
            <w:r w:rsidR="00A33B9F" w:rsidRPr="00A33B9F">
              <w:rPr>
                <w:rStyle w:val="normaltextrun"/>
                <w:rFonts w:ascii="Times New Roman" w:hAnsi="Times New Roman"/>
                <w:noProof/>
                <w:color w:val="000000" w:themeColor="text1"/>
                <w:sz w:val="18"/>
              </w:rPr>
              <w:t xml:space="preserve"> i reg</w:t>
            </w:r>
            <w:r w:rsidRPr="00A33B9F">
              <w:rPr>
                <w:rStyle w:val="normaltextrun"/>
                <w:rFonts w:ascii="Times New Roman" w:hAnsi="Times New Roman"/>
                <w:noProof/>
                <w:color w:val="000000" w:themeColor="text1"/>
                <w:sz w:val="18"/>
              </w:rPr>
              <w:t>ionalnym</w:t>
            </w:r>
            <w:r w:rsidRPr="00A33B9F">
              <w:rPr>
                <w:rStyle w:val="eop"/>
                <w:rFonts w:ascii="Times New Roman" w:hAnsi="Times New Roman"/>
                <w:noProof/>
                <w:color w:val="000000" w:themeColor="text1"/>
                <w:sz w:val="18"/>
              </w:rPr>
              <w:t xml:space="preserve"> </w:t>
            </w:r>
          </w:p>
        </w:tc>
        <w:tc>
          <w:tcPr>
            <w:tcW w:w="1560" w:type="dxa"/>
            <w:shd w:val="clear" w:color="auto" w:fill="C6EFCE"/>
          </w:tcPr>
          <w:p w14:paraId="39D6948D" w14:textId="103DB502" w:rsidR="00736BBF" w:rsidRPr="00A33B9F"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pak</w:t>
            </w:r>
            <w:r w:rsidRPr="00A33B9F">
              <w:rPr>
                <w:rFonts w:ascii="Times New Roman" w:hAnsi="Times New Roman"/>
                <w:noProof/>
                <w:color w:val="000000" w:themeColor="text1"/>
                <w:sz w:val="18"/>
              </w:rPr>
              <w:t>iecie legislacyjnym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2E1AE021"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0DAA2240"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56EBE4AD"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6DD5C92D"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30A77F85"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6AC79FF4" w14:textId="4BF1FF01"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pakietu legislacyjnego, który zapewni odpowiednie otoczenie prawne</w:t>
            </w:r>
            <w:r w:rsidR="00A33B9F" w:rsidRPr="00A33B9F">
              <w:rPr>
                <w:rStyle w:val="normaltextrun"/>
                <w:rFonts w:ascii="Times New Roman" w:hAnsi="Times New Roman"/>
                <w:noProof/>
                <w:color w:val="000000" w:themeColor="text1"/>
                <w:sz w:val="18"/>
              </w:rPr>
              <w:t xml:space="preserve"> i adm</w:t>
            </w:r>
            <w:r w:rsidRPr="00A33B9F">
              <w:rPr>
                <w:rStyle w:val="normaltextrun"/>
                <w:rFonts w:ascii="Times New Roman" w:hAnsi="Times New Roman"/>
                <w:noProof/>
                <w:color w:val="000000" w:themeColor="text1"/>
                <w:sz w:val="18"/>
              </w:rPr>
              <w:t>inistracyjne dla uruchomienia krajowych usług</w:t>
            </w:r>
            <w:r w:rsidR="00A33B9F" w:rsidRPr="00A33B9F">
              <w:rPr>
                <w:rStyle w:val="normaltextrun"/>
                <w:rFonts w:ascii="Times New Roman" w:hAnsi="Times New Roman"/>
                <w:noProof/>
                <w:color w:val="000000" w:themeColor="text1"/>
                <w:sz w:val="18"/>
              </w:rPr>
              <w:t xml:space="preserve"> w zak</w:t>
            </w:r>
            <w:r w:rsidRPr="00A33B9F">
              <w:rPr>
                <w:rStyle w:val="normaltextrun"/>
                <w:rFonts w:ascii="Times New Roman" w:hAnsi="Times New Roman"/>
                <w:noProof/>
                <w:color w:val="000000" w:themeColor="text1"/>
                <w:sz w:val="18"/>
              </w:rPr>
              <w:t>resie e-zdrowia (narzędzia wspomagające analizę stanu zdrowia pacjenta, narzędzie wspomagające proces decyzyjny lekarza na podstawie algorytmów AI, centralne repozytorium danych medycznych) oraz ich integrację</w:t>
            </w:r>
            <w:r w:rsidR="00A33B9F" w:rsidRPr="00A33B9F">
              <w:rPr>
                <w:rStyle w:val="normaltextrun"/>
                <w:rFonts w:ascii="Times New Roman" w:hAnsi="Times New Roman"/>
                <w:noProof/>
                <w:color w:val="000000" w:themeColor="text1"/>
                <w:sz w:val="18"/>
              </w:rPr>
              <w:t xml:space="preserve"> z ist</w:t>
            </w:r>
            <w:r w:rsidRPr="00A33B9F">
              <w:rPr>
                <w:rStyle w:val="normaltextrun"/>
                <w:rFonts w:ascii="Times New Roman" w:hAnsi="Times New Roman"/>
                <w:noProof/>
                <w:color w:val="000000" w:themeColor="text1"/>
                <w:sz w:val="18"/>
              </w:rPr>
              <w:t>niejącymi/dostępnymi systemami e-zdrowia na poziomie krajowym</w:t>
            </w:r>
            <w:r w:rsidR="00A33B9F" w:rsidRPr="00A33B9F">
              <w:rPr>
                <w:rStyle w:val="normaltextrun"/>
                <w:rFonts w:ascii="Times New Roman" w:hAnsi="Times New Roman"/>
                <w:noProof/>
                <w:color w:val="000000" w:themeColor="text1"/>
                <w:sz w:val="18"/>
              </w:rPr>
              <w:t xml:space="preserve"> i reg</w:t>
            </w:r>
            <w:r w:rsidRPr="00A33B9F">
              <w:rPr>
                <w:rStyle w:val="normaltextrun"/>
                <w:rFonts w:ascii="Times New Roman" w:hAnsi="Times New Roman"/>
                <w:noProof/>
                <w:color w:val="000000" w:themeColor="text1"/>
                <w:sz w:val="18"/>
              </w:rPr>
              <w:t>ionalnym.</w:t>
            </w:r>
            <w:r w:rsidRPr="00A33B9F">
              <w:rPr>
                <w:rStyle w:val="eop"/>
                <w:rFonts w:ascii="Times New Roman" w:hAnsi="Times New Roman"/>
                <w:noProof/>
                <w:color w:val="000000" w:themeColor="text1"/>
                <w:sz w:val="18"/>
              </w:rPr>
              <w:t xml:space="preserve"> </w:t>
            </w:r>
          </w:p>
        </w:tc>
      </w:tr>
      <w:tr w:rsidR="008C116B" w:rsidRPr="00A33B9F" w14:paraId="7DE50D7F" w14:textId="77777777" w:rsidTr="1CE0CE0C">
        <w:trPr>
          <w:trHeight w:val="313"/>
        </w:trPr>
        <w:tc>
          <w:tcPr>
            <w:tcW w:w="709" w:type="dxa"/>
            <w:shd w:val="clear" w:color="auto" w:fill="C6EFCE"/>
          </w:tcPr>
          <w:p w14:paraId="3E2D3828" w14:textId="47A75562"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D7G</w:t>
            </w:r>
          </w:p>
        </w:tc>
        <w:tc>
          <w:tcPr>
            <w:tcW w:w="2126" w:type="dxa"/>
            <w:shd w:val="clear" w:color="auto" w:fill="C6EFCE"/>
          </w:tcPr>
          <w:p w14:paraId="41A8605C" w14:textId="03628FE9"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shd w:val="clear" w:color="auto" w:fill="C6EFCE"/>
          </w:tcPr>
          <w:p w14:paraId="3FE0CE53"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15BA93CD" w14:textId="61F6EA5C" w:rsidR="00736BBF" w:rsidRPr="00A33B9F" w:rsidRDefault="3DCC2FA5"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rozporządzenia</w:t>
            </w:r>
            <w:r w:rsidR="00A33B9F" w:rsidRPr="00A33B9F">
              <w:rPr>
                <w:rStyle w:val="normaltextrun"/>
                <w:rFonts w:ascii="Times New Roman" w:hAnsi="Times New Roman"/>
                <w:noProof/>
                <w:color w:val="000000" w:themeColor="text1"/>
                <w:sz w:val="18"/>
              </w:rPr>
              <w:t xml:space="preserve"> w spr</w:t>
            </w:r>
            <w:r w:rsidRPr="00A33B9F">
              <w:rPr>
                <w:rStyle w:val="normaltextrun"/>
                <w:rFonts w:ascii="Times New Roman" w:hAnsi="Times New Roman"/>
                <w:noProof/>
                <w:color w:val="000000" w:themeColor="text1"/>
                <w:sz w:val="18"/>
              </w:rPr>
              <w:t>awie wykazu wojewódzkich centrów monitorowania</w:t>
            </w:r>
            <w:r w:rsidR="00A33B9F" w:rsidRPr="00A33B9F">
              <w:rPr>
                <w:rStyle w:val="normaltextrun"/>
                <w:rFonts w:ascii="Times New Roman" w:hAnsi="Times New Roman"/>
                <w:noProof/>
                <w:color w:val="000000" w:themeColor="text1"/>
                <w:sz w:val="18"/>
              </w:rPr>
              <w:t xml:space="preserve"> w ram</w:t>
            </w:r>
            <w:r w:rsidRPr="00A33B9F">
              <w:rPr>
                <w:rStyle w:val="normaltextrun"/>
                <w:rFonts w:ascii="Times New Roman" w:hAnsi="Times New Roman"/>
                <w:noProof/>
                <w:color w:val="000000" w:themeColor="text1"/>
                <w:sz w:val="18"/>
              </w:rPr>
              <w:t>ach Sieci Onkologicznej</w:t>
            </w:r>
            <w:r w:rsidRPr="00A33B9F">
              <w:rPr>
                <w:rStyle w:val="eop"/>
                <w:rFonts w:ascii="Times New Roman" w:hAnsi="Times New Roman"/>
                <w:noProof/>
                <w:color w:val="000000" w:themeColor="text1"/>
                <w:sz w:val="18"/>
              </w:rPr>
              <w:t xml:space="preserve"> </w:t>
            </w:r>
          </w:p>
        </w:tc>
        <w:tc>
          <w:tcPr>
            <w:tcW w:w="1560" w:type="dxa"/>
            <w:shd w:val="clear" w:color="auto" w:fill="C6EFCE"/>
          </w:tcPr>
          <w:p w14:paraId="440C505C" w14:textId="520220BC" w:rsidR="00736BBF" w:rsidRPr="00A33B9F" w:rsidRDefault="11BD3D58" w:rsidP="7FE92C8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roz</w:t>
            </w:r>
            <w:r w:rsidRPr="00A33B9F">
              <w:rPr>
                <w:rFonts w:ascii="Times New Roman" w:hAnsi="Times New Roman"/>
                <w:noProof/>
                <w:color w:val="000000" w:themeColor="text1"/>
                <w:sz w:val="18"/>
              </w:rPr>
              <w:t>porządzeniu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4E12A9DD"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5D52CDD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601CC18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0903ED26" w14:textId="5249BA2F"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769FF201" w14:textId="717880E0" w:rsidR="00736BBF" w:rsidRPr="00A33B9F" w:rsidRDefault="00736BBF" w:rsidP="006635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3544" w:type="dxa"/>
            <w:shd w:val="clear" w:color="auto" w:fill="C6EFCE"/>
          </w:tcPr>
          <w:p w14:paraId="4AA7D636" w14:textId="601574B6" w:rsidR="00736BBF" w:rsidRPr="00A33B9F" w:rsidRDefault="3DCC2FA5" w:rsidP="48DECEA6">
            <w:pPr>
              <w:pStyle w:val="paragraph"/>
              <w:spacing w:before="0" w:beforeAutospacing="0" w:after="0" w:afterAutospacing="0"/>
              <w:textAlignment w:val="baseline"/>
              <w:rPr>
                <w:noProof/>
                <w:color w:val="000000" w:themeColor="text1"/>
                <w:sz w:val="18"/>
                <w:szCs w:val="18"/>
              </w:rPr>
            </w:pPr>
            <w:r w:rsidRPr="00A33B9F">
              <w:rPr>
                <w:rStyle w:val="normaltextrun"/>
                <w:noProof/>
                <w:color w:val="000000" w:themeColor="text1"/>
                <w:sz w:val="18"/>
              </w:rPr>
              <w:t>Rozporządzenie wejdzie</w:t>
            </w:r>
            <w:r w:rsidR="00A33B9F" w:rsidRPr="00A33B9F">
              <w:rPr>
                <w:rStyle w:val="normaltextrun"/>
                <w:noProof/>
                <w:color w:val="000000" w:themeColor="text1"/>
                <w:sz w:val="18"/>
              </w:rPr>
              <w:t xml:space="preserve"> w życ</w:t>
            </w:r>
            <w:r w:rsidRPr="00A33B9F">
              <w:rPr>
                <w:rStyle w:val="normaltextrun"/>
                <w:noProof/>
                <w:color w:val="000000" w:themeColor="text1"/>
                <w:sz w:val="18"/>
              </w:rPr>
              <w:t>ie</w:t>
            </w:r>
            <w:r w:rsidR="00A33B9F" w:rsidRPr="00A33B9F">
              <w:rPr>
                <w:rStyle w:val="normaltextrun"/>
                <w:noProof/>
                <w:color w:val="000000" w:themeColor="text1"/>
                <w:sz w:val="18"/>
              </w:rPr>
              <w:t xml:space="preserve"> i będ</w:t>
            </w:r>
            <w:r w:rsidRPr="00A33B9F">
              <w:rPr>
                <w:rStyle w:val="normaltextrun"/>
                <w:noProof/>
                <w:color w:val="000000" w:themeColor="text1"/>
                <w:sz w:val="18"/>
              </w:rPr>
              <w:t>zie przewidywać utworzenie wojewódzkich centrów monitorowania, które będą podmiotami leczniczymi wyłonionymi</w:t>
            </w:r>
            <w:r w:rsidR="00A33B9F" w:rsidRPr="00A33B9F">
              <w:rPr>
                <w:rStyle w:val="normaltextrun"/>
                <w:noProof/>
                <w:color w:val="000000" w:themeColor="text1"/>
                <w:sz w:val="18"/>
              </w:rPr>
              <w:t xml:space="preserve"> w ram</w:t>
            </w:r>
            <w:r w:rsidRPr="00A33B9F">
              <w:rPr>
                <w:rStyle w:val="normaltextrun"/>
                <w:noProof/>
                <w:color w:val="000000" w:themeColor="text1"/>
                <w:sz w:val="18"/>
              </w:rPr>
              <w:t>ach Sieci Onkologicznej</w:t>
            </w:r>
            <w:r w:rsidR="00A33B9F" w:rsidRPr="00A33B9F">
              <w:rPr>
                <w:rStyle w:val="normaltextrun"/>
                <w:noProof/>
                <w:color w:val="000000" w:themeColor="text1"/>
                <w:sz w:val="18"/>
              </w:rPr>
              <w:t xml:space="preserve"> w każ</w:t>
            </w:r>
            <w:r w:rsidRPr="00A33B9F">
              <w:rPr>
                <w:rStyle w:val="normaltextrun"/>
                <w:noProof/>
                <w:color w:val="000000" w:themeColor="text1"/>
                <w:sz w:val="18"/>
              </w:rPr>
              <w:t>dym</w:t>
            </w:r>
            <w:r w:rsidR="00A33B9F" w:rsidRPr="00A33B9F">
              <w:rPr>
                <w:rStyle w:val="normaltextrun"/>
                <w:noProof/>
                <w:color w:val="000000" w:themeColor="text1"/>
                <w:sz w:val="18"/>
              </w:rPr>
              <w:t xml:space="preserve"> z 1</w:t>
            </w:r>
            <w:r w:rsidRPr="00A33B9F">
              <w:rPr>
                <w:rStyle w:val="normaltextrun"/>
                <w:noProof/>
                <w:color w:val="000000" w:themeColor="text1"/>
                <w:sz w:val="18"/>
              </w:rPr>
              <w:t>6 województw, specjalizującymi się</w:t>
            </w:r>
            <w:r w:rsidR="00A33B9F" w:rsidRPr="00A33B9F">
              <w:rPr>
                <w:rStyle w:val="normaltextrun"/>
                <w:noProof/>
                <w:color w:val="000000" w:themeColor="text1"/>
                <w:sz w:val="18"/>
              </w:rPr>
              <w:t xml:space="preserve"> w opi</w:t>
            </w:r>
            <w:r w:rsidRPr="00A33B9F">
              <w:rPr>
                <w:rStyle w:val="normaltextrun"/>
                <w:noProof/>
                <w:color w:val="000000" w:themeColor="text1"/>
                <w:sz w:val="18"/>
              </w:rPr>
              <w:t>ece onkologicznej, zapewniającymi kompleksowe leczenie</w:t>
            </w:r>
            <w:r w:rsidR="00A33B9F" w:rsidRPr="00A33B9F">
              <w:rPr>
                <w:rStyle w:val="normaltextrun"/>
                <w:noProof/>
                <w:color w:val="000000" w:themeColor="text1"/>
                <w:sz w:val="18"/>
              </w:rPr>
              <w:t xml:space="preserve"> i mon</w:t>
            </w:r>
            <w:r w:rsidRPr="00A33B9F">
              <w:rPr>
                <w:rStyle w:val="normaltextrun"/>
                <w:noProof/>
                <w:color w:val="000000" w:themeColor="text1"/>
                <w:sz w:val="18"/>
              </w:rPr>
              <w:t>itorowanie onkologiczne.</w:t>
            </w:r>
          </w:p>
        </w:tc>
      </w:tr>
      <w:tr w:rsidR="008C116B" w:rsidRPr="00A33B9F" w14:paraId="1A44EA85" w14:textId="77777777" w:rsidTr="1CE0CE0C">
        <w:trPr>
          <w:trHeight w:val="313"/>
        </w:trPr>
        <w:tc>
          <w:tcPr>
            <w:tcW w:w="709" w:type="dxa"/>
            <w:shd w:val="clear" w:color="auto" w:fill="C6EFCE"/>
          </w:tcPr>
          <w:p w14:paraId="52EEBFBF" w14:textId="2C18D378"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D8G</w:t>
            </w:r>
          </w:p>
        </w:tc>
        <w:tc>
          <w:tcPr>
            <w:tcW w:w="2126" w:type="dxa"/>
            <w:shd w:val="clear" w:color="auto" w:fill="C6EFCE"/>
          </w:tcPr>
          <w:p w14:paraId="5E496E09" w14:textId="5B3323C1"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 Zwiększenie efektywności, dostępności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świadczeń zdrowotnych</w:t>
            </w:r>
          </w:p>
        </w:tc>
        <w:tc>
          <w:tcPr>
            <w:tcW w:w="1050" w:type="dxa"/>
            <w:shd w:val="clear" w:color="auto" w:fill="C6EFCE"/>
          </w:tcPr>
          <w:p w14:paraId="1C8828A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48700766" w14:textId="7344DDCB"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Ocena sieci opieki onkologicznej</w:t>
            </w:r>
            <w:r w:rsidRPr="00A33B9F">
              <w:rPr>
                <w:rStyle w:val="eop"/>
                <w:rFonts w:ascii="Times New Roman" w:hAnsi="Times New Roman"/>
                <w:noProof/>
                <w:color w:val="000000"/>
                <w:sz w:val="18"/>
              </w:rPr>
              <w:t xml:space="preserve"> </w:t>
            </w:r>
          </w:p>
        </w:tc>
        <w:tc>
          <w:tcPr>
            <w:tcW w:w="1560" w:type="dxa"/>
            <w:shd w:val="clear" w:color="auto" w:fill="C6EFCE"/>
          </w:tcPr>
          <w:p w14:paraId="5B504BB1"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Publikacja sprawozdania</w:t>
            </w:r>
          </w:p>
        </w:tc>
        <w:tc>
          <w:tcPr>
            <w:tcW w:w="1247" w:type="dxa"/>
            <w:shd w:val="clear" w:color="auto" w:fill="C6EFCE"/>
          </w:tcPr>
          <w:p w14:paraId="178F587B"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08B21081"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4EA71FC5"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3447A234"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3B29AB30"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544" w:type="dxa"/>
            <w:shd w:val="clear" w:color="auto" w:fill="C6EFCE"/>
          </w:tcPr>
          <w:p w14:paraId="2FF9F379" w14:textId="3787BFF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Sprawozdanie</w:t>
            </w:r>
            <w:r w:rsidR="00A33B9F" w:rsidRPr="00A33B9F">
              <w:rPr>
                <w:rStyle w:val="normaltextrun"/>
                <w:rFonts w:ascii="Times New Roman" w:hAnsi="Times New Roman"/>
                <w:noProof/>
                <w:color w:val="000000"/>
                <w:sz w:val="18"/>
              </w:rPr>
              <w:t xml:space="preserve"> z oce</w:t>
            </w:r>
            <w:r w:rsidRPr="00A33B9F">
              <w:rPr>
                <w:rStyle w:val="normaltextrun"/>
                <w:rFonts w:ascii="Times New Roman" w:hAnsi="Times New Roman"/>
                <w:noProof/>
                <w:color w:val="000000"/>
                <w:sz w:val="18"/>
              </w:rPr>
              <w:t>ny sieci opieki onkologicznej,</w:t>
            </w:r>
            <w:r w:rsidR="00A33B9F" w:rsidRPr="00A33B9F">
              <w:rPr>
                <w:rStyle w:val="scxw147420095"/>
                <w:noProof/>
              </w:rPr>
              <w:t xml:space="preserve"> </w:t>
            </w:r>
            <w:r w:rsidR="00A33B9F" w:rsidRPr="00A33B9F">
              <w:rPr>
                <w:rFonts w:ascii="Times New Roman" w:hAnsi="Times New Roman"/>
                <w:noProof/>
                <w:sz w:val="18"/>
              </w:rPr>
              <w:t>w</w:t>
            </w:r>
            <w:r w:rsidR="00A33B9F" w:rsidRPr="00A33B9F">
              <w:rPr>
                <w:rStyle w:val="scxw147420095"/>
                <w:noProof/>
              </w:rPr>
              <w:t> </w:t>
            </w:r>
            <w:r w:rsidR="00A33B9F" w:rsidRPr="00A33B9F">
              <w:rPr>
                <w:rFonts w:ascii="Times New Roman" w:hAnsi="Times New Roman"/>
                <w:noProof/>
                <w:sz w:val="18"/>
              </w:rPr>
              <w:t>tym</w:t>
            </w:r>
            <w:r w:rsidRPr="00A33B9F">
              <w:rPr>
                <w:rFonts w:ascii="Times New Roman" w:hAnsi="Times New Roman"/>
                <w:noProof/>
                <w:sz w:val="18"/>
              </w:rPr>
              <w:t xml:space="preserve"> wskaźniki jakości opieki onkologicznej.</w:t>
            </w:r>
            <w:r w:rsidR="00C3621A" w:rsidRPr="00A33B9F">
              <w:rPr>
                <w:noProof/>
              </w:rPr>
              <w:t xml:space="preserve"> </w:t>
            </w:r>
            <w:r w:rsidRPr="00A33B9F">
              <w:rPr>
                <w:noProof/>
              </w:rPr>
              <w:br/>
            </w:r>
          </w:p>
        </w:tc>
      </w:tr>
      <w:tr w:rsidR="008C116B" w:rsidRPr="00A33B9F" w14:paraId="5E22CA02" w14:textId="77777777" w:rsidTr="1CE0CE0C">
        <w:trPr>
          <w:trHeight w:val="313"/>
        </w:trPr>
        <w:tc>
          <w:tcPr>
            <w:tcW w:w="709" w:type="dxa"/>
            <w:shd w:val="clear" w:color="auto" w:fill="C6EFCE"/>
          </w:tcPr>
          <w:p w14:paraId="4782196D" w14:textId="4F757FCE"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D9G</w:t>
            </w:r>
          </w:p>
        </w:tc>
        <w:tc>
          <w:tcPr>
            <w:tcW w:w="2126" w:type="dxa"/>
            <w:shd w:val="clear" w:color="auto" w:fill="C6EFCE"/>
          </w:tcPr>
          <w:p w14:paraId="03AF9B08" w14:textId="5EA1DFEE"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D1.1.1 Rozwój</w:t>
            </w:r>
            <w:r w:rsidR="00A33B9F" w:rsidRPr="00A33B9F">
              <w:rPr>
                <w:rFonts w:ascii="Times New Roman" w:hAnsi="Times New Roman"/>
                <w:noProof/>
                <w:color w:val="000000"/>
                <w:sz w:val="18"/>
              </w:rPr>
              <w:t xml:space="preserve"> i mod</w:t>
            </w:r>
            <w:r w:rsidRPr="00A33B9F">
              <w:rPr>
                <w:rFonts w:ascii="Times New Roman" w:hAnsi="Times New Roman"/>
                <w:noProof/>
                <w:color w:val="000000"/>
                <w:sz w:val="18"/>
              </w:rPr>
              <w:t>ernizacja infrastruktury centrów opieki wysokospecjalistycznej</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 xml:space="preserve">ych podmiotów leczniczych </w:t>
            </w:r>
          </w:p>
        </w:tc>
        <w:tc>
          <w:tcPr>
            <w:tcW w:w="1050" w:type="dxa"/>
            <w:shd w:val="clear" w:color="auto" w:fill="C6EFCE"/>
          </w:tcPr>
          <w:p w14:paraId="7A36C3B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7B54CE31" w14:textId="69BF9678" w:rsidR="00736BBF" w:rsidRPr="00A33B9F" w:rsidRDefault="5429EFCC"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aktu prawnego</w:t>
            </w:r>
            <w:r w:rsidR="00A33B9F" w:rsidRPr="00A33B9F">
              <w:rPr>
                <w:rStyle w:val="normaltextrun"/>
                <w:rFonts w:ascii="Times New Roman" w:hAnsi="Times New Roman"/>
                <w:noProof/>
                <w:color w:val="000000" w:themeColor="text1"/>
                <w:sz w:val="18"/>
              </w:rPr>
              <w:t xml:space="preserve"> w spr</w:t>
            </w:r>
            <w:r w:rsidRPr="00A33B9F">
              <w:rPr>
                <w:rStyle w:val="normaltextrun"/>
                <w:rFonts w:ascii="Times New Roman" w:hAnsi="Times New Roman"/>
                <w:noProof/>
                <w:color w:val="000000" w:themeColor="text1"/>
                <w:sz w:val="18"/>
              </w:rPr>
              <w:t>awie wykazu dokładnych kryteriów kwalifikujących szpitale do poszczególnych kategorii, aby pomóc</w:t>
            </w:r>
            <w:r w:rsidR="00A33B9F" w:rsidRPr="00A33B9F">
              <w:rPr>
                <w:rStyle w:val="normaltextrun"/>
                <w:rFonts w:ascii="Times New Roman" w:hAnsi="Times New Roman"/>
                <w:noProof/>
                <w:color w:val="000000" w:themeColor="text1"/>
                <w:sz w:val="18"/>
              </w:rPr>
              <w:t xml:space="preserve"> w okr</w:t>
            </w:r>
            <w:r w:rsidRPr="00A33B9F">
              <w:rPr>
                <w:rStyle w:val="normaltextrun"/>
                <w:rFonts w:ascii="Times New Roman" w:hAnsi="Times New Roman"/>
                <w:noProof/>
                <w:color w:val="000000" w:themeColor="text1"/>
                <w:sz w:val="18"/>
              </w:rPr>
              <w:t>eśleniu potrzeb inwestycyjnych wynikających</w:t>
            </w:r>
            <w:r w:rsidR="00A33B9F" w:rsidRPr="00A33B9F">
              <w:rPr>
                <w:rStyle w:val="normaltextrun"/>
                <w:rFonts w:ascii="Times New Roman" w:hAnsi="Times New Roman"/>
                <w:noProof/>
                <w:color w:val="000000" w:themeColor="text1"/>
                <w:sz w:val="18"/>
              </w:rPr>
              <w:t xml:space="preserve"> z ref</w:t>
            </w:r>
            <w:r w:rsidRPr="00A33B9F">
              <w:rPr>
                <w:rStyle w:val="normaltextrun"/>
                <w:rFonts w:ascii="Times New Roman" w:hAnsi="Times New Roman"/>
                <w:noProof/>
                <w:color w:val="000000" w:themeColor="text1"/>
                <w:sz w:val="18"/>
              </w:rPr>
              <w:t>ormy</w:t>
            </w:r>
            <w:r w:rsidRPr="00A33B9F">
              <w:rPr>
                <w:rStyle w:val="eop"/>
                <w:rFonts w:ascii="Times New Roman" w:hAnsi="Times New Roman"/>
                <w:noProof/>
                <w:color w:val="000000" w:themeColor="text1"/>
                <w:sz w:val="18"/>
              </w:rPr>
              <w:t xml:space="preserve"> </w:t>
            </w:r>
          </w:p>
        </w:tc>
        <w:tc>
          <w:tcPr>
            <w:tcW w:w="1560" w:type="dxa"/>
            <w:shd w:val="clear" w:color="auto" w:fill="C6EFCE"/>
          </w:tcPr>
          <w:p w14:paraId="73DFB200" w14:textId="42A2F364"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742F3C0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6CD99383"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3CF3987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1212D14C" w14:textId="5BF4E902" w:rsidR="00736BBF" w:rsidRPr="00A33B9F" w:rsidRDefault="00736BBF" w:rsidP="006635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0E5F0517"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2A48FCD8" w14:textId="50311CE5" w:rsidR="00736BBF" w:rsidRPr="00A33B9F" w:rsidRDefault="00FF4CA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 xml:space="preserve">ie </w:t>
            </w:r>
            <w:r w:rsidRPr="00A33B9F">
              <w:rPr>
                <w:rFonts w:ascii="Times New Roman" w:hAnsi="Times New Roman"/>
                <w:noProof/>
                <w:color w:val="000000" w:themeColor="text1"/>
                <w:sz w:val="18"/>
              </w:rPr>
              <w:t>aktu prawnego</w:t>
            </w:r>
            <w:r w:rsidRPr="00A33B9F">
              <w:rPr>
                <w:rFonts w:ascii="Times New Roman" w:hAnsi="Times New Roman"/>
                <w:noProof/>
                <w:sz w:val="18"/>
              </w:rPr>
              <w:t>,</w:t>
            </w:r>
            <w:r w:rsidR="00A33B9F" w:rsidRPr="00A33B9F">
              <w:rPr>
                <w:rFonts w:ascii="Times New Roman" w:hAnsi="Times New Roman"/>
                <w:noProof/>
                <w:sz w:val="18"/>
              </w:rPr>
              <w:t xml:space="preserve"> </w:t>
            </w:r>
            <w:r w:rsidR="00A33B9F" w:rsidRPr="00A33B9F">
              <w:rPr>
                <w:rStyle w:val="normaltextrun"/>
                <w:rFonts w:ascii="Times New Roman" w:hAnsi="Times New Roman"/>
                <w:noProof/>
                <w:color w:val="000000" w:themeColor="text1"/>
                <w:sz w:val="18"/>
              </w:rPr>
              <w:t>w</w:t>
            </w:r>
            <w:r w:rsidR="00A33B9F" w:rsidRPr="00A33B9F">
              <w:rPr>
                <w:rFonts w:ascii="Times New Roman" w:hAnsi="Times New Roman"/>
                <w:noProof/>
                <w:sz w:val="18"/>
              </w:rPr>
              <w:t> </w:t>
            </w:r>
            <w:r w:rsidR="00A33B9F" w:rsidRPr="00A33B9F">
              <w:rPr>
                <w:rStyle w:val="normaltextrun"/>
                <w:rFonts w:ascii="Times New Roman" w:hAnsi="Times New Roman"/>
                <w:noProof/>
                <w:color w:val="000000" w:themeColor="text1"/>
                <w:sz w:val="18"/>
              </w:rPr>
              <w:t>któ</w:t>
            </w:r>
            <w:r w:rsidRPr="00A33B9F">
              <w:rPr>
                <w:rStyle w:val="normaltextrun"/>
                <w:rFonts w:ascii="Times New Roman" w:hAnsi="Times New Roman"/>
                <w:noProof/>
                <w:color w:val="000000" w:themeColor="text1"/>
                <w:sz w:val="18"/>
              </w:rPr>
              <w:t>rym zostanie ustalony wykaz kryteriów, na podstawie których szpitale będą przypisywane do poszczególnych kategorii. Kategorie te pomogą</w:t>
            </w:r>
            <w:r w:rsidR="00A33B9F" w:rsidRPr="00A33B9F">
              <w:rPr>
                <w:rStyle w:val="normaltextrun"/>
                <w:rFonts w:ascii="Times New Roman" w:hAnsi="Times New Roman"/>
                <w:noProof/>
                <w:color w:val="000000" w:themeColor="text1"/>
                <w:sz w:val="18"/>
              </w:rPr>
              <w:t xml:space="preserve"> w okr</w:t>
            </w:r>
            <w:r w:rsidRPr="00A33B9F">
              <w:rPr>
                <w:rStyle w:val="normaltextrun"/>
                <w:rFonts w:ascii="Times New Roman" w:hAnsi="Times New Roman"/>
                <w:noProof/>
                <w:color w:val="000000" w:themeColor="text1"/>
                <w:sz w:val="18"/>
              </w:rPr>
              <w:t>eśleniu potrzeb inwestycyjnych wynikających</w:t>
            </w:r>
            <w:r w:rsidR="00A33B9F" w:rsidRPr="00A33B9F">
              <w:rPr>
                <w:rStyle w:val="normaltextrun"/>
                <w:rFonts w:ascii="Times New Roman" w:hAnsi="Times New Roman"/>
                <w:noProof/>
                <w:color w:val="000000" w:themeColor="text1"/>
                <w:sz w:val="18"/>
              </w:rPr>
              <w:t xml:space="preserve"> z ref</w:t>
            </w:r>
            <w:r w:rsidRPr="00A33B9F">
              <w:rPr>
                <w:rStyle w:val="normaltextrun"/>
                <w:rFonts w:ascii="Times New Roman" w:hAnsi="Times New Roman"/>
                <w:noProof/>
                <w:color w:val="000000" w:themeColor="text1"/>
                <w:sz w:val="18"/>
              </w:rPr>
              <w:t>ormy mającej na celu modernizację szpitali</w:t>
            </w:r>
            <w:r w:rsidR="00A33B9F" w:rsidRPr="00A33B9F">
              <w:rPr>
                <w:rStyle w:val="normaltextrun"/>
                <w:rFonts w:ascii="Times New Roman" w:hAnsi="Times New Roman"/>
                <w:noProof/>
                <w:color w:val="000000" w:themeColor="text1"/>
                <w:sz w:val="18"/>
              </w:rPr>
              <w:t xml:space="preserve"> i pop</w:t>
            </w:r>
            <w:r w:rsidRPr="00A33B9F">
              <w:rPr>
                <w:rStyle w:val="normaltextrun"/>
                <w:rFonts w:ascii="Times New Roman" w:hAnsi="Times New Roman"/>
                <w:noProof/>
                <w:color w:val="000000" w:themeColor="text1"/>
                <w:sz w:val="18"/>
              </w:rPr>
              <w:t>rawę efektywności.</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Kryteria kategoryzacji będą wynikały z:</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zasięgu (m.in. populacja objęta wsparciem; świadczenia objęte wsparciem; konieczność zapewnienia dostępu do opieki we właściwym czasie);</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równości (m.in. równość</w:t>
            </w:r>
            <w:r w:rsidR="00A33B9F" w:rsidRPr="00A33B9F">
              <w:rPr>
                <w:rStyle w:val="normaltextrun"/>
                <w:rFonts w:ascii="Times New Roman" w:hAnsi="Times New Roman"/>
                <w:noProof/>
                <w:color w:val="000000" w:themeColor="text1"/>
                <w:sz w:val="18"/>
              </w:rPr>
              <w:t xml:space="preserve"> w fin</w:t>
            </w:r>
            <w:r w:rsidRPr="00A33B9F">
              <w:rPr>
                <w:rStyle w:val="normaltextrun"/>
                <w:rFonts w:ascii="Times New Roman" w:hAnsi="Times New Roman"/>
                <w:noProof/>
                <w:color w:val="000000" w:themeColor="text1"/>
                <w:sz w:val="18"/>
              </w:rPr>
              <w:t>ansowaniu; równość</w:t>
            </w:r>
            <w:r w:rsidR="00A33B9F" w:rsidRPr="00A33B9F">
              <w:rPr>
                <w:rStyle w:val="normaltextrun"/>
                <w:rFonts w:ascii="Times New Roman" w:hAnsi="Times New Roman"/>
                <w:noProof/>
                <w:color w:val="000000" w:themeColor="text1"/>
                <w:sz w:val="18"/>
              </w:rPr>
              <w:t xml:space="preserve"> w świ</w:t>
            </w:r>
            <w:r w:rsidRPr="00A33B9F">
              <w:rPr>
                <w:rStyle w:val="normaltextrun"/>
                <w:rFonts w:ascii="Times New Roman" w:hAnsi="Times New Roman"/>
                <w:noProof/>
                <w:color w:val="000000" w:themeColor="text1"/>
                <w:sz w:val="18"/>
              </w:rPr>
              <w:t>adczeniu</w:t>
            </w:r>
            <w:r w:rsidR="00A33B9F" w:rsidRPr="00A33B9F">
              <w:rPr>
                <w:rStyle w:val="normaltextrun"/>
                <w:rFonts w:ascii="Times New Roman" w:hAnsi="Times New Roman"/>
                <w:noProof/>
                <w:color w:val="000000" w:themeColor="text1"/>
                <w:sz w:val="18"/>
              </w:rPr>
              <w:t xml:space="preserve"> i wyk</w:t>
            </w:r>
            <w:r w:rsidRPr="00A33B9F">
              <w:rPr>
                <w:rStyle w:val="normaltextrun"/>
                <w:rFonts w:ascii="Times New Roman" w:hAnsi="Times New Roman"/>
                <w:noProof/>
                <w:color w:val="000000" w:themeColor="text1"/>
                <w:sz w:val="18"/>
              </w:rPr>
              <w:t>orzystywaniu świadczeń; równość</w:t>
            </w:r>
            <w:r w:rsidR="00A33B9F" w:rsidRPr="00A33B9F">
              <w:rPr>
                <w:rStyle w:val="normaltextrun"/>
                <w:rFonts w:ascii="Times New Roman" w:hAnsi="Times New Roman"/>
                <w:noProof/>
                <w:color w:val="000000" w:themeColor="text1"/>
                <w:sz w:val="18"/>
              </w:rPr>
              <w:t xml:space="preserve"> w wyn</w:t>
            </w:r>
            <w:r w:rsidRPr="00A33B9F">
              <w:rPr>
                <w:rStyle w:val="normaltextrun"/>
                <w:rFonts w:ascii="Times New Roman" w:hAnsi="Times New Roman"/>
                <w:noProof/>
                <w:color w:val="000000" w:themeColor="text1"/>
                <w:sz w:val="18"/>
              </w:rPr>
              <w:t>ikach zdrowotnych);</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efektywności,</w:t>
            </w:r>
            <w:r w:rsidR="00A33B9F" w:rsidRPr="00A33B9F">
              <w:rPr>
                <w:rStyle w:val="normaltextrun"/>
                <w:rFonts w:ascii="Times New Roman" w:hAnsi="Times New Roman"/>
                <w:noProof/>
                <w:color w:val="000000" w:themeColor="text1"/>
                <w:sz w:val="18"/>
              </w:rPr>
              <w:t xml:space="preserve"> w tym</w:t>
            </w:r>
            <w:r w:rsidRPr="00A33B9F">
              <w:rPr>
                <w:rStyle w:val="normaltextrun"/>
                <w:rFonts w:ascii="Times New Roman" w:hAnsi="Times New Roman"/>
                <w:noProof/>
                <w:color w:val="000000" w:themeColor="text1"/>
                <w:sz w:val="18"/>
              </w:rPr>
              <w:t xml:space="preserve"> działalności operacyjnej (efektywność</w:t>
            </w:r>
            <w:r w:rsidR="00A33B9F" w:rsidRPr="00A33B9F">
              <w:rPr>
                <w:rStyle w:val="normaltextrun"/>
                <w:rFonts w:ascii="Times New Roman" w:hAnsi="Times New Roman"/>
                <w:noProof/>
                <w:color w:val="000000" w:themeColor="text1"/>
                <w:sz w:val="18"/>
              </w:rPr>
              <w:t xml:space="preserve"> w osi</w:t>
            </w:r>
            <w:r w:rsidRPr="00A33B9F">
              <w:rPr>
                <w:rStyle w:val="normaltextrun"/>
                <w:rFonts w:ascii="Times New Roman" w:hAnsi="Times New Roman"/>
                <w:noProof/>
                <w:color w:val="000000" w:themeColor="text1"/>
                <w:sz w:val="18"/>
              </w:rPr>
              <w:t>ąganiu wyników; efektywność</w:t>
            </w:r>
            <w:r w:rsidR="00A33B9F" w:rsidRPr="00A33B9F">
              <w:rPr>
                <w:rStyle w:val="normaltextrun"/>
                <w:rFonts w:ascii="Times New Roman" w:hAnsi="Times New Roman"/>
                <w:noProof/>
                <w:color w:val="000000" w:themeColor="text1"/>
                <w:sz w:val="18"/>
              </w:rPr>
              <w:t xml:space="preserve"> w gro</w:t>
            </w:r>
            <w:r w:rsidRPr="00A33B9F">
              <w:rPr>
                <w:rStyle w:val="normaltextrun"/>
                <w:rFonts w:ascii="Times New Roman" w:hAnsi="Times New Roman"/>
                <w:noProof/>
                <w:color w:val="000000" w:themeColor="text1"/>
                <w:sz w:val="18"/>
              </w:rPr>
              <w:t>madzeniu środków);</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jakości opieki; oraz</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dostępności zasobów (m.in. zasobów ludzkich</w:t>
            </w:r>
            <w:r w:rsidR="00A33B9F" w:rsidRPr="00A33B9F">
              <w:rPr>
                <w:rStyle w:val="normaltextrun"/>
                <w:rFonts w:ascii="Times New Roman" w:hAnsi="Times New Roman"/>
                <w:noProof/>
                <w:color w:val="000000" w:themeColor="text1"/>
                <w:sz w:val="18"/>
              </w:rPr>
              <w:t xml:space="preserve"> i zas</w:t>
            </w:r>
            <w:r w:rsidRPr="00A33B9F">
              <w:rPr>
                <w:rStyle w:val="normaltextrun"/>
                <w:rFonts w:ascii="Times New Roman" w:hAnsi="Times New Roman"/>
                <w:noProof/>
                <w:color w:val="000000" w:themeColor="text1"/>
                <w:sz w:val="18"/>
              </w:rPr>
              <w:t>obów finansowych).</w:t>
            </w:r>
            <w:r w:rsidR="00C3621A" w:rsidRPr="00A33B9F">
              <w:rPr>
                <w:rStyle w:val="normaltextrun"/>
                <w:rFonts w:ascii="Times New Roman" w:hAnsi="Times New Roman"/>
                <w:noProof/>
                <w:color w:val="000000" w:themeColor="text1"/>
                <w:sz w:val="18"/>
              </w:rPr>
              <w:t xml:space="preserve"> </w:t>
            </w:r>
          </w:p>
        </w:tc>
      </w:tr>
      <w:tr w:rsidR="008C116B" w:rsidRPr="00A33B9F" w14:paraId="25C8B922" w14:textId="77777777" w:rsidTr="1CE0CE0C">
        <w:trPr>
          <w:trHeight w:val="313"/>
        </w:trPr>
        <w:tc>
          <w:tcPr>
            <w:tcW w:w="709" w:type="dxa"/>
            <w:shd w:val="clear" w:color="auto" w:fill="C6EFCE"/>
          </w:tcPr>
          <w:p w14:paraId="16559417" w14:textId="69B4DA2D"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D10G</w:t>
            </w:r>
          </w:p>
        </w:tc>
        <w:tc>
          <w:tcPr>
            <w:tcW w:w="2126" w:type="dxa"/>
            <w:shd w:val="clear" w:color="auto" w:fill="C6EFCE"/>
          </w:tcPr>
          <w:p w14:paraId="79FD7004" w14:textId="3CDCDB2B"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D1.1.1 Rozwój</w:t>
            </w:r>
            <w:r w:rsidR="00A33B9F" w:rsidRPr="00A33B9F">
              <w:rPr>
                <w:rFonts w:ascii="Times New Roman" w:hAnsi="Times New Roman"/>
                <w:noProof/>
                <w:color w:val="000000"/>
                <w:sz w:val="18"/>
              </w:rPr>
              <w:t xml:space="preserve"> i mod</w:t>
            </w:r>
            <w:r w:rsidRPr="00A33B9F">
              <w:rPr>
                <w:rFonts w:ascii="Times New Roman" w:hAnsi="Times New Roman"/>
                <w:noProof/>
                <w:color w:val="000000"/>
                <w:sz w:val="18"/>
              </w:rPr>
              <w:t>ernizacja infrastruktury centrów opieki wysokospecjalistycznej</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 xml:space="preserve">ych podmiotów leczniczych </w:t>
            </w:r>
          </w:p>
        </w:tc>
        <w:tc>
          <w:tcPr>
            <w:tcW w:w="1050" w:type="dxa"/>
            <w:shd w:val="clear" w:color="auto" w:fill="C6EFCE"/>
          </w:tcPr>
          <w:p w14:paraId="5117A43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08509C27" w14:textId="4D38FF28"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Pierwsze zaproszenie do składania wniosków dla szpitali ubiegających się</w:t>
            </w:r>
            <w:r w:rsidR="00A33B9F" w:rsidRPr="00A33B9F">
              <w:rPr>
                <w:rStyle w:val="normaltextrun"/>
                <w:noProof/>
                <w:color w:val="000000" w:themeColor="text1"/>
                <w:sz w:val="18"/>
              </w:rPr>
              <w:t xml:space="preserve"> o fin</w:t>
            </w:r>
            <w:r w:rsidRPr="00A33B9F">
              <w:rPr>
                <w:rStyle w:val="normaltextrun"/>
                <w:noProof/>
                <w:color w:val="000000" w:themeColor="text1"/>
                <w:sz w:val="18"/>
              </w:rPr>
              <w:t>ansowanie</w:t>
            </w:r>
            <w:r w:rsidRPr="00A33B9F">
              <w:rPr>
                <w:rStyle w:val="eop"/>
                <w:noProof/>
                <w:color w:val="000000" w:themeColor="text1"/>
                <w:sz w:val="18"/>
              </w:rPr>
              <w:t xml:space="preserve"> </w:t>
            </w:r>
          </w:p>
          <w:p w14:paraId="7FD8715F" w14:textId="1783407D"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eop"/>
                <w:rFonts w:ascii="Times New Roman" w:hAnsi="Times New Roman"/>
                <w:noProof/>
                <w:color w:val="000000"/>
                <w:sz w:val="18"/>
              </w:rPr>
              <w:t xml:space="preserve"> </w:t>
            </w:r>
          </w:p>
        </w:tc>
        <w:tc>
          <w:tcPr>
            <w:tcW w:w="1560" w:type="dxa"/>
            <w:shd w:val="clear" w:color="auto" w:fill="C6EFCE"/>
          </w:tcPr>
          <w:p w14:paraId="613393B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Publikacja pierwszego zaproszenia do składania wniosków. </w:t>
            </w:r>
          </w:p>
        </w:tc>
        <w:tc>
          <w:tcPr>
            <w:tcW w:w="1247" w:type="dxa"/>
            <w:shd w:val="clear" w:color="auto" w:fill="C6EFCE"/>
          </w:tcPr>
          <w:p w14:paraId="6BDFDFC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p>
        </w:tc>
        <w:tc>
          <w:tcPr>
            <w:tcW w:w="1276" w:type="dxa"/>
            <w:shd w:val="clear" w:color="auto" w:fill="C6EFCE"/>
          </w:tcPr>
          <w:p w14:paraId="41F9AE5E"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850" w:type="dxa"/>
            <w:shd w:val="clear" w:color="auto" w:fill="C6EFCE"/>
          </w:tcPr>
          <w:p w14:paraId="00F03A6D"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p>
        </w:tc>
        <w:tc>
          <w:tcPr>
            <w:tcW w:w="993" w:type="dxa"/>
            <w:shd w:val="clear" w:color="auto" w:fill="C6EFCE"/>
          </w:tcPr>
          <w:p w14:paraId="2B258E0F" w14:textId="35BC44CB" w:rsidR="00736BBF" w:rsidRPr="00A33B9F"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708" w:type="dxa"/>
            <w:shd w:val="clear" w:color="auto" w:fill="C6EFCE"/>
          </w:tcPr>
          <w:p w14:paraId="7C3C69C4" w14:textId="12A7DEB0" w:rsidR="00736BBF" w:rsidRPr="00A33B9F"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2023</w:t>
            </w:r>
          </w:p>
        </w:tc>
        <w:tc>
          <w:tcPr>
            <w:tcW w:w="3544" w:type="dxa"/>
            <w:shd w:val="clear" w:color="auto" w:fill="C6EFCE"/>
          </w:tcPr>
          <w:p w14:paraId="37D2D016" w14:textId="1DE13AE8" w:rsidR="00736BBF" w:rsidRPr="00A33B9F" w:rsidRDefault="00736BBF" w:rsidP="00736BBF">
            <w:pPr>
              <w:pStyle w:val="paragraph"/>
              <w:spacing w:before="0" w:beforeAutospacing="0" w:after="0" w:afterAutospacing="0"/>
              <w:textAlignment w:val="baseline"/>
              <w:rPr>
                <w:rStyle w:val="normaltextrun"/>
                <w:rFonts w:eastAsia="Calibri"/>
                <w:noProof/>
                <w:color w:val="000000" w:themeColor="text1"/>
                <w:sz w:val="18"/>
                <w:szCs w:val="18"/>
              </w:rPr>
            </w:pPr>
            <w:r w:rsidRPr="00A33B9F">
              <w:rPr>
                <w:rStyle w:val="normaltextrun"/>
                <w:noProof/>
                <w:color w:val="000000" w:themeColor="text1"/>
                <w:sz w:val="18"/>
              </w:rPr>
              <w:t>Ogłoszone zostanie pierwsze zaproszenie do składania wniosków dla szpitali dotyczących sfinansowania zakupu lub modernizacji sprzętu lub infrastruktury. Zaproszenie to</w:t>
            </w:r>
            <w:r w:rsidR="00A33B9F" w:rsidRPr="00A33B9F">
              <w:rPr>
                <w:rStyle w:val="normaltextrun"/>
                <w:noProof/>
                <w:color w:val="000000" w:themeColor="text1"/>
                <w:sz w:val="18"/>
              </w:rPr>
              <w:t xml:space="preserve"> i wsz</w:t>
            </w:r>
            <w:r w:rsidRPr="00A33B9F">
              <w:rPr>
                <w:rStyle w:val="normaltextrun"/>
                <w:noProof/>
                <w:color w:val="000000" w:themeColor="text1"/>
                <w:sz w:val="18"/>
              </w:rPr>
              <w:t>ystkie kolejne zaproszenia będą opierały się na kryteriach kategoryzacji oraz jasnych</w:t>
            </w:r>
            <w:r w:rsidR="00A33B9F" w:rsidRPr="00A33B9F">
              <w:rPr>
                <w:rStyle w:val="normaltextrun"/>
                <w:noProof/>
                <w:color w:val="000000" w:themeColor="text1"/>
                <w:sz w:val="18"/>
              </w:rPr>
              <w:t xml:space="preserve"> i prz</w:t>
            </w:r>
            <w:r w:rsidRPr="00A33B9F">
              <w:rPr>
                <w:rStyle w:val="normaltextrun"/>
                <w:noProof/>
                <w:color w:val="000000" w:themeColor="text1"/>
                <w:sz w:val="18"/>
              </w:rPr>
              <w:t>ejrzystych procedurach</w:t>
            </w:r>
            <w:r w:rsidRPr="00A33B9F">
              <w:rPr>
                <w:rStyle w:val="normaltextrun"/>
                <w:noProof/>
                <w:sz w:val="18"/>
              </w:rPr>
              <w:t>.</w:t>
            </w:r>
          </w:p>
          <w:p w14:paraId="2D85AD71" w14:textId="77777777" w:rsidR="00736BBF" w:rsidRPr="00A33B9F" w:rsidRDefault="00736BBF" w:rsidP="00736BBF">
            <w:pPr>
              <w:pStyle w:val="paragraph"/>
              <w:spacing w:before="0" w:beforeAutospacing="0" w:after="0" w:afterAutospacing="0"/>
              <w:textAlignment w:val="baseline"/>
              <w:rPr>
                <w:rStyle w:val="normaltextrun"/>
                <w:rFonts w:eastAsia="Calibri"/>
                <w:noProof/>
                <w:color w:val="000000" w:themeColor="text1"/>
                <w:sz w:val="18"/>
                <w:szCs w:val="18"/>
              </w:rPr>
            </w:pPr>
            <w:r w:rsidRPr="00A33B9F">
              <w:rPr>
                <w:rStyle w:val="normaltextrun"/>
                <w:noProof/>
                <w:color w:val="000000" w:themeColor="text1"/>
                <w:sz w:val="18"/>
              </w:rPr>
              <w:t xml:space="preserve"> </w:t>
            </w:r>
          </w:p>
          <w:p w14:paraId="7C5B8C88" w14:textId="601F7DDC" w:rsidR="00736BBF" w:rsidRPr="00A33B9F" w:rsidRDefault="00736BBF" w:rsidP="00736BBF">
            <w:pPr>
              <w:pStyle w:val="paragraph"/>
              <w:spacing w:before="0" w:beforeAutospacing="0" w:after="0" w:afterAutospacing="0"/>
              <w:textAlignment w:val="baseline"/>
              <w:rPr>
                <w:rStyle w:val="normaltextrun"/>
                <w:rFonts w:eastAsia="Calibri"/>
                <w:noProof/>
                <w:sz w:val="18"/>
                <w:szCs w:val="18"/>
              </w:rPr>
            </w:pPr>
            <w:r w:rsidRPr="00A33B9F">
              <w:rPr>
                <w:rStyle w:val="normaltextrun"/>
                <w:noProof/>
                <w:color w:val="000000" w:themeColor="text1"/>
                <w:sz w:val="18"/>
              </w:rPr>
              <w:t>Udoskonalenie sprzętu medycznego</w:t>
            </w:r>
            <w:r w:rsidR="00A33B9F" w:rsidRPr="00A33B9F">
              <w:rPr>
                <w:rStyle w:val="normaltextrun"/>
                <w:noProof/>
                <w:color w:val="000000" w:themeColor="text1"/>
                <w:sz w:val="18"/>
              </w:rPr>
              <w:t xml:space="preserve"> i inf</w:t>
            </w:r>
            <w:r w:rsidRPr="00A33B9F">
              <w:rPr>
                <w:rStyle w:val="normaltextrun"/>
                <w:noProof/>
                <w:color w:val="000000" w:themeColor="text1"/>
                <w:sz w:val="18"/>
              </w:rPr>
              <w:t>rastruktury medycznej przyczyni się do poprawy jakości opieki, dostępności zasobów oraz zapewnienia kompleksowego dostępu do opieki szpitalnej we właściwym czasie.</w:t>
            </w:r>
            <w:r w:rsidRPr="00A33B9F">
              <w:rPr>
                <w:rStyle w:val="normaltextrun"/>
                <w:noProof/>
                <w:sz w:val="18"/>
              </w:rPr>
              <w:t xml:space="preserve"> </w:t>
            </w:r>
          </w:p>
          <w:p w14:paraId="5F2B3E5B" w14:textId="77777777" w:rsidR="00736BBF" w:rsidRPr="00A33B9F" w:rsidRDefault="00736BBF" w:rsidP="00736BBF">
            <w:pPr>
              <w:pStyle w:val="paragraph"/>
              <w:spacing w:before="0" w:beforeAutospacing="0" w:after="0" w:afterAutospacing="0"/>
              <w:textAlignment w:val="baseline"/>
              <w:rPr>
                <w:rStyle w:val="normaltextrun"/>
                <w:rFonts w:eastAsia="Calibri"/>
                <w:noProof/>
                <w:color w:val="000000" w:themeColor="text1"/>
                <w:sz w:val="18"/>
                <w:szCs w:val="18"/>
              </w:rPr>
            </w:pPr>
            <w:r w:rsidRPr="00A33B9F">
              <w:rPr>
                <w:rStyle w:val="normaltextrun"/>
                <w:noProof/>
                <w:color w:val="000000" w:themeColor="text1"/>
                <w:sz w:val="18"/>
              </w:rPr>
              <w:t xml:space="preserve"> </w:t>
            </w:r>
          </w:p>
          <w:p w14:paraId="12F40E89" w14:textId="63E99E59"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Wsparcie obejmuje wyłącznie zakres działań związanych</w:t>
            </w:r>
            <w:r w:rsidR="00A33B9F" w:rsidRPr="00A33B9F">
              <w:rPr>
                <w:rStyle w:val="normaltextrun"/>
                <w:noProof/>
                <w:color w:val="000000" w:themeColor="text1"/>
                <w:sz w:val="18"/>
              </w:rPr>
              <w:t xml:space="preserve"> z udz</w:t>
            </w:r>
            <w:r w:rsidRPr="00A33B9F">
              <w:rPr>
                <w:rStyle w:val="normaltextrun"/>
                <w:noProof/>
                <w:color w:val="000000" w:themeColor="text1"/>
                <w:sz w:val="18"/>
              </w:rPr>
              <w:t>ielaniem świadczeń zdrowotnych finansowanych przez Narodowy Fundusz Zdrowia</w:t>
            </w:r>
            <w:r w:rsidR="00A33B9F" w:rsidRPr="00A33B9F">
              <w:rPr>
                <w:rStyle w:val="normaltextrun"/>
                <w:noProof/>
                <w:color w:val="000000" w:themeColor="text1"/>
                <w:sz w:val="18"/>
              </w:rPr>
              <w:t xml:space="preserve"> i nie</w:t>
            </w:r>
            <w:r w:rsidRPr="00A33B9F">
              <w:rPr>
                <w:rStyle w:val="normaltextrun"/>
                <w:noProof/>
                <w:color w:val="000000" w:themeColor="text1"/>
                <w:sz w:val="18"/>
              </w:rPr>
              <w:t xml:space="preserve"> obejmuje działalności komercyjnej.</w:t>
            </w:r>
            <w:r w:rsidR="00C3621A" w:rsidRPr="00A33B9F">
              <w:rPr>
                <w:rStyle w:val="normaltextrun"/>
                <w:noProof/>
                <w:color w:val="000000" w:themeColor="text1"/>
                <w:sz w:val="18"/>
              </w:rPr>
              <w:t xml:space="preserve"> </w:t>
            </w:r>
          </w:p>
        </w:tc>
      </w:tr>
      <w:tr w:rsidR="008C116B" w:rsidRPr="00A33B9F" w14:paraId="3384C83D" w14:textId="77777777" w:rsidTr="1CE0CE0C">
        <w:trPr>
          <w:trHeight w:val="313"/>
        </w:trPr>
        <w:tc>
          <w:tcPr>
            <w:tcW w:w="709" w:type="dxa"/>
            <w:shd w:val="clear" w:color="auto" w:fill="C6EFCE"/>
          </w:tcPr>
          <w:p w14:paraId="75056D19" w14:textId="5A22D01B"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D11G</w:t>
            </w:r>
          </w:p>
        </w:tc>
        <w:tc>
          <w:tcPr>
            <w:tcW w:w="2126" w:type="dxa"/>
            <w:shd w:val="clear" w:color="auto" w:fill="C6EFCE"/>
          </w:tcPr>
          <w:p w14:paraId="0128E68B" w14:textId="56F06A46"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D1.1.1 Rozwój</w:t>
            </w:r>
            <w:r w:rsidR="00A33B9F" w:rsidRPr="00A33B9F">
              <w:rPr>
                <w:rFonts w:ascii="Times New Roman" w:hAnsi="Times New Roman"/>
                <w:noProof/>
                <w:color w:val="000000"/>
                <w:sz w:val="18"/>
              </w:rPr>
              <w:t xml:space="preserve"> i mod</w:t>
            </w:r>
            <w:r w:rsidRPr="00A33B9F">
              <w:rPr>
                <w:rFonts w:ascii="Times New Roman" w:hAnsi="Times New Roman"/>
                <w:noProof/>
                <w:color w:val="000000"/>
                <w:sz w:val="18"/>
              </w:rPr>
              <w:t>ernizacja infrastruktury centrów opieki wysokospecjalistycznej</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 xml:space="preserve">ych podmiotów leczniczych </w:t>
            </w:r>
          </w:p>
        </w:tc>
        <w:tc>
          <w:tcPr>
            <w:tcW w:w="1050" w:type="dxa"/>
            <w:shd w:val="clear" w:color="auto" w:fill="C6EFCE"/>
          </w:tcPr>
          <w:p w14:paraId="1360B3AD"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6F878B85" w14:textId="5A395AE5"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T1 – Umowy podpisane między szpitalami</w:t>
            </w:r>
            <w:r w:rsidR="00A33B9F" w:rsidRPr="00A33B9F">
              <w:rPr>
                <w:rStyle w:val="normaltextrun"/>
                <w:rFonts w:ascii="Times New Roman" w:hAnsi="Times New Roman"/>
                <w:noProof/>
                <w:color w:val="000000" w:themeColor="text1"/>
                <w:sz w:val="18"/>
              </w:rPr>
              <w:t xml:space="preserve"> a Min</w:t>
            </w:r>
            <w:r w:rsidRPr="00A33B9F">
              <w:rPr>
                <w:rStyle w:val="normaltextrun"/>
                <w:rFonts w:ascii="Times New Roman" w:hAnsi="Times New Roman"/>
                <w:noProof/>
                <w:color w:val="000000" w:themeColor="text1"/>
                <w:sz w:val="18"/>
              </w:rPr>
              <w:t>isterstwem Zdrowia na zakup sprzętu medycznego lub przeprowadzenie inwestycji infrastrukturalnych</w:t>
            </w:r>
            <w:r w:rsidRPr="00A33B9F">
              <w:rPr>
                <w:rStyle w:val="eop"/>
                <w:rFonts w:ascii="Times New Roman" w:hAnsi="Times New Roman"/>
                <w:noProof/>
                <w:color w:val="000000" w:themeColor="text1"/>
                <w:sz w:val="18"/>
              </w:rPr>
              <w:t xml:space="preserve"> </w:t>
            </w:r>
          </w:p>
        </w:tc>
        <w:tc>
          <w:tcPr>
            <w:tcW w:w="1560" w:type="dxa"/>
            <w:shd w:val="clear" w:color="auto" w:fill="C6EFCE"/>
          </w:tcPr>
          <w:p w14:paraId="4B7865E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4C3D7FE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shd w:val="clear" w:color="auto" w:fill="C6EFCE"/>
          </w:tcPr>
          <w:p w14:paraId="61F2810F"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4797A2A5" w14:textId="13D4EE2E" w:rsidR="00736BBF" w:rsidRPr="00A33B9F" w:rsidRDefault="474C69D1" w:rsidP="4220C7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61</w:t>
            </w:r>
          </w:p>
        </w:tc>
        <w:tc>
          <w:tcPr>
            <w:tcW w:w="993" w:type="dxa"/>
            <w:shd w:val="clear" w:color="auto" w:fill="C6EFCE"/>
          </w:tcPr>
          <w:p w14:paraId="0E9FCC4D" w14:textId="4D16CF97" w:rsidR="00736BBF" w:rsidRPr="00A33B9F"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37FA5ABA" w14:textId="3EB3CDDD"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2023</w:t>
            </w:r>
          </w:p>
        </w:tc>
        <w:tc>
          <w:tcPr>
            <w:tcW w:w="3544" w:type="dxa"/>
            <w:shd w:val="clear" w:color="auto" w:fill="C6EFCE"/>
          </w:tcPr>
          <w:p w14:paraId="38CA62A8" w14:textId="4FBBE696"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Liczba umów podpisanych między szpitalami</w:t>
            </w:r>
            <w:r w:rsidR="00A33B9F" w:rsidRPr="00A33B9F">
              <w:rPr>
                <w:rStyle w:val="normaltextrun"/>
                <w:noProof/>
                <w:color w:val="000000" w:themeColor="text1"/>
                <w:sz w:val="18"/>
              </w:rPr>
              <w:t xml:space="preserve"> a Min</w:t>
            </w:r>
            <w:r w:rsidRPr="00A33B9F">
              <w:rPr>
                <w:rStyle w:val="normaltextrun"/>
                <w:noProof/>
                <w:color w:val="000000" w:themeColor="text1"/>
                <w:sz w:val="18"/>
              </w:rPr>
              <w:t>isterstwem Zdrowia (lub inną instytucją wskazaną przez Ministerstwo) na zakup sprzętu medycznego lub udoskonalenie infrastruktury.</w:t>
            </w:r>
            <w:r w:rsidRPr="00A33B9F">
              <w:rPr>
                <w:rStyle w:val="eop"/>
                <w:noProof/>
                <w:color w:val="000000" w:themeColor="text1"/>
                <w:sz w:val="18"/>
              </w:rPr>
              <w:t xml:space="preserve"> </w:t>
            </w:r>
          </w:p>
          <w:p w14:paraId="39D61732" w14:textId="053DBCA9"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Sprzęt medyczny przyczyni się do poprawy jakości opieki, dostępności zasobów oraz zapewnienia kompleksowego dostępu do opieki szpitalnej we właściwym czasie.</w:t>
            </w:r>
            <w:r w:rsidR="00C3621A" w:rsidRPr="00A33B9F">
              <w:rPr>
                <w:rStyle w:val="normaltextrun"/>
                <w:noProof/>
                <w:color w:val="000000" w:themeColor="text1"/>
                <w:sz w:val="18"/>
              </w:rPr>
              <w:t xml:space="preserve"> </w:t>
            </w:r>
          </w:p>
          <w:p w14:paraId="17A25E64" w14:textId="14015159"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Udoskonalenie infrastruktury przyczyni się do poprawy jakości opieki, dostępności zasobów oraz zapewnienia kompleksowego dostępu do opieki szpitalnej we właściwym czasie.</w:t>
            </w:r>
            <w:r w:rsidR="00C3621A" w:rsidRPr="00A33B9F">
              <w:rPr>
                <w:rStyle w:val="normaltextrun"/>
                <w:noProof/>
                <w:color w:val="000000" w:themeColor="text1"/>
                <w:sz w:val="18"/>
              </w:rPr>
              <w:t xml:space="preserve"> </w:t>
            </w:r>
          </w:p>
          <w:p w14:paraId="608DEACE" w14:textId="433CECBB" w:rsidR="00736BBF" w:rsidRPr="00A33B9F" w:rsidRDefault="34CE5B00" w:rsidP="22896D13">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Wsparcie obejmuje wyłącznie zakres działań związanych</w:t>
            </w:r>
            <w:r w:rsidR="00A33B9F" w:rsidRPr="00A33B9F">
              <w:rPr>
                <w:rStyle w:val="normaltextrun"/>
                <w:noProof/>
                <w:color w:val="000000" w:themeColor="text1"/>
                <w:sz w:val="18"/>
              </w:rPr>
              <w:t xml:space="preserve"> z udz</w:t>
            </w:r>
            <w:r w:rsidRPr="00A33B9F">
              <w:rPr>
                <w:rStyle w:val="normaltextrun"/>
                <w:noProof/>
                <w:color w:val="000000" w:themeColor="text1"/>
                <w:sz w:val="18"/>
              </w:rPr>
              <w:t>ielaniem świadczeń zdrowotnych finansowanych przez Narodowy Fundusz Zdrowia</w:t>
            </w:r>
            <w:r w:rsidR="00A33B9F" w:rsidRPr="00A33B9F">
              <w:rPr>
                <w:rStyle w:val="normaltextrun"/>
                <w:noProof/>
                <w:color w:val="000000" w:themeColor="text1"/>
                <w:sz w:val="18"/>
              </w:rPr>
              <w:t xml:space="preserve"> i nie</w:t>
            </w:r>
            <w:r w:rsidRPr="00A33B9F">
              <w:rPr>
                <w:rStyle w:val="normaltextrun"/>
                <w:noProof/>
                <w:color w:val="000000" w:themeColor="text1"/>
                <w:sz w:val="18"/>
              </w:rPr>
              <w:t xml:space="preserve"> obejmuje działalności komercyjnej.</w:t>
            </w:r>
            <w:r w:rsidR="00C3621A" w:rsidRPr="00A33B9F">
              <w:rPr>
                <w:rStyle w:val="normaltextrun"/>
                <w:noProof/>
                <w:color w:val="000000" w:themeColor="text1"/>
                <w:sz w:val="18"/>
              </w:rPr>
              <w:t xml:space="preserve"> </w:t>
            </w:r>
          </w:p>
        </w:tc>
      </w:tr>
      <w:tr w:rsidR="008C116B" w:rsidRPr="00A33B9F" w14:paraId="011F8629" w14:textId="77777777" w:rsidTr="1CE0CE0C">
        <w:trPr>
          <w:trHeight w:val="313"/>
        </w:trPr>
        <w:tc>
          <w:tcPr>
            <w:tcW w:w="709" w:type="dxa"/>
            <w:shd w:val="clear" w:color="auto" w:fill="C6EFCE"/>
          </w:tcPr>
          <w:p w14:paraId="1DCDD72D" w14:textId="04967AE6"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D12G</w:t>
            </w:r>
          </w:p>
        </w:tc>
        <w:tc>
          <w:tcPr>
            <w:tcW w:w="2126" w:type="dxa"/>
            <w:shd w:val="clear" w:color="auto" w:fill="C6EFCE"/>
          </w:tcPr>
          <w:p w14:paraId="29965688" w14:textId="111A2972"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D1.1.1 Rozwój</w:t>
            </w:r>
            <w:r w:rsidR="00A33B9F" w:rsidRPr="00A33B9F">
              <w:rPr>
                <w:rFonts w:ascii="Times New Roman" w:hAnsi="Times New Roman"/>
                <w:noProof/>
                <w:color w:val="000000"/>
                <w:sz w:val="18"/>
              </w:rPr>
              <w:t xml:space="preserve"> i mod</w:t>
            </w:r>
            <w:r w:rsidRPr="00A33B9F">
              <w:rPr>
                <w:rFonts w:ascii="Times New Roman" w:hAnsi="Times New Roman"/>
                <w:noProof/>
                <w:color w:val="000000"/>
                <w:sz w:val="18"/>
              </w:rPr>
              <w:t>ernizacja infrastruktury centrów opieki wysokospecjalistycznej</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 xml:space="preserve">ych podmiotów leczniczych </w:t>
            </w:r>
          </w:p>
        </w:tc>
        <w:tc>
          <w:tcPr>
            <w:tcW w:w="1050" w:type="dxa"/>
            <w:shd w:val="clear" w:color="auto" w:fill="C6EFCE"/>
          </w:tcPr>
          <w:p w14:paraId="7359FBE3"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449FE34C" w14:textId="0E815B36"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T2 – Umowy podpisane między szpitalami</w:t>
            </w:r>
            <w:r w:rsidR="00A33B9F" w:rsidRPr="00A33B9F">
              <w:rPr>
                <w:rStyle w:val="normaltextrun"/>
                <w:rFonts w:ascii="Times New Roman" w:hAnsi="Times New Roman"/>
                <w:noProof/>
                <w:color w:val="000000" w:themeColor="text1"/>
                <w:sz w:val="18"/>
              </w:rPr>
              <w:t xml:space="preserve"> a Min</w:t>
            </w:r>
            <w:r w:rsidRPr="00A33B9F">
              <w:rPr>
                <w:rStyle w:val="normaltextrun"/>
                <w:rFonts w:ascii="Times New Roman" w:hAnsi="Times New Roman"/>
                <w:noProof/>
                <w:color w:val="000000" w:themeColor="text1"/>
                <w:sz w:val="18"/>
              </w:rPr>
              <w:t>isterstwem Zdrowia na zakup sprzętu medycznego lub przeprowadzenie inwestycji infrastrukturalnych</w:t>
            </w:r>
            <w:r w:rsidRPr="00A33B9F">
              <w:rPr>
                <w:rStyle w:val="eop"/>
                <w:rFonts w:ascii="Times New Roman" w:hAnsi="Times New Roman"/>
                <w:noProof/>
                <w:color w:val="000000" w:themeColor="text1"/>
                <w:sz w:val="18"/>
              </w:rPr>
              <w:t xml:space="preserve"> </w:t>
            </w:r>
          </w:p>
        </w:tc>
        <w:tc>
          <w:tcPr>
            <w:tcW w:w="1560" w:type="dxa"/>
            <w:shd w:val="clear" w:color="auto" w:fill="C6EFCE"/>
          </w:tcPr>
          <w:p w14:paraId="6012895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6F6CD65B"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shd w:val="clear" w:color="auto" w:fill="C6EFCE"/>
          </w:tcPr>
          <w:p w14:paraId="54532059" w14:textId="0E148250" w:rsidR="00736BBF" w:rsidRPr="00A33B9F" w:rsidRDefault="27DC9AFD"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61</w:t>
            </w:r>
          </w:p>
        </w:tc>
        <w:tc>
          <w:tcPr>
            <w:tcW w:w="850" w:type="dxa"/>
            <w:shd w:val="clear" w:color="auto" w:fill="C6EFCE"/>
          </w:tcPr>
          <w:p w14:paraId="58573FDA" w14:textId="15415894" w:rsidR="00736BBF" w:rsidRPr="00A33B9F" w:rsidRDefault="00DE15E7" w:rsidP="4220C76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249 </w:t>
            </w:r>
          </w:p>
        </w:tc>
        <w:tc>
          <w:tcPr>
            <w:tcW w:w="993" w:type="dxa"/>
            <w:shd w:val="clear" w:color="auto" w:fill="C6EFCE"/>
          </w:tcPr>
          <w:p w14:paraId="32FC2616"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3F4625D3"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3544" w:type="dxa"/>
            <w:shd w:val="clear" w:color="auto" w:fill="C6EFCE"/>
          </w:tcPr>
          <w:p w14:paraId="6971AD0A" w14:textId="49739460" w:rsidR="00736BBF" w:rsidRPr="00A33B9F" w:rsidRDefault="00736BBF" w:rsidP="004D3536">
            <w:pPr>
              <w:pStyle w:val="paragraph"/>
              <w:spacing w:before="0" w:beforeAutospacing="0" w:after="0" w:afterAutospacing="0"/>
              <w:textAlignment w:val="baseline"/>
              <w:rPr>
                <w:noProof/>
                <w:color w:val="000000" w:themeColor="text1"/>
                <w:sz w:val="18"/>
                <w:szCs w:val="18"/>
              </w:rPr>
            </w:pPr>
            <w:r w:rsidRPr="00A33B9F">
              <w:rPr>
                <w:rStyle w:val="normaltextrun"/>
                <w:noProof/>
                <w:color w:val="000000" w:themeColor="text1"/>
                <w:sz w:val="18"/>
              </w:rPr>
              <w:t>Liczba umów podpisanych między szpitalem</w:t>
            </w:r>
            <w:r w:rsidR="00A33B9F" w:rsidRPr="00A33B9F">
              <w:rPr>
                <w:rStyle w:val="normaltextrun"/>
                <w:noProof/>
                <w:color w:val="000000" w:themeColor="text1"/>
                <w:sz w:val="18"/>
              </w:rPr>
              <w:t xml:space="preserve"> a Min</w:t>
            </w:r>
            <w:r w:rsidRPr="00A33B9F">
              <w:rPr>
                <w:rStyle w:val="normaltextrun"/>
                <w:noProof/>
                <w:color w:val="000000" w:themeColor="text1"/>
                <w:sz w:val="18"/>
              </w:rPr>
              <w:t>isterstwem Zdrowia (lub inną instytucją wskazaną przez Ministerstwo) na zakup sprzętu medycznego lub udoskonalenie infrastruktury.</w:t>
            </w:r>
            <w:r w:rsidR="00C3621A" w:rsidRPr="00A33B9F">
              <w:rPr>
                <w:rStyle w:val="normaltextrun"/>
                <w:noProof/>
                <w:color w:val="000000" w:themeColor="text1"/>
                <w:sz w:val="18"/>
              </w:rPr>
              <w:t xml:space="preserve"> </w:t>
            </w:r>
          </w:p>
          <w:p w14:paraId="5F536647" w14:textId="1A1C1A65" w:rsidR="00736BBF" w:rsidRPr="00A33B9F" w:rsidRDefault="00736BBF" w:rsidP="004D3536">
            <w:pPr>
              <w:pStyle w:val="paragraph"/>
              <w:spacing w:before="0" w:beforeAutospacing="0" w:after="0" w:afterAutospacing="0"/>
              <w:textAlignment w:val="baseline"/>
              <w:rPr>
                <w:noProof/>
                <w:sz w:val="18"/>
                <w:szCs w:val="18"/>
              </w:rPr>
            </w:pPr>
            <w:r w:rsidRPr="00A33B9F">
              <w:rPr>
                <w:rStyle w:val="normaltextrun"/>
                <w:noProof/>
                <w:color w:val="000000"/>
                <w:sz w:val="18"/>
              </w:rPr>
              <w:t>Sprzęt medyczny przyczyni się do poprawy jakości opieki, dostępności zasobów oraz zapewnienia kompleksowego dostępu do opieki zdrowotnej we właściwym czasie.</w:t>
            </w:r>
            <w:r w:rsidRPr="00A33B9F">
              <w:rPr>
                <w:rStyle w:val="eop"/>
                <w:noProof/>
                <w:color w:val="000000"/>
                <w:sz w:val="18"/>
              </w:rPr>
              <w:t xml:space="preserve"> </w:t>
            </w:r>
          </w:p>
          <w:p w14:paraId="04DC446B" w14:textId="396FCBF8" w:rsidR="00736BBF" w:rsidRPr="00A33B9F" w:rsidRDefault="00736BBF" w:rsidP="004D3536">
            <w:pPr>
              <w:pStyle w:val="paragraph"/>
              <w:spacing w:before="0" w:beforeAutospacing="0" w:after="0" w:afterAutospacing="0"/>
              <w:textAlignment w:val="baseline"/>
              <w:rPr>
                <w:noProof/>
                <w:sz w:val="18"/>
                <w:szCs w:val="18"/>
              </w:rPr>
            </w:pPr>
            <w:r w:rsidRPr="00A33B9F">
              <w:rPr>
                <w:rStyle w:val="normaltextrun"/>
                <w:noProof/>
                <w:color w:val="000000"/>
                <w:sz w:val="18"/>
              </w:rPr>
              <w:t>Udoskonalenie infrastruktury przyczyni się do poprawy jakości opieki, dostępności zasobów oraz zapewnienia kompleksowego dostępu do opieki zdrowotnej we właściwym czasie. </w:t>
            </w:r>
          </w:p>
          <w:p w14:paraId="20E36DAB" w14:textId="528C7285" w:rsidR="00736BBF" w:rsidRPr="00A33B9F" w:rsidRDefault="00736BBF" w:rsidP="004D3536">
            <w:pPr>
              <w:pStyle w:val="paragraph"/>
              <w:spacing w:before="0" w:beforeAutospacing="0" w:after="0" w:afterAutospacing="0"/>
              <w:textAlignment w:val="baseline"/>
              <w:rPr>
                <w:noProof/>
                <w:color w:val="000000" w:themeColor="text1"/>
                <w:sz w:val="18"/>
                <w:szCs w:val="18"/>
              </w:rPr>
            </w:pPr>
            <w:r w:rsidRPr="00A33B9F">
              <w:rPr>
                <w:rStyle w:val="normaltextrun"/>
                <w:noProof/>
                <w:color w:val="000000" w:themeColor="text1"/>
                <w:sz w:val="18"/>
              </w:rPr>
              <w:t>Wsparcie obejmuje wyłącznie zakres działań związanych</w:t>
            </w:r>
            <w:r w:rsidR="00A33B9F" w:rsidRPr="00A33B9F">
              <w:rPr>
                <w:rStyle w:val="normaltextrun"/>
                <w:noProof/>
                <w:color w:val="000000" w:themeColor="text1"/>
                <w:sz w:val="18"/>
              </w:rPr>
              <w:t xml:space="preserve"> z udz</w:t>
            </w:r>
            <w:r w:rsidRPr="00A33B9F">
              <w:rPr>
                <w:rStyle w:val="normaltextrun"/>
                <w:noProof/>
                <w:color w:val="000000" w:themeColor="text1"/>
                <w:sz w:val="18"/>
              </w:rPr>
              <w:t>ielaniem świadczeń zdrowotnych finansowanych przez Narodowy Fundusz Zdrowia</w:t>
            </w:r>
            <w:r w:rsidR="00A33B9F" w:rsidRPr="00A33B9F">
              <w:rPr>
                <w:rStyle w:val="normaltextrun"/>
                <w:noProof/>
                <w:color w:val="000000" w:themeColor="text1"/>
                <w:sz w:val="18"/>
              </w:rPr>
              <w:t xml:space="preserve"> i nie</w:t>
            </w:r>
            <w:r w:rsidRPr="00A33B9F">
              <w:rPr>
                <w:rStyle w:val="normaltextrun"/>
                <w:noProof/>
                <w:color w:val="000000" w:themeColor="text1"/>
                <w:sz w:val="18"/>
              </w:rPr>
              <w:t xml:space="preserve"> obejmuje działalności komercyjnej.</w:t>
            </w:r>
            <w:r w:rsidRPr="00A33B9F">
              <w:rPr>
                <w:rStyle w:val="eop"/>
                <w:noProof/>
                <w:color w:val="000000" w:themeColor="text1"/>
                <w:sz w:val="18"/>
              </w:rPr>
              <w:t xml:space="preserve"> </w:t>
            </w:r>
          </w:p>
        </w:tc>
      </w:tr>
      <w:tr w:rsidR="008C116B" w:rsidRPr="00A33B9F" w14:paraId="5B834A54" w14:textId="77777777" w:rsidTr="1CE0CE0C">
        <w:trPr>
          <w:trHeight w:val="313"/>
        </w:trPr>
        <w:tc>
          <w:tcPr>
            <w:tcW w:w="709" w:type="dxa"/>
            <w:shd w:val="clear" w:color="auto" w:fill="C6EFCE"/>
          </w:tcPr>
          <w:p w14:paraId="0DBE0C47" w14:textId="124AA0BA" w:rsidR="00F464C8" w:rsidRPr="00A33B9F" w:rsidRDefault="00F464C8" w:rsidP="00F464C8">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D13G</w:t>
            </w:r>
          </w:p>
        </w:tc>
        <w:tc>
          <w:tcPr>
            <w:tcW w:w="2126" w:type="dxa"/>
            <w:shd w:val="clear" w:color="auto" w:fill="C6EFCE"/>
          </w:tcPr>
          <w:p w14:paraId="4EE9B691" w14:textId="4599EAE5"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D1.1.1 Rozwój</w:t>
            </w:r>
            <w:r w:rsidR="00A33B9F" w:rsidRPr="00A33B9F">
              <w:rPr>
                <w:rFonts w:ascii="Times New Roman" w:hAnsi="Times New Roman"/>
                <w:noProof/>
                <w:color w:val="000000"/>
                <w:sz w:val="18"/>
              </w:rPr>
              <w:t xml:space="preserve"> i mod</w:t>
            </w:r>
            <w:r w:rsidRPr="00A33B9F">
              <w:rPr>
                <w:rFonts w:ascii="Times New Roman" w:hAnsi="Times New Roman"/>
                <w:noProof/>
                <w:color w:val="000000"/>
                <w:sz w:val="18"/>
              </w:rPr>
              <w:t>ernizacja infrastruktury centrów opieki wysokospecjalistycznej</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ych podmiotów leczniczych</w:t>
            </w:r>
          </w:p>
        </w:tc>
        <w:tc>
          <w:tcPr>
            <w:tcW w:w="1050" w:type="dxa"/>
            <w:shd w:val="clear" w:color="auto" w:fill="C6EFCE"/>
          </w:tcPr>
          <w:p w14:paraId="717BA7C0"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p w14:paraId="770DAA0B"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785" w:type="dxa"/>
            <w:shd w:val="clear" w:color="auto" w:fill="C6EFCE"/>
          </w:tcPr>
          <w:p w14:paraId="2FDF70A7" w14:textId="05791E37"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Szpitale dysponujące nowym sprzętem medycznym zakupionym</w:t>
            </w:r>
            <w:r w:rsidR="00A33B9F" w:rsidRPr="00A33B9F">
              <w:rPr>
                <w:rStyle w:val="normaltextrun"/>
                <w:noProof/>
                <w:color w:val="000000" w:themeColor="text1"/>
                <w:sz w:val="18"/>
              </w:rPr>
              <w:t xml:space="preserve"> w zwi</w:t>
            </w:r>
            <w:r w:rsidRPr="00A33B9F">
              <w:rPr>
                <w:rStyle w:val="normaltextrun"/>
                <w:noProof/>
                <w:color w:val="000000" w:themeColor="text1"/>
                <w:sz w:val="18"/>
              </w:rPr>
              <w:t>ązku</w:t>
            </w:r>
            <w:r w:rsidR="00A33B9F" w:rsidRPr="00A33B9F">
              <w:rPr>
                <w:rStyle w:val="normaltextrun"/>
                <w:noProof/>
                <w:color w:val="000000" w:themeColor="text1"/>
                <w:sz w:val="18"/>
              </w:rPr>
              <w:t xml:space="preserve"> z ich</w:t>
            </w:r>
            <w:r w:rsidRPr="00A33B9F">
              <w:rPr>
                <w:rStyle w:val="normaltextrun"/>
                <w:noProof/>
                <w:color w:val="000000" w:themeColor="text1"/>
                <w:sz w:val="18"/>
              </w:rPr>
              <w:t xml:space="preserve"> restrukturyzacją lub wprowadzeniem ich do Krajowej Sieci Onkologicznej</w:t>
            </w:r>
            <w:r w:rsidRPr="00A33B9F">
              <w:rPr>
                <w:rStyle w:val="eop"/>
                <w:noProof/>
                <w:color w:val="000000" w:themeColor="text1"/>
                <w:sz w:val="18"/>
              </w:rPr>
              <w:t xml:space="preserve"> </w:t>
            </w:r>
          </w:p>
          <w:p w14:paraId="6241723D" w14:textId="29F192E8" w:rsidR="00F464C8" w:rsidRPr="00A33B9F" w:rsidRDefault="00F464C8" w:rsidP="00F464C8">
            <w:pPr>
              <w:pStyle w:val="Normal0"/>
              <w:pBdr>
                <w:top w:val="nil"/>
                <w:left w:val="nil"/>
                <w:bottom w:val="nil"/>
                <w:right w:val="nil"/>
                <w:between w:val="nil"/>
              </w:pBdr>
              <w:spacing w:after="0" w:line="240" w:lineRule="auto"/>
              <w:rPr>
                <w:rStyle w:val="normaltextrun"/>
                <w:rFonts w:ascii="Times New Roman" w:hAnsi="Times New Roman" w:cs="Times New Roman"/>
                <w:noProof/>
                <w:color w:val="000000" w:themeColor="text1"/>
                <w:sz w:val="18"/>
                <w:szCs w:val="18"/>
              </w:rPr>
            </w:pPr>
            <w:r w:rsidRPr="00A33B9F">
              <w:rPr>
                <w:rStyle w:val="eop"/>
                <w:rFonts w:ascii="Times New Roman" w:hAnsi="Times New Roman"/>
                <w:noProof/>
                <w:color w:val="000000"/>
                <w:sz w:val="18"/>
              </w:rPr>
              <w:t xml:space="preserve"> </w:t>
            </w:r>
          </w:p>
        </w:tc>
        <w:tc>
          <w:tcPr>
            <w:tcW w:w="1560" w:type="dxa"/>
            <w:shd w:val="clear" w:color="auto" w:fill="C6EFCE"/>
          </w:tcPr>
          <w:p w14:paraId="03C86CF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247" w:type="dxa"/>
            <w:shd w:val="clear" w:color="auto" w:fill="C6EFCE"/>
          </w:tcPr>
          <w:p w14:paraId="339D98C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p w14:paraId="3B08512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276" w:type="dxa"/>
            <w:shd w:val="clear" w:color="auto" w:fill="C6EFCE"/>
          </w:tcPr>
          <w:p w14:paraId="3FFA3972"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p w14:paraId="491D81A8"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850" w:type="dxa"/>
            <w:shd w:val="clear" w:color="auto" w:fill="C6EFCE"/>
          </w:tcPr>
          <w:p w14:paraId="7D7AA4A0" w14:textId="2B98EBF0" w:rsidR="00F464C8" w:rsidRPr="00A33B9F" w:rsidRDefault="1274ED20" w:rsidP="1CE0CE0C">
            <w:pPr>
              <w:pStyle w:val="Normal0"/>
              <w:pBdr>
                <w:top w:val="nil"/>
                <w:left w:val="nil"/>
                <w:bottom w:val="nil"/>
                <w:right w:val="nil"/>
                <w:between w:val="nil"/>
              </w:pBdr>
              <w:spacing w:after="0" w:line="240" w:lineRule="auto"/>
              <w:jc w:val="right"/>
              <w:rPr>
                <w:rFonts w:ascii="Times New Roman" w:hAnsi="Times New Roman"/>
                <w:noProof/>
                <w:color w:val="000000" w:themeColor="text1"/>
                <w:sz w:val="18"/>
                <w:szCs w:val="18"/>
              </w:rPr>
            </w:pPr>
            <w:r w:rsidRPr="00A33B9F">
              <w:rPr>
                <w:rFonts w:ascii="Times New Roman" w:hAnsi="Times New Roman"/>
                <w:noProof/>
                <w:color w:val="000000" w:themeColor="text1"/>
                <w:sz w:val="18"/>
              </w:rPr>
              <w:t>226</w:t>
            </w:r>
          </w:p>
          <w:p w14:paraId="0C03F0FC"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3" w:type="dxa"/>
            <w:shd w:val="clear" w:color="auto" w:fill="C6EFCE"/>
          </w:tcPr>
          <w:p w14:paraId="650A82A3"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p w14:paraId="0E40BD0E"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p>
        </w:tc>
        <w:tc>
          <w:tcPr>
            <w:tcW w:w="708" w:type="dxa"/>
            <w:shd w:val="clear" w:color="auto" w:fill="C6EFCE"/>
          </w:tcPr>
          <w:p w14:paraId="5F429270"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p w14:paraId="64A17CD4"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p>
        </w:tc>
        <w:tc>
          <w:tcPr>
            <w:tcW w:w="3544" w:type="dxa"/>
            <w:shd w:val="clear" w:color="auto" w:fill="C6EFCE"/>
          </w:tcPr>
          <w:p w14:paraId="17F8A9C2" w14:textId="33136E4B" w:rsidR="00F464C8" w:rsidRPr="00A33B9F" w:rsidRDefault="320446A7" w:rsidP="1CE0CE0C">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Liczba szpitali dysponujących nowym sprzętem medycznym zakupionym</w:t>
            </w:r>
            <w:r w:rsidR="00A33B9F" w:rsidRPr="00A33B9F">
              <w:rPr>
                <w:rStyle w:val="normaltextrun"/>
                <w:noProof/>
                <w:color w:val="000000" w:themeColor="text1"/>
                <w:sz w:val="18"/>
              </w:rPr>
              <w:t xml:space="preserve"> w zwi</w:t>
            </w:r>
            <w:r w:rsidRPr="00A33B9F">
              <w:rPr>
                <w:rStyle w:val="normaltextrun"/>
                <w:noProof/>
                <w:color w:val="000000" w:themeColor="text1"/>
                <w:sz w:val="18"/>
              </w:rPr>
              <w:t>ązku</w:t>
            </w:r>
            <w:r w:rsidR="00A33B9F" w:rsidRPr="00A33B9F">
              <w:rPr>
                <w:rStyle w:val="normaltextrun"/>
                <w:noProof/>
                <w:color w:val="000000" w:themeColor="text1"/>
                <w:sz w:val="18"/>
              </w:rPr>
              <w:t xml:space="preserve"> z ich</w:t>
            </w:r>
            <w:r w:rsidRPr="00A33B9F">
              <w:rPr>
                <w:rStyle w:val="normaltextrun"/>
                <w:noProof/>
                <w:color w:val="000000" w:themeColor="text1"/>
                <w:sz w:val="18"/>
              </w:rPr>
              <w:t xml:space="preserve"> restrukturyzacją lub wprowadzeniem ich do Krajowej Sieci Onkologicznej</w:t>
            </w:r>
            <w:r w:rsidRPr="00A33B9F">
              <w:rPr>
                <w:rStyle w:val="eop"/>
                <w:noProof/>
                <w:color w:val="000000" w:themeColor="text1"/>
                <w:sz w:val="18"/>
              </w:rPr>
              <w:t xml:space="preserve"> </w:t>
            </w:r>
          </w:p>
          <w:p w14:paraId="39952D80" w14:textId="77777777" w:rsidR="00F464C8" w:rsidRPr="00A33B9F" w:rsidRDefault="320446A7" w:rsidP="1CE0CE0C">
            <w:pPr>
              <w:pStyle w:val="paragraph"/>
              <w:spacing w:before="0" w:beforeAutospacing="0" w:after="0" w:afterAutospacing="0"/>
              <w:jc w:val="both"/>
              <w:textAlignment w:val="baseline"/>
              <w:rPr>
                <w:noProof/>
                <w:sz w:val="18"/>
                <w:szCs w:val="18"/>
              </w:rPr>
            </w:pPr>
            <w:r w:rsidRPr="00A33B9F">
              <w:rPr>
                <w:rStyle w:val="normaltextrun"/>
                <w:noProof/>
                <w:color w:val="000000" w:themeColor="text1"/>
                <w:sz w:val="18"/>
              </w:rPr>
              <w:t>Zakupiony sprzęt medyczny przyczyni się do poprawy jakości opieki, dostępności zasobów oraz zapewnienia kompleksowego dostępu do opieki zdrowotnej we właściwym czasie.</w:t>
            </w:r>
            <w:r w:rsidRPr="00A33B9F">
              <w:rPr>
                <w:rStyle w:val="eop"/>
                <w:noProof/>
                <w:color w:val="000000" w:themeColor="text1"/>
                <w:sz w:val="18"/>
              </w:rPr>
              <w:t xml:space="preserve"> </w:t>
            </w:r>
          </w:p>
          <w:p w14:paraId="223EBA71" w14:textId="28DDE475" w:rsidR="00F464C8" w:rsidRPr="00A33B9F" w:rsidRDefault="00F464C8" w:rsidP="00F464C8">
            <w:pPr>
              <w:pStyle w:val="paragraph"/>
              <w:spacing w:before="0" w:beforeAutospacing="0" w:after="0" w:afterAutospacing="0"/>
              <w:textAlignment w:val="baseline"/>
              <w:rPr>
                <w:rStyle w:val="normaltextrun"/>
                <w:noProof/>
                <w:color w:val="000000" w:themeColor="text1"/>
                <w:sz w:val="18"/>
                <w:szCs w:val="18"/>
              </w:rPr>
            </w:pPr>
            <w:r w:rsidRPr="00A33B9F">
              <w:rPr>
                <w:rStyle w:val="normaltextrun"/>
                <w:noProof/>
                <w:color w:val="000000" w:themeColor="text1"/>
                <w:sz w:val="18"/>
              </w:rPr>
              <w:t>Wsparcie obejmuje wyłącznie zakres działań związanych</w:t>
            </w:r>
            <w:r w:rsidR="00A33B9F" w:rsidRPr="00A33B9F">
              <w:rPr>
                <w:rStyle w:val="normaltextrun"/>
                <w:noProof/>
                <w:color w:val="000000" w:themeColor="text1"/>
                <w:sz w:val="18"/>
              </w:rPr>
              <w:t xml:space="preserve"> z udz</w:t>
            </w:r>
            <w:r w:rsidRPr="00A33B9F">
              <w:rPr>
                <w:rStyle w:val="normaltextrun"/>
                <w:noProof/>
                <w:color w:val="000000" w:themeColor="text1"/>
                <w:sz w:val="18"/>
              </w:rPr>
              <w:t>ielaniem świadczeń zdrowotnych finansowanych przez Narodowy Fundusz Zdrowia</w:t>
            </w:r>
            <w:r w:rsidR="00A33B9F" w:rsidRPr="00A33B9F">
              <w:rPr>
                <w:rStyle w:val="normaltextrun"/>
                <w:noProof/>
                <w:color w:val="000000" w:themeColor="text1"/>
                <w:sz w:val="18"/>
              </w:rPr>
              <w:t xml:space="preserve"> i nie</w:t>
            </w:r>
            <w:r w:rsidRPr="00A33B9F">
              <w:rPr>
                <w:rStyle w:val="normaltextrun"/>
                <w:noProof/>
                <w:color w:val="000000" w:themeColor="text1"/>
                <w:sz w:val="18"/>
              </w:rPr>
              <w:t xml:space="preserve"> obejmuje działalności komercyjnej.</w:t>
            </w:r>
            <w:r w:rsidRPr="00A33B9F">
              <w:rPr>
                <w:rStyle w:val="eop"/>
                <w:noProof/>
                <w:color w:val="000000" w:themeColor="text1"/>
                <w:sz w:val="18"/>
              </w:rPr>
              <w:t xml:space="preserve"> </w:t>
            </w:r>
          </w:p>
        </w:tc>
      </w:tr>
      <w:tr w:rsidR="008C116B" w:rsidRPr="00A33B9F" w14:paraId="0203F46C" w14:textId="77777777" w:rsidTr="1CE0CE0C">
        <w:trPr>
          <w:trHeight w:val="313"/>
        </w:trPr>
        <w:tc>
          <w:tcPr>
            <w:tcW w:w="709" w:type="dxa"/>
            <w:shd w:val="clear" w:color="auto" w:fill="C6EFCE"/>
          </w:tcPr>
          <w:p w14:paraId="082C48EB" w14:textId="6D05F044" w:rsidR="00F464C8" w:rsidRPr="00A33B9F" w:rsidRDefault="00F464C8" w:rsidP="00F464C8">
            <w:pPr>
              <w:pStyle w:val="Normal0"/>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sz w:val="18"/>
              </w:rPr>
              <w:t>D14G</w:t>
            </w:r>
          </w:p>
        </w:tc>
        <w:tc>
          <w:tcPr>
            <w:tcW w:w="2126" w:type="dxa"/>
            <w:shd w:val="clear" w:color="auto" w:fill="C6EFCE"/>
          </w:tcPr>
          <w:p w14:paraId="560A724C" w14:textId="4BFC5CEB"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D1.1.1 Rozwój</w:t>
            </w:r>
            <w:r w:rsidR="00A33B9F" w:rsidRPr="00A33B9F">
              <w:rPr>
                <w:rFonts w:ascii="Times New Roman" w:hAnsi="Times New Roman"/>
                <w:noProof/>
                <w:color w:val="000000"/>
                <w:sz w:val="18"/>
              </w:rPr>
              <w:t xml:space="preserve"> i mod</w:t>
            </w:r>
            <w:r w:rsidRPr="00A33B9F">
              <w:rPr>
                <w:rFonts w:ascii="Times New Roman" w:hAnsi="Times New Roman"/>
                <w:noProof/>
                <w:color w:val="000000"/>
                <w:sz w:val="18"/>
              </w:rPr>
              <w:t>ernizacja infrastruktury centrów opieki wysokospecjalistycznej</w:t>
            </w:r>
            <w:r w:rsidR="00A33B9F" w:rsidRPr="00A33B9F">
              <w:rPr>
                <w:rFonts w:ascii="Times New Roman" w:hAnsi="Times New Roman"/>
                <w:noProof/>
                <w:color w:val="000000"/>
                <w:sz w:val="18"/>
              </w:rPr>
              <w:t xml:space="preserve"> i inn</w:t>
            </w:r>
            <w:r w:rsidRPr="00A33B9F">
              <w:rPr>
                <w:rFonts w:ascii="Times New Roman" w:hAnsi="Times New Roman"/>
                <w:noProof/>
                <w:color w:val="000000"/>
                <w:sz w:val="18"/>
              </w:rPr>
              <w:t xml:space="preserve">ych podmiotów leczniczych </w:t>
            </w:r>
          </w:p>
        </w:tc>
        <w:tc>
          <w:tcPr>
            <w:tcW w:w="1050" w:type="dxa"/>
            <w:shd w:val="clear" w:color="auto" w:fill="C6EFCE"/>
          </w:tcPr>
          <w:p w14:paraId="302B440B"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4A0384C9" w14:textId="5FE0EF90"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Szpitale,</w:t>
            </w:r>
            <w:r w:rsidR="00A33B9F" w:rsidRPr="00A33B9F">
              <w:rPr>
                <w:rStyle w:val="normaltextrun"/>
                <w:rFonts w:ascii="Times New Roman" w:hAnsi="Times New Roman"/>
                <w:noProof/>
                <w:color w:val="000000" w:themeColor="text1"/>
                <w:sz w:val="18"/>
              </w:rPr>
              <w:t xml:space="preserve"> w któ</w:t>
            </w:r>
            <w:r w:rsidRPr="00A33B9F">
              <w:rPr>
                <w:rStyle w:val="normaltextrun"/>
                <w:rFonts w:ascii="Times New Roman" w:hAnsi="Times New Roman"/>
                <w:noProof/>
                <w:color w:val="000000" w:themeColor="text1"/>
                <w:sz w:val="18"/>
              </w:rPr>
              <w:t>rych udoskonalono infrastrukturę</w:t>
            </w:r>
            <w:r w:rsidR="00A33B9F" w:rsidRPr="00A33B9F">
              <w:rPr>
                <w:rStyle w:val="normaltextrun"/>
                <w:rFonts w:ascii="Times New Roman" w:hAnsi="Times New Roman"/>
                <w:noProof/>
                <w:color w:val="000000" w:themeColor="text1"/>
                <w:sz w:val="18"/>
              </w:rPr>
              <w:t xml:space="preserve"> w zwi</w:t>
            </w:r>
            <w:r w:rsidRPr="00A33B9F">
              <w:rPr>
                <w:rStyle w:val="normaltextrun"/>
                <w:rFonts w:ascii="Times New Roman" w:hAnsi="Times New Roman"/>
                <w:noProof/>
                <w:color w:val="000000" w:themeColor="text1"/>
                <w:sz w:val="18"/>
              </w:rPr>
              <w:t>ązku</w:t>
            </w:r>
            <w:r w:rsidR="00A33B9F" w:rsidRPr="00A33B9F">
              <w:rPr>
                <w:rStyle w:val="normaltextrun"/>
                <w:rFonts w:ascii="Times New Roman" w:hAnsi="Times New Roman"/>
                <w:noProof/>
                <w:color w:val="000000" w:themeColor="text1"/>
                <w:sz w:val="18"/>
              </w:rPr>
              <w:t xml:space="preserve"> z ich</w:t>
            </w:r>
            <w:r w:rsidRPr="00A33B9F">
              <w:rPr>
                <w:rStyle w:val="normaltextrun"/>
                <w:rFonts w:ascii="Times New Roman" w:hAnsi="Times New Roman"/>
                <w:noProof/>
                <w:color w:val="000000" w:themeColor="text1"/>
                <w:sz w:val="18"/>
              </w:rPr>
              <w:t xml:space="preserve"> restrukturyzacją</w:t>
            </w:r>
            <w:r w:rsidRPr="00A33B9F">
              <w:rPr>
                <w:rStyle w:val="eop"/>
                <w:rFonts w:ascii="Times New Roman" w:hAnsi="Times New Roman"/>
                <w:noProof/>
                <w:color w:val="000000" w:themeColor="text1"/>
                <w:sz w:val="18"/>
              </w:rPr>
              <w:t xml:space="preserve"> lub wprowadzeniem ich do Krajowej Sieci Onkologicznej</w:t>
            </w:r>
          </w:p>
        </w:tc>
        <w:tc>
          <w:tcPr>
            <w:tcW w:w="1560" w:type="dxa"/>
            <w:shd w:val="clear" w:color="auto" w:fill="C6EFCE"/>
          </w:tcPr>
          <w:p w14:paraId="137E181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04DEF2FD"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shd w:val="clear" w:color="auto" w:fill="C6EFCE"/>
          </w:tcPr>
          <w:p w14:paraId="3940899A"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0E0408DF" w14:textId="589EF2D8" w:rsidR="00F464C8" w:rsidRPr="00A33B9F" w:rsidRDefault="00DE15E7" w:rsidP="0092515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211 </w:t>
            </w:r>
          </w:p>
        </w:tc>
        <w:tc>
          <w:tcPr>
            <w:tcW w:w="993" w:type="dxa"/>
            <w:shd w:val="clear" w:color="auto" w:fill="C6EFCE"/>
          </w:tcPr>
          <w:p w14:paraId="221950D3"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3EDC4CE0"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00FCC4F9" w14:textId="310A0CF8"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Liczba szpitali,</w:t>
            </w:r>
            <w:r w:rsidR="00A33B9F" w:rsidRPr="00A33B9F">
              <w:rPr>
                <w:rStyle w:val="normaltextrun"/>
                <w:noProof/>
                <w:color w:val="000000" w:themeColor="text1"/>
                <w:sz w:val="18"/>
              </w:rPr>
              <w:t xml:space="preserve"> w któ</w:t>
            </w:r>
            <w:r w:rsidRPr="00A33B9F">
              <w:rPr>
                <w:rStyle w:val="normaltextrun"/>
                <w:noProof/>
                <w:color w:val="000000" w:themeColor="text1"/>
                <w:sz w:val="18"/>
              </w:rPr>
              <w:t>rych zwiększono inwestycje infrastrukturalne</w:t>
            </w:r>
            <w:r w:rsidR="00A33B9F" w:rsidRPr="00A33B9F">
              <w:rPr>
                <w:rStyle w:val="normaltextrun"/>
                <w:noProof/>
                <w:color w:val="000000" w:themeColor="text1"/>
                <w:sz w:val="18"/>
              </w:rPr>
              <w:t xml:space="preserve"> w zwi</w:t>
            </w:r>
            <w:r w:rsidRPr="00A33B9F">
              <w:rPr>
                <w:rStyle w:val="normaltextrun"/>
                <w:noProof/>
                <w:color w:val="000000" w:themeColor="text1"/>
                <w:sz w:val="18"/>
              </w:rPr>
              <w:t>ązku</w:t>
            </w:r>
            <w:r w:rsidR="00A33B9F" w:rsidRPr="00A33B9F">
              <w:rPr>
                <w:rStyle w:val="normaltextrun"/>
                <w:noProof/>
                <w:color w:val="000000" w:themeColor="text1"/>
                <w:sz w:val="18"/>
              </w:rPr>
              <w:t xml:space="preserve"> z ich</w:t>
            </w:r>
            <w:r w:rsidRPr="00A33B9F">
              <w:rPr>
                <w:rStyle w:val="normaltextrun"/>
                <w:noProof/>
                <w:color w:val="000000" w:themeColor="text1"/>
                <w:sz w:val="18"/>
              </w:rPr>
              <w:t xml:space="preserve"> restrukturyzacją lub wprowadzeniem ich do Krajowej Sieci Onkologicznej.</w:t>
            </w:r>
            <w:r w:rsidR="00C3621A" w:rsidRPr="00A33B9F">
              <w:rPr>
                <w:rStyle w:val="normaltextrun"/>
                <w:noProof/>
                <w:color w:val="000000" w:themeColor="text1"/>
                <w:sz w:val="18"/>
              </w:rPr>
              <w:t xml:space="preserve"> </w:t>
            </w:r>
          </w:p>
          <w:p w14:paraId="7C1D2A4B" w14:textId="77777777" w:rsidR="00F464C8" w:rsidRPr="00A33B9F" w:rsidRDefault="00F464C8" w:rsidP="00F464C8">
            <w:pPr>
              <w:pStyle w:val="paragraph"/>
              <w:spacing w:before="0" w:beforeAutospacing="0" w:after="0" w:afterAutospacing="0"/>
              <w:jc w:val="both"/>
              <w:textAlignment w:val="baseline"/>
              <w:rPr>
                <w:noProof/>
                <w:sz w:val="18"/>
                <w:szCs w:val="18"/>
              </w:rPr>
            </w:pPr>
            <w:r w:rsidRPr="00A33B9F">
              <w:rPr>
                <w:rStyle w:val="normaltextrun"/>
                <w:noProof/>
                <w:color w:val="000000"/>
                <w:sz w:val="18"/>
              </w:rPr>
              <w:t>Udoskonalona infrastruktura przyczyni się do poprawy jakości opieki, dostępności zasobów oraz zapewnienia kompleksowego dostępu do opieki zdrowotnej we właściwym czasie.</w:t>
            </w:r>
            <w:r w:rsidRPr="00A33B9F">
              <w:rPr>
                <w:rStyle w:val="eop"/>
                <w:noProof/>
                <w:color w:val="000000"/>
                <w:sz w:val="18"/>
              </w:rPr>
              <w:t xml:space="preserve"> </w:t>
            </w:r>
          </w:p>
          <w:p w14:paraId="7332107B" w14:textId="05E2B62F" w:rsidR="00F464C8" w:rsidRPr="00A33B9F" w:rsidRDefault="00F464C8" w:rsidP="00F464C8">
            <w:pPr>
              <w:pStyle w:val="paragraph"/>
              <w:spacing w:before="0" w:beforeAutospacing="0" w:after="0" w:afterAutospacing="0"/>
              <w:jc w:val="both"/>
              <w:textAlignment w:val="baseline"/>
              <w:rPr>
                <w:noProof/>
                <w:sz w:val="18"/>
                <w:szCs w:val="18"/>
              </w:rPr>
            </w:pPr>
            <w:r w:rsidRPr="00A33B9F">
              <w:rPr>
                <w:rStyle w:val="normaltextrun"/>
                <w:noProof/>
                <w:color w:val="000000" w:themeColor="text1"/>
                <w:sz w:val="18"/>
              </w:rPr>
              <w:t>Wsparcie obejmuje wyłącznie zakres działań związanych</w:t>
            </w:r>
            <w:r w:rsidR="00A33B9F" w:rsidRPr="00A33B9F">
              <w:rPr>
                <w:rStyle w:val="normaltextrun"/>
                <w:noProof/>
                <w:color w:val="000000" w:themeColor="text1"/>
                <w:sz w:val="18"/>
              </w:rPr>
              <w:t xml:space="preserve"> z udz</w:t>
            </w:r>
            <w:r w:rsidRPr="00A33B9F">
              <w:rPr>
                <w:rStyle w:val="normaltextrun"/>
                <w:noProof/>
                <w:color w:val="000000" w:themeColor="text1"/>
                <w:sz w:val="18"/>
              </w:rPr>
              <w:t>ielaniem świadczeń zdrowotnych finansowanych przez Narodowy Fundusz Zdrowia</w:t>
            </w:r>
            <w:r w:rsidR="00A33B9F" w:rsidRPr="00A33B9F">
              <w:rPr>
                <w:rStyle w:val="normaltextrun"/>
                <w:noProof/>
                <w:color w:val="000000" w:themeColor="text1"/>
                <w:sz w:val="18"/>
              </w:rPr>
              <w:t xml:space="preserve"> i nie</w:t>
            </w:r>
            <w:r w:rsidRPr="00A33B9F">
              <w:rPr>
                <w:rStyle w:val="normaltextrun"/>
                <w:noProof/>
                <w:color w:val="000000" w:themeColor="text1"/>
                <w:sz w:val="18"/>
              </w:rPr>
              <w:t xml:space="preserve"> obejmuje działalności komercyjnej.</w:t>
            </w:r>
            <w:r w:rsidRPr="00A33B9F">
              <w:rPr>
                <w:rStyle w:val="eop"/>
                <w:noProof/>
                <w:color w:val="000000" w:themeColor="text1"/>
                <w:sz w:val="18"/>
              </w:rPr>
              <w:t xml:space="preserve"> </w:t>
            </w:r>
          </w:p>
        </w:tc>
      </w:tr>
      <w:tr w:rsidR="008C116B" w:rsidRPr="00A33B9F" w14:paraId="0153C413" w14:textId="77777777" w:rsidTr="1CE0CE0C">
        <w:trPr>
          <w:trHeight w:val="313"/>
        </w:trPr>
        <w:tc>
          <w:tcPr>
            <w:tcW w:w="709" w:type="dxa"/>
            <w:shd w:val="clear" w:color="auto" w:fill="C6EFCE"/>
          </w:tcPr>
          <w:p w14:paraId="2186202D" w14:textId="17DF56A5"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D15G</w:t>
            </w:r>
          </w:p>
        </w:tc>
        <w:tc>
          <w:tcPr>
            <w:tcW w:w="2126" w:type="dxa"/>
            <w:shd w:val="clear" w:color="auto" w:fill="C6EFCE"/>
          </w:tcPr>
          <w:p w14:paraId="2FEAC116" w14:textId="19E89D98"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1F6AA11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4FAF13AE" w14:textId="047A72FA"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Wdrożenie nowych e-usług,</w:t>
            </w:r>
            <w:r w:rsidR="00A33B9F" w:rsidRPr="00A33B9F">
              <w:rPr>
                <w:rStyle w:val="normaltextrun"/>
                <w:rFonts w:ascii="Times New Roman" w:hAnsi="Times New Roman"/>
                <w:noProof/>
                <w:color w:val="000000"/>
                <w:sz w:val="18"/>
              </w:rPr>
              <w:t xml:space="preserve"> w tym</w:t>
            </w:r>
            <w:r w:rsidRPr="00A33B9F">
              <w:rPr>
                <w:rStyle w:val="normaltextrun"/>
                <w:rFonts w:ascii="Times New Roman" w:hAnsi="Times New Roman"/>
                <w:noProof/>
                <w:color w:val="000000"/>
                <w:sz w:val="18"/>
              </w:rPr>
              <w:t>:</w:t>
            </w:r>
            <w:r w:rsidR="00C3621A" w:rsidRPr="00A33B9F">
              <w:rPr>
                <w:rStyle w:val="normaltextrun"/>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 narzędzia wspomagające analizę stanu zdrowia pacjenta;</w:t>
            </w:r>
            <w:r w:rsidR="00C3621A" w:rsidRPr="00A33B9F">
              <w:rPr>
                <w:rStyle w:val="scxw52418636"/>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 narzędzia dla lekarzy wspierające podejmowanie decyzji oparte na algorytmach AI</w:t>
            </w:r>
            <w:r w:rsidR="00C3621A" w:rsidRPr="00A33B9F">
              <w:rPr>
                <w:rStyle w:val="normaltextrun"/>
                <w:rFonts w:ascii="Times New Roman" w:hAnsi="Times New Roman"/>
                <w:noProof/>
                <w:color w:val="000000"/>
                <w:sz w:val="18"/>
              </w:rPr>
              <w:t xml:space="preserve"> </w:t>
            </w:r>
            <w:r w:rsidRPr="00A33B9F">
              <w:rPr>
                <w:rStyle w:val="normaltextrun"/>
                <w:rFonts w:ascii="Times New Roman" w:hAnsi="Times New Roman"/>
                <w:noProof/>
                <w:color w:val="000000"/>
                <w:sz w:val="18"/>
              </w:rPr>
              <w:t>oraz</w:t>
            </w:r>
            <w:r w:rsidR="00C3621A" w:rsidRPr="00A33B9F">
              <w:rPr>
                <w:rStyle w:val="scxw52418636"/>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 centralne repozytorium danych medycznych zintegrowane</w:t>
            </w:r>
            <w:r w:rsidR="00A33B9F" w:rsidRPr="00A33B9F">
              <w:rPr>
                <w:rStyle w:val="normaltextrun"/>
                <w:rFonts w:ascii="Times New Roman" w:hAnsi="Times New Roman"/>
                <w:noProof/>
                <w:color w:val="000000"/>
                <w:sz w:val="18"/>
              </w:rPr>
              <w:t xml:space="preserve"> z inn</w:t>
            </w:r>
            <w:r w:rsidRPr="00A33B9F">
              <w:rPr>
                <w:rStyle w:val="normaltextrun"/>
                <w:rFonts w:ascii="Times New Roman" w:hAnsi="Times New Roman"/>
                <w:noProof/>
                <w:color w:val="000000"/>
                <w:sz w:val="18"/>
              </w:rPr>
              <w:t>ymi kluczowymi systemami opieki zdrowotnej</w:t>
            </w:r>
            <w:r w:rsidRPr="00A33B9F">
              <w:rPr>
                <w:rStyle w:val="eop"/>
                <w:rFonts w:ascii="Times New Roman" w:hAnsi="Times New Roman"/>
                <w:noProof/>
                <w:color w:val="000000"/>
                <w:sz w:val="18"/>
              </w:rPr>
              <w:t xml:space="preserve"> </w:t>
            </w:r>
          </w:p>
        </w:tc>
        <w:tc>
          <w:tcPr>
            <w:tcW w:w="1560" w:type="dxa"/>
            <w:shd w:val="clear" w:color="auto" w:fill="C6EFCE"/>
          </w:tcPr>
          <w:p w14:paraId="79D8C41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Rozpoczęcie pełnej eksploatacji</w:t>
            </w:r>
          </w:p>
        </w:tc>
        <w:tc>
          <w:tcPr>
            <w:tcW w:w="1247" w:type="dxa"/>
            <w:shd w:val="clear" w:color="auto" w:fill="C6EFCE"/>
          </w:tcPr>
          <w:p w14:paraId="541E854E"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5D7F0055"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3B4C7F66"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310250E5"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7456D028"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22270625" w14:textId="7BDFA84E"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Zostaną uruchomione</w:t>
            </w:r>
            <w:r w:rsidR="00A33B9F" w:rsidRPr="00A33B9F">
              <w:rPr>
                <w:rStyle w:val="normaltextrun"/>
                <w:rFonts w:ascii="Times New Roman" w:hAnsi="Times New Roman"/>
                <w:noProof/>
                <w:color w:val="000000"/>
                <w:sz w:val="18"/>
              </w:rPr>
              <w:t xml:space="preserve"> i będ</w:t>
            </w:r>
            <w:r w:rsidRPr="00A33B9F">
              <w:rPr>
                <w:rStyle w:val="normaltextrun"/>
                <w:rFonts w:ascii="Times New Roman" w:hAnsi="Times New Roman"/>
                <w:noProof/>
                <w:color w:val="000000"/>
                <w:sz w:val="18"/>
              </w:rPr>
              <w:t>ą funkcjonować usługi służące zwiększeniu wykorzystania nowoczesnych technologii</w:t>
            </w:r>
            <w:r w:rsidR="00A33B9F" w:rsidRPr="00A33B9F">
              <w:rPr>
                <w:rStyle w:val="normaltextrun"/>
                <w:rFonts w:ascii="Times New Roman" w:hAnsi="Times New Roman"/>
                <w:noProof/>
                <w:color w:val="000000"/>
                <w:sz w:val="18"/>
              </w:rPr>
              <w:t xml:space="preserve"> i dal</w:t>
            </w:r>
            <w:r w:rsidRPr="00A33B9F">
              <w:rPr>
                <w:rStyle w:val="normaltextrun"/>
                <w:rFonts w:ascii="Times New Roman" w:hAnsi="Times New Roman"/>
                <w:noProof/>
                <w:color w:val="000000"/>
                <w:sz w:val="18"/>
              </w:rPr>
              <w:t>szemu rozwojowi e-zdrowia. Należą do nich:</w:t>
            </w:r>
            <w:r w:rsidR="00C3621A" w:rsidRPr="00A33B9F">
              <w:rPr>
                <w:rStyle w:val="scxw147420095"/>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 narzędzia wspomagające analizę stanu zdrowia pacjenta,</w:t>
            </w:r>
            <w:r w:rsidRPr="00A33B9F">
              <w:rPr>
                <w:noProof/>
              </w:rPr>
              <w:t xml:space="preserve"> </w:t>
            </w:r>
            <w:r w:rsidRPr="00A33B9F">
              <w:rPr>
                <w:noProof/>
              </w:rPr>
              <w:br/>
            </w:r>
            <w:r w:rsidRPr="00A33B9F">
              <w:rPr>
                <w:rStyle w:val="normaltextrun"/>
                <w:rFonts w:ascii="Times New Roman" w:hAnsi="Times New Roman"/>
                <w:noProof/>
                <w:color w:val="000000"/>
                <w:sz w:val="18"/>
              </w:rPr>
              <w:t>– narzędzia służące do agregowania danych</w:t>
            </w:r>
            <w:r w:rsidR="00A33B9F" w:rsidRPr="00A33B9F">
              <w:rPr>
                <w:rStyle w:val="normaltextrun"/>
                <w:rFonts w:ascii="Times New Roman" w:hAnsi="Times New Roman"/>
                <w:noProof/>
                <w:color w:val="000000"/>
                <w:sz w:val="18"/>
              </w:rPr>
              <w:t xml:space="preserve"> z róż</w:t>
            </w:r>
            <w:r w:rsidRPr="00A33B9F">
              <w:rPr>
                <w:rStyle w:val="normaltextrun"/>
                <w:rFonts w:ascii="Times New Roman" w:hAnsi="Times New Roman"/>
                <w:noProof/>
                <w:color w:val="000000"/>
                <w:sz w:val="18"/>
              </w:rPr>
              <w:t>nych urządzeń przeprowadzających pomiary medyczne lub pomiary dotyczące stylu życia pacjenta, które będą następnie przekazywane na Internetowe Konta Pacjenta (IKP),</w:t>
            </w:r>
            <w:r w:rsidR="00A33B9F" w:rsidRPr="00A33B9F">
              <w:rPr>
                <w:rStyle w:val="normaltextrun"/>
                <w:rFonts w:ascii="Times New Roman" w:hAnsi="Times New Roman"/>
                <w:noProof/>
                <w:color w:val="000000"/>
                <w:sz w:val="18"/>
              </w:rPr>
              <w:t xml:space="preserve"> a tak</w:t>
            </w:r>
            <w:r w:rsidRPr="00A33B9F">
              <w:rPr>
                <w:rStyle w:val="normaltextrun"/>
                <w:rFonts w:ascii="Times New Roman" w:hAnsi="Times New Roman"/>
                <w:noProof/>
                <w:color w:val="000000"/>
                <w:sz w:val="18"/>
              </w:rPr>
              <w:t>że wdrożenie projektu mającego na celu rozwój algorytmów sztucznej inteligencji</w:t>
            </w:r>
            <w:r w:rsidR="00C3621A" w:rsidRPr="00A33B9F">
              <w:rPr>
                <w:rStyle w:val="normaltextrun"/>
                <w:rFonts w:ascii="Times New Roman" w:hAnsi="Times New Roman"/>
                <w:noProof/>
                <w:color w:val="000000"/>
                <w:sz w:val="18"/>
              </w:rPr>
              <w:t xml:space="preserve"> </w:t>
            </w:r>
            <w:r w:rsidRPr="00A33B9F">
              <w:rPr>
                <w:rStyle w:val="normaltextrun"/>
                <w:rFonts w:ascii="Times New Roman" w:hAnsi="Times New Roman"/>
                <w:noProof/>
                <w:color w:val="000000"/>
                <w:sz w:val="18"/>
              </w:rPr>
              <w:t>oraz</w:t>
            </w:r>
            <w:r w:rsidRPr="00A33B9F">
              <w:rPr>
                <w:noProof/>
              </w:rPr>
              <w:t xml:space="preserve"> </w:t>
            </w:r>
            <w:r w:rsidRPr="00A33B9F">
              <w:rPr>
                <w:noProof/>
              </w:rPr>
              <w:br/>
            </w:r>
            <w:r w:rsidRPr="00A33B9F">
              <w:rPr>
                <w:rStyle w:val="normaltextrun"/>
                <w:rFonts w:ascii="Times New Roman" w:hAnsi="Times New Roman"/>
                <w:noProof/>
                <w:color w:val="000000"/>
                <w:sz w:val="18"/>
              </w:rPr>
              <w:t>– wsparcie procesu decyzyjnego lekarza.</w:t>
            </w:r>
            <w:r w:rsidR="00C3621A" w:rsidRPr="00A33B9F">
              <w:rPr>
                <w:rStyle w:val="normaltextrun"/>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Obejmuje to również budowę centralnego repozytorium danych medycznych oraz stworzenie</w:t>
            </w:r>
            <w:r w:rsidR="00A33B9F" w:rsidRPr="00A33B9F">
              <w:rPr>
                <w:rStyle w:val="normaltextrun"/>
                <w:rFonts w:ascii="Times New Roman" w:hAnsi="Times New Roman"/>
                <w:noProof/>
                <w:color w:val="000000"/>
                <w:sz w:val="18"/>
              </w:rPr>
              <w:t xml:space="preserve"> i udo</w:t>
            </w:r>
            <w:r w:rsidRPr="00A33B9F">
              <w:rPr>
                <w:rStyle w:val="normaltextrun"/>
                <w:rFonts w:ascii="Times New Roman" w:hAnsi="Times New Roman"/>
                <w:noProof/>
                <w:color w:val="000000"/>
                <w:sz w:val="18"/>
              </w:rPr>
              <w:t>stępnienie elektronicznego banku (repozytorium) danych medycznych (dokumentacji medycznej).</w:t>
            </w:r>
            <w:r w:rsidRPr="00A33B9F">
              <w:rPr>
                <w:rStyle w:val="eop"/>
                <w:rFonts w:ascii="Times New Roman" w:hAnsi="Times New Roman"/>
                <w:noProof/>
                <w:color w:val="000000"/>
                <w:sz w:val="18"/>
              </w:rPr>
              <w:t xml:space="preserve"> </w:t>
            </w:r>
          </w:p>
        </w:tc>
      </w:tr>
      <w:tr w:rsidR="008C116B" w:rsidRPr="00A33B9F" w14:paraId="2921DF9E" w14:textId="77777777" w:rsidTr="1CE0CE0C">
        <w:trPr>
          <w:trHeight w:val="313"/>
        </w:trPr>
        <w:tc>
          <w:tcPr>
            <w:tcW w:w="709" w:type="dxa"/>
            <w:shd w:val="clear" w:color="auto" w:fill="C6EFCE"/>
          </w:tcPr>
          <w:p w14:paraId="54D2F54B" w14:textId="6E0BA7D1"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D16G</w:t>
            </w:r>
          </w:p>
        </w:tc>
        <w:tc>
          <w:tcPr>
            <w:tcW w:w="2126" w:type="dxa"/>
            <w:shd w:val="clear" w:color="auto" w:fill="C6EFCE"/>
          </w:tcPr>
          <w:p w14:paraId="1C2D1A05" w14:textId="5004FF09"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59959476"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3C43D4FB" w14:textId="43D03F3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Centrum monitorowania bezpieczeństwa (SOC)</w:t>
            </w:r>
            <w:r w:rsidR="00A33B9F" w:rsidRPr="00A33B9F">
              <w:rPr>
                <w:rStyle w:val="normaltextrun"/>
                <w:rFonts w:ascii="Times New Roman" w:hAnsi="Times New Roman"/>
                <w:noProof/>
                <w:color w:val="000000"/>
                <w:sz w:val="18"/>
              </w:rPr>
              <w:t xml:space="preserve"> w ust</w:t>
            </w:r>
            <w:r w:rsidRPr="00A33B9F">
              <w:rPr>
                <w:rStyle w:val="normaltextrun"/>
                <w:rFonts w:ascii="Times New Roman" w:hAnsi="Times New Roman"/>
                <w:noProof/>
                <w:color w:val="000000"/>
                <w:sz w:val="18"/>
              </w:rPr>
              <w:t>anowionym Centrum e-Zdrowia</w:t>
            </w:r>
            <w:r w:rsidRPr="00A33B9F">
              <w:rPr>
                <w:rStyle w:val="eop"/>
                <w:rFonts w:ascii="Times New Roman" w:hAnsi="Times New Roman"/>
                <w:noProof/>
                <w:color w:val="000000"/>
                <w:sz w:val="18"/>
              </w:rPr>
              <w:t xml:space="preserve"> </w:t>
            </w:r>
          </w:p>
        </w:tc>
        <w:tc>
          <w:tcPr>
            <w:tcW w:w="1560" w:type="dxa"/>
            <w:shd w:val="clear" w:color="auto" w:fill="C6EFCE"/>
          </w:tcPr>
          <w:p w14:paraId="70072D99"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Rozpoczęcie pełnej eksploatacji</w:t>
            </w:r>
          </w:p>
        </w:tc>
        <w:tc>
          <w:tcPr>
            <w:tcW w:w="1247" w:type="dxa"/>
            <w:shd w:val="clear" w:color="auto" w:fill="C6EFCE"/>
          </w:tcPr>
          <w:p w14:paraId="2849A64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49AF2CB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532BFAF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3702CC88"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4E96F877"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544" w:type="dxa"/>
            <w:shd w:val="clear" w:color="auto" w:fill="C6EFCE"/>
          </w:tcPr>
          <w:p w14:paraId="67D6FCAC" w14:textId="543E68A5"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sz w:val="18"/>
              </w:rPr>
              <w:t>Działanie zapewni wzmocnienie zasobów informatycznych Centrum e-Zdrowia</w:t>
            </w:r>
            <w:r w:rsidR="00A33B9F" w:rsidRPr="00A33B9F">
              <w:rPr>
                <w:rStyle w:val="normaltextrun"/>
                <w:rFonts w:ascii="Times New Roman" w:hAnsi="Times New Roman"/>
                <w:noProof/>
                <w:color w:val="000000"/>
                <w:sz w:val="18"/>
              </w:rPr>
              <w:t xml:space="preserve"> i dos</w:t>
            </w:r>
            <w:r w:rsidRPr="00A33B9F">
              <w:rPr>
                <w:rStyle w:val="normaltextrun"/>
                <w:rFonts w:ascii="Times New Roman" w:hAnsi="Times New Roman"/>
                <w:noProof/>
                <w:color w:val="000000"/>
                <w:sz w:val="18"/>
              </w:rPr>
              <w:t>tosowanie ich do rosnących potrzeb</w:t>
            </w:r>
            <w:r w:rsidR="00A33B9F" w:rsidRPr="00A33B9F">
              <w:rPr>
                <w:rStyle w:val="normaltextrun"/>
                <w:rFonts w:ascii="Times New Roman" w:hAnsi="Times New Roman"/>
                <w:noProof/>
                <w:color w:val="000000"/>
                <w:sz w:val="18"/>
              </w:rPr>
              <w:t xml:space="preserve"> w obs</w:t>
            </w:r>
            <w:r w:rsidRPr="00A33B9F">
              <w:rPr>
                <w:rStyle w:val="normaltextrun"/>
                <w:rFonts w:ascii="Times New Roman" w:hAnsi="Times New Roman"/>
                <w:noProof/>
                <w:color w:val="000000"/>
                <w:sz w:val="18"/>
              </w:rPr>
              <w:t>zarze cyberbezpieczeństwa poprzez: </w:t>
            </w:r>
          </w:p>
          <w:p w14:paraId="3F9F4A5B" w14:textId="6F047634"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sz w:val="18"/>
              </w:rPr>
              <w:t xml:space="preserve">– wdrożenie Zintegrowanego Systemu Zarządzania, rozbudowę systemów bezpieczeństwa, </w:t>
            </w:r>
          </w:p>
          <w:p w14:paraId="4AD397D1" w14:textId="522D0E30"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sz w:val="18"/>
              </w:rPr>
              <w:t>– wdrożenie programu bezpieczeństwa prac projektowo-rozwojowych</w:t>
            </w:r>
            <w:r w:rsidR="00A33B9F" w:rsidRPr="00A33B9F">
              <w:rPr>
                <w:rStyle w:val="normaltextrun"/>
                <w:rFonts w:ascii="Times New Roman" w:hAnsi="Times New Roman"/>
                <w:noProof/>
                <w:color w:val="000000"/>
                <w:sz w:val="18"/>
              </w:rPr>
              <w:t xml:space="preserve"> w obs</w:t>
            </w:r>
            <w:r w:rsidRPr="00A33B9F">
              <w:rPr>
                <w:rStyle w:val="normaltextrun"/>
                <w:rFonts w:ascii="Times New Roman" w:hAnsi="Times New Roman"/>
                <w:noProof/>
                <w:color w:val="000000"/>
                <w:sz w:val="18"/>
              </w:rPr>
              <w:t xml:space="preserve">zarze systemów IT, </w:t>
            </w:r>
          </w:p>
          <w:p w14:paraId="05D194AD" w14:textId="024C3A33"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normaltextrun"/>
                <w:rFonts w:ascii="Times New Roman" w:hAnsi="Times New Roman"/>
                <w:noProof/>
                <w:color w:val="000000"/>
                <w:sz w:val="18"/>
              </w:rPr>
              <w:t>– budowę Centrum Operacji Bezpieczeństwa</w:t>
            </w:r>
            <w:r w:rsidR="00A33B9F" w:rsidRPr="00A33B9F">
              <w:rPr>
                <w:rStyle w:val="normaltextrun"/>
                <w:rFonts w:ascii="Times New Roman" w:hAnsi="Times New Roman"/>
                <w:noProof/>
                <w:color w:val="000000"/>
                <w:sz w:val="18"/>
              </w:rPr>
              <w:t xml:space="preserve"> w Cen</w:t>
            </w:r>
            <w:r w:rsidRPr="00A33B9F">
              <w:rPr>
                <w:rStyle w:val="normaltextrun"/>
                <w:rFonts w:ascii="Times New Roman" w:hAnsi="Times New Roman"/>
                <w:noProof/>
                <w:color w:val="000000"/>
                <w:sz w:val="18"/>
              </w:rPr>
              <w:t>trum e-Zdrowia.</w:t>
            </w:r>
            <w:r w:rsidRPr="00A33B9F">
              <w:rPr>
                <w:rStyle w:val="eop"/>
                <w:rFonts w:ascii="Times New Roman" w:hAnsi="Times New Roman"/>
                <w:noProof/>
                <w:color w:val="000000"/>
                <w:sz w:val="18"/>
              </w:rPr>
              <w:t xml:space="preserve"> </w:t>
            </w:r>
          </w:p>
        </w:tc>
      </w:tr>
      <w:tr w:rsidR="008C116B" w:rsidRPr="00A33B9F" w14:paraId="75577E9C" w14:textId="77777777" w:rsidTr="1CE0CE0C">
        <w:trPr>
          <w:trHeight w:val="313"/>
        </w:trPr>
        <w:tc>
          <w:tcPr>
            <w:tcW w:w="709" w:type="dxa"/>
            <w:shd w:val="clear" w:color="auto" w:fill="C6EFCE"/>
          </w:tcPr>
          <w:p w14:paraId="238CF87A" w14:textId="5031FFC0"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D17G</w:t>
            </w:r>
          </w:p>
        </w:tc>
        <w:tc>
          <w:tcPr>
            <w:tcW w:w="2126" w:type="dxa"/>
            <w:shd w:val="clear" w:color="auto" w:fill="C6EFCE"/>
          </w:tcPr>
          <w:p w14:paraId="236A5FC8" w14:textId="680BC3FF"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79481B0F"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0B15E2EF" w14:textId="1D755F09"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Centrum cyfrowej dokumentacji medycznej</w:t>
            </w:r>
            <w:r w:rsidRPr="00A33B9F">
              <w:rPr>
                <w:rStyle w:val="eop"/>
                <w:rFonts w:ascii="Times New Roman" w:hAnsi="Times New Roman"/>
                <w:noProof/>
                <w:color w:val="000000"/>
                <w:sz w:val="18"/>
              </w:rPr>
              <w:t xml:space="preserve"> </w:t>
            </w:r>
          </w:p>
        </w:tc>
        <w:tc>
          <w:tcPr>
            <w:tcW w:w="1560" w:type="dxa"/>
            <w:shd w:val="clear" w:color="auto" w:fill="C6EFCE"/>
          </w:tcPr>
          <w:p w14:paraId="6966198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Rozpoczęcie pełnej eksploatacji</w:t>
            </w:r>
          </w:p>
        </w:tc>
        <w:tc>
          <w:tcPr>
            <w:tcW w:w="1247" w:type="dxa"/>
            <w:shd w:val="clear" w:color="auto" w:fill="C6EFCE"/>
          </w:tcPr>
          <w:p w14:paraId="489253FD"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25212160"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4634E8B6"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35B5C190" w14:textId="07D2D67F"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III kw.</w:t>
            </w:r>
          </w:p>
        </w:tc>
        <w:tc>
          <w:tcPr>
            <w:tcW w:w="708" w:type="dxa"/>
            <w:shd w:val="clear" w:color="auto" w:fill="C6EFCE"/>
          </w:tcPr>
          <w:p w14:paraId="06937799" w14:textId="278D292F"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544" w:type="dxa"/>
            <w:shd w:val="clear" w:color="auto" w:fill="C6EFCE"/>
          </w:tcPr>
          <w:p w14:paraId="71FA2F02" w14:textId="3EAA8304"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Ustanowione zostanie Centrum digitalizacji dokumentacji medycznej, którego głównym zadaniem będzie strukturyzacja</w:t>
            </w:r>
            <w:r w:rsidR="00A33B9F" w:rsidRPr="00A33B9F">
              <w:rPr>
                <w:rStyle w:val="normaltextrun"/>
                <w:rFonts w:ascii="Times New Roman" w:hAnsi="Times New Roman"/>
                <w:noProof/>
                <w:color w:val="000000"/>
                <w:sz w:val="18"/>
              </w:rPr>
              <w:t xml:space="preserve"> i prz</w:t>
            </w:r>
            <w:r w:rsidRPr="00A33B9F">
              <w:rPr>
                <w:rStyle w:val="normaltextrun"/>
                <w:rFonts w:ascii="Times New Roman" w:hAnsi="Times New Roman"/>
                <w:noProof/>
                <w:color w:val="000000"/>
                <w:sz w:val="18"/>
              </w:rPr>
              <w:t>ekształcanie dokumentacji medycznej</w:t>
            </w:r>
            <w:r w:rsidR="00A33B9F" w:rsidRPr="00A33B9F">
              <w:rPr>
                <w:rStyle w:val="normaltextrun"/>
                <w:rFonts w:ascii="Times New Roman" w:hAnsi="Times New Roman"/>
                <w:noProof/>
                <w:color w:val="000000"/>
                <w:sz w:val="18"/>
              </w:rPr>
              <w:t xml:space="preserve"> w ele</w:t>
            </w:r>
            <w:r w:rsidRPr="00A33B9F">
              <w:rPr>
                <w:rStyle w:val="normaltextrun"/>
                <w:rFonts w:ascii="Times New Roman" w:hAnsi="Times New Roman"/>
                <w:noProof/>
                <w:color w:val="000000"/>
                <w:sz w:val="18"/>
              </w:rPr>
              <w:t>ktroniczną dokumentację medyczną nadającą się do wykorzystania.</w:t>
            </w:r>
            <w:r w:rsidRPr="00A33B9F">
              <w:rPr>
                <w:rStyle w:val="eop"/>
                <w:rFonts w:ascii="Times New Roman" w:hAnsi="Times New Roman"/>
                <w:noProof/>
                <w:color w:val="000000"/>
                <w:sz w:val="18"/>
              </w:rPr>
              <w:t xml:space="preserve"> </w:t>
            </w:r>
          </w:p>
        </w:tc>
      </w:tr>
      <w:tr w:rsidR="008C116B" w:rsidRPr="00A33B9F" w14:paraId="28A3F1F0" w14:textId="77777777" w:rsidTr="1CE0CE0C">
        <w:trPr>
          <w:trHeight w:val="313"/>
        </w:trPr>
        <w:tc>
          <w:tcPr>
            <w:tcW w:w="709" w:type="dxa"/>
            <w:shd w:val="clear" w:color="auto" w:fill="C6EFCE"/>
          </w:tcPr>
          <w:p w14:paraId="77A01D7C" w14:textId="292D4849"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D18G</w:t>
            </w:r>
          </w:p>
        </w:tc>
        <w:tc>
          <w:tcPr>
            <w:tcW w:w="2126" w:type="dxa"/>
            <w:shd w:val="clear" w:color="auto" w:fill="C6EFCE"/>
          </w:tcPr>
          <w:p w14:paraId="40DF9D90" w14:textId="0EE110F0"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0CCDDE6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367307F4" w14:textId="628AACE0"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Cyfryzacja przechowywanej</w:t>
            </w:r>
            <w:r w:rsidR="00A33B9F" w:rsidRPr="00A33B9F">
              <w:rPr>
                <w:rStyle w:val="normaltextrun"/>
                <w:rFonts w:ascii="Times New Roman" w:hAnsi="Times New Roman"/>
                <w:noProof/>
                <w:color w:val="000000"/>
                <w:sz w:val="18"/>
              </w:rPr>
              <w:t xml:space="preserve"> w pla</w:t>
            </w:r>
            <w:r w:rsidRPr="00A33B9F">
              <w:rPr>
                <w:rStyle w:val="normaltextrun"/>
                <w:rFonts w:ascii="Times New Roman" w:hAnsi="Times New Roman"/>
                <w:noProof/>
                <w:color w:val="000000"/>
                <w:sz w:val="18"/>
              </w:rPr>
              <w:t>cówkach medycznych historii interakcji między pacjentem</w:t>
            </w:r>
            <w:r w:rsidR="00A33B9F" w:rsidRPr="00A33B9F">
              <w:rPr>
                <w:rStyle w:val="normaltextrun"/>
                <w:rFonts w:ascii="Times New Roman" w:hAnsi="Times New Roman"/>
                <w:noProof/>
                <w:color w:val="000000"/>
                <w:sz w:val="18"/>
              </w:rPr>
              <w:t xml:space="preserve"> a sys</w:t>
            </w:r>
            <w:r w:rsidRPr="00A33B9F">
              <w:rPr>
                <w:rStyle w:val="normaltextrun"/>
                <w:rFonts w:ascii="Times New Roman" w:hAnsi="Times New Roman"/>
                <w:noProof/>
                <w:color w:val="000000"/>
                <w:sz w:val="18"/>
              </w:rPr>
              <w:t>temem opieki zdrowotnej</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27ED360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6F8564BC" w14:textId="44651A38"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(procent)</w:t>
            </w:r>
          </w:p>
        </w:tc>
        <w:tc>
          <w:tcPr>
            <w:tcW w:w="1276" w:type="dxa"/>
            <w:shd w:val="clear" w:color="auto" w:fill="C6EFCE"/>
          </w:tcPr>
          <w:p w14:paraId="0DB21CA6"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219897CE"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30</w:t>
            </w:r>
          </w:p>
        </w:tc>
        <w:tc>
          <w:tcPr>
            <w:tcW w:w="993" w:type="dxa"/>
            <w:shd w:val="clear" w:color="auto" w:fill="C6EFCE"/>
          </w:tcPr>
          <w:p w14:paraId="624F58CE"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7499A3EA"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3234264A" w14:textId="7AC929EE"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Cyfryzacja części przechowywanej</w:t>
            </w:r>
            <w:r w:rsidR="00A33B9F" w:rsidRPr="00A33B9F">
              <w:rPr>
                <w:rStyle w:val="normaltextrun"/>
                <w:rFonts w:ascii="Times New Roman" w:hAnsi="Times New Roman"/>
                <w:noProof/>
                <w:color w:val="000000" w:themeColor="text1"/>
                <w:sz w:val="18"/>
              </w:rPr>
              <w:t xml:space="preserve"> w pla</w:t>
            </w:r>
            <w:r w:rsidRPr="00A33B9F">
              <w:rPr>
                <w:rStyle w:val="normaltextrun"/>
                <w:rFonts w:ascii="Times New Roman" w:hAnsi="Times New Roman"/>
                <w:noProof/>
                <w:color w:val="000000" w:themeColor="text1"/>
                <w:sz w:val="18"/>
              </w:rPr>
              <w:t>cówkach medycznych</w:t>
            </w:r>
            <w:r w:rsidRPr="00A33B9F">
              <w:rPr>
                <w:rStyle w:val="scxw147420095"/>
                <w:rFonts w:ascii="Times New Roman" w:hAnsi="Times New Roman"/>
                <w:noProof/>
                <w:color w:val="000000" w:themeColor="text1"/>
                <w:sz w:val="18"/>
              </w:rPr>
              <w:t> </w:t>
            </w:r>
            <w:r w:rsidRPr="00A33B9F">
              <w:rPr>
                <w:noProof/>
              </w:rPr>
              <w:br/>
            </w:r>
            <w:r w:rsidRPr="00A33B9F">
              <w:rPr>
                <w:rStyle w:val="normaltextrun"/>
                <w:rFonts w:ascii="Times New Roman" w:hAnsi="Times New Roman"/>
                <w:noProof/>
                <w:color w:val="000000" w:themeColor="text1"/>
                <w:sz w:val="18"/>
              </w:rPr>
              <w:t>historii interakcji między pacjentem</w:t>
            </w:r>
            <w:r w:rsidR="00A33B9F" w:rsidRPr="00A33B9F">
              <w:rPr>
                <w:rStyle w:val="normaltextrun"/>
                <w:rFonts w:ascii="Times New Roman" w:hAnsi="Times New Roman"/>
                <w:noProof/>
                <w:color w:val="000000" w:themeColor="text1"/>
                <w:sz w:val="18"/>
              </w:rPr>
              <w:t xml:space="preserve"> a sys</w:t>
            </w:r>
            <w:r w:rsidRPr="00A33B9F">
              <w:rPr>
                <w:rStyle w:val="normaltextrun"/>
                <w:rFonts w:ascii="Times New Roman" w:hAnsi="Times New Roman"/>
                <w:noProof/>
                <w:color w:val="000000" w:themeColor="text1"/>
                <w:sz w:val="18"/>
              </w:rPr>
              <w:t>temem opieki zdrowotnej</w:t>
            </w:r>
            <w:r w:rsidR="00A33B9F" w:rsidRPr="00A33B9F">
              <w:rPr>
                <w:rStyle w:val="normaltextrun"/>
                <w:rFonts w:ascii="Times New Roman" w:hAnsi="Times New Roman"/>
                <w:noProof/>
                <w:color w:val="000000" w:themeColor="text1"/>
                <w:sz w:val="18"/>
              </w:rPr>
              <w:t xml:space="preserve"> w cel</w:t>
            </w:r>
            <w:r w:rsidRPr="00A33B9F">
              <w:rPr>
                <w:rStyle w:val="normaltextrun"/>
                <w:rFonts w:ascii="Times New Roman" w:hAnsi="Times New Roman"/>
                <w:noProof/>
                <w:color w:val="000000" w:themeColor="text1"/>
                <w:sz w:val="18"/>
              </w:rPr>
              <w:t>u dostarczenia obrazu cyfrowego tych dokumentów do indywidualnej elektronicznej dokumentacji medycznej,</w:t>
            </w:r>
            <w:r w:rsidR="00A33B9F" w:rsidRPr="00A33B9F">
              <w:rPr>
                <w:rStyle w:val="normaltextrun"/>
                <w:rFonts w:ascii="Times New Roman" w:hAnsi="Times New Roman"/>
                <w:noProof/>
                <w:color w:val="000000" w:themeColor="text1"/>
                <w:sz w:val="18"/>
              </w:rPr>
              <w:t xml:space="preserve"> a tak</w:t>
            </w:r>
            <w:r w:rsidRPr="00A33B9F">
              <w:rPr>
                <w:rStyle w:val="normaltextrun"/>
                <w:rFonts w:ascii="Times New Roman" w:hAnsi="Times New Roman"/>
                <w:noProof/>
                <w:color w:val="000000" w:themeColor="text1"/>
                <w:sz w:val="18"/>
              </w:rPr>
              <w:t>że ustrukturyzowanej prezentacji danych, które mogą następnie być przetwarzane.</w:t>
            </w:r>
            <w:r w:rsidR="00C3621A" w:rsidRPr="00A33B9F">
              <w:rPr>
                <w:rStyle w:val="normaltextrun"/>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Wartość docelowa dotyczy dokumentacji</w:t>
            </w:r>
            <w:r w:rsidR="00A33B9F" w:rsidRPr="00A33B9F">
              <w:rPr>
                <w:rStyle w:val="normaltextrun"/>
                <w:rFonts w:ascii="Times New Roman" w:hAnsi="Times New Roman"/>
                <w:noProof/>
                <w:color w:val="000000" w:themeColor="text1"/>
                <w:sz w:val="18"/>
              </w:rPr>
              <w:t xml:space="preserve"> w for</w:t>
            </w:r>
            <w:r w:rsidRPr="00A33B9F">
              <w:rPr>
                <w:rStyle w:val="normaltextrun"/>
                <w:rFonts w:ascii="Times New Roman" w:hAnsi="Times New Roman"/>
                <w:noProof/>
                <w:color w:val="000000" w:themeColor="text1"/>
                <w:sz w:val="18"/>
              </w:rPr>
              <w:t>mie papierowej przechowywanej przez placówki opieki zdrowotnej.</w:t>
            </w:r>
            <w:r w:rsidR="00C3621A" w:rsidRPr="00A33B9F">
              <w:rPr>
                <w:rStyle w:val="normaltextrun"/>
                <w:rFonts w:ascii="Times New Roman" w:hAnsi="Times New Roman"/>
                <w:noProof/>
                <w:color w:val="000000" w:themeColor="text1"/>
                <w:sz w:val="18"/>
              </w:rPr>
              <w:t xml:space="preserve"> </w:t>
            </w:r>
          </w:p>
        </w:tc>
      </w:tr>
      <w:tr w:rsidR="008C116B" w:rsidRPr="00A33B9F" w14:paraId="30CE0A47" w14:textId="77777777" w:rsidTr="1CE0CE0C">
        <w:trPr>
          <w:trHeight w:val="313"/>
        </w:trPr>
        <w:tc>
          <w:tcPr>
            <w:tcW w:w="709" w:type="dxa"/>
            <w:shd w:val="clear" w:color="auto" w:fill="C6EFCE"/>
          </w:tcPr>
          <w:p w14:paraId="01687A06" w14:textId="493AE2B3"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D19G</w:t>
            </w:r>
          </w:p>
        </w:tc>
        <w:tc>
          <w:tcPr>
            <w:tcW w:w="2126" w:type="dxa"/>
            <w:shd w:val="clear" w:color="auto" w:fill="C6EFCE"/>
          </w:tcPr>
          <w:p w14:paraId="7E7B527E" w14:textId="12EBBC3F"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3710F48A"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17D4D6CC" w14:textId="07595B69"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T1 – Zdigitalizowane dokumenty medyczne</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7F48A2E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7933AD2D"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(procent)</w:t>
            </w:r>
          </w:p>
        </w:tc>
        <w:tc>
          <w:tcPr>
            <w:tcW w:w="1276" w:type="dxa"/>
            <w:shd w:val="clear" w:color="auto" w:fill="C6EFCE"/>
          </w:tcPr>
          <w:p w14:paraId="0FA5DB3D"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10</w:t>
            </w:r>
          </w:p>
        </w:tc>
        <w:tc>
          <w:tcPr>
            <w:tcW w:w="850" w:type="dxa"/>
            <w:shd w:val="clear" w:color="auto" w:fill="C6EFCE"/>
          </w:tcPr>
          <w:p w14:paraId="60DA3216"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30</w:t>
            </w:r>
          </w:p>
        </w:tc>
        <w:tc>
          <w:tcPr>
            <w:tcW w:w="993" w:type="dxa"/>
            <w:shd w:val="clear" w:color="auto" w:fill="C6EFCE"/>
          </w:tcPr>
          <w:p w14:paraId="3BF43DB5" w14:textId="3E7B8141"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4373604A" w14:textId="231A8085"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544" w:type="dxa"/>
            <w:shd w:val="clear" w:color="auto" w:fill="C6EFCE"/>
          </w:tcPr>
          <w:p w14:paraId="2B8EB0BF" w14:textId="0EBC92F0" w:rsidR="00F464C8" w:rsidRPr="00A33B9F" w:rsidRDefault="00AB166C"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Zdigitalizowane zostanie 30 % całkowitej liczby rodzajów dokumentów medycznych.</w:t>
            </w:r>
          </w:p>
        </w:tc>
      </w:tr>
      <w:tr w:rsidR="008C116B" w:rsidRPr="00A33B9F" w14:paraId="0AEC7F2D" w14:textId="77777777" w:rsidTr="1CE0CE0C">
        <w:trPr>
          <w:trHeight w:val="313"/>
        </w:trPr>
        <w:tc>
          <w:tcPr>
            <w:tcW w:w="709" w:type="dxa"/>
            <w:shd w:val="clear" w:color="auto" w:fill="C6EFCE"/>
          </w:tcPr>
          <w:p w14:paraId="11F852C4" w14:textId="7317C01F"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D20G</w:t>
            </w:r>
          </w:p>
        </w:tc>
        <w:tc>
          <w:tcPr>
            <w:tcW w:w="2126" w:type="dxa"/>
            <w:shd w:val="clear" w:color="auto" w:fill="C6EFCE"/>
          </w:tcPr>
          <w:p w14:paraId="5643A4D0" w14:textId="7BB6D4BF"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3359C64F"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1BC281A2" w14:textId="52020C23"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T2 – Zdigitalizowane dokumenty medyczne</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3137074A"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3D00797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(procent)</w:t>
            </w:r>
          </w:p>
        </w:tc>
        <w:tc>
          <w:tcPr>
            <w:tcW w:w="1276" w:type="dxa"/>
            <w:shd w:val="clear" w:color="auto" w:fill="C6EFCE"/>
          </w:tcPr>
          <w:p w14:paraId="18E8C380"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30</w:t>
            </w:r>
          </w:p>
        </w:tc>
        <w:tc>
          <w:tcPr>
            <w:tcW w:w="850" w:type="dxa"/>
            <w:shd w:val="clear" w:color="auto" w:fill="C6EFCE"/>
          </w:tcPr>
          <w:p w14:paraId="3F48C20F"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60</w:t>
            </w:r>
          </w:p>
        </w:tc>
        <w:tc>
          <w:tcPr>
            <w:tcW w:w="993" w:type="dxa"/>
            <w:shd w:val="clear" w:color="auto" w:fill="C6EFCE"/>
          </w:tcPr>
          <w:p w14:paraId="50B8EFB1"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68368DD7"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5C786572" w14:textId="6B05C527" w:rsidR="00F464C8" w:rsidRPr="00A33B9F" w:rsidRDefault="00AB166C"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Zdigitalizowane zostanie 60 % całkowitej liczby rodzajów dokumentów medycznych.</w:t>
            </w:r>
          </w:p>
        </w:tc>
      </w:tr>
      <w:tr w:rsidR="008C116B" w:rsidRPr="00A33B9F" w14:paraId="5F48FFF7" w14:textId="77777777" w:rsidTr="1CE0CE0C">
        <w:trPr>
          <w:trHeight w:val="313"/>
        </w:trPr>
        <w:tc>
          <w:tcPr>
            <w:tcW w:w="709" w:type="dxa"/>
            <w:shd w:val="clear" w:color="auto" w:fill="C6EFCE"/>
          </w:tcPr>
          <w:p w14:paraId="324D8258" w14:textId="71324FF5"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D21G</w:t>
            </w:r>
          </w:p>
        </w:tc>
        <w:tc>
          <w:tcPr>
            <w:tcW w:w="2126" w:type="dxa"/>
            <w:shd w:val="clear" w:color="auto" w:fill="C6EFCE"/>
          </w:tcPr>
          <w:p w14:paraId="08ECAEB8" w14:textId="5A84A608"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380174FF"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1A0E3DE0" w14:textId="72CE69B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Centralni/regionalni świadczeniodawcy opieki zdrowotnej połączeni</w:t>
            </w:r>
            <w:r w:rsidR="00A33B9F" w:rsidRPr="00A33B9F">
              <w:rPr>
                <w:rStyle w:val="normaltextrun"/>
                <w:rFonts w:ascii="Times New Roman" w:hAnsi="Times New Roman"/>
                <w:noProof/>
                <w:color w:val="000000"/>
                <w:sz w:val="18"/>
              </w:rPr>
              <w:t xml:space="preserve"> z cen</w:t>
            </w:r>
            <w:r w:rsidRPr="00A33B9F">
              <w:rPr>
                <w:rStyle w:val="normaltextrun"/>
                <w:rFonts w:ascii="Times New Roman" w:hAnsi="Times New Roman"/>
                <w:noProof/>
                <w:color w:val="000000"/>
                <w:sz w:val="18"/>
              </w:rPr>
              <w:t>tralnym repozytorium danych medycznych oraz centralni/regionalni świadczeniodawcy opieki zdrowotnej wyposażeni</w:t>
            </w:r>
            <w:r w:rsidR="00A33B9F" w:rsidRPr="00A33B9F">
              <w:rPr>
                <w:rStyle w:val="normaltextrun"/>
                <w:rFonts w:ascii="Times New Roman" w:hAnsi="Times New Roman"/>
                <w:noProof/>
                <w:color w:val="000000"/>
                <w:sz w:val="18"/>
              </w:rPr>
              <w:t xml:space="preserve"> w opa</w:t>
            </w:r>
            <w:r w:rsidRPr="00A33B9F">
              <w:rPr>
                <w:rStyle w:val="normaltextrun"/>
                <w:rFonts w:ascii="Times New Roman" w:hAnsi="Times New Roman"/>
                <w:noProof/>
                <w:color w:val="000000"/>
                <w:sz w:val="18"/>
              </w:rPr>
              <w:t>rte na sztucznej inteligencji narzędzie wspierające proces decyzyjny</w:t>
            </w:r>
            <w:r w:rsidRPr="00A33B9F">
              <w:rPr>
                <w:rStyle w:val="eop"/>
                <w:rFonts w:ascii="Times New Roman" w:hAnsi="Times New Roman"/>
                <w:noProof/>
                <w:color w:val="000000"/>
                <w:sz w:val="18"/>
              </w:rPr>
              <w:t xml:space="preserve"> </w:t>
            </w:r>
          </w:p>
        </w:tc>
        <w:tc>
          <w:tcPr>
            <w:tcW w:w="1560" w:type="dxa"/>
            <w:shd w:val="clear" w:color="auto" w:fill="C6EFCE"/>
          </w:tcPr>
          <w:p w14:paraId="6152B5CA"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4686C8D2"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(procent)</w:t>
            </w:r>
          </w:p>
        </w:tc>
        <w:tc>
          <w:tcPr>
            <w:tcW w:w="1276" w:type="dxa"/>
            <w:shd w:val="clear" w:color="auto" w:fill="C6EFCE"/>
          </w:tcPr>
          <w:p w14:paraId="3F941064"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46B40F80"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30</w:t>
            </w:r>
          </w:p>
        </w:tc>
        <w:tc>
          <w:tcPr>
            <w:tcW w:w="993" w:type="dxa"/>
            <w:shd w:val="clear" w:color="auto" w:fill="C6EFCE"/>
          </w:tcPr>
          <w:p w14:paraId="0F8E741A"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7B684899"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48166FE3" w14:textId="62FB5FE0"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30</w:t>
            </w:r>
            <w:r w:rsidR="00A33B9F" w:rsidRPr="00A33B9F">
              <w:rPr>
                <w:rStyle w:val="normaltextrun"/>
                <w:noProof/>
                <w:color w:val="000000" w:themeColor="text1"/>
                <w:sz w:val="18"/>
              </w:rPr>
              <w:t> </w:t>
            </w:r>
            <w:r w:rsidRPr="00A33B9F">
              <w:rPr>
                <w:rStyle w:val="normaltextrun"/>
                <w:noProof/>
                <w:color w:val="000000" w:themeColor="text1"/>
                <w:sz w:val="18"/>
              </w:rPr>
              <w:t>% świadczeniodawców opieki zdrowotnej (na poziomie centralnym lub regionalnym) połączonych</w:t>
            </w:r>
            <w:r w:rsidR="00A33B9F" w:rsidRPr="00A33B9F">
              <w:rPr>
                <w:rStyle w:val="normaltextrun"/>
                <w:noProof/>
                <w:color w:val="000000" w:themeColor="text1"/>
                <w:sz w:val="18"/>
              </w:rPr>
              <w:t xml:space="preserve"> z cen</w:t>
            </w:r>
            <w:r w:rsidRPr="00A33B9F">
              <w:rPr>
                <w:rStyle w:val="normaltextrun"/>
                <w:noProof/>
                <w:color w:val="000000" w:themeColor="text1"/>
                <w:sz w:val="18"/>
              </w:rPr>
              <w:t>tralnym elektronicznym repozytorium danych medycznych, co obejmuje.</w:t>
            </w:r>
            <w:r w:rsidRPr="00A33B9F">
              <w:rPr>
                <w:rStyle w:val="eop"/>
                <w:noProof/>
                <w:color w:val="000000" w:themeColor="text1"/>
                <w:sz w:val="18"/>
              </w:rPr>
              <w:t xml:space="preserve"> </w:t>
            </w:r>
          </w:p>
          <w:p w14:paraId="3F3BE604" w14:textId="32437898"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30</w:t>
            </w:r>
            <w:r w:rsidR="00A33B9F" w:rsidRPr="00A33B9F">
              <w:rPr>
                <w:rStyle w:val="normaltextrun"/>
                <w:rFonts w:ascii="Times New Roman" w:hAnsi="Times New Roman"/>
                <w:noProof/>
                <w:color w:val="000000"/>
                <w:sz w:val="18"/>
              </w:rPr>
              <w:t> </w:t>
            </w:r>
            <w:r w:rsidRPr="00A33B9F">
              <w:rPr>
                <w:rStyle w:val="normaltextrun"/>
                <w:rFonts w:ascii="Times New Roman" w:hAnsi="Times New Roman"/>
                <w:noProof/>
                <w:color w:val="000000"/>
                <w:sz w:val="18"/>
              </w:rPr>
              <w:t>% świadczeniodawców opieki zdrowotnej (na poziomie centralnym lub regionalnym) wyposażonych</w:t>
            </w:r>
            <w:r w:rsidR="00A33B9F" w:rsidRPr="00A33B9F">
              <w:rPr>
                <w:rStyle w:val="normaltextrun"/>
                <w:rFonts w:ascii="Times New Roman" w:hAnsi="Times New Roman"/>
                <w:noProof/>
                <w:color w:val="000000"/>
                <w:sz w:val="18"/>
              </w:rPr>
              <w:t xml:space="preserve"> w opa</w:t>
            </w:r>
            <w:r w:rsidRPr="00A33B9F">
              <w:rPr>
                <w:rStyle w:val="normaltextrun"/>
                <w:rFonts w:ascii="Times New Roman" w:hAnsi="Times New Roman"/>
                <w:noProof/>
                <w:color w:val="000000"/>
                <w:sz w:val="18"/>
              </w:rPr>
              <w:t>rte na sztucznej inteligencji narzędzie wspierające proces decyzyjny.</w:t>
            </w:r>
            <w:r w:rsidR="00C3621A" w:rsidRPr="00A33B9F">
              <w:rPr>
                <w:rStyle w:val="normaltextrun"/>
                <w:rFonts w:ascii="Times New Roman" w:hAnsi="Times New Roman"/>
                <w:noProof/>
                <w:color w:val="000000"/>
                <w:sz w:val="18"/>
              </w:rPr>
              <w:t xml:space="preserve"> </w:t>
            </w:r>
          </w:p>
        </w:tc>
      </w:tr>
      <w:tr w:rsidR="008C116B" w:rsidRPr="00A33B9F" w14:paraId="30B106E8" w14:textId="77777777" w:rsidTr="1CE0CE0C">
        <w:trPr>
          <w:trHeight w:val="313"/>
        </w:trPr>
        <w:tc>
          <w:tcPr>
            <w:tcW w:w="709" w:type="dxa"/>
            <w:shd w:val="clear" w:color="auto" w:fill="C6EFCE"/>
          </w:tcPr>
          <w:p w14:paraId="013F9C16" w14:textId="32325D05"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D22G</w:t>
            </w:r>
          </w:p>
        </w:tc>
        <w:tc>
          <w:tcPr>
            <w:tcW w:w="2126" w:type="dxa"/>
            <w:shd w:val="clear" w:color="auto" w:fill="C6EFCE"/>
          </w:tcPr>
          <w:p w14:paraId="227979BF" w14:textId="051852A4"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D1.1.2 Przyspieszenie procesów transformacji cyfrowej ochrony zdrowia poprzez dalszy rozwój usług cyfrowych</w:t>
            </w:r>
            <w:r w:rsidR="00A33B9F" w:rsidRPr="00A33B9F">
              <w:rPr>
                <w:rFonts w:ascii="Times New Roman" w:hAnsi="Times New Roman"/>
                <w:noProof/>
                <w:color w:val="000000"/>
                <w:sz w:val="18"/>
              </w:rPr>
              <w:t xml:space="preserve"> w och</w:t>
            </w:r>
            <w:r w:rsidRPr="00A33B9F">
              <w:rPr>
                <w:rFonts w:ascii="Times New Roman" w:hAnsi="Times New Roman"/>
                <w:noProof/>
                <w:color w:val="000000"/>
                <w:sz w:val="18"/>
              </w:rPr>
              <w:t>ronie zdrowia</w:t>
            </w:r>
          </w:p>
        </w:tc>
        <w:tc>
          <w:tcPr>
            <w:tcW w:w="1050" w:type="dxa"/>
            <w:shd w:val="clear" w:color="auto" w:fill="C6EFCE"/>
          </w:tcPr>
          <w:p w14:paraId="1EA3F18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413F8284" w14:textId="05C673A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Dorośli pacjenci objęci narzędziem wspomagającym analizę stanu zdrowia pacjenta</w:t>
            </w:r>
            <w:r w:rsidRPr="00A33B9F">
              <w:rPr>
                <w:rStyle w:val="eop"/>
                <w:rFonts w:ascii="Times New Roman" w:hAnsi="Times New Roman"/>
                <w:noProof/>
                <w:color w:val="000000"/>
                <w:sz w:val="18"/>
              </w:rPr>
              <w:t xml:space="preserve"> </w:t>
            </w:r>
          </w:p>
        </w:tc>
        <w:tc>
          <w:tcPr>
            <w:tcW w:w="1560" w:type="dxa"/>
            <w:shd w:val="clear" w:color="auto" w:fill="C6EFCE"/>
          </w:tcPr>
          <w:p w14:paraId="45C46E12"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40665898"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(procent)</w:t>
            </w:r>
          </w:p>
        </w:tc>
        <w:tc>
          <w:tcPr>
            <w:tcW w:w="1276" w:type="dxa"/>
            <w:shd w:val="clear" w:color="auto" w:fill="C6EFCE"/>
          </w:tcPr>
          <w:p w14:paraId="46400BC5"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7DAAF832"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70</w:t>
            </w:r>
          </w:p>
        </w:tc>
        <w:tc>
          <w:tcPr>
            <w:tcW w:w="993" w:type="dxa"/>
            <w:shd w:val="clear" w:color="auto" w:fill="C6EFCE"/>
          </w:tcPr>
          <w:p w14:paraId="410BF90F"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 kw.</w:t>
            </w:r>
          </w:p>
        </w:tc>
        <w:tc>
          <w:tcPr>
            <w:tcW w:w="708" w:type="dxa"/>
            <w:shd w:val="clear" w:color="auto" w:fill="C6EFCE"/>
          </w:tcPr>
          <w:p w14:paraId="3D38FA58"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51B2F0A7" w14:textId="7675305B"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70</w:t>
            </w:r>
            <w:r w:rsidR="00A33B9F" w:rsidRPr="00A33B9F">
              <w:rPr>
                <w:rStyle w:val="normaltextrun"/>
                <w:rFonts w:ascii="Times New Roman" w:hAnsi="Times New Roman"/>
                <w:noProof/>
                <w:color w:val="000000"/>
                <w:sz w:val="18"/>
              </w:rPr>
              <w:t> </w:t>
            </w:r>
            <w:r w:rsidRPr="00A33B9F">
              <w:rPr>
                <w:rStyle w:val="normaltextrun"/>
                <w:rFonts w:ascii="Times New Roman" w:hAnsi="Times New Roman"/>
                <w:noProof/>
                <w:color w:val="000000"/>
                <w:sz w:val="18"/>
              </w:rPr>
              <w:t>% dorosłych pacjentów objętych narzędziem wspomagającym analizę stanu zdrowia pacjenta</w:t>
            </w:r>
            <w:r w:rsidRPr="00A33B9F">
              <w:rPr>
                <w:rStyle w:val="eop"/>
                <w:rFonts w:ascii="Times New Roman" w:hAnsi="Times New Roman"/>
                <w:noProof/>
                <w:color w:val="000000"/>
                <w:sz w:val="18"/>
              </w:rPr>
              <w:t xml:space="preserve"> </w:t>
            </w:r>
          </w:p>
        </w:tc>
      </w:tr>
      <w:tr w:rsidR="008C116B" w:rsidRPr="00A33B9F" w14:paraId="4D97DF95" w14:textId="77777777" w:rsidTr="1CE0CE0C">
        <w:trPr>
          <w:trHeight w:val="313"/>
        </w:trPr>
        <w:tc>
          <w:tcPr>
            <w:tcW w:w="709" w:type="dxa"/>
            <w:shd w:val="clear" w:color="auto" w:fill="C6EFCE"/>
          </w:tcPr>
          <w:p w14:paraId="6696E785" w14:textId="51275BC3"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D23G</w:t>
            </w:r>
          </w:p>
        </w:tc>
        <w:tc>
          <w:tcPr>
            <w:tcW w:w="2126" w:type="dxa"/>
            <w:shd w:val="clear" w:color="auto" w:fill="C6EFCE"/>
          </w:tcPr>
          <w:p w14:paraId="2D994AAB"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 Stworzenie odpowiednich warunków dla zwiększenia liczebności kadry medycznej</w:t>
            </w:r>
          </w:p>
        </w:tc>
        <w:tc>
          <w:tcPr>
            <w:tcW w:w="1050" w:type="dxa"/>
            <w:shd w:val="clear" w:color="auto" w:fill="C6EFCE"/>
          </w:tcPr>
          <w:p w14:paraId="2DFF2B75"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02CEA90B" w14:textId="421E6A94"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Zmiana prawa</w:t>
            </w:r>
            <w:r w:rsidR="00A33B9F" w:rsidRPr="00A33B9F">
              <w:rPr>
                <w:rStyle w:val="normaltextrun"/>
                <w:rFonts w:ascii="Times New Roman" w:hAnsi="Times New Roman"/>
                <w:noProof/>
                <w:color w:val="000000"/>
                <w:sz w:val="18"/>
              </w:rPr>
              <w:t xml:space="preserve"> o szk</w:t>
            </w:r>
            <w:r w:rsidRPr="00A33B9F">
              <w:rPr>
                <w:rStyle w:val="normaltextrun"/>
                <w:rFonts w:ascii="Times New Roman" w:hAnsi="Times New Roman"/>
                <w:noProof/>
                <w:color w:val="000000"/>
                <w:sz w:val="18"/>
              </w:rPr>
              <w:t>olnictwie wyższym</w:t>
            </w:r>
            <w:r w:rsidR="00A33B9F" w:rsidRPr="00A33B9F">
              <w:rPr>
                <w:rStyle w:val="normaltextrun"/>
                <w:rFonts w:ascii="Times New Roman" w:hAnsi="Times New Roman"/>
                <w:noProof/>
                <w:color w:val="000000"/>
                <w:sz w:val="18"/>
              </w:rPr>
              <w:t xml:space="preserve"> i nau</w:t>
            </w:r>
            <w:r w:rsidRPr="00A33B9F">
              <w:rPr>
                <w:rStyle w:val="normaltextrun"/>
                <w:rFonts w:ascii="Times New Roman" w:hAnsi="Times New Roman"/>
                <w:noProof/>
                <w:color w:val="000000"/>
                <w:sz w:val="18"/>
              </w:rPr>
              <w:t>ce</w:t>
            </w:r>
            <w:r w:rsidR="00A33B9F" w:rsidRPr="00A33B9F">
              <w:rPr>
                <w:rStyle w:val="normaltextrun"/>
                <w:rFonts w:ascii="Times New Roman" w:hAnsi="Times New Roman"/>
                <w:noProof/>
                <w:color w:val="000000"/>
                <w:sz w:val="18"/>
              </w:rPr>
              <w:t xml:space="preserve"> i ust</w:t>
            </w:r>
            <w:r w:rsidRPr="00A33B9F">
              <w:rPr>
                <w:rStyle w:val="normaltextrun"/>
                <w:rFonts w:ascii="Times New Roman" w:hAnsi="Times New Roman"/>
                <w:noProof/>
                <w:color w:val="000000"/>
                <w:sz w:val="18"/>
              </w:rPr>
              <w:t>awy</w:t>
            </w:r>
            <w:r w:rsidR="00A33B9F" w:rsidRPr="00A33B9F">
              <w:rPr>
                <w:rStyle w:val="normaltextrun"/>
                <w:rFonts w:ascii="Times New Roman" w:hAnsi="Times New Roman"/>
                <w:noProof/>
                <w:color w:val="000000"/>
                <w:sz w:val="18"/>
              </w:rPr>
              <w:t xml:space="preserve"> o zaw</w:t>
            </w:r>
            <w:r w:rsidRPr="00A33B9F">
              <w:rPr>
                <w:rStyle w:val="normaltextrun"/>
                <w:rFonts w:ascii="Times New Roman" w:hAnsi="Times New Roman"/>
                <w:noProof/>
                <w:color w:val="000000"/>
                <w:sz w:val="18"/>
              </w:rPr>
              <w:t>odach lekarza</w:t>
            </w:r>
            <w:r w:rsidR="00A33B9F" w:rsidRPr="00A33B9F">
              <w:rPr>
                <w:rStyle w:val="normaltextrun"/>
                <w:rFonts w:ascii="Times New Roman" w:hAnsi="Times New Roman"/>
                <w:noProof/>
                <w:color w:val="000000"/>
                <w:sz w:val="18"/>
              </w:rPr>
              <w:t xml:space="preserve"> i lek</w:t>
            </w:r>
            <w:r w:rsidRPr="00A33B9F">
              <w:rPr>
                <w:rStyle w:val="normaltextrun"/>
                <w:rFonts w:ascii="Times New Roman" w:hAnsi="Times New Roman"/>
                <w:noProof/>
                <w:color w:val="000000"/>
                <w:sz w:val="18"/>
              </w:rPr>
              <w:t>arza dentysty, aby zapewnić podstawę prawną wsparcia finansowego studentów medycyny</w:t>
            </w:r>
            <w:r w:rsidR="00A33B9F" w:rsidRPr="00A33B9F">
              <w:rPr>
                <w:rStyle w:val="normaltextrun"/>
                <w:rFonts w:ascii="Times New Roman" w:hAnsi="Times New Roman"/>
                <w:noProof/>
                <w:color w:val="000000"/>
                <w:sz w:val="18"/>
              </w:rPr>
              <w:t xml:space="preserve"> w Pol</w:t>
            </w:r>
            <w:r w:rsidRPr="00A33B9F">
              <w:rPr>
                <w:rStyle w:val="normaltextrun"/>
                <w:rFonts w:ascii="Times New Roman" w:hAnsi="Times New Roman"/>
                <w:noProof/>
                <w:color w:val="000000"/>
                <w:sz w:val="18"/>
              </w:rPr>
              <w:t>sce, począwszy od roku akademickiego 2021/2022.</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73AE6613" w14:textId="75CE04B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zmi</w:t>
            </w:r>
            <w:r w:rsidRPr="00A33B9F">
              <w:rPr>
                <w:rFonts w:ascii="Times New Roman" w:hAnsi="Times New Roman"/>
                <w:noProof/>
                <w:color w:val="000000" w:themeColor="text1"/>
                <w:sz w:val="18"/>
              </w:rPr>
              <w:t>anie prawa</w:t>
            </w:r>
            <w:r w:rsidR="00A33B9F" w:rsidRPr="00A33B9F">
              <w:rPr>
                <w:rFonts w:ascii="Times New Roman" w:hAnsi="Times New Roman"/>
                <w:noProof/>
                <w:color w:val="000000" w:themeColor="text1"/>
                <w:sz w:val="18"/>
              </w:rPr>
              <w:t xml:space="preserve"> o szk</w:t>
            </w:r>
            <w:r w:rsidRPr="00A33B9F">
              <w:rPr>
                <w:rFonts w:ascii="Times New Roman" w:hAnsi="Times New Roman"/>
                <w:noProof/>
                <w:color w:val="000000" w:themeColor="text1"/>
                <w:sz w:val="18"/>
              </w:rPr>
              <w:t>olnictwie wyższym</w:t>
            </w:r>
            <w:r w:rsidR="00A33B9F" w:rsidRPr="00A33B9F">
              <w:rPr>
                <w:rFonts w:ascii="Times New Roman" w:hAnsi="Times New Roman"/>
                <w:noProof/>
                <w:color w:val="000000" w:themeColor="text1"/>
                <w:sz w:val="18"/>
              </w:rPr>
              <w:t xml:space="preserve"> i nau</w:t>
            </w:r>
            <w:r w:rsidRPr="00A33B9F">
              <w:rPr>
                <w:rFonts w:ascii="Times New Roman" w:hAnsi="Times New Roman"/>
                <w:noProof/>
                <w:color w:val="000000" w:themeColor="text1"/>
                <w:sz w:val="18"/>
              </w:rPr>
              <w:t>ce</w:t>
            </w:r>
            <w:r w:rsidR="00A33B9F" w:rsidRPr="00A33B9F">
              <w:rPr>
                <w:rFonts w:ascii="Times New Roman" w:hAnsi="Times New Roman"/>
                <w:noProof/>
                <w:color w:val="000000" w:themeColor="text1"/>
                <w:sz w:val="18"/>
              </w:rPr>
              <w:t xml:space="preserve"> i ust</w:t>
            </w:r>
            <w:r w:rsidRPr="00A33B9F">
              <w:rPr>
                <w:rFonts w:ascii="Times New Roman" w:hAnsi="Times New Roman"/>
                <w:noProof/>
                <w:color w:val="000000" w:themeColor="text1"/>
                <w:sz w:val="18"/>
              </w:rPr>
              <w:t>awy</w:t>
            </w:r>
            <w:r w:rsidR="00A33B9F" w:rsidRPr="00A33B9F">
              <w:rPr>
                <w:rFonts w:ascii="Times New Roman" w:hAnsi="Times New Roman"/>
                <w:noProof/>
                <w:color w:val="000000" w:themeColor="text1"/>
                <w:sz w:val="18"/>
              </w:rPr>
              <w:t xml:space="preserve"> o zaw</w:t>
            </w:r>
            <w:r w:rsidRPr="00A33B9F">
              <w:rPr>
                <w:rFonts w:ascii="Times New Roman" w:hAnsi="Times New Roman"/>
                <w:noProof/>
                <w:color w:val="000000" w:themeColor="text1"/>
                <w:sz w:val="18"/>
              </w:rPr>
              <w:t>odach lekarza</w:t>
            </w:r>
            <w:r w:rsidR="00A33B9F" w:rsidRPr="00A33B9F">
              <w:rPr>
                <w:rFonts w:ascii="Times New Roman" w:hAnsi="Times New Roman"/>
                <w:noProof/>
                <w:color w:val="000000" w:themeColor="text1"/>
                <w:sz w:val="18"/>
              </w:rPr>
              <w:t xml:space="preserve"> i lek</w:t>
            </w:r>
            <w:r w:rsidRPr="00A33B9F">
              <w:rPr>
                <w:rFonts w:ascii="Times New Roman" w:hAnsi="Times New Roman"/>
                <w:noProof/>
                <w:color w:val="000000" w:themeColor="text1"/>
                <w:sz w:val="18"/>
              </w:rPr>
              <w:t>arza dentysty zapewniający podstawę prawną wsparcia finansowego studentów medycyny</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 na poziomie uniwersyteckim począwszy od roku akademickiego 2021/2022 (w tym studentów, którzy rozpoczęli studia przed rokiem akademickim 2021/2022), określający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3C347B81"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548DED92"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5D54FA79"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622A3A40"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7351E708"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2021</w:t>
            </w:r>
          </w:p>
        </w:tc>
        <w:tc>
          <w:tcPr>
            <w:tcW w:w="3544" w:type="dxa"/>
            <w:shd w:val="clear" w:color="auto" w:fill="C6EFCE"/>
          </w:tcPr>
          <w:p w14:paraId="5636F4F3" w14:textId="3A94B27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themeColor="text1"/>
                <w:sz w:val="18"/>
              </w:rPr>
              <w:t>Ustawa wejdzie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w:t>
            </w:r>
            <w:r w:rsidR="00A33B9F" w:rsidRPr="00A33B9F">
              <w:rPr>
                <w:rStyle w:val="normaltextrun"/>
                <w:rFonts w:ascii="Times New Roman" w:hAnsi="Times New Roman"/>
                <w:noProof/>
                <w:color w:val="000000" w:themeColor="text1"/>
                <w:sz w:val="18"/>
              </w:rPr>
              <w:t xml:space="preserve"> i wpr</w:t>
            </w:r>
            <w:r w:rsidRPr="00A33B9F">
              <w:rPr>
                <w:rStyle w:val="normaltextrun"/>
                <w:rFonts w:ascii="Times New Roman" w:hAnsi="Times New Roman"/>
                <w:noProof/>
                <w:color w:val="000000" w:themeColor="text1"/>
                <w:sz w:val="18"/>
              </w:rPr>
              <w:t>owadzi możliwość korzystania ze wsparcia finansowego</w:t>
            </w:r>
            <w:r w:rsidR="00A33B9F" w:rsidRPr="00A33B9F">
              <w:rPr>
                <w:rStyle w:val="normaltextrun"/>
                <w:rFonts w:ascii="Times New Roman" w:hAnsi="Times New Roman"/>
                <w:noProof/>
                <w:color w:val="000000" w:themeColor="text1"/>
                <w:sz w:val="18"/>
              </w:rPr>
              <w:t xml:space="preserve"> w for</w:t>
            </w:r>
            <w:r w:rsidRPr="00A33B9F">
              <w:rPr>
                <w:rStyle w:val="normaltextrun"/>
                <w:rFonts w:ascii="Times New Roman" w:hAnsi="Times New Roman"/>
                <w:noProof/>
                <w:color w:val="000000" w:themeColor="text1"/>
                <w:sz w:val="18"/>
              </w:rPr>
              <w:t>mie pożyczki dla studentów odpłatnych studiów medycznych na poziomie uniwersyteckim. Student będzie mógł złożyć wniosek</w:t>
            </w:r>
            <w:r w:rsidR="00A33B9F" w:rsidRPr="00A33B9F">
              <w:rPr>
                <w:rStyle w:val="normaltextrun"/>
                <w:rFonts w:ascii="Times New Roman" w:hAnsi="Times New Roman"/>
                <w:noProof/>
                <w:color w:val="000000" w:themeColor="text1"/>
                <w:sz w:val="18"/>
              </w:rPr>
              <w:t xml:space="preserve"> o prz</w:t>
            </w:r>
            <w:r w:rsidRPr="00A33B9F">
              <w:rPr>
                <w:rStyle w:val="normaltextrun"/>
                <w:rFonts w:ascii="Times New Roman" w:hAnsi="Times New Roman"/>
                <w:noProof/>
                <w:color w:val="000000" w:themeColor="text1"/>
                <w:sz w:val="18"/>
              </w:rPr>
              <w:t>edterminową spłatę pożyczki lub</w:t>
            </w:r>
            <w:r w:rsidR="00A33B9F" w:rsidRPr="00A33B9F">
              <w:rPr>
                <w:rStyle w:val="normaltextrun"/>
                <w:rFonts w:ascii="Times New Roman" w:hAnsi="Times New Roman"/>
                <w:noProof/>
                <w:color w:val="000000" w:themeColor="text1"/>
                <w:sz w:val="18"/>
              </w:rPr>
              <w:t xml:space="preserve"> o prz</w:t>
            </w:r>
            <w:r w:rsidRPr="00A33B9F">
              <w:rPr>
                <w:rStyle w:val="normaltextrun"/>
                <w:rFonts w:ascii="Times New Roman" w:hAnsi="Times New Roman"/>
                <w:noProof/>
                <w:color w:val="000000" w:themeColor="text1"/>
                <w:sz w:val="18"/>
              </w:rPr>
              <w:t>edłużenie okresu spłaty.</w:t>
            </w:r>
            <w:r w:rsidR="00C3621A" w:rsidRPr="00A33B9F">
              <w:rPr>
                <w:rStyle w:val="normaltextrun"/>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Po spełnieniu pewnych warunków określonych</w:t>
            </w:r>
            <w:r w:rsidR="00A33B9F" w:rsidRPr="00A33B9F">
              <w:rPr>
                <w:rStyle w:val="normaltextrun"/>
                <w:rFonts w:ascii="Times New Roman" w:hAnsi="Times New Roman"/>
                <w:noProof/>
                <w:color w:val="000000" w:themeColor="text1"/>
                <w:sz w:val="18"/>
              </w:rPr>
              <w:t xml:space="preserve"> w ust</w:t>
            </w:r>
            <w:r w:rsidRPr="00A33B9F">
              <w:rPr>
                <w:rStyle w:val="normaltextrun"/>
                <w:rFonts w:ascii="Times New Roman" w:hAnsi="Times New Roman"/>
                <w:noProof/>
                <w:color w:val="000000" w:themeColor="text1"/>
                <w:sz w:val="18"/>
              </w:rPr>
              <w:t>awie student będzie mógł ubiegać się</w:t>
            </w:r>
            <w:r w:rsidR="00A33B9F" w:rsidRPr="00A33B9F">
              <w:rPr>
                <w:rStyle w:val="normaltextrun"/>
                <w:rFonts w:ascii="Times New Roman" w:hAnsi="Times New Roman"/>
                <w:noProof/>
                <w:color w:val="000000" w:themeColor="text1"/>
                <w:sz w:val="18"/>
              </w:rPr>
              <w:t xml:space="preserve"> o cał</w:t>
            </w:r>
            <w:r w:rsidRPr="00A33B9F">
              <w:rPr>
                <w:rStyle w:val="normaltextrun"/>
                <w:rFonts w:ascii="Times New Roman" w:hAnsi="Times New Roman"/>
                <w:noProof/>
                <w:color w:val="000000" w:themeColor="text1"/>
                <w:sz w:val="18"/>
              </w:rPr>
              <w:t>kowite lub częściowe umorzenie pożyczki na studia medyczne.</w:t>
            </w:r>
            <w:r w:rsidR="00C3621A" w:rsidRPr="00A33B9F">
              <w:rPr>
                <w:rStyle w:val="normaltextrun"/>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Studenci korzystający ze wsparcia będą mogli ubiegać się</w:t>
            </w:r>
            <w:r w:rsidR="00A33B9F" w:rsidRPr="00A33B9F">
              <w:rPr>
                <w:rStyle w:val="normaltextrun"/>
                <w:rFonts w:ascii="Times New Roman" w:hAnsi="Times New Roman"/>
                <w:noProof/>
                <w:color w:val="000000" w:themeColor="text1"/>
                <w:sz w:val="18"/>
              </w:rPr>
              <w:t xml:space="preserve"> o cał</w:t>
            </w:r>
            <w:r w:rsidRPr="00A33B9F">
              <w:rPr>
                <w:rStyle w:val="normaltextrun"/>
                <w:rFonts w:ascii="Times New Roman" w:hAnsi="Times New Roman"/>
                <w:noProof/>
                <w:color w:val="000000" w:themeColor="text1"/>
                <w:sz w:val="18"/>
              </w:rPr>
              <w:t>kowite umorzenie pożyczki po spełnieniu następujących warunków:</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praca po ukończeniu studiów przez okres co najmniej 10 lat</w:t>
            </w:r>
            <w:r w:rsidR="00A33B9F" w:rsidRPr="00A33B9F">
              <w:rPr>
                <w:rStyle w:val="normaltextrun"/>
                <w:rFonts w:ascii="Times New Roman" w:hAnsi="Times New Roman"/>
                <w:noProof/>
                <w:color w:val="000000" w:themeColor="text1"/>
                <w:sz w:val="18"/>
              </w:rPr>
              <w:t xml:space="preserve"> w cią</w:t>
            </w:r>
            <w:r w:rsidRPr="00A33B9F">
              <w:rPr>
                <w:rStyle w:val="normaltextrun"/>
                <w:rFonts w:ascii="Times New Roman" w:hAnsi="Times New Roman"/>
                <w:noProof/>
                <w:color w:val="000000" w:themeColor="text1"/>
                <w:sz w:val="18"/>
              </w:rPr>
              <w:t>gu 12 kolejnych lat liczonych od daty ukończenia studiów</w:t>
            </w:r>
            <w:r w:rsidR="00A33B9F" w:rsidRPr="00A33B9F">
              <w:rPr>
                <w:rStyle w:val="normaltextrun"/>
                <w:rFonts w:ascii="Times New Roman" w:hAnsi="Times New Roman"/>
                <w:noProof/>
                <w:color w:val="000000" w:themeColor="text1"/>
                <w:sz w:val="18"/>
              </w:rPr>
              <w:t xml:space="preserve"> w pod</w:t>
            </w:r>
            <w:r w:rsidRPr="00A33B9F">
              <w:rPr>
                <w:rStyle w:val="normaltextrun"/>
                <w:rFonts w:ascii="Times New Roman" w:hAnsi="Times New Roman"/>
                <w:noProof/>
                <w:color w:val="000000" w:themeColor="text1"/>
                <w:sz w:val="18"/>
              </w:rPr>
              <w:t>miotach prowadzących działalność medyczną na terytorium Rzeczpospolitej Polskiej, które świadczą usługi opieki zdrowotnej finansowane</w:t>
            </w:r>
            <w:r w:rsidR="00A33B9F" w:rsidRPr="00A33B9F">
              <w:rPr>
                <w:rStyle w:val="normaltextrun"/>
                <w:rFonts w:ascii="Times New Roman" w:hAnsi="Times New Roman"/>
                <w:noProof/>
                <w:color w:val="000000" w:themeColor="text1"/>
                <w:sz w:val="18"/>
              </w:rPr>
              <w:t xml:space="preserve"> z fun</w:t>
            </w:r>
            <w:r w:rsidRPr="00A33B9F">
              <w:rPr>
                <w:rStyle w:val="normaltextrun"/>
                <w:rFonts w:ascii="Times New Roman" w:hAnsi="Times New Roman"/>
                <w:noProof/>
                <w:color w:val="000000" w:themeColor="text1"/>
                <w:sz w:val="18"/>
              </w:rPr>
              <w:t>duszy publicznych oraz</w:t>
            </w:r>
            <w:r w:rsidRPr="00A33B9F">
              <w:rPr>
                <w:rStyle w:val="normaltextrun"/>
                <w:rFonts w:ascii="Times New Roman" w:hAnsi="Times New Roman"/>
                <w:noProof/>
                <w:sz w:val="18"/>
              </w:rPr>
              <w:t xml:space="preserve"> </w:t>
            </w:r>
            <w:r w:rsidRPr="00A33B9F">
              <w:rPr>
                <w:noProof/>
              </w:rPr>
              <w:br/>
            </w:r>
            <w:r w:rsidRPr="00A33B9F">
              <w:rPr>
                <w:rStyle w:val="normaltextrun"/>
                <w:rFonts w:ascii="Times New Roman" w:hAnsi="Times New Roman"/>
                <w:noProof/>
                <w:color w:val="000000" w:themeColor="text1"/>
                <w:sz w:val="18"/>
              </w:rPr>
              <w:t>– uzyskanie tytułu specjalisty</w:t>
            </w:r>
            <w:r w:rsidR="00A33B9F" w:rsidRPr="00A33B9F">
              <w:rPr>
                <w:rStyle w:val="normaltextrun"/>
                <w:rFonts w:ascii="Times New Roman" w:hAnsi="Times New Roman"/>
                <w:noProof/>
                <w:color w:val="000000" w:themeColor="text1"/>
                <w:sz w:val="18"/>
              </w:rPr>
              <w:t xml:space="preserve"> w wyż</w:t>
            </w:r>
            <w:r w:rsidRPr="00A33B9F">
              <w:rPr>
                <w:rStyle w:val="normaltextrun"/>
                <w:rFonts w:ascii="Times New Roman" w:hAnsi="Times New Roman"/>
                <w:noProof/>
                <w:color w:val="000000" w:themeColor="text1"/>
                <w:sz w:val="18"/>
              </w:rPr>
              <w:t>ej wymienionym okresie</w:t>
            </w:r>
            <w:r w:rsidR="00A33B9F" w:rsidRPr="00A33B9F">
              <w:rPr>
                <w:rStyle w:val="normaltextrun"/>
                <w:rFonts w:ascii="Times New Roman" w:hAnsi="Times New Roman"/>
                <w:noProof/>
                <w:color w:val="000000" w:themeColor="text1"/>
                <w:sz w:val="18"/>
              </w:rPr>
              <w:t xml:space="preserve"> w dzi</w:t>
            </w:r>
            <w:r w:rsidRPr="00A33B9F">
              <w:rPr>
                <w:rStyle w:val="normaltextrun"/>
                <w:rFonts w:ascii="Times New Roman" w:hAnsi="Times New Roman"/>
                <w:noProof/>
                <w:color w:val="000000" w:themeColor="text1"/>
                <w:sz w:val="18"/>
              </w:rPr>
              <w:t>edzinie medycyny uznanej za priorytetową –</w:t>
            </w:r>
            <w:r w:rsidR="00A33B9F" w:rsidRPr="00A33B9F">
              <w:rPr>
                <w:rStyle w:val="normaltextrun"/>
                <w:rFonts w:ascii="Times New Roman" w:hAnsi="Times New Roman"/>
                <w:noProof/>
                <w:color w:val="000000" w:themeColor="text1"/>
                <w:sz w:val="18"/>
              </w:rPr>
              <w:t xml:space="preserve"> w dni</w:t>
            </w:r>
            <w:r w:rsidRPr="00A33B9F">
              <w:rPr>
                <w:rStyle w:val="normaltextrun"/>
                <w:rFonts w:ascii="Times New Roman" w:hAnsi="Times New Roman"/>
                <w:noProof/>
                <w:color w:val="000000" w:themeColor="text1"/>
                <w:sz w:val="18"/>
              </w:rPr>
              <w:t>u,</w:t>
            </w:r>
            <w:r w:rsidR="00A33B9F" w:rsidRPr="00A33B9F">
              <w:rPr>
                <w:rStyle w:val="normaltextrun"/>
                <w:rFonts w:ascii="Times New Roman" w:hAnsi="Times New Roman"/>
                <w:noProof/>
                <w:color w:val="000000" w:themeColor="text1"/>
                <w:sz w:val="18"/>
              </w:rPr>
              <w:t xml:space="preserve"> w któ</w:t>
            </w:r>
            <w:r w:rsidRPr="00A33B9F">
              <w:rPr>
                <w:rStyle w:val="normaltextrun"/>
                <w:rFonts w:ascii="Times New Roman" w:hAnsi="Times New Roman"/>
                <w:noProof/>
                <w:color w:val="000000" w:themeColor="text1"/>
                <w:sz w:val="18"/>
              </w:rPr>
              <w:t>rym lekarz rozpoczął szkolenie specjalizacyjne.</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Osoba, które spełnia te dwa warunki, nie będzie musiała zwracać pożyczki na studia medyczne. Szczegółowe warunki pożyczek na studia medyczne</w:t>
            </w:r>
            <w:r w:rsidR="00A33B9F" w:rsidRPr="00A33B9F">
              <w:rPr>
                <w:rStyle w:val="normaltextrun"/>
                <w:rFonts w:ascii="Times New Roman" w:hAnsi="Times New Roman"/>
                <w:noProof/>
                <w:color w:val="000000" w:themeColor="text1"/>
                <w:sz w:val="18"/>
              </w:rPr>
              <w:t xml:space="preserve"> i pro</w:t>
            </w:r>
            <w:r w:rsidRPr="00A33B9F">
              <w:rPr>
                <w:rStyle w:val="normaltextrun"/>
                <w:rFonts w:ascii="Times New Roman" w:hAnsi="Times New Roman"/>
                <w:noProof/>
                <w:color w:val="000000" w:themeColor="text1"/>
                <w:sz w:val="18"/>
              </w:rPr>
              <w:t>cedura ubiegania się</w:t>
            </w:r>
            <w:r w:rsidR="00A33B9F" w:rsidRPr="00A33B9F">
              <w:rPr>
                <w:rStyle w:val="normaltextrun"/>
                <w:rFonts w:ascii="Times New Roman" w:hAnsi="Times New Roman"/>
                <w:noProof/>
                <w:color w:val="000000" w:themeColor="text1"/>
                <w:sz w:val="18"/>
              </w:rPr>
              <w:t xml:space="preserve"> o nie</w:t>
            </w:r>
            <w:r w:rsidRPr="00A33B9F">
              <w:rPr>
                <w:rStyle w:val="normaltextrun"/>
                <w:rFonts w:ascii="Times New Roman" w:hAnsi="Times New Roman"/>
                <w:noProof/>
                <w:color w:val="000000" w:themeColor="text1"/>
                <w:sz w:val="18"/>
              </w:rPr>
              <w:t xml:space="preserve"> zostaną określone</w:t>
            </w:r>
            <w:r w:rsidR="00A33B9F" w:rsidRPr="00A33B9F">
              <w:rPr>
                <w:rStyle w:val="normaltextrun"/>
                <w:rFonts w:ascii="Times New Roman" w:hAnsi="Times New Roman"/>
                <w:noProof/>
                <w:color w:val="000000" w:themeColor="text1"/>
                <w:sz w:val="18"/>
              </w:rPr>
              <w:t xml:space="preserve"> w akc</w:t>
            </w:r>
            <w:r w:rsidRPr="00A33B9F">
              <w:rPr>
                <w:rStyle w:val="normaltextrun"/>
                <w:rFonts w:ascii="Times New Roman" w:hAnsi="Times New Roman"/>
                <w:noProof/>
                <w:color w:val="000000" w:themeColor="text1"/>
                <w:sz w:val="18"/>
              </w:rPr>
              <w:t>ie ustawodawczym.</w:t>
            </w:r>
            <w:r w:rsidRPr="00A33B9F">
              <w:rPr>
                <w:rStyle w:val="eop"/>
                <w:rFonts w:ascii="Times New Roman" w:hAnsi="Times New Roman"/>
                <w:noProof/>
                <w:color w:val="000000" w:themeColor="text1"/>
                <w:sz w:val="18"/>
              </w:rPr>
              <w:t xml:space="preserve"> </w:t>
            </w:r>
          </w:p>
        </w:tc>
      </w:tr>
      <w:tr w:rsidR="008C116B" w:rsidRPr="00A33B9F" w14:paraId="0FEBA561" w14:textId="77777777" w:rsidTr="1CE0CE0C">
        <w:trPr>
          <w:trHeight w:val="313"/>
        </w:trPr>
        <w:tc>
          <w:tcPr>
            <w:tcW w:w="709" w:type="dxa"/>
            <w:shd w:val="clear" w:color="auto" w:fill="C6EFCE"/>
          </w:tcPr>
          <w:p w14:paraId="40805059" w14:textId="6DF82499"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D24G</w:t>
            </w:r>
          </w:p>
        </w:tc>
        <w:tc>
          <w:tcPr>
            <w:tcW w:w="2126" w:type="dxa"/>
            <w:shd w:val="clear" w:color="auto" w:fill="C6EFCE"/>
          </w:tcPr>
          <w:p w14:paraId="088F39B1"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 Stworzenie odpowiednich warunków dla zwiększenia liczebności kadry medycznej</w:t>
            </w:r>
          </w:p>
        </w:tc>
        <w:tc>
          <w:tcPr>
            <w:tcW w:w="1050" w:type="dxa"/>
            <w:shd w:val="clear" w:color="auto" w:fill="C6EFCE"/>
          </w:tcPr>
          <w:p w14:paraId="7CECD32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3E4CA140" w14:textId="7FBA38F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Liczba studentów uniwersytetów medycznych, którzy otrzymali wsparcie finansowe na podstawie prawa</w:t>
            </w:r>
            <w:r w:rsidR="00A33B9F" w:rsidRPr="00A33B9F">
              <w:rPr>
                <w:rStyle w:val="normaltextrun"/>
                <w:rFonts w:ascii="Times New Roman" w:hAnsi="Times New Roman"/>
                <w:noProof/>
                <w:color w:val="000000" w:themeColor="text1"/>
                <w:sz w:val="18"/>
              </w:rPr>
              <w:t xml:space="preserve"> o szk</w:t>
            </w:r>
            <w:r w:rsidRPr="00A33B9F">
              <w:rPr>
                <w:rStyle w:val="normaltextrun"/>
                <w:rFonts w:ascii="Times New Roman" w:hAnsi="Times New Roman"/>
                <w:noProof/>
                <w:color w:val="000000" w:themeColor="text1"/>
                <w:sz w:val="18"/>
              </w:rPr>
              <w:t>olnictwie wyższym</w:t>
            </w:r>
            <w:r w:rsidR="00A33B9F" w:rsidRPr="00A33B9F">
              <w:rPr>
                <w:rStyle w:val="normaltextrun"/>
                <w:rFonts w:ascii="Times New Roman" w:hAnsi="Times New Roman"/>
                <w:noProof/>
                <w:color w:val="000000" w:themeColor="text1"/>
                <w:sz w:val="18"/>
              </w:rPr>
              <w:t xml:space="preserve"> i nau</w:t>
            </w:r>
            <w:r w:rsidRPr="00A33B9F">
              <w:rPr>
                <w:rStyle w:val="normaltextrun"/>
                <w:rFonts w:ascii="Times New Roman" w:hAnsi="Times New Roman"/>
                <w:noProof/>
                <w:color w:val="000000" w:themeColor="text1"/>
                <w:sz w:val="18"/>
              </w:rPr>
              <w:t>ce</w:t>
            </w:r>
            <w:r w:rsidR="00A33B9F" w:rsidRPr="00A33B9F">
              <w:rPr>
                <w:rStyle w:val="normaltextrun"/>
                <w:rFonts w:ascii="Times New Roman" w:hAnsi="Times New Roman"/>
                <w:noProof/>
                <w:color w:val="000000" w:themeColor="text1"/>
                <w:sz w:val="18"/>
              </w:rPr>
              <w:t xml:space="preserve"> i ust</w:t>
            </w:r>
            <w:r w:rsidRPr="00A33B9F">
              <w:rPr>
                <w:rStyle w:val="normaltextrun"/>
                <w:rFonts w:ascii="Times New Roman" w:hAnsi="Times New Roman"/>
                <w:noProof/>
                <w:color w:val="000000" w:themeColor="text1"/>
                <w:sz w:val="18"/>
              </w:rPr>
              <w:t>awy</w:t>
            </w:r>
            <w:r w:rsidR="00A33B9F" w:rsidRPr="00A33B9F">
              <w:rPr>
                <w:rStyle w:val="normaltextrun"/>
                <w:rFonts w:ascii="Times New Roman" w:hAnsi="Times New Roman"/>
                <w:noProof/>
                <w:color w:val="000000" w:themeColor="text1"/>
                <w:sz w:val="18"/>
              </w:rPr>
              <w:t xml:space="preserve"> o zaw</w:t>
            </w:r>
            <w:r w:rsidRPr="00A33B9F">
              <w:rPr>
                <w:rStyle w:val="normaltextrun"/>
                <w:rFonts w:ascii="Times New Roman" w:hAnsi="Times New Roman"/>
                <w:noProof/>
                <w:color w:val="000000" w:themeColor="text1"/>
                <w:sz w:val="18"/>
              </w:rPr>
              <w:t>odach lekarza</w:t>
            </w:r>
            <w:r w:rsidR="00A33B9F" w:rsidRPr="00A33B9F">
              <w:rPr>
                <w:rStyle w:val="normaltextrun"/>
                <w:rFonts w:ascii="Times New Roman" w:hAnsi="Times New Roman"/>
                <w:noProof/>
                <w:color w:val="000000" w:themeColor="text1"/>
                <w:sz w:val="18"/>
              </w:rPr>
              <w:t xml:space="preserve"> i lek</w:t>
            </w:r>
            <w:r w:rsidRPr="00A33B9F">
              <w:rPr>
                <w:rStyle w:val="normaltextrun"/>
                <w:rFonts w:ascii="Times New Roman" w:hAnsi="Times New Roman"/>
                <w:noProof/>
                <w:color w:val="000000" w:themeColor="text1"/>
                <w:sz w:val="18"/>
              </w:rPr>
              <w:t>arza dentysty</w:t>
            </w:r>
            <w:r w:rsidR="00C3621A" w:rsidRPr="00A33B9F">
              <w:rPr>
                <w:rStyle w:val="normaltextrun"/>
                <w:rFonts w:ascii="Times New Roman" w:hAnsi="Times New Roman"/>
                <w:noProof/>
                <w:color w:val="000000" w:themeColor="text1"/>
                <w:sz w:val="18"/>
              </w:rPr>
              <w:t xml:space="preserve"> </w:t>
            </w:r>
          </w:p>
        </w:tc>
        <w:tc>
          <w:tcPr>
            <w:tcW w:w="1560" w:type="dxa"/>
            <w:shd w:val="clear" w:color="auto" w:fill="C6EFCE"/>
          </w:tcPr>
          <w:p w14:paraId="2C321B3A"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0BD69BC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shd w:val="clear" w:color="auto" w:fill="C6EFCE"/>
          </w:tcPr>
          <w:p w14:paraId="562729E8"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71AE6B87" w14:textId="23B78024"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9 947</w:t>
            </w:r>
          </w:p>
        </w:tc>
        <w:tc>
          <w:tcPr>
            <w:tcW w:w="993" w:type="dxa"/>
            <w:shd w:val="clear" w:color="auto" w:fill="C6EFCE"/>
          </w:tcPr>
          <w:p w14:paraId="47A9D4CD"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1AEDEA92"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4E39AB12" w14:textId="0ED7126F"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9 947 studentów, którzy otrzymali wsparcie finansowe</w:t>
            </w:r>
            <w:r w:rsidR="00A33B9F" w:rsidRPr="00A33B9F">
              <w:rPr>
                <w:rStyle w:val="normaltextrun"/>
                <w:rFonts w:ascii="Times New Roman" w:hAnsi="Times New Roman"/>
                <w:noProof/>
                <w:color w:val="000000" w:themeColor="text1"/>
                <w:sz w:val="18"/>
              </w:rPr>
              <w:t xml:space="preserve"> w for</w:t>
            </w:r>
            <w:r w:rsidRPr="00A33B9F">
              <w:rPr>
                <w:rStyle w:val="normaltextrun"/>
                <w:rFonts w:ascii="Times New Roman" w:hAnsi="Times New Roman"/>
                <w:noProof/>
                <w:color w:val="000000" w:themeColor="text1"/>
                <w:sz w:val="18"/>
              </w:rPr>
              <w:t>mie pożyczki dla studentów odpłatnych studiów medycznych</w:t>
            </w:r>
            <w:r w:rsidR="00A33B9F" w:rsidRPr="00A33B9F">
              <w:rPr>
                <w:rStyle w:val="normaltextrun"/>
                <w:rFonts w:ascii="Times New Roman" w:hAnsi="Times New Roman"/>
                <w:noProof/>
                <w:color w:val="000000" w:themeColor="text1"/>
                <w:sz w:val="18"/>
              </w:rPr>
              <w:t xml:space="preserve"> w jęz</w:t>
            </w:r>
            <w:r w:rsidRPr="00A33B9F">
              <w:rPr>
                <w:rStyle w:val="normaltextrun"/>
                <w:rFonts w:ascii="Times New Roman" w:hAnsi="Times New Roman"/>
                <w:noProof/>
                <w:color w:val="000000" w:themeColor="text1"/>
                <w:sz w:val="18"/>
              </w:rPr>
              <w:t>yku polskim na podstawie zmiany prawa</w:t>
            </w:r>
            <w:r w:rsidR="00A33B9F" w:rsidRPr="00A33B9F">
              <w:rPr>
                <w:rStyle w:val="normaltextrun"/>
                <w:rFonts w:ascii="Times New Roman" w:hAnsi="Times New Roman"/>
                <w:noProof/>
                <w:color w:val="000000" w:themeColor="text1"/>
                <w:sz w:val="18"/>
              </w:rPr>
              <w:t xml:space="preserve"> o szk</w:t>
            </w:r>
            <w:r w:rsidRPr="00A33B9F">
              <w:rPr>
                <w:rStyle w:val="normaltextrun"/>
                <w:rFonts w:ascii="Times New Roman" w:hAnsi="Times New Roman"/>
                <w:noProof/>
                <w:color w:val="000000" w:themeColor="text1"/>
                <w:sz w:val="18"/>
              </w:rPr>
              <w:t>olnictwie wyższym</w:t>
            </w:r>
            <w:r w:rsidR="00A33B9F" w:rsidRPr="00A33B9F">
              <w:rPr>
                <w:rStyle w:val="normaltextrun"/>
                <w:rFonts w:ascii="Times New Roman" w:hAnsi="Times New Roman"/>
                <w:noProof/>
                <w:color w:val="000000" w:themeColor="text1"/>
                <w:sz w:val="18"/>
              </w:rPr>
              <w:t xml:space="preserve"> i nau</w:t>
            </w:r>
            <w:r w:rsidRPr="00A33B9F">
              <w:rPr>
                <w:rStyle w:val="normaltextrun"/>
                <w:rFonts w:ascii="Times New Roman" w:hAnsi="Times New Roman"/>
                <w:noProof/>
                <w:color w:val="000000" w:themeColor="text1"/>
                <w:sz w:val="18"/>
              </w:rPr>
              <w:t>ce oraz ustawy</w:t>
            </w:r>
            <w:r w:rsidR="00A33B9F" w:rsidRPr="00A33B9F">
              <w:rPr>
                <w:rStyle w:val="normaltextrun"/>
                <w:rFonts w:ascii="Times New Roman" w:hAnsi="Times New Roman"/>
                <w:noProof/>
                <w:color w:val="000000" w:themeColor="text1"/>
                <w:sz w:val="18"/>
              </w:rPr>
              <w:t xml:space="preserve"> o zaw</w:t>
            </w:r>
            <w:r w:rsidRPr="00A33B9F">
              <w:rPr>
                <w:rStyle w:val="normaltextrun"/>
                <w:rFonts w:ascii="Times New Roman" w:hAnsi="Times New Roman"/>
                <w:noProof/>
                <w:color w:val="000000" w:themeColor="text1"/>
                <w:sz w:val="18"/>
              </w:rPr>
              <w:t>odzie lekarza</w:t>
            </w:r>
            <w:r w:rsidR="00A33B9F" w:rsidRPr="00A33B9F">
              <w:rPr>
                <w:rStyle w:val="normaltextrun"/>
                <w:rFonts w:ascii="Times New Roman" w:hAnsi="Times New Roman"/>
                <w:noProof/>
                <w:color w:val="000000" w:themeColor="text1"/>
                <w:sz w:val="18"/>
              </w:rPr>
              <w:t xml:space="preserve"> i lek</w:t>
            </w:r>
            <w:r w:rsidRPr="00A33B9F">
              <w:rPr>
                <w:rStyle w:val="normaltextrun"/>
                <w:rFonts w:ascii="Times New Roman" w:hAnsi="Times New Roman"/>
                <w:noProof/>
                <w:color w:val="000000" w:themeColor="text1"/>
                <w:sz w:val="18"/>
              </w:rPr>
              <w:t>arza dentysty.</w:t>
            </w:r>
            <w:r w:rsidR="00C3621A" w:rsidRPr="00A33B9F">
              <w:rPr>
                <w:rStyle w:val="normaltextrun"/>
                <w:rFonts w:ascii="Times New Roman" w:hAnsi="Times New Roman"/>
                <w:noProof/>
                <w:color w:val="000000" w:themeColor="text1"/>
                <w:sz w:val="18"/>
              </w:rPr>
              <w:t xml:space="preserve"> </w:t>
            </w:r>
          </w:p>
        </w:tc>
      </w:tr>
      <w:tr w:rsidR="008C116B" w:rsidRPr="00A33B9F" w14:paraId="02DD8C33" w14:textId="77777777" w:rsidTr="1CE0CE0C">
        <w:trPr>
          <w:trHeight w:val="313"/>
        </w:trPr>
        <w:tc>
          <w:tcPr>
            <w:tcW w:w="709" w:type="dxa"/>
            <w:shd w:val="clear" w:color="auto" w:fill="C6EFCE"/>
          </w:tcPr>
          <w:p w14:paraId="60F564E8" w14:textId="63A0FCD6"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D25G</w:t>
            </w:r>
          </w:p>
        </w:tc>
        <w:tc>
          <w:tcPr>
            <w:tcW w:w="2126" w:type="dxa"/>
            <w:shd w:val="clear" w:color="auto" w:fill="C6EFCE"/>
          </w:tcPr>
          <w:p w14:paraId="4742A302"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 Stworzenie odpowiednich warunków dla zwiększenia liczebności kadry medycznej</w:t>
            </w:r>
          </w:p>
        </w:tc>
        <w:tc>
          <w:tcPr>
            <w:tcW w:w="1050" w:type="dxa"/>
            <w:shd w:val="clear" w:color="auto" w:fill="C6EFCE"/>
          </w:tcPr>
          <w:p w14:paraId="64444FF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680B2CEB" w14:textId="027DFF4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Wejście</w:t>
            </w:r>
            <w:r w:rsidR="00A33B9F" w:rsidRPr="00A33B9F">
              <w:rPr>
                <w:rStyle w:val="normaltextrun"/>
                <w:rFonts w:ascii="Times New Roman" w:hAnsi="Times New Roman"/>
                <w:noProof/>
                <w:color w:val="000000"/>
                <w:sz w:val="18"/>
              </w:rPr>
              <w:t xml:space="preserve"> w życ</w:t>
            </w:r>
            <w:r w:rsidRPr="00A33B9F">
              <w:rPr>
                <w:rStyle w:val="normaltextrun"/>
                <w:rFonts w:ascii="Times New Roman" w:hAnsi="Times New Roman"/>
                <w:noProof/>
                <w:color w:val="000000"/>
                <w:sz w:val="18"/>
              </w:rPr>
              <w:t>ie aktu ustawodawczego</w:t>
            </w:r>
            <w:r w:rsidR="00A33B9F" w:rsidRPr="00A33B9F">
              <w:rPr>
                <w:rStyle w:val="normaltextrun"/>
                <w:rFonts w:ascii="Times New Roman" w:hAnsi="Times New Roman"/>
                <w:noProof/>
                <w:color w:val="000000"/>
                <w:sz w:val="18"/>
              </w:rPr>
              <w:t xml:space="preserve"> o zaw</w:t>
            </w:r>
            <w:r w:rsidRPr="00A33B9F">
              <w:rPr>
                <w:rStyle w:val="normaltextrun"/>
                <w:rFonts w:ascii="Times New Roman" w:hAnsi="Times New Roman"/>
                <w:noProof/>
                <w:color w:val="000000"/>
                <w:sz w:val="18"/>
              </w:rPr>
              <w:t>odzie ratownika medycznego oraz samorządzie ratowników medycznych, który wprowadzi możliwość tworzenia programów studiów II stopnia</w:t>
            </w:r>
            <w:r w:rsidR="00A33B9F" w:rsidRPr="00A33B9F">
              <w:rPr>
                <w:rStyle w:val="normaltextrun"/>
                <w:rFonts w:ascii="Times New Roman" w:hAnsi="Times New Roman"/>
                <w:noProof/>
                <w:color w:val="000000"/>
                <w:sz w:val="18"/>
              </w:rPr>
              <w:t xml:space="preserve"> w ram</w:t>
            </w:r>
            <w:r w:rsidRPr="00A33B9F">
              <w:rPr>
                <w:rStyle w:val="normaltextrun"/>
                <w:rFonts w:ascii="Times New Roman" w:hAnsi="Times New Roman"/>
                <w:noProof/>
                <w:color w:val="000000"/>
                <w:sz w:val="18"/>
              </w:rPr>
              <w:t>ach przygotowania do wykonywania zawodu ratownika medycznego</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1B1B0BD3" w14:textId="69FB1490" w:rsidR="00F464C8" w:rsidRPr="00A33B9F" w:rsidRDefault="3F53AE72"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ustawodawczym</w:t>
            </w:r>
            <w:r w:rsidR="00A33B9F" w:rsidRPr="00A33B9F">
              <w:rPr>
                <w:rFonts w:ascii="Times New Roman" w:hAnsi="Times New Roman"/>
                <w:noProof/>
                <w:color w:val="000000" w:themeColor="text1"/>
                <w:sz w:val="18"/>
              </w:rPr>
              <w:t xml:space="preserve"> o zaw</w:t>
            </w:r>
            <w:r w:rsidRPr="00A33B9F">
              <w:rPr>
                <w:rFonts w:ascii="Times New Roman" w:hAnsi="Times New Roman"/>
                <w:noProof/>
                <w:color w:val="000000" w:themeColor="text1"/>
                <w:sz w:val="18"/>
              </w:rPr>
              <w:t>odzie ratownika medycznego oraz samorządzie ratowników medycznych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6FCE0CFE"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6E4FF05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22098948"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0D7DCDA0" w14:textId="4AC122FE"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III kw.</w:t>
            </w:r>
          </w:p>
        </w:tc>
        <w:tc>
          <w:tcPr>
            <w:tcW w:w="708" w:type="dxa"/>
            <w:shd w:val="clear" w:color="auto" w:fill="C6EFCE"/>
          </w:tcPr>
          <w:p w14:paraId="22C3637E"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14738A08" w14:textId="74137C54"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 xml:space="preserve">Aby zwiększyć kompetencje ratowników medycznych, </w:t>
            </w:r>
            <w:r w:rsidRPr="00A33B9F">
              <w:rPr>
                <w:rFonts w:ascii="Times New Roman" w:hAnsi="Times New Roman"/>
                <w:noProof/>
                <w:color w:val="000000" w:themeColor="text1"/>
                <w:sz w:val="18"/>
              </w:rPr>
              <w:t>wejdzie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akt ustawodawczy </w:t>
            </w:r>
            <w:r w:rsidRPr="00A33B9F">
              <w:rPr>
                <w:rStyle w:val="normaltextrun"/>
                <w:rFonts w:ascii="Times New Roman" w:hAnsi="Times New Roman"/>
                <w:noProof/>
                <w:color w:val="000000" w:themeColor="text1"/>
                <w:sz w:val="18"/>
              </w:rPr>
              <w:t>umożliwiający utworzenie programów studiów II stopnia na kierunku ratownictwa medycznego, zdefiniowanych jako studia dwuletnie zakończone uzyskaniem stopnia magistra. Uzyskanie tytułu specjalisty umożliwi ratownikom medycznym zdobycie dodatkowych kwalifikacji, co ma przełożyć się na wyższą pozycję</w:t>
            </w:r>
            <w:r w:rsidR="00A33B9F" w:rsidRPr="00A33B9F">
              <w:rPr>
                <w:rStyle w:val="normaltextrun"/>
                <w:rFonts w:ascii="Times New Roman" w:hAnsi="Times New Roman"/>
                <w:noProof/>
                <w:color w:val="000000" w:themeColor="text1"/>
                <w:sz w:val="18"/>
              </w:rPr>
              <w:t xml:space="preserve"> w kat</w:t>
            </w:r>
            <w:r w:rsidRPr="00A33B9F">
              <w:rPr>
                <w:rStyle w:val="normaltextrun"/>
                <w:rFonts w:ascii="Times New Roman" w:hAnsi="Times New Roman"/>
                <w:noProof/>
                <w:color w:val="000000" w:themeColor="text1"/>
                <w:sz w:val="18"/>
              </w:rPr>
              <w:t>egorii płac.</w:t>
            </w:r>
            <w:r w:rsidRPr="00A33B9F">
              <w:rPr>
                <w:rStyle w:val="eop"/>
                <w:rFonts w:ascii="Times New Roman" w:hAnsi="Times New Roman"/>
                <w:noProof/>
                <w:color w:val="000000" w:themeColor="text1"/>
                <w:sz w:val="18"/>
              </w:rPr>
              <w:t xml:space="preserve"> </w:t>
            </w:r>
          </w:p>
        </w:tc>
      </w:tr>
      <w:tr w:rsidR="008C116B" w:rsidRPr="00A33B9F" w14:paraId="24E958F2" w14:textId="77777777" w:rsidTr="1CE0CE0C">
        <w:trPr>
          <w:trHeight w:val="85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E5FE62" w14:textId="3210964E"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D26G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4DFD592"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 Stworzenie odpowiednich warunków dla zwiększenia liczebności kadry medycznej</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9DDF0E5"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5C22CD" w14:textId="7AB0A1CB"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Liczba ratowników medycznych, którzy ukończyli studia magisterskie</w:t>
            </w:r>
            <w:r w:rsidR="00C3621A" w:rsidRPr="00A33B9F">
              <w:rPr>
                <w:rStyle w:val="normaltextrun"/>
                <w:rFonts w:ascii="Times New Roman" w:hAnsi="Times New Roman"/>
                <w:noProof/>
                <w:color w:val="000000"/>
                <w:sz w:val="18"/>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E7769E"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43B7F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3F4A41"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F8D6AF" w14:textId="3DAD1219" w:rsidR="00F464C8" w:rsidRPr="00A33B9F" w:rsidRDefault="002E566A"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1 250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6EF573"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334BF4"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EFAAF5" w14:textId="52ADFF47" w:rsidR="00F464C8" w:rsidRPr="00A33B9F" w:rsidRDefault="00655A54"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1 250 ratowników medycznych ukończy studia II stopnia</w:t>
            </w:r>
            <w:r w:rsidR="00A33B9F" w:rsidRPr="00A33B9F">
              <w:rPr>
                <w:rStyle w:val="normaltextrun"/>
                <w:rFonts w:ascii="Times New Roman" w:hAnsi="Times New Roman"/>
                <w:noProof/>
                <w:color w:val="000000" w:themeColor="text1"/>
                <w:sz w:val="18"/>
              </w:rPr>
              <w:t xml:space="preserve"> w zak</w:t>
            </w:r>
            <w:r w:rsidRPr="00A33B9F">
              <w:rPr>
                <w:rStyle w:val="normaltextrun"/>
                <w:rFonts w:ascii="Times New Roman" w:hAnsi="Times New Roman"/>
                <w:noProof/>
                <w:color w:val="000000" w:themeColor="text1"/>
                <w:sz w:val="18"/>
              </w:rPr>
              <w:t>resie ratownictwa medycznego.</w:t>
            </w:r>
            <w:r w:rsidRPr="00A33B9F">
              <w:rPr>
                <w:rStyle w:val="eop"/>
                <w:rFonts w:ascii="Times New Roman" w:hAnsi="Times New Roman"/>
                <w:noProof/>
                <w:color w:val="000000" w:themeColor="text1"/>
                <w:sz w:val="18"/>
              </w:rPr>
              <w:t xml:space="preserve"> </w:t>
            </w:r>
          </w:p>
        </w:tc>
      </w:tr>
      <w:tr w:rsidR="008C116B" w:rsidRPr="00A33B9F" w14:paraId="1D3DE6FA" w14:textId="77777777" w:rsidTr="1CE0CE0C">
        <w:trPr>
          <w:trHeight w:val="313"/>
        </w:trPr>
        <w:tc>
          <w:tcPr>
            <w:tcW w:w="709" w:type="dxa"/>
            <w:shd w:val="clear" w:color="auto" w:fill="C6EFCE"/>
          </w:tcPr>
          <w:p w14:paraId="50B4F369" w14:textId="4162EBC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D27G</w:t>
            </w:r>
          </w:p>
        </w:tc>
        <w:tc>
          <w:tcPr>
            <w:tcW w:w="2126" w:type="dxa"/>
            <w:shd w:val="clear" w:color="auto" w:fill="C6EFCE"/>
          </w:tcPr>
          <w:p w14:paraId="2B41DFDD"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 Stworzenie odpowiednich warunków dla zwiększenia liczebności kadry medycznej</w:t>
            </w:r>
          </w:p>
        </w:tc>
        <w:tc>
          <w:tcPr>
            <w:tcW w:w="1050" w:type="dxa"/>
            <w:shd w:val="clear" w:color="auto" w:fill="C6EFCE"/>
          </w:tcPr>
          <w:p w14:paraId="02F459EF"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217FD1DD" w14:textId="0E0A3242" w:rsidR="00F464C8" w:rsidRPr="00A33B9F" w:rsidRDefault="3F53AE72"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aktów prawnych mających na celu zwiększenie atrakcyjności miejsc pracy</w:t>
            </w:r>
            <w:r w:rsidR="00A33B9F" w:rsidRPr="00A33B9F">
              <w:rPr>
                <w:rStyle w:val="normaltextrun"/>
                <w:rFonts w:ascii="Times New Roman" w:hAnsi="Times New Roman"/>
                <w:noProof/>
                <w:color w:val="000000" w:themeColor="text1"/>
                <w:sz w:val="18"/>
              </w:rPr>
              <w:t xml:space="preserve"> w sek</w:t>
            </w:r>
            <w:r w:rsidRPr="00A33B9F">
              <w:rPr>
                <w:rStyle w:val="normaltextrun"/>
                <w:rFonts w:ascii="Times New Roman" w:hAnsi="Times New Roman"/>
                <w:noProof/>
                <w:color w:val="000000" w:themeColor="text1"/>
                <w:sz w:val="18"/>
              </w:rPr>
              <w:t>torze medycznym</w:t>
            </w:r>
            <w:r w:rsidR="00A33B9F" w:rsidRPr="00A33B9F">
              <w:rPr>
                <w:rStyle w:val="normaltextrun"/>
                <w:rFonts w:ascii="Times New Roman" w:hAnsi="Times New Roman"/>
                <w:noProof/>
                <w:color w:val="000000" w:themeColor="text1"/>
                <w:sz w:val="18"/>
              </w:rPr>
              <w:t xml:space="preserve"> i war</w:t>
            </w:r>
            <w:r w:rsidRPr="00A33B9F">
              <w:rPr>
                <w:rStyle w:val="normaltextrun"/>
                <w:rFonts w:ascii="Times New Roman" w:hAnsi="Times New Roman"/>
                <w:noProof/>
                <w:color w:val="000000" w:themeColor="text1"/>
                <w:sz w:val="18"/>
              </w:rPr>
              <w:t>unków pracy pracowników medycznych</w:t>
            </w:r>
            <w:r w:rsidRPr="00A33B9F">
              <w:rPr>
                <w:rStyle w:val="eop"/>
                <w:rFonts w:ascii="Times New Roman" w:hAnsi="Times New Roman"/>
                <w:noProof/>
                <w:color w:val="000000" w:themeColor="text1"/>
                <w:sz w:val="18"/>
              </w:rPr>
              <w:t xml:space="preserve"> </w:t>
            </w:r>
          </w:p>
        </w:tc>
        <w:tc>
          <w:tcPr>
            <w:tcW w:w="1560" w:type="dxa"/>
            <w:shd w:val="clear" w:color="auto" w:fill="C6EFCE"/>
          </w:tcPr>
          <w:p w14:paraId="199D6A0D" w14:textId="0D3ED13A" w:rsidR="00F464C8" w:rsidRPr="00A33B9F" w:rsidRDefault="3F53AE72"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Przepisy</w:t>
            </w:r>
            <w:r w:rsidR="00A33B9F" w:rsidRPr="00A33B9F">
              <w:rPr>
                <w:rFonts w:ascii="Times New Roman" w:hAnsi="Times New Roman"/>
                <w:noProof/>
                <w:color w:val="000000" w:themeColor="text1"/>
                <w:sz w:val="18"/>
              </w:rPr>
              <w:t xml:space="preserve"> w akt</w:t>
            </w:r>
            <w:r w:rsidRPr="00A33B9F">
              <w:rPr>
                <w:rFonts w:ascii="Times New Roman" w:hAnsi="Times New Roman"/>
                <w:noProof/>
                <w:color w:val="000000" w:themeColor="text1"/>
                <w:sz w:val="18"/>
              </w:rPr>
              <w:t>ach prawnych wskazujące na ich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1247" w:type="dxa"/>
            <w:shd w:val="clear" w:color="auto" w:fill="C6EFCE"/>
          </w:tcPr>
          <w:p w14:paraId="7A4AC70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247833C9"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330658F9"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638E572A"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2765A413"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3C252123" w14:textId="2B00A30C" w:rsidR="00F464C8" w:rsidRPr="00A33B9F" w:rsidRDefault="22DE4C69" w:rsidP="00AC6B2E">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Wejdzie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pakiet aktów prawnych, który będzie obejmował rozporządzenie</w:t>
            </w:r>
            <w:r w:rsidR="00A33B9F" w:rsidRPr="00A33B9F">
              <w:rPr>
                <w:rStyle w:val="normaltextrun"/>
                <w:rFonts w:ascii="Times New Roman" w:hAnsi="Times New Roman"/>
                <w:noProof/>
                <w:color w:val="000000" w:themeColor="text1"/>
                <w:sz w:val="18"/>
              </w:rPr>
              <w:t xml:space="preserve"> w spr</w:t>
            </w:r>
            <w:r w:rsidRPr="00A33B9F">
              <w:rPr>
                <w:rStyle w:val="normaltextrun"/>
                <w:rFonts w:ascii="Times New Roman" w:hAnsi="Times New Roman"/>
                <w:noProof/>
                <w:color w:val="000000" w:themeColor="text1"/>
                <w:sz w:val="18"/>
              </w:rPr>
              <w:t>awie kompetencji zawodowych lekarzy</w:t>
            </w:r>
            <w:r w:rsidR="00A33B9F" w:rsidRPr="00A33B9F">
              <w:rPr>
                <w:rStyle w:val="normaltextrun"/>
                <w:rFonts w:ascii="Times New Roman" w:hAnsi="Times New Roman"/>
                <w:noProof/>
                <w:color w:val="000000" w:themeColor="text1"/>
                <w:sz w:val="18"/>
              </w:rPr>
              <w:t xml:space="preserve"> i lek</w:t>
            </w:r>
            <w:r w:rsidRPr="00A33B9F">
              <w:rPr>
                <w:rStyle w:val="normaltextrun"/>
                <w:rFonts w:ascii="Times New Roman" w:hAnsi="Times New Roman"/>
                <w:noProof/>
                <w:color w:val="000000" w:themeColor="text1"/>
                <w:sz w:val="18"/>
              </w:rPr>
              <w:t>arzy dentystów, zmianę rozporządzenia</w:t>
            </w:r>
            <w:r w:rsidR="00A33B9F" w:rsidRPr="00A33B9F">
              <w:rPr>
                <w:rStyle w:val="normaltextrun"/>
                <w:rFonts w:ascii="Times New Roman" w:hAnsi="Times New Roman"/>
                <w:noProof/>
                <w:color w:val="000000" w:themeColor="text1"/>
                <w:sz w:val="18"/>
              </w:rPr>
              <w:t xml:space="preserve"> w spr</w:t>
            </w:r>
            <w:r w:rsidRPr="00A33B9F">
              <w:rPr>
                <w:rStyle w:val="normaltextrun"/>
                <w:rFonts w:ascii="Times New Roman" w:hAnsi="Times New Roman"/>
                <w:noProof/>
                <w:color w:val="000000" w:themeColor="text1"/>
                <w:sz w:val="18"/>
              </w:rPr>
              <w:t>awie stażu podyplomowego lekarza</w:t>
            </w:r>
            <w:r w:rsidR="00A33B9F" w:rsidRPr="00A33B9F">
              <w:rPr>
                <w:rStyle w:val="normaltextrun"/>
                <w:rFonts w:ascii="Times New Roman" w:hAnsi="Times New Roman"/>
                <w:noProof/>
                <w:color w:val="000000" w:themeColor="text1"/>
                <w:sz w:val="18"/>
              </w:rPr>
              <w:t xml:space="preserve"> i lek</w:t>
            </w:r>
            <w:r w:rsidRPr="00A33B9F">
              <w:rPr>
                <w:rStyle w:val="normaltextrun"/>
                <w:rFonts w:ascii="Times New Roman" w:hAnsi="Times New Roman"/>
                <w:noProof/>
                <w:color w:val="000000" w:themeColor="text1"/>
                <w:sz w:val="18"/>
              </w:rPr>
              <w:t>arza dentysty, zmianę rozporządzenia</w:t>
            </w:r>
            <w:r w:rsidR="00A33B9F" w:rsidRPr="00A33B9F">
              <w:rPr>
                <w:rStyle w:val="normaltextrun"/>
                <w:rFonts w:ascii="Times New Roman" w:hAnsi="Times New Roman"/>
                <w:noProof/>
                <w:color w:val="000000" w:themeColor="text1"/>
                <w:sz w:val="18"/>
              </w:rPr>
              <w:t xml:space="preserve"> w spr</w:t>
            </w:r>
            <w:r w:rsidRPr="00A33B9F">
              <w:rPr>
                <w:rStyle w:val="normaltextrun"/>
                <w:rFonts w:ascii="Times New Roman" w:hAnsi="Times New Roman"/>
                <w:noProof/>
                <w:color w:val="000000" w:themeColor="text1"/>
                <w:sz w:val="18"/>
              </w:rPr>
              <w:t>awie podstaw programowych kształcenia</w:t>
            </w:r>
            <w:r w:rsidR="00A33B9F" w:rsidRPr="00A33B9F">
              <w:rPr>
                <w:rStyle w:val="normaltextrun"/>
                <w:rFonts w:ascii="Times New Roman" w:hAnsi="Times New Roman"/>
                <w:noProof/>
                <w:color w:val="000000" w:themeColor="text1"/>
                <w:sz w:val="18"/>
              </w:rPr>
              <w:t xml:space="preserve"> w zaw</w:t>
            </w:r>
            <w:r w:rsidRPr="00A33B9F">
              <w:rPr>
                <w:rStyle w:val="normaltextrun"/>
                <w:rFonts w:ascii="Times New Roman" w:hAnsi="Times New Roman"/>
                <w:noProof/>
                <w:color w:val="000000" w:themeColor="text1"/>
                <w:sz w:val="18"/>
              </w:rPr>
              <w:t>odach szkolnictwa branżowego, nowelizację ustawy</w:t>
            </w:r>
            <w:r w:rsidR="00A33B9F" w:rsidRPr="00A33B9F">
              <w:rPr>
                <w:rStyle w:val="normaltextrun"/>
                <w:rFonts w:ascii="Times New Roman" w:hAnsi="Times New Roman"/>
                <w:noProof/>
                <w:color w:val="000000" w:themeColor="text1"/>
                <w:sz w:val="18"/>
              </w:rPr>
              <w:t xml:space="preserve"> o spo</w:t>
            </w:r>
            <w:r w:rsidRPr="00A33B9F">
              <w:rPr>
                <w:rStyle w:val="normaltextrun"/>
                <w:rFonts w:ascii="Times New Roman" w:hAnsi="Times New Roman"/>
                <w:noProof/>
                <w:color w:val="000000" w:themeColor="text1"/>
                <w:sz w:val="18"/>
              </w:rPr>
              <w:t>sobie ustalania najniższego wynagrodzenia zasadniczego niektórych pracowników zatrudnionych</w:t>
            </w:r>
            <w:r w:rsidR="00A33B9F" w:rsidRPr="00A33B9F">
              <w:rPr>
                <w:rStyle w:val="normaltextrun"/>
                <w:rFonts w:ascii="Times New Roman" w:hAnsi="Times New Roman"/>
                <w:noProof/>
                <w:color w:val="000000" w:themeColor="text1"/>
                <w:sz w:val="18"/>
              </w:rPr>
              <w:t xml:space="preserve"> w pod</w:t>
            </w:r>
            <w:r w:rsidRPr="00A33B9F">
              <w:rPr>
                <w:rStyle w:val="normaltextrun"/>
                <w:rFonts w:ascii="Times New Roman" w:hAnsi="Times New Roman"/>
                <w:noProof/>
                <w:color w:val="000000" w:themeColor="text1"/>
                <w:sz w:val="18"/>
              </w:rPr>
              <w:t>miotach leczniczych,</w:t>
            </w:r>
            <w:r w:rsidR="00A33B9F" w:rsidRPr="00A33B9F">
              <w:rPr>
                <w:rStyle w:val="normaltextrun"/>
                <w:rFonts w:ascii="Times New Roman" w:hAnsi="Times New Roman"/>
                <w:noProof/>
                <w:color w:val="000000" w:themeColor="text1"/>
                <w:sz w:val="18"/>
              </w:rPr>
              <w:t xml:space="preserve"> w tym</w:t>
            </w:r>
            <w:r w:rsidRPr="00A33B9F">
              <w:rPr>
                <w:rStyle w:val="normaltextrun"/>
                <w:rFonts w:ascii="Times New Roman" w:hAnsi="Times New Roman"/>
                <w:noProof/>
                <w:color w:val="000000" w:themeColor="text1"/>
                <w:sz w:val="18"/>
              </w:rPr>
              <w:t xml:space="preserve"> przepisy dotyczące:</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1) zwiększenia elastyczności procesu medycznego kształcenia podyplomowego poprzez zmniejszenie liczby specjalizacji na rzecz certyfikowanych kompetencji medycznych oraz zmiany</w:t>
            </w:r>
            <w:r w:rsidR="00A33B9F" w:rsidRPr="00A33B9F">
              <w:rPr>
                <w:rStyle w:val="normaltextrun"/>
                <w:rFonts w:ascii="Times New Roman" w:hAnsi="Times New Roman"/>
                <w:noProof/>
                <w:color w:val="000000" w:themeColor="text1"/>
                <w:sz w:val="18"/>
              </w:rPr>
              <w:t xml:space="preserve"> w pro</w:t>
            </w:r>
            <w:r w:rsidRPr="00A33B9F">
              <w:rPr>
                <w:rStyle w:val="normaltextrun"/>
                <w:rFonts w:ascii="Times New Roman" w:hAnsi="Times New Roman"/>
                <w:noProof/>
                <w:color w:val="000000" w:themeColor="text1"/>
                <w:sz w:val="18"/>
              </w:rPr>
              <w:t>gramie stażu podyplomowego,</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2) wprowadzenia centralnego systemu kwalifikacji</w:t>
            </w:r>
            <w:r w:rsidR="00A33B9F" w:rsidRPr="00A33B9F">
              <w:rPr>
                <w:rStyle w:val="normaltextrun"/>
                <w:rFonts w:ascii="Times New Roman" w:hAnsi="Times New Roman"/>
                <w:noProof/>
                <w:color w:val="000000" w:themeColor="text1"/>
                <w:sz w:val="18"/>
              </w:rPr>
              <w:t xml:space="preserve"> i prz</w:t>
            </w:r>
            <w:r w:rsidRPr="00A33B9F">
              <w:rPr>
                <w:rStyle w:val="normaltextrun"/>
                <w:rFonts w:ascii="Times New Roman" w:hAnsi="Times New Roman"/>
                <w:noProof/>
                <w:color w:val="000000" w:themeColor="text1"/>
                <w:sz w:val="18"/>
              </w:rPr>
              <w:t>yznawania miejsc specjalizacyjnych,</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3) odciążenia lekarzy poprzez uruchomienie specjalistycznych kursów szkoleniowych</w:t>
            </w:r>
            <w:r w:rsidR="00A33B9F" w:rsidRPr="00A33B9F">
              <w:rPr>
                <w:rStyle w:val="normaltextrun"/>
                <w:rFonts w:ascii="Times New Roman" w:hAnsi="Times New Roman"/>
                <w:noProof/>
                <w:color w:val="000000" w:themeColor="text1"/>
                <w:sz w:val="18"/>
              </w:rPr>
              <w:t xml:space="preserve"> w dzi</w:t>
            </w:r>
            <w:r w:rsidRPr="00A33B9F">
              <w:rPr>
                <w:rStyle w:val="normaltextrun"/>
                <w:rFonts w:ascii="Times New Roman" w:hAnsi="Times New Roman"/>
                <w:noProof/>
                <w:color w:val="000000" w:themeColor="text1"/>
                <w:sz w:val="18"/>
              </w:rPr>
              <w:t>edzinie pomocy operacyjnej dla pielęgniarek</w:t>
            </w:r>
            <w:r w:rsidR="00A33B9F" w:rsidRPr="00A33B9F">
              <w:rPr>
                <w:rStyle w:val="normaltextrun"/>
                <w:rFonts w:ascii="Times New Roman" w:hAnsi="Times New Roman"/>
                <w:noProof/>
                <w:color w:val="000000" w:themeColor="text1"/>
                <w:sz w:val="18"/>
              </w:rPr>
              <w:t xml:space="preserve"> i rat</w:t>
            </w:r>
            <w:r w:rsidRPr="00A33B9F">
              <w:rPr>
                <w:rStyle w:val="normaltextrun"/>
                <w:rFonts w:ascii="Times New Roman" w:hAnsi="Times New Roman"/>
                <w:noProof/>
                <w:color w:val="000000" w:themeColor="text1"/>
                <w:sz w:val="18"/>
              </w:rPr>
              <w:t>owników medycznych,</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4) aktualizacji najniższego wynagrodzenia zasadniczego pracowników zatrudnionych</w:t>
            </w:r>
            <w:r w:rsidR="00A33B9F" w:rsidRPr="00A33B9F">
              <w:rPr>
                <w:rStyle w:val="normaltextrun"/>
                <w:rFonts w:ascii="Times New Roman" w:hAnsi="Times New Roman"/>
                <w:noProof/>
                <w:color w:val="000000" w:themeColor="text1"/>
                <w:sz w:val="18"/>
              </w:rPr>
              <w:t xml:space="preserve"> w pod</w:t>
            </w:r>
            <w:r w:rsidRPr="00A33B9F">
              <w:rPr>
                <w:rStyle w:val="normaltextrun"/>
                <w:rFonts w:ascii="Times New Roman" w:hAnsi="Times New Roman"/>
                <w:noProof/>
                <w:color w:val="000000" w:themeColor="text1"/>
                <w:sz w:val="18"/>
              </w:rPr>
              <w:t>miotach leczniczych poprzez podniesienie stawek pracowniczych dla wszystkich grup zawodowych,</w:t>
            </w:r>
            <w:r w:rsidR="00A33B9F" w:rsidRPr="00A33B9F">
              <w:rPr>
                <w:rStyle w:val="normaltextrun"/>
                <w:rFonts w:ascii="Times New Roman" w:hAnsi="Times New Roman"/>
                <w:noProof/>
                <w:color w:val="000000" w:themeColor="text1"/>
                <w:sz w:val="18"/>
              </w:rPr>
              <w:t xml:space="preserve"> o któ</w:t>
            </w:r>
            <w:r w:rsidRPr="00A33B9F">
              <w:rPr>
                <w:rStyle w:val="normaltextrun"/>
                <w:rFonts w:ascii="Times New Roman" w:hAnsi="Times New Roman"/>
                <w:noProof/>
                <w:color w:val="000000" w:themeColor="text1"/>
                <w:sz w:val="18"/>
              </w:rPr>
              <w:t>rych mowa</w:t>
            </w:r>
            <w:r w:rsidR="00A33B9F" w:rsidRPr="00A33B9F">
              <w:rPr>
                <w:rStyle w:val="normaltextrun"/>
                <w:rFonts w:ascii="Times New Roman" w:hAnsi="Times New Roman"/>
                <w:noProof/>
                <w:color w:val="000000" w:themeColor="text1"/>
                <w:sz w:val="18"/>
              </w:rPr>
              <w:t xml:space="preserve"> w ust</w:t>
            </w:r>
            <w:r w:rsidRPr="00A33B9F">
              <w:rPr>
                <w:rStyle w:val="normaltextrun"/>
                <w:rFonts w:ascii="Times New Roman" w:hAnsi="Times New Roman"/>
                <w:noProof/>
                <w:color w:val="000000" w:themeColor="text1"/>
                <w:sz w:val="18"/>
              </w:rPr>
              <w:t>awie</w:t>
            </w:r>
            <w:r w:rsidR="00A33B9F" w:rsidRPr="00A33B9F">
              <w:rPr>
                <w:rStyle w:val="normaltextrun"/>
                <w:rFonts w:ascii="Times New Roman" w:hAnsi="Times New Roman"/>
                <w:noProof/>
                <w:color w:val="000000" w:themeColor="text1"/>
                <w:sz w:val="18"/>
              </w:rPr>
              <w:t xml:space="preserve"> z dni</w:t>
            </w:r>
            <w:r w:rsidRPr="00A33B9F">
              <w:rPr>
                <w:rStyle w:val="normaltextrun"/>
                <w:rFonts w:ascii="Times New Roman" w:hAnsi="Times New Roman"/>
                <w:noProof/>
                <w:color w:val="000000" w:themeColor="text1"/>
                <w:sz w:val="18"/>
              </w:rPr>
              <w:t>a 8 czerwca 2017</w:t>
            </w:r>
            <w:r w:rsidR="00A33B9F" w:rsidRPr="00A33B9F">
              <w:rPr>
                <w:rStyle w:val="normaltextrun"/>
                <w:rFonts w:ascii="Times New Roman" w:hAnsi="Times New Roman"/>
                <w:noProof/>
                <w:color w:val="000000" w:themeColor="text1"/>
                <w:sz w:val="18"/>
              </w:rPr>
              <w:t> </w:t>
            </w:r>
            <w:r w:rsidRPr="00A33B9F">
              <w:rPr>
                <w:rStyle w:val="normaltextrun"/>
                <w:rFonts w:ascii="Times New Roman" w:hAnsi="Times New Roman"/>
                <w:noProof/>
                <w:color w:val="000000" w:themeColor="text1"/>
                <w:sz w:val="18"/>
              </w:rPr>
              <w:t>r.,</w:t>
            </w:r>
            <w:r w:rsidR="00A33B9F" w:rsidRPr="00A33B9F">
              <w:rPr>
                <w:rStyle w:val="normaltextrun"/>
                <w:rFonts w:ascii="Times New Roman" w:hAnsi="Times New Roman"/>
                <w:noProof/>
                <w:color w:val="000000" w:themeColor="text1"/>
                <w:sz w:val="18"/>
              </w:rPr>
              <w:t xml:space="preserve"> i prz</w:t>
            </w:r>
            <w:r w:rsidRPr="00A33B9F">
              <w:rPr>
                <w:rStyle w:val="normaltextrun"/>
                <w:rFonts w:ascii="Times New Roman" w:hAnsi="Times New Roman"/>
                <w:noProof/>
                <w:color w:val="000000" w:themeColor="text1"/>
                <w:sz w:val="18"/>
              </w:rPr>
              <w:t>yspieszenie</w:t>
            </w:r>
            <w:r w:rsidR="00A33B9F" w:rsidRPr="00A33B9F">
              <w:rPr>
                <w:rStyle w:val="normaltextrun"/>
                <w:rFonts w:ascii="Times New Roman" w:hAnsi="Times New Roman"/>
                <w:noProof/>
                <w:color w:val="000000" w:themeColor="text1"/>
                <w:sz w:val="18"/>
              </w:rPr>
              <w:t xml:space="preserve"> o pół</w:t>
            </w:r>
            <w:r w:rsidRPr="00A33B9F">
              <w:rPr>
                <w:rStyle w:val="normaltextrun"/>
                <w:rFonts w:ascii="Times New Roman" w:hAnsi="Times New Roman"/>
                <w:noProof/>
                <w:color w:val="000000" w:themeColor="text1"/>
                <w:sz w:val="18"/>
              </w:rPr>
              <w:t xml:space="preserve"> roku wymogu spełnienia przez wszystkie podmioty medyczne gwarantowanych ustawowo poziomów wynagrodzenia zasadniczego pracowników medycznych: lekarzy, lekarzy dentystów, kształcących się lekarzy</w:t>
            </w:r>
            <w:r w:rsidR="00A33B9F" w:rsidRPr="00A33B9F">
              <w:rPr>
                <w:rStyle w:val="normaltextrun"/>
                <w:rFonts w:ascii="Times New Roman" w:hAnsi="Times New Roman"/>
                <w:noProof/>
                <w:color w:val="000000" w:themeColor="text1"/>
                <w:sz w:val="18"/>
              </w:rPr>
              <w:t xml:space="preserve"> i lek</w:t>
            </w:r>
            <w:r w:rsidRPr="00A33B9F">
              <w:rPr>
                <w:rStyle w:val="normaltextrun"/>
                <w:rFonts w:ascii="Times New Roman" w:hAnsi="Times New Roman"/>
                <w:noProof/>
                <w:color w:val="000000" w:themeColor="text1"/>
                <w:sz w:val="18"/>
              </w:rPr>
              <w:t>arzy dentystów, pielęgniarek, położnych, diagnostów laboratoryjnych, farmaceutów</w:t>
            </w:r>
            <w:r w:rsidR="00A33B9F" w:rsidRPr="00A33B9F">
              <w:rPr>
                <w:rStyle w:val="normaltextrun"/>
                <w:rFonts w:ascii="Times New Roman" w:hAnsi="Times New Roman"/>
                <w:noProof/>
                <w:color w:val="000000" w:themeColor="text1"/>
                <w:sz w:val="18"/>
              </w:rPr>
              <w:t xml:space="preserve"> i prz</w:t>
            </w:r>
            <w:r w:rsidRPr="00A33B9F">
              <w:rPr>
                <w:rStyle w:val="normaltextrun"/>
                <w:rFonts w:ascii="Times New Roman" w:hAnsi="Times New Roman"/>
                <w:noProof/>
                <w:color w:val="000000" w:themeColor="text1"/>
                <w:sz w:val="18"/>
              </w:rPr>
              <w:t>edstawicieli innych zawodów medycznych oraz</w:t>
            </w:r>
            <w:r w:rsidRPr="00A33B9F">
              <w:rPr>
                <w:rStyle w:val="scxw147420095"/>
                <w:rFonts w:ascii="Times New Roman" w:hAnsi="Times New Roman"/>
                <w:noProof/>
                <w:color w:val="000000" w:themeColor="text1"/>
                <w:sz w:val="18"/>
              </w:rPr>
              <w:t> </w:t>
            </w:r>
            <w:r w:rsidRPr="00A33B9F">
              <w:rPr>
                <w:noProof/>
              </w:rPr>
              <w:br/>
            </w:r>
            <w:r w:rsidRPr="00A33B9F">
              <w:rPr>
                <w:rStyle w:val="normaltextrun"/>
                <w:rFonts w:ascii="Times New Roman" w:hAnsi="Times New Roman"/>
                <w:noProof/>
                <w:color w:val="000000" w:themeColor="text1"/>
                <w:sz w:val="18"/>
              </w:rPr>
              <w:t>5) przeniesienia niektórych kompetencji pielęgniarek na opiekunów medycznych.</w:t>
            </w:r>
            <w:r w:rsidRPr="00A33B9F">
              <w:rPr>
                <w:rStyle w:val="eop"/>
                <w:rFonts w:ascii="Times New Roman" w:hAnsi="Times New Roman"/>
                <w:noProof/>
                <w:color w:val="000000" w:themeColor="text1"/>
                <w:sz w:val="18"/>
              </w:rPr>
              <w:t xml:space="preserve"> </w:t>
            </w:r>
          </w:p>
        </w:tc>
      </w:tr>
      <w:tr w:rsidR="008C116B" w:rsidRPr="00A33B9F" w14:paraId="74629431" w14:textId="77777777" w:rsidTr="1CE0CE0C">
        <w:trPr>
          <w:trHeight w:val="313"/>
        </w:trPr>
        <w:tc>
          <w:tcPr>
            <w:tcW w:w="709" w:type="dxa"/>
            <w:shd w:val="clear" w:color="auto" w:fill="C6EFCE"/>
          </w:tcPr>
          <w:p w14:paraId="2FFB8B9D" w14:textId="0AFC090A"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D28G</w:t>
            </w:r>
          </w:p>
        </w:tc>
        <w:tc>
          <w:tcPr>
            <w:tcW w:w="2126" w:type="dxa"/>
            <w:shd w:val="clear" w:color="auto" w:fill="C6EFCE"/>
          </w:tcPr>
          <w:p w14:paraId="04286F1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 Stworzenie odpowiednich warunków dla zwiększenia liczebności kadry medycznej</w:t>
            </w:r>
          </w:p>
        </w:tc>
        <w:tc>
          <w:tcPr>
            <w:tcW w:w="1050" w:type="dxa"/>
            <w:shd w:val="clear" w:color="auto" w:fill="C6EFCE"/>
          </w:tcPr>
          <w:p w14:paraId="674DC5D1"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3FADA98F" w14:textId="511BD3CC"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Liczba lekarzy</w:t>
            </w:r>
            <w:r w:rsidR="00A33B9F" w:rsidRPr="00A33B9F">
              <w:rPr>
                <w:rStyle w:val="normaltextrun"/>
                <w:rFonts w:ascii="Times New Roman" w:hAnsi="Times New Roman"/>
                <w:noProof/>
                <w:color w:val="000000"/>
                <w:sz w:val="18"/>
              </w:rPr>
              <w:t xml:space="preserve"> i lek</w:t>
            </w:r>
            <w:r w:rsidRPr="00A33B9F">
              <w:rPr>
                <w:rStyle w:val="normaltextrun"/>
                <w:rFonts w:ascii="Times New Roman" w:hAnsi="Times New Roman"/>
                <w:noProof/>
                <w:color w:val="000000"/>
                <w:sz w:val="18"/>
              </w:rPr>
              <w:t>arzy dentystów, którzy uzyskali certyfikat potwierdzający ich zawodowe kompetencje medyczne</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5614715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07CA32F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shd w:val="clear" w:color="auto" w:fill="C6EFCE"/>
          </w:tcPr>
          <w:p w14:paraId="37047F10"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1DEE1267"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54 000</w:t>
            </w:r>
          </w:p>
        </w:tc>
        <w:tc>
          <w:tcPr>
            <w:tcW w:w="993" w:type="dxa"/>
            <w:shd w:val="clear" w:color="auto" w:fill="C6EFCE"/>
          </w:tcPr>
          <w:p w14:paraId="523348DD" w14:textId="43302F7D" w:rsidR="00F464C8" w:rsidRPr="00A33B9F" w:rsidRDefault="001E35C3"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526E180C" w14:textId="2A9AA1BB" w:rsidR="00F464C8" w:rsidRPr="00A33B9F" w:rsidRDefault="001E35C3"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6998F739" w14:textId="3830D80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54 000 lekarzy</w:t>
            </w:r>
            <w:r w:rsidR="00A33B9F" w:rsidRPr="00A33B9F">
              <w:rPr>
                <w:rStyle w:val="normaltextrun"/>
                <w:rFonts w:ascii="Times New Roman" w:hAnsi="Times New Roman"/>
                <w:noProof/>
                <w:color w:val="000000"/>
                <w:sz w:val="18"/>
              </w:rPr>
              <w:t xml:space="preserve"> i lek</w:t>
            </w:r>
            <w:r w:rsidRPr="00A33B9F">
              <w:rPr>
                <w:rStyle w:val="normaltextrun"/>
                <w:rFonts w:ascii="Times New Roman" w:hAnsi="Times New Roman"/>
                <w:noProof/>
                <w:color w:val="000000"/>
                <w:sz w:val="18"/>
              </w:rPr>
              <w:t>arzy dentystów uzyska certyfikat potwierdzający ich dodatkowe medyczne kompetencje zawodowe. Certyfikaty kwalifikacji zawodowych będą nadawane przez krajowe towarzystwa naukowe lub państwowe instytuty badawcze właściwe dla danej umiejętności zawodowej</w:t>
            </w:r>
            <w:r w:rsidR="00A33B9F" w:rsidRPr="00A33B9F">
              <w:rPr>
                <w:rStyle w:val="normaltextrun"/>
                <w:rFonts w:ascii="Times New Roman" w:hAnsi="Times New Roman"/>
                <w:noProof/>
                <w:color w:val="000000"/>
                <w:sz w:val="18"/>
              </w:rPr>
              <w:t xml:space="preserve"> i będ</w:t>
            </w:r>
            <w:r w:rsidRPr="00A33B9F">
              <w:rPr>
                <w:rStyle w:val="normaltextrun"/>
                <w:rFonts w:ascii="Times New Roman" w:hAnsi="Times New Roman"/>
                <w:noProof/>
                <w:color w:val="000000"/>
                <w:sz w:val="18"/>
              </w:rPr>
              <w:t>ą wpisywane do rejestru prowadzonego przez dyrektora Centrum Medycznego Kształcenia Podyplomowego.</w:t>
            </w:r>
            <w:r w:rsidR="00C3621A" w:rsidRPr="00A33B9F">
              <w:rPr>
                <w:rStyle w:val="normaltextrun"/>
                <w:rFonts w:ascii="Times New Roman" w:hAnsi="Times New Roman"/>
                <w:noProof/>
                <w:color w:val="000000"/>
                <w:sz w:val="18"/>
              </w:rPr>
              <w:t xml:space="preserve"> </w:t>
            </w:r>
          </w:p>
        </w:tc>
      </w:tr>
      <w:tr w:rsidR="008C116B" w:rsidRPr="00A33B9F" w14:paraId="0B684F56" w14:textId="77777777" w:rsidTr="1CE0CE0C">
        <w:trPr>
          <w:trHeight w:val="313"/>
        </w:trPr>
        <w:tc>
          <w:tcPr>
            <w:tcW w:w="709" w:type="dxa"/>
            <w:shd w:val="clear" w:color="auto" w:fill="C6EFCE"/>
          </w:tcPr>
          <w:p w14:paraId="6F789D83" w14:textId="01F36CA6"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D29G</w:t>
            </w:r>
          </w:p>
        </w:tc>
        <w:tc>
          <w:tcPr>
            <w:tcW w:w="2126" w:type="dxa"/>
            <w:shd w:val="clear" w:color="auto" w:fill="C6EFCE"/>
          </w:tcPr>
          <w:p w14:paraId="09147DC2" w14:textId="0B236316"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D2.1.1. Inwestycje związane</w:t>
            </w:r>
            <w:r w:rsidR="00A33B9F" w:rsidRPr="00A33B9F">
              <w:rPr>
                <w:rFonts w:ascii="Times New Roman" w:hAnsi="Times New Roman"/>
                <w:noProof/>
                <w:color w:val="000000"/>
                <w:sz w:val="18"/>
              </w:rPr>
              <w:t xml:space="preserve"> z mod</w:t>
            </w:r>
            <w:r w:rsidRPr="00A33B9F">
              <w:rPr>
                <w:rFonts w:ascii="Times New Roman" w:hAnsi="Times New Roman"/>
                <w:noProof/>
                <w:color w:val="000000"/>
                <w:sz w:val="18"/>
              </w:rPr>
              <w:t>ernizacją</w:t>
            </w:r>
            <w:r w:rsidR="00A33B9F" w:rsidRPr="00A33B9F">
              <w:rPr>
                <w:rFonts w:ascii="Times New Roman" w:hAnsi="Times New Roman"/>
                <w:noProof/>
                <w:color w:val="000000"/>
                <w:sz w:val="18"/>
              </w:rPr>
              <w:t xml:space="preserve"> i dop</w:t>
            </w:r>
            <w:r w:rsidRPr="00A33B9F">
              <w:rPr>
                <w:rFonts w:ascii="Times New Roman" w:hAnsi="Times New Roman"/>
                <w:noProof/>
                <w:color w:val="000000"/>
                <w:sz w:val="18"/>
              </w:rPr>
              <w:t>osażeniem obiektów dydaktycznych</w:t>
            </w:r>
            <w:r w:rsidR="00A33B9F" w:rsidRPr="00A33B9F">
              <w:rPr>
                <w:rFonts w:ascii="Times New Roman" w:hAnsi="Times New Roman"/>
                <w:noProof/>
                <w:color w:val="000000"/>
                <w:sz w:val="18"/>
              </w:rPr>
              <w:t xml:space="preserve"> w zwi</w:t>
            </w:r>
            <w:r w:rsidRPr="00A33B9F">
              <w:rPr>
                <w:rFonts w:ascii="Times New Roman" w:hAnsi="Times New Roman"/>
                <w:noProof/>
                <w:color w:val="000000"/>
                <w:sz w:val="18"/>
              </w:rPr>
              <w:t>ązku ze zwiększeniem limitów przyjęć na studia medyczne</w:t>
            </w:r>
          </w:p>
        </w:tc>
        <w:tc>
          <w:tcPr>
            <w:tcW w:w="1050" w:type="dxa"/>
            <w:shd w:val="clear" w:color="auto" w:fill="C6EFCE"/>
          </w:tcPr>
          <w:p w14:paraId="5F019846"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3DFCDAD6" w14:textId="1908D67B" w:rsidR="00F464C8" w:rsidRPr="00A33B9F" w:rsidRDefault="493F9D2E"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aktu prawnego wprowadzającego system zachęt do podejmowania</w:t>
            </w:r>
            <w:r w:rsidR="00A33B9F" w:rsidRPr="00A33B9F">
              <w:rPr>
                <w:rStyle w:val="normaltextrun"/>
                <w:rFonts w:ascii="Times New Roman" w:hAnsi="Times New Roman"/>
                <w:noProof/>
                <w:color w:val="000000" w:themeColor="text1"/>
                <w:sz w:val="18"/>
              </w:rPr>
              <w:t xml:space="preserve"> i kon</w:t>
            </w:r>
            <w:r w:rsidRPr="00A33B9F">
              <w:rPr>
                <w:rStyle w:val="normaltextrun"/>
                <w:rFonts w:ascii="Times New Roman" w:hAnsi="Times New Roman"/>
                <w:noProof/>
                <w:color w:val="000000" w:themeColor="text1"/>
                <w:sz w:val="18"/>
              </w:rPr>
              <w:t>tynuowania studiów uniwersyteckich na wybranych kierunkach medycznych poprzez stypendia, finansowanie studiów</w:t>
            </w:r>
            <w:r w:rsidR="00A33B9F" w:rsidRPr="00A33B9F">
              <w:rPr>
                <w:rStyle w:val="normaltextrun"/>
                <w:rFonts w:ascii="Times New Roman" w:hAnsi="Times New Roman"/>
                <w:noProof/>
                <w:color w:val="000000" w:themeColor="text1"/>
                <w:sz w:val="18"/>
              </w:rPr>
              <w:t xml:space="preserve"> i men</w:t>
            </w:r>
            <w:r w:rsidRPr="00A33B9F">
              <w:rPr>
                <w:rStyle w:val="normaltextrun"/>
                <w:rFonts w:ascii="Times New Roman" w:hAnsi="Times New Roman"/>
                <w:noProof/>
                <w:color w:val="000000" w:themeColor="text1"/>
                <w:sz w:val="18"/>
              </w:rPr>
              <w:t>toring</w:t>
            </w:r>
            <w:r w:rsidRPr="00A33B9F">
              <w:rPr>
                <w:rStyle w:val="eop"/>
                <w:rFonts w:ascii="Times New Roman" w:hAnsi="Times New Roman"/>
                <w:noProof/>
                <w:color w:val="000000" w:themeColor="text1"/>
                <w:sz w:val="18"/>
              </w:rPr>
              <w:t xml:space="preserve"> </w:t>
            </w:r>
          </w:p>
        </w:tc>
        <w:tc>
          <w:tcPr>
            <w:tcW w:w="1560" w:type="dxa"/>
            <w:shd w:val="clear" w:color="auto" w:fill="C6EFCE"/>
          </w:tcPr>
          <w:p w14:paraId="508CBEEF" w14:textId="42DF3F16" w:rsidR="00F464C8" w:rsidRPr="00A33B9F" w:rsidRDefault="4BDAA0C3" w:rsidP="4BDAA0C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47" w:type="dxa"/>
            <w:shd w:val="clear" w:color="auto" w:fill="C6EFCE"/>
          </w:tcPr>
          <w:p w14:paraId="4D701FEA"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54774FBF"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656676E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7A637709"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1C1FF508"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38FF936F" w14:textId="05D89496" w:rsidR="00F464C8" w:rsidRPr="00A33B9F" w:rsidRDefault="00F464C8" w:rsidP="00B73455">
            <w:pPr>
              <w:pStyle w:val="Normal0"/>
              <w:pBdr>
                <w:top w:val="nil"/>
                <w:left w:val="nil"/>
                <w:bottom w:val="nil"/>
                <w:right w:val="nil"/>
                <w:between w:val="nil"/>
              </w:pBdr>
              <w:spacing w:after="0" w:line="240" w:lineRule="auto"/>
              <w:rPr>
                <w:rFonts w:ascii="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Akt prawny wprowadzający tymczasowy system zachęt</w:t>
            </w:r>
            <w:r w:rsidR="00A33B9F" w:rsidRPr="00A33B9F">
              <w:rPr>
                <w:rStyle w:val="normaltextrun"/>
                <w:rFonts w:ascii="Times New Roman" w:hAnsi="Times New Roman"/>
                <w:noProof/>
                <w:color w:val="000000" w:themeColor="text1"/>
                <w:sz w:val="18"/>
              </w:rPr>
              <w:t xml:space="preserve"> w cel</w:t>
            </w:r>
            <w:r w:rsidRPr="00A33B9F">
              <w:rPr>
                <w:rStyle w:val="normaltextrun"/>
                <w:rFonts w:ascii="Times New Roman" w:hAnsi="Times New Roman"/>
                <w:noProof/>
                <w:color w:val="000000" w:themeColor="text1"/>
                <w:sz w:val="18"/>
              </w:rPr>
              <w:t>u zwiększenia atrakcyjności studiów medycznych będzie obejmował możliwość:</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przyznawania stypendiów, współfinansowania odpłatnych studiów</w:t>
            </w:r>
            <w:r w:rsidR="00A33B9F" w:rsidRPr="00A33B9F">
              <w:rPr>
                <w:rStyle w:val="normaltextrun"/>
                <w:rFonts w:ascii="Times New Roman" w:hAnsi="Times New Roman"/>
                <w:noProof/>
                <w:color w:val="000000" w:themeColor="text1"/>
                <w:sz w:val="18"/>
              </w:rPr>
              <w:t xml:space="preserve"> i fin</w:t>
            </w:r>
            <w:r w:rsidRPr="00A33B9F">
              <w:rPr>
                <w:rStyle w:val="normaltextrun"/>
                <w:rFonts w:ascii="Times New Roman" w:hAnsi="Times New Roman"/>
                <w:noProof/>
                <w:color w:val="000000" w:themeColor="text1"/>
                <w:sz w:val="18"/>
              </w:rPr>
              <w:t>ansowania mentoringu studentów pielęgniarstwa, położnictwa</w:t>
            </w:r>
            <w:r w:rsidR="00A33B9F" w:rsidRPr="00A33B9F">
              <w:rPr>
                <w:rStyle w:val="normaltextrun"/>
                <w:rFonts w:ascii="Times New Roman" w:hAnsi="Times New Roman"/>
                <w:noProof/>
                <w:color w:val="000000" w:themeColor="text1"/>
                <w:sz w:val="18"/>
              </w:rPr>
              <w:t xml:space="preserve"> i rat</w:t>
            </w:r>
            <w:r w:rsidRPr="00A33B9F">
              <w:rPr>
                <w:rStyle w:val="normaltextrun"/>
                <w:rFonts w:ascii="Times New Roman" w:hAnsi="Times New Roman"/>
                <w:noProof/>
                <w:color w:val="000000" w:themeColor="text1"/>
                <w:sz w:val="18"/>
              </w:rPr>
              <w:t>ownictwa medycznego oraz</w:t>
            </w:r>
            <w:r w:rsidRPr="00A33B9F">
              <w:rPr>
                <w:noProof/>
              </w:rPr>
              <w:t xml:space="preserve"> </w:t>
            </w:r>
            <w:r w:rsidRPr="00A33B9F">
              <w:rPr>
                <w:noProof/>
              </w:rPr>
              <w:br/>
            </w:r>
            <w:r w:rsidRPr="00A33B9F">
              <w:rPr>
                <w:rStyle w:val="normaltextrun"/>
                <w:rFonts w:ascii="Times New Roman" w:hAnsi="Times New Roman"/>
                <w:noProof/>
                <w:color w:val="000000" w:themeColor="text1"/>
                <w:sz w:val="18"/>
              </w:rPr>
              <w:t>– przyznawania stypendiów dla studentów kierunków: lekarskiego, lekarsko-stomatologicznego, analityki medycznej,</w:t>
            </w:r>
            <w:r w:rsidR="00A33B9F" w:rsidRPr="00A33B9F">
              <w:rPr>
                <w:rStyle w:val="normaltextrun"/>
                <w:rFonts w:ascii="Times New Roman" w:hAnsi="Times New Roman"/>
                <w:noProof/>
                <w:color w:val="000000" w:themeColor="text1"/>
                <w:sz w:val="18"/>
              </w:rPr>
              <w:t xml:space="preserve"> a tak</w:t>
            </w:r>
            <w:r w:rsidRPr="00A33B9F">
              <w:rPr>
                <w:rStyle w:val="normaltextrun"/>
                <w:rFonts w:ascii="Times New Roman" w:hAnsi="Times New Roman"/>
                <w:noProof/>
                <w:color w:val="000000" w:themeColor="text1"/>
                <w:sz w:val="18"/>
              </w:rPr>
              <w:t>że farmacji</w:t>
            </w:r>
            <w:r w:rsidR="00A33B9F" w:rsidRPr="00A33B9F">
              <w:rPr>
                <w:rStyle w:val="normaltextrun"/>
                <w:rFonts w:ascii="Times New Roman" w:hAnsi="Times New Roman"/>
                <w:noProof/>
                <w:color w:val="000000" w:themeColor="text1"/>
                <w:sz w:val="18"/>
              </w:rPr>
              <w:t xml:space="preserve"> i fiz</w:t>
            </w:r>
            <w:r w:rsidRPr="00A33B9F">
              <w:rPr>
                <w:rStyle w:val="normaltextrun"/>
                <w:rFonts w:ascii="Times New Roman" w:hAnsi="Times New Roman"/>
                <w:noProof/>
                <w:color w:val="000000" w:themeColor="text1"/>
                <w:sz w:val="18"/>
              </w:rPr>
              <w:t>joterapii.</w:t>
            </w:r>
            <w:r w:rsidR="00C3621A" w:rsidRPr="00A33B9F">
              <w:rPr>
                <w:rStyle w:val="scxw147420095"/>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Akt prawny wprowadzający system będzie określał obowiązek przeglądu jego wyników na koniec okresu RRF oraz analizy wpływu wprowadzonego systemu zachęt na liczbę uczących się studentów pod kątem decyzji</w:t>
            </w:r>
            <w:r w:rsidR="00A33B9F" w:rsidRPr="00A33B9F">
              <w:rPr>
                <w:rStyle w:val="normaltextrun"/>
                <w:rFonts w:ascii="Times New Roman" w:hAnsi="Times New Roman"/>
                <w:noProof/>
                <w:color w:val="000000" w:themeColor="text1"/>
                <w:sz w:val="18"/>
              </w:rPr>
              <w:t xml:space="preserve"> o jeg</w:t>
            </w:r>
            <w:r w:rsidRPr="00A33B9F">
              <w:rPr>
                <w:rStyle w:val="normaltextrun"/>
                <w:rFonts w:ascii="Times New Roman" w:hAnsi="Times New Roman"/>
                <w:noProof/>
                <w:color w:val="000000" w:themeColor="text1"/>
                <w:sz w:val="18"/>
              </w:rPr>
              <w:t>o ewentualnym wznowieniu.</w:t>
            </w:r>
            <w:r w:rsidRPr="00A33B9F">
              <w:rPr>
                <w:rStyle w:val="eop"/>
                <w:rFonts w:ascii="Times New Roman" w:hAnsi="Times New Roman"/>
                <w:noProof/>
                <w:color w:val="000000" w:themeColor="text1"/>
                <w:sz w:val="18"/>
              </w:rPr>
              <w:t xml:space="preserve"> </w:t>
            </w:r>
          </w:p>
        </w:tc>
      </w:tr>
      <w:tr w:rsidR="008C116B" w:rsidRPr="00A33B9F" w14:paraId="1628D8B8" w14:textId="77777777" w:rsidTr="1CE0CE0C">
        <w:trPr>
          <w:trHeight w:val="313"/>
        </w:trPr>
        <w:tc>
          <w:tcPr>
            <w:tcW w:w="709" w:type="dxa"/>
            <w:shd w:val="clear" w:color="auto" w:fill="C6EFCE"/>
          </w:tcPr>
          <w:p w14:paraId="1685C624" w14:textId="729BCFA1"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D30G</w:t>
            </w:r>
          </w:p>
        </w:tc>
        <w:tc>
          <w:tcPr>
            <w:tcW w:w="2126" w:type="dxa"/>
            <w:shd w:val="clear" w:color="auto" w:fill="C6EFCE"/>
          </w:tcPr>
          <w:p w14:paraId="6F974A83" w14:textId="440BA114"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D2.1.1. Inwestycje związane</w:t>
            </w:r>
            <w:r w:rsidR="00A33B9F" w:rsidRPr="00A33B9F">
              <w:rPr>
                <w:rFonts w:ascii="Times New Roman" w:hAnsi="Times New Roman"/>
                <w:noProof/>
                <w:color w:val="000000"/>
                <w:sz w:val="18"/>
              </w:rPr>
              <w:t xml:space="preserve"> z mod</w:t>
            </w:r>
            <w:r w:rsidRPr="00A33B9F">
              <w:rPr>
                <w:rFonts w:ascii="Times New Roman" w:hAnsi="Times New Roman"/>
                <w:noProof/>
                <w:color w:val="000000"/>
                <w:sz w:val="18"/>
              </w:rPr>
              <w:t>ernizacją</w:t>
            </w:r>
            <w:r w:rsidR="00A33B9F" w:rsidRPr="00A33B9F">
              <w:rPr>
                <w:rFonts w:ascii="Times New Roman" w:hAnsi="Times New Roman"/>
                <w:noProof/>
                <w:color w:val="000000"/>
                <w:sz w:val="18"/>
              </w:rPr>
              <w:t xml:space="preserve"> i dop</w:t>
            </w:r>
            <w:r w:rsidRPr="00A33B9F">
              <w:rPr>
                <w:rFonts w:ascii="Times New Roman" w:hAnsi="Times New Roman"/>
                <w:noProof/>
                <w:color w:val="000000"/>
                <w:sz w:val="18"/>
              </w:rPr>
              <w:t>osażeniem obiektów dydaktycznych</w:t>
            </w:r>
            <w:r w:rsidR="00A33B9F" w:rsidRPr="00A33B9F">
              <w:rPr>
                <w:rFonts w:ascii="Times New Roman" w:hAnsi="Times New Roman"/>
                <w:noProof/>
                <w:color w:val="000000"/>
                <w:sz w:val="18"/>
              </w:rPr>
              <w:t xml:space="preserve"> w zwi</w:t>
            </w:r>
            <w:r w:rsidRPr="00A33B9F">
              <w:rPr>
                <w:rFonts w:ascii="Times New Roman" w:hAnsi="Times New Roman"/>
                <w:noProof/>
                <w:color w:val="000000"/>
                <w:sz w:val="18"/>
              </w:rPr>
              <w:t>ązku ze zwiększeniem limitów przyjęć na studia medyczne</w:t>
            </w:r>
          </w:p>
        </w:tc>
        <w:tc>
          <w:tcPr>
            <w:tcW w:w="1050" w:type="dxa"/>
            <w:shd w:val="clear" w:color="auto" w:fill="C6EFCE"/>
          </w:tcPr>
          <w:p w14:paraId="45ED5700"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225D49DA" w14:textId="6EA12FA5"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Liczba studentów pielęgniarstwa, położnictwa, ratownictwa medycznego, medycyny, stomatologii, analityki medycznej, fizjoterapii</w:t>
            </w:r>
            <w:r w:rsidR="00A33B9F" w:rsidRPr="00A33B9F">
              <w:rPr>
                <w:rStyle w:val="normaltextrun"/>
                <w:rFonts w:ascii="Times New Roman" w:hAnsi="Times New Roman"/>
                <w:noProof/>
                <w:color w:val="000000"/>
                <w:sz w:val="18"/>
              </w:rPr>
              <w:t xml:space="preserve"> i far</w:t>
            </w:r>
            <w:r w:rsidRPr="00A33B9F">
              <w:rPr>
                <w:rStyle w:val="normaltextrun"/>
                <w:rFonts w:ascii="Times New Roman" w:hAnsi="Times New Roman"/>
                <w:noProof/>
                <w:color w:val="000000"/>
                <w:sz w:val="18"/>
              </w:rPr>
              <w:t>macji, którzy otrzymali stypendium, oraz studentów lub absolwentów pielęgniarstwa, położnictwa, ratownictwa medycznego objętych stypendium, dofinansowaniem studiów lub mentoringiem</w:t>
            </w:r>
            <w:r w:rsidRPr="00A33B9F">
              <w:rPr>
                <w:rStyle w:val="eop"/>
                <w:rFonts w:ascii="Times New Roman" w:hAnsi="Times New Roman"/>
                <w:noProof/>
                <w:color w:val="000000"/>
                <w:sz w:val="18"/>
              </w:rPr>
              <w:t xml:space="preserve"> </w:t>
            </w:r>
          </w:p>
        </w:tc>
        <w:tc>
          <w:tcPr>
            <w:tcW w:w="1560" w:type="dxa"/>
            <w:shd w:val="clear" w:color="auto" w:fill="C6EFCE"/>
          </w:tcPr>
          <w:p w14:paraId="0D5A4599"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7F113AA2"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shd w:val="clear" w:color="auto" w:fill="C6EFCE"/>
          </w:tcPr>
          <w:p w14:paraId="68C27B80"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4578083D"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25 400</w:t>
            </w:r>
          </w:p>
        </w:tc>
        <w:tc>
          <w:tcPr>
            <w:tcW w:w="993" w:type="dxa"/>
            <w:shd w:val="clear" w:color="auto" w:fill="C6EFCE"/>
          </w:tcPr>
          <w:p w14:paraId="0F5698A8"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3F3B07BA"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71AC6EAD" w14:textId="1BB24B9F" w:rsidR="00B74FF4" w:rsidRPr="00A33B9F" w:rsidRDefault="00F464C8" w:rsidP="00F464C8">
            <w:pPr>
              <w:pStyle w:val="paragraph"/>
              <w:spacing w:before="0" w:beforeAutospacing="0" w:after="0" w:afterAutospacing="0"/>
              <w:textAlignment w:val="baseline"/>
              <w:rPr>
                <w:rStyle w:val="scxw147420095"/>
                <w:noProof/>
                <w:color w:val="000000" w:themeColor="text1"/>
                <w:sz w:val="18"/>
                <w:szCs w:val="18"/>
              </w:rPr>
            </w:pPr>
            <w:r w:rsidRPr="00A33B9F">
              <w:rPr>
                <w:rStyle w:val="normaltextrun"/>
                <w:noProof/>
                <w:color w:val="000000" w:themeColor="text1"/>
                <w:sz w:val="18"/>
              </w:rPr>
              <w:t>25 400 studentów</w:t>
            </w:r>
            <w:r w:rsidR="00A33B9F" w:rsidRPr="00A33B9F">
              <w:rPr>
                <w:rStyle w:val="normaltextrun"/>
                <w:noProof/>
                <w:color w:val="000000" w:themeColor="text1"/>
                <w:sz w:val="18"/>
              </w:rPr>
              <w:t xml:space="preserve"> i abs</w:t>
            </w:r>
            <w:r w:rsidRPr="00A33B9F">
              <w:rPr>
                <w:rStyle w:val="normaltextrun"/>
                <w:noProof/>
                <w:color w:val="000000" w:themeColor="text1"/>
                <w:sz w:val="18"/>
              </w:rPr>
              <w:t>olwentów otrzyma wsparcie</w:t>
            </w:r>
            <w:r w:rsidR="00A33B9F" w:rsidRPr="00A33B9F">
              <w:rPr>
                <w:rStyle w:val="normaltextrun"/>
                <w:noProof/>
                <w:color w:val="000000" w:themeColor="text1"/>
                <w:sz w:val="18"/>
              </w:rPr>
              <w:t xml:space="preserve"> w opa</w:t>
            </w:r>
            <w:r w:rsidRPr="00A33B9F">
              <w:rPr>
                <w:rStyle w:val="normaltextrun"/>
                <w:noProof/>
                <w:color w:val="000000" w:themeColor="text1"/>
                <w:sz w:val="18"/>
              </w:rPr>
              <w:t>rciu o „system zachęt do podejmowania</w:t>
            </w:r>
            <w:r w:rsidR="00A33B9F" w:rsidRPr="00A33B9F">
              <w:rPr>
                <w:rStyle w:val="normaltextrun"/>
                <w:noProof/>
                <w:color w:val="000000" w:themeColor="text1"/>
                <w:sz w:val="18"/>
              </w:rPr>
              <w:t xml:space="preserve"> i kon</w:t>
            </w:r>
            <w:r w:rsidRPr="00A33B9F">
              <w:rPr>
                <w:rStyle w:val="normaltextrun"/>
                <w:noProof/>
                <w:color w:val="000000" w:themeColor="text1"/>
                <w:sz w:val="18"/>
              </w:rPr>
              <w:t>tynuowania studiów na wybranych kierunkach medycznych poprzez stypendia, finansowanie studiów</w:t>
            </w:r>
            <w:r w:rsidR="00A33B9F" w:rsidRPr="00A33B9F">
              <w:rPr>
                <w:rStyle w:val="normaltextrun"/>
                <w:noProof/>
                <w:color w:val="000000" w:themeColor="text1"/>
                <w:sz w:val="18"/>
              </w:rPr>
              <w:t xml:space="preserve"> i men</w:t>
            </w:r>
            <w:r w:rsidRPr="00A33B9F">
              <w:rPr>
                <w:rStyle w:val="normaltextrun"/>
                <w:noProof/>
                <w:color w:val="000000" w:themeColor="text1"/>
                <w:sz w:val="18"/>
              </w:rPr>
              <w:t>toring” w co najmniej jednej</w:t>
            </w:r>
            <w:r w:rsidR="00A33B9F" w:rsidRPr="00A33B9F">
              <w:rPr>
                <w:rStyle w:val="normaltextrun"/>
                <w:noProof/>
                <w:color w:val="000000" w:themeColor="text1"/>
                <w:sz w:val="18"/>
              </w:rPr>
              <w:t xml:space="preserve"> z pon</w:t>
            </w:r>
            <w:r w:rsidRPr="00A33B9F">
              <w:rPr>
                <w:rStyle w:val="normaltextrun"/>
                <w:noProof/>
                <w:color w:val="000000" w:themeColor="text1"/>
                <w:sz w:val="18"/>
              </w:rPr>
              <w:t>iższych form:</w:t>
            </w:r>
            <w:r w:rsidR="00C3621A" w:rsidRPr="00A33B9F">
              <w:rPr>
                <w:rStyle w:val="scxw147420095"/>
                <w:noProof/>
                <w:color w:val="000000" w:themeColor="text1"/>
                <w:sz w:val="18"/>
              </w:rPr>
              <w:t xml:space="preserve"> </w:t>
            </w:r>
            <w:r w:rsidRPr="00A33B9F">
              <w:rPr>
                <w:noProof/>
              </w:rPr>
              <w:br/>
            </w:r>
            <w:r w:rsidRPr="00A33B9F">
              <w:rPr>
                <w:rStyle w:val="normaltextrun"/>
                <w:noProof/>
                <w:color w:val="000000" w:themeColor="text1"/>
                <w:sz w:val="18"/>
              </w:rPr>
              <w:t>– stypendium za ukończenie trzyletniego cyklu studiów, współfinansowanie ukończenia pierwszego cyklu studiów lub przydzielenie mentora studentom pielęgniarstwa, położnictwa</w:t>
            </w:r>
            <w:r w:rsidR="00A33B9F" w:rsidRPr="00A33B9F">
              <w:rPr>
                <w:rStyle w:val="normaltextrun"/>
                <w:noProof/>
                <w:color w:val="000000" w:themeColor="text1"/>
                <w:sz w:val="18"/>
              </w:rPr>
              <w:t xml:space="preserve"> i rat</w:t>
            </w:r>
            <w:r w:rsidRPr="00A33B9F">
              <w:rPr>
                <w:rStyle w:val="normaltextrun"/>
                <w:noProof/>
                <w:color w:val="000000" w:themeColor="text1"/>
                <w:sz w:val="18"/>
              </w:rPr>
              <w:t>ownictwa medycznego lub</w:t>
            </w:r>
            <w:r w:rsidRPr="00A33B9F">
              <w:rPr>
                <w:rStyle w:val="scxw147420095"/>
                <w:noProof/>
                <w:color w:val="000000" w:themeColor="text1"/>
                <w:sz w:val="18"/>
              </w:rPr>
              <w:t xml:space="preserve"> </w:t>
            </w:r>
          </w:p>
          <w:p w14:paraId="3D8DBB06" w14:textId="08660BF6" w:rsidR="00F464C8" w:rsidRPr="00A33B9F" w:rsidRDefault="00B74FF4" w:rsidP="00F464C8">
            <w:pPr>
              <w:pStyle w:val="paragraph"/>
              <w:spacing w:before="0" w:beforeAutospacing="0" w:after="0" w:afterAutospacing="0"/>
              <w:textAlignment w:val="baseline"/>
              <w:rPr>
                <w:noProof/>
                <w:sz w:val="18"/>
                <w:szCs w:val="18"/>
              </w:rPr>
            </w:pPr>
            <w:r w:rsidRPr="00A33B9F">
              <w:rPr>
                <w:noProof/>
                <w:sz w:val="18"/>
              </w:rPr>
              <w:t>– przydzielenie mentora absolwentom pielęgniarstwa, położnictwa</w:t>
            </w:r>
            <w:r w:rsidR="00A33B9F" w:rsidRPr="00A33B9F">
              <w:rPr>
                <w:noProof/>
                <w:sz w:val="18"/>
              </w:rPr>
              <w:t xml:space="preserve"> i rat</w:t>
            </w:r>
            <w:r w:rsidRPr="00A33B9F">
              <w:rPr>
                <w:noProof/>
                <w:sz w:val="18"/>
              </w:rPr>
              <w:t>ownictwa medycznego lub</w:t>
            </w:r>
            <w:r w:rsidRPr="00A33B9F">
              <w:rPr>
                <w:noProof/>
              </w:rPr>
              <w:t xml:space="preserve"> </w:t>
            </w:r>
            <w:r w:rsidRPr="00A33B9F">
              <w:rPr>
                <w:noProof/>
              </w:rPr>
              <w:br/>
            </w:r>
            <w:r w:rsidRPr="00A33B9F">
              <w:rPr>
                <w:rStyle w:val="normaltextrun"/>
                <w:noProof/>
                <w:color w:val="000000" w:themeColor="text1"/>
                <w:sz w:val="18"/>
              </w:rPr>
              <w:t>– stypendium za ukończenie trzyletniego okresu studiów dla studentów kierunków medycyny, stomatologii, analityki medycznej, fizjoterapii</w:t>
            </w:r>
            <w:r w:rsidR="00A33B9F" w:rsidRPr="00A33B9F">
              <w:rPr>
                <w:rStyle w:val="normaltextrun"/>
                <w:noProof/>
                <w:color w:val="000000" w:themeColor="text1"/>
                <w:sz w:val="18"/>
              </w:rPr>
              <w:t xml:space="preserve"> i far</w:t>
            </w:r>
            <w:r w:rsidRPr="00A33B9F">
              <w:rPr>
                <w:rStyle w:val="normaltextrun"/>
                <w:noProof/>
                <w:color w:val="000000" w:themeColor="text1"/>
                <w:sz w:val="18"/>
              </w:rPr>
              <w:t>macji.</w:t>
            </w:r>
            <w:r w:rsidR="00C3621A" w:rsidRPr="00A33B9F">
              <w:rPr>
                <w:rStyle w:val="scxw147420095"/>
                <w:noProof/>
                <w:color w:val="000000" w:themeColor="text1"/>
                <w:sz w:val="18"/>
              </w:rPr>
              <w:t xml:space="preserve"> </w:t>
            </w:r>
            <w:r w:rsidRPr="00A33B9F">
              <w:rPr>
                <w:noProof/>
              </w:rPr>
              <w:br/>
            </w:r>
            <w:r w:rsidRPr="00A33B9F">
              <w:rPr>
                <w:rStyle w:val="eop"/>
                <w:noProof/>
                <w:color w:val="000000" w:themeColor="text1"/>
                <w:sz w:val="18"/>
              </w:rPr>
              <w:t xml:space="preserve"> </w:t>
            </w:r>
          </w:p>
          <w:p w14:paraId="39497298" w14:textId="357720A3"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4 400 studentów skorzysta ze współfinansowania studiów</w:t>
            </w:r>
            <w:r w:rsidR="00A33B9F" w:rsidRPr="00A33B9F">
              <w:rPr>
                <w:rStyle w:val="normaltextrun"/>
                <w:rFonts w:ascii="Times New Roman" w:hAnsi="Times New Roman"/>
                <w:noProof/>
                <w:color w:val="000000"/>
                <w:sz w:val="18"/>
              </w:rPr>
              <w:t xml:space="preserve"> w try</w:t>
            </w:r>
            <w:r w:rsidRPr="00A33B9F">
              <w:rPr>
                <w:rStyle w:val="normaltextrun"/>
                <w:rFonts w:ascii="Times New Roman" w:hAnsi="Times New Roman"/>
                <w:noProof/>
                <w:color w:val="000000"/>
                <w:sz w:val="18"/>
              </w:rPr>
              <w:t>bie określonym powyżej.</w:t>
            </w:r>
            <w:r w:rsidR="00C3621A" w:rsidRPr="00A33B9F">
              <w:rPr>
                <w:rStyle w:val="normaltextrun"/>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6 000 studentów skorzysta ze stypendium</w:t>
            </w:r>
            <w:r w:rsidR="00A33B9F" w:rsidRPr="00A33B9F">
              <w:rPr>
                <w:rStyle w:val="normaltextrun"/>
                <w:rFonts w:ascii="Times New Roman" w:hAnsi="Times New Roman"/>
                <w:noProof/>
                <w:color w:val="000000"/>
                <w:sz w:val="18"/>
              </w:rPr>
              <w:t xml:space="preserve"> w try</w:t>
            </w:r>
            <w:r w:rsidRPr="00A33B9F">
              <w:rPr>
                <w:rStyle w:val="normaltextrun"/>
                <w:rFonts w:ascii="Times New Roman" w:hAnsi="Times New Roman"/>
                <w:noProof/>
                <w:color w:val="000000"/>
                <w:sz w:val="18"/>
              </w:rPr>
              <w:t>bie określonym powyżej.</w:t>
            </w:r>
            <w:r w:rsidR="00C3621A" w:rsidRPr="00A33B9F">
              <w:rPr>
                <w:rStyle w:val="scxw147420095"/>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Co najmniej 15 000 studentów lub absolwentów zostanie przydzielony mentor</w:t>
            </w:r>
            <w:r w:rsidR="00A33B9F" w:rsidRPr="00A33B9F">
              <w:rPr>
                <w:rStyle w:val="normaltextrun"/>
                <w:rFonts w:ascii="Times New Roman" w:hAnsi="Times New Roman"/>
                <w:noProof/>
                <w:color w:val="000000"/>
                <w:sz w:val="18"/>
              </w:rPr>
              <w:t xml:space="preserve"> w try</w:t>
            </w:r>
            <w:r w:rsidRPr="00A33B9F">
              <w:rPr>
                <w:rStyle w:val="normaltextrun"/>
                <w:rFonts w:ascii="Times New Roman" w:hAnsi="Times New Roman"/>
                <w:noProof/>
                <w:color w:val="000000"/>
                <w:sz w:val="18"/>
              </w:rPr>
              <w:t>bie określonym powyżej.</w:t>
            </w:r>
            <w:r w:rsidR="00C3621A" w:rsidRPr="00A33B9F">
              <w:rPr>
                <w:rStyle w:val="normaltextrun"/>
                <w:rFonts w:ascii="Times New Roman" w:hAnsi="Times New Roman"/>
                <w:noProof/>
                <w:color w:val="000000"/>
                <w:sz w:val="18"/>
              </w:rPr>
              <w:t xml:space="preserve"> </w:t>
            </w:r>
          </w:p>
        </w:tc>
      </w:tr>
      <w:tr w:rsidR="008C116B" w:rsidRPr="00A33B9F" w14:paraId="74AA8EDF" w14:textId="77777777" w:rsidTr="1CE0CE0C">
        <w:trPr>
          <w:trHeight w:val="5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886912" w14:textId="5E793D96"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D31G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436FD42" w14:textId="4A169599"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D2.1.1. Inwestycje związane</w:t>
            </w:r>
            <w:r w:rsidR="00A33B9F" w:rsidRPr="00A33B9F">
              <w:rPr>
                <w:rFonts w:ascii="Times New Roman" w:hAnsi="Times New Roman"/>
                <w:noProof/>
                <w:color w:val="000000"/>
                <w:sz w:val="18"/>
              </w:rPr>
              <w:t xml:space="preserve"> z mod</w:t>
            </w:r>
            <w:r w:rsidRPr="00A33B9F">
              <w:rPr>
                <w:rFonts w:ascii="Times New Roman" w:hAnsi="Times New Roman"/>
                <w:noProof/>
                <w:color w:val="000000"/>
                <w:sz w:val="18"/>
              </w:rPr>
              <w:t>ernizacją</w:t>
            </w:r>
            <w:r w:rsidR="00A33B9F" w:rsidRPr="00A33B9F">
              <w:rPr>
                <w:rFonts w:ascii="Times New Roman" w:hAnsi="Times New Roman"/>
                <w:noProof/>
                <w:color w:val="000000"/>
                <w:sz w:val="18"/>
              </w:rPr>
              <w:t xml:space="preserve"> i dop</w:t>
            </w:r>
            <w:r w:rsidRPr="00A33B9F">
              <w:rPr>
                <w:rFonts w:ascii="Times New Roman" w:hAnsi="Times New Roman"/>
                <w:noProof/>
                <w:color w:val="000000"/>
                <w:sz w:val="18"/>
              </w:rPr>
              <w:t>osażeniem obiektów dydaktycznych</w:t>
            </w:r>
            <w:r w:rsidR="00A33B9F" w:rsidRPr="00A33B9F">
              <w:rPr>
                <w:rFonts w:ascii="Times New Roman" w:hAnsi="Times New Roman"/>
                <w:noProof/>
                <w:color w:val="000000"/>
                <w:sz w:val="18"/>
              </w:rPr>
              <w:t xml:space="preserve"> w zwi</w:t>
            </w:r>
            <w:r w:rsidRPr="00A33B9F">
              <w:rPr>
                <w:rFonts w:ascii="Times New Roman" w:hAnsi="Times New Roman"/>
                <w:noProof/>
                <w:color w:val="000000"/>
                <w:sz w:val="18"/>
              </w:rPr>
              <w:t>ązku ze zwiększeniem limitów przyjęć na studia medyczne</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DFB465"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B695AE" w14:textId="0C44ACBF"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Liczba zmodernizowanych obiektów dydaktycznych do celów kształcenia przedklinicznego (w tym centrów symulacji medycznych), dostosowanych obiektów bazy klinicznej wykorzystywanych do kształcenia</w:t>
            </w:r>
            <w:r w:rsidR="00A33B9F" w:rsidRPr="00A33B9F">
              <w:rPr>
                <w:rStyle w:val="normaltextrun"/>
                <w:rFonts w:ascii="Times New Roman" w:hAnsi="Times New Roman"/>
                <w:noProof/>
                <w:color w:val="000000"/>
                <w:sz w:val="18"/>
              </w:rPr>
              <w:t xml:space="preserve"> w cen</w:t>
            </w:r>
            <w:r w:rsidRPr="00A33B9F">
              <w:rPr>
                <w:rStyle w:val="normaltextrun"/>
                <w:rFonts w:ascii="Times New Roman" w:hAnsi="Times New Roman"/>
                <w:noProof/>
                <w:color w:val="000000"/>
                <w:sz w:val="18"/>
              </w:rPr>
              <w:t>tralnych szpitalach klinicznych, zmodernizowanych infrastruktur bibliotek</w:t>
            </w:r>
            <w:r w:rsidR="00A33B9F" w:rsidRPr="00A33B9F">
              <w:rPr>
                <w:rStyle w:val="normaltextrun"/>
                <w:rFonts w:ascii="Times New Roman" w:hAnsi="Times New Roman"/>
                <w:noProof/>
                <w:color w:val="000000"/>
                <w:sz w:val="18"/>
              </w:rPr>
              <w:t xml:space="preserve"> i aka</w:t>
            </w:r>
            <w:r w:rsidRPr="00A33B9F">
              <w:rPr>
                <w:rStyle w:val="normaltextrun"/>
                <w:rFonts w:ascii="Times New Roman" w:hAnsi="Times New Roman"/>
                <w:noProof/>
                <w:color w:val="000000"/>
                <w:sz w:val="18"/>
              </w:rPr>
              <w:t>demików na uniwersytetach medycznych</w:t>
            </w:r>
            <w:r w:rsidRPr="00A33B9F">
              <w:rPr>
                <w:rStyle w:val="eop"/>
                <w:rFonts w:ascii="Times New Roman" w:hAnsi="Times New Roman"/>
                <w:noProof/>
                <w:color w:val="000000"/>
                <w:sz w:val="18"/>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D464CE8"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8076B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46B226"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790F9D"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FBA80E"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8E366D"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E919A9" w14:textId="066AF714"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Ukończonych zostanie 212 projektów,</w:t>
            </w:r>
            <w:r w:rsidR="00A33B9F" w:rsidRPr="00A33B9F">
              <w:rPr>
                <w:rStyle w:val="normaltextrun"/>
                <w:noProof/>
                <w:color w:val="000000"/>
                <w:sz w:val="18"/>
              </w:rPr>
              <w:t xml:space="preserve"> w tym</w:t>
            </w:r>
            <w:r w:rsidRPr="00A33B9F">
              <w:rPr>
                <w:rStyle w:val="normaltextrun"/>
                <w:noProof/>
                <w:color w:val="000000"/>
                <w:sz w:val="18"/>
              </w:rPr>
              <w:t xml:space="preserve"> następujące:</w:t>
            </w:r>
            <w:r w:rsidR="00C3621A" w:rsidRPr="00A33B9F">
              <w:rPr>
                <w:rStyle w:val="scxw147420095"/>
                <w:noProof/>
                <w:color w:val="000000"/>
                <w:sz w:val="18"/>
              </w:rPr>
              <w:t xml:space="preserve"> </w:t>
            </w:r>
            <w:r w:rsidRPr="00A33B9F">
              <w:rPr>
                <w:noProof/>
              </w:rPr>
              <w:br/>
            </w:r>
            <w:r w:rsidRPr="00A33B9F">
              <w:rPr>
                <w:rStyle w:val="normaltextrun"/>
                <w:noProof/>
                <w:color w:val="000000"/>
                <w:sz w:val="18"/>
              </w:rPr>
              <w:t>– renowacja</w:t>
            </w:r>
            <w:r w:rsidR="00A33B9F" w:rsidRPr="00A33B9F">
              <w:rPr>
                <w:rStyle w:val="normaltextrun"/>
                <w:noProof/>
                <w:color w:val="000000"/>
                <w:sz w:val="18"/>
              </w:rPr>
              <w:t xml:space="preserve"> i dop</w:t>
            </w:r>
            <w:r w:rsidRPr="00A33B9F">
              <w:rPr>
                <w:rStyle w:val="normaltextrun"/>
                <w:noProof/>
                <w:color w:val="000000"/>
                <w:sz w:val="18"/>
              </w:rPr>
              <w:t>osażenie bazy dydaktycznej używanej</w:t>
            </w:r>
            <w:r w:rsidR="00A33B9F" w:rsidRPr="00A33B9F">
              <w:rPr>
                <w:rStyle w:val="normaltextrun"/>
                <w:noProof/>
                <w:color w:val="000000"/>
                <w:sz w:val="18"/>
              </w:rPr>
              <w:t xml:space="preserve"> w ksz</w:t>
            </w:r>
            <w:r w:rsidRPr="00A33B9F">
              <w:rPr>
                <w:rStyle w:val="normaltextrun"/>
                <w:noProof/>
                <w:color w:val="000000"/>
                <w:sz w:val="18"/>
              </w:rPr>
              <w:t>tałceniu przedklinicznym</w:t>
            </w:r>
            <w:r w:rsidR="00A33B9F" w:rsidRPr="00A33B9F">
              <w:rPr>
                <w:rStyle w:val="normaltextrun"/>
                <w:noProof/>
                <w:color w:val="000000"/>
                <w:sz w:val="18"/>
              </w:rPr>
              <w:t xml:space="preserve"> i two</w:t>
            </w:r>
            <w:r w:rsidRPr="00A33B9F">
              <w:rPr>
                <w:rStyle w:val="normaltextrun"/>
                <w:noProof/>
                <w:color w:val="000000"/>
                <w:sz w:val="18"/>
              </w:rPr>
              <w:t>rzenie nowych obiektów (w tym centrów symulacji medycznych). 140 obiektów otrzyma wsparcie (obejmujące również budowę nowych obiektów);</w:t>
            </w:r>
            <w:r w:rsidRPr="00A33B9F">
              <w:rPr>
                <w:rStyle w:val="eop"/>
                <w:noProof/>
                <w:color w:val="000000"/>
                <w:sz w:val="18"/>
              </w:rPr>
              <w:t xml:space="preserve"> </w:t>
            </w:r>
          </w:p>
          <w:p w14:paraId="5D8A53C4" w14:textId="30740CCD"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 modernizacja lub utworzenie bazy klinicznej używanej do kształcenia studentów</w:t>
            </w:r>
            <w:r w:rsidR="00A33B9F" w:rsidRPr="00A33B9F">
              <w:rPr>
                <w:rStyle w:val="normaltextrun"/>
                <w:noProof/>
                <w:color w:val="000000"/>
                <w:sz w:val="18"/>
              </w:rPr>
              <w:t xml:space="preserve"> w cen</w:t>
            </w:r>
            <w:r w:rsidRPr="00A33B9F">
              <w:rPr>
                <w:rStyle w:val="normaltextrun"/>
                <w:noProof/>
                <w:color w:val="000000"/>
                <w:sz w:val="18"/>
              </w:rPr>
              <w:t>tralnych szpitalach klinicznych (dostosowanie funkcjonowania tej bazy do warunków ryzyka epidemiologicznego, łączenie klinik</w:t>
            </w:r>
            <w:r w:rsidR="00A33B9F" w:rsidRPr="00A33B9F">
              <w:rPr>
                <w:rStyle w:val="normaltextrun"/>
                <w:noProof/>
                <w:color w:val="000000"/>
                <w:sz w:val="18"/>
              </w:rPr>
              <w:t xml:space="preserve"> w inn</w:t>
            </w:r>
            <w:r w:rsidRPr="00A33B9F">
              <w:rPr>
                <w:rStyle w:val="normaltextrun"/>
                <w:noProof/>
                <w:color w:val="000000"/>
                <w:sz w:val="18"/>
              </w:rPr>
              <w:t>ych podmiotach medycznych</w:t>
            </w:r>
            <w:r w:rsidR="00A33B9F" w:rsidRPr="00A33B9F">
              <w:rPr>
                <w:rStyle w:val="normaltextrun"/>
                <w:noProof/>
                <w:color w:val="000000"/>
                <w:sz w:val="18"/>
              </w:rPr>
              <w:t xml:space="preserve"> z cen</w:t>
            </w:r>
            <w:r w:rsidRPr="00A33B9F">
              <w:rPr>
                <w:rStyle w:val="normaltextrun"/>
                <w:noProof/>
                <w:color w:val="000000"/>
                <w:sz w:val="18"/>
              </w:rPr>
              <w:t>tralnymi szpitalami klinicznymi, tworzenie niezbędnych klinik</w:t>
            </w:r>
            <w:r w:rsidR="00A33B9F" w:rsidRPr="00A33B9F">
              <w:rPr>
                <w:rStyle w:val="normaltextrun"/>
                <w:noProof/>
                <w:color w:val="000000"/>
                <w:sz w:val="18"/>
              </w:rPr>
              <w:t xml:space="preserve"> w obs</w:t>
            </w:r>
            <w:r w:rsidRPr="00A33B9F">
              <w:rPr>
                <w:rStyle w:val="normaltextrun"/>
                <w:noProof/>
                <w:color w:val="000000"/>
                <w:sz w:val="18"/>
              </w:rPr>
              <w:t>zarach deficytowych, takich jak choroby zakaźne</w:t>
            </w:r>
            <w:r w:rsidR="00A33B9F" w:rsidRPr="00A33B9F">
              <w:rPr>
                <w:rStyle w:val="normaltextrun"/>
                <w:noProof/>
                <w:color w:val="000000"/>
                <w:sz w:val="18"/>
              </w:rPr>
              <w:t xml:space="preserve"> i onk</w:t>
            </w:r>
            <w:r w:rsidRPr="00A33B9F">
              <w:rPr>
                <w:rStyle w:val="normaltextrun"/>
                <w:noProof/>
                <w:color w:val="000000"/>
                <w:sz w:val="18"/>
              </w:rPr>
              <w:t>ologia). 42 obiekty otrzymają wsparcie;</w:t>
            </w:r>
            <w:r w:rsidRPr="00A33B9F">
              <w:rPr>
                <w:rStyle w:val="eop"/>
                <w:noProof/>
                <w:color w:val="000000"/>
                <w:sz w:val="18"/>
              </w:rPr>
              <w:t xml:space="preserve"> </w:t>
            </w:r>
          </w:p>
          <w:p w14:paraId="1EBC6B35" w14:textId="6FF761EC"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 remont bibliotek na uniwersytetach medycznych zapewniający bezkontaktowe korzystanie</w:t>
            </w:r>
            <w:r w:rsidR="00A33B9F" w:rsidRPr="00A33B9F">
              <w:rPr>
                <w:rStyle w:val="normaltextrun"/>
                <w:noProof/>
                <w:color w:val="000000"/>
                <w:sz w:val="18"/>
              </w:rPr>
              <w:t xml:space="preserve"> z zas</w:t>
            </w:r>
            <w:r w:rsidRPr="00A33B9F">
              <w:rPr>
                <w:rStyle w:val="normaltextrun"/>
                <w:noProof/>
                <w:color w:val="000000"/>
                <w:sz w:val="18"/>
              </w:rPr>
              <w:t>obów bibliotecznych</w:t>
            </w:r>
            <w:r w:rsidR="00A33B9F" w:rsidRPr="00A33B9F">
              <w:rPr>
                <w:rStyle w:val="normaltextrun"/>
                <w:noProof/>
                <w:color w:val="000000"/>
                <w:sz w:val="18"/>
              </w:rPr>
              <w:t xml:space="preserve"> i bez</w:t>
            </w:r>
            <w:r w:rsidRPr="00A33B9F">
              <w:rPr>
                <w:rStyle w:val="normaltextrun"/>
                <w:noProof/>
                <w:color w:val="000000"/>
                <w:sz w:val="18"/>
              </w:rPr>
              <w:t>pieczne miejsca do samodzielnej nauki. 3 projekty</w:t>
            </w:r>
            <w:r w:rsidR="00A33B9F" w:rsidRPr="00A33B9F">
              <w:rPr>
                <w:rStyle w:val="normaltextrun"/>
                <w:noProof/>
                <w:color w:val="000000"/>
                <w:sz w:val="18"/>
              </w:rPr>
              <w:t xml:space="preserve"> w zak</w:t>
            </w:r>
            <w:r w:rsidRPr="00A33B9F">
              <w:rPr>
                <w:rStyle w:val="normaltextrun"/>
                <w:noProof/>
                <w:color w:val="000000"/>
                <w:sz w:val="18"/>
              </w:rPr>
              <w:t>resie remontu bibliotek otrzymają wsparcie oraz</w:t>
            </w:r>
            <w:r w:rsidR="00C3621A" w:rsidRPr="00A33B9F">
              <w:rPr>
                <w:rStyle w:val="scxw147420095"/>
                <w:noProof/>
                <w:color w:val="000000"/>
                <w:sz w:val="18"/>
              </w:rPr>
              <w:t xml:space="preserve"> </w:t>
            </w:r>
            <w:r w:rsidRPr="00A33B9F">
              <w:rPr>
                <w:noProof/>
              </w:rPr>
              <w:br/>
            </w:r>
            <w:r w:rsidRPr="00A33B9F">
              <w:rPr>
                <w:rStyle w:val="normaltextrun"/>
                <w:noProof/>
                <w:color w:val="000000"/>
                <w:sz w:val="18"/>
              </w:rPr>
              <w:t>– remont akademików należących do uniwersytetów medycznych</w:t>
            </w:r>
            <w:r w:rsidR="00A33B9F" w:rsidRPr="00A33B9F">
              <w:rPr>
                <w:rStyle w:val="normaltextrun"/>
                <w:noProof/>
                <w:color w:val="000000"/>
                <w:sz w:val="18"/>
              </w:rPr>
              <w:t xml:space="preserve"> w cel</w:t>
            </w:r>
            <w:r w:rsidRPr="00A33B9F">
              <w:rPr>
                <w:rStyle w:val="normaltextrun"/>
                <w:noProof/>
                <w:color w:val="000000"/>
                <w:sz w:val="18"/>
              </w:rPr>
              <w:t>u dostosowania ich do potrzeb wynikających</w:t>
            </w:r>
            <w:r w:rsidR="00A33B9F" w:rsidRPr="00A33B9F">
              <w:rPr>
                <w:rStyle w:val="normaltextrun"/>
                <w:noProof/>
                <w:color w:val="000000"/>
                <w:sz w:val="18"/>
              </w:rPr>
              <w:t xml:space="preserve"> z wym</w:t>
            </w:r>
            <w:r w:rsidRPr="00A33B9F">
              <w:rPr>
                <w:rStyle w:val="normaltextrun"/>
                <w:noProof/>
                <w:color w:val="000000"/>
                <w:sz w:val="18"/>
              </w:rPr>
              <w:t>ogów sanitarnych. 27 projektów</w:t>
            </w:r>
            <w:r w:rsidR="00A33B9F" w:rsidRPr="00A33B9F">
              <w:rPr>
                <w:rStyle w:val="normaltextrun"/>
                <w:noProof/>
                <w:color w:val="000000"/>
                <w:sz w:val="18"/>
              </w:rPr>
              <w:t xml:space="preserve"> w zak</w:t>
            </w:r>
            <w:r w:rsidRPr="00A33B9F">
              <w:rPr>
                <w:rStyle w:val="normaltextrun"/>
                <w:noProof/>
                <w:color w:val="000000"/>
                <w:sz w:val="18"/>
              </w:rPr>
              <w:t>resie remontu akademików otrzyma wsparcie.</w:t>
            </w:r>
            <w:r w:rsidR="00C3621A" w:rsidRPr="00A33B9F">
              <w:rPr>
                <w:rStyle w:val="normaltextrun"/>
                <w:noProof/>
                <w:color w:val="000000"/>
                <w:sz w:val="18"/>
              </w:rPr>
              <w:t xml:space="preserve"> </w:t>
            </w:r>
          </w:p>
          <w:p w14:paraId="3D69A466" w14:textId="77777777" w:rsidR="00F464C8" w:rsidRPr="00A33B9F" w:rsidRDefault="00F464C8" w:rsidP="00F464C8">
            <w:pPr>
              <w:pStyle w:val="paragraph"/>
              <w:spacing w:before="0" w:beforeAutospacing="0" w:after="0" w:afterAutospacing="0"/>
              <w:textAlignment w:val="baseline"/>
              <w:rPr>
                <w:noProof/>
                <w:sz w:val="18"/>
                <w:szCs w:val="18"/>
              </w:rPr>
            </w:pPr>
            <w:r w:rsidRPr="00A33B9F">
              <w:rPr>
                <w:rStyle w:val="eop"/>
                <w:noProof/>
                <w:color w:val="000000"/>
                <w:sz w:val="18"/>
              </w:rPr>
              <w:t xml:space="preserve"> </w:t>
            </w:r>
          </w:p>
          <w:p w14:paraId="18D4B639" w14:textId="60421084"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Zakup ziemi nie będzie objęty wsparciem. Projekty zostaną wdrożone na podstawie zaproszeń do składania ofert lub otwartych konkursów</w:t>
            </w:r>
            <w:r w:rsidR="00A33B9F" w:rsidRPr="00A33B9F">
              <w:rPr>
                <w:rStyle w:val="normaltextrun"/>
                <w:noProof/>
                <w:color w:val="000000"/>
                <w:sz w:val="18"/>
              </w:rPr>
              <w:t xml:space="preserve"> o udz</w:t>
            </w:r>
            <w:r w:rsidRPr="00A33B9F">
              <w:rPr>
                <w:rStyle w:val="normaltextrun"/>
                <w:noProof/>
                <w:color w:val="000000"/>
                <w:sz w:val="18"/>
              </w:rPr>
              <w:t>ielenie dotacji. Wybór beneficjentów nastąpi</w:t>
            </w:r>
            <w:r w:rsidR="00A33B9F" w:rsidRPr="00A33B9F">
              <w:rPr>
                <w:rStyle w:val="normaltextrun"/>
                <w:noProof/>
                <w:color w:val="000000"/>
                <w:sz w:val="18"/>
              </w:rPr>
              <w:t xml:space="preserve"> w spo</w:t>
            </w:r>
            <w:r w:rsidRPr="00A33B9F">
              <w:rPr>
                <w:rStyle w:val="normaltextrun"/>
                <w:noProof/>
                <w:color w:val="000000"/>
                <w:sz w:val="18"/>
              </w:rPr>
              <w:t>sób przejrzysty</w:t>
            </w:r>
            <w:r w:rsidR="00A33B9F" w:rsidRPr="00A33B9F">
              <w:rPr>
                <w:rStyle w:val="normaltextrun"/>
                <w:noProof/>
                <w:color w:val="000000"/>
                <w:sz w:val="18"/>
              </w:rPr>
              <w:t xml:space="preserve"> i obi</w:t>
            </w:r>
            <w:r w:rsidRPr="00A33B9F">
              <w:rPr>
                <w:rStyle w:val="normaltextrun"/>
                <w:noProof/>
                <w:color w:val="000000"/>
                <w:sz w:val="18"/>
              </w:rPr>
              <w:t>ektywny.</w:t>
            </w:r>
            <w:r w:rsidRPr="00A33B9F">
              <w:rPr>
                <w:rStyle w:val="eop"/>
                <w:noProof/>
                <w:color w:val="000000"/>
                <w:sz w:val="18"/>
              </w:rPr>
              <w:t xml:space="preserve"> </w:t>
            </w:r>
          </w:p>
          <w:p w14:paraId="335F6207" w14:textId="77777777" w:rsidR="00F464C8" w:rsidRPr="00A33B9F" w:rsidRDefault="00F464C8" w:rsidP="00F464C8">
            <w:pPr>
              <w:pStyle w:val="paragraph"/>
              <w:spacing w:before="0" w:beforeAutospacing="0" w:after="0" w:afterAutospacing="0"/>
              <w:textAlignment w:val="baseline"/>
              <w:rPr>
                <w:noProof/>
                <w:sz w:val="18"/>
                <w:szCs w:val="18"/>
              </w:rPr>
            </w:pPr>
            <w:r w:rsidRPr="00A33B9F">
              <w:rPr>
                <w:rStyle w:val="eop"/>
                <w:noProof/>
                <w:color w:val="000000"/>
                <w:sz w:val="18"/>
              </w:rPr>
              <w:t xml:space="preserve"> </w:t>
            </w:r>
          </w:p>
          <w:p w14:paraId="7D6EAF54" w14:textId="46FFF4F5"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sz w:val="18"/>
              </w:rPr>
              <w:t>Każda umowa</w:t>
            </w:r>
            <w:r w:rsidR="00A33B9F" w:rsidRPr="00A33B9F">
              <w:rPr>
                <w:rStyle w:val="normaltextrun"/>
                <w:rFonts w:ascii="Times New Roman" w:hAnsi="Times New Roman"/>
                <w:noProof/>
                <w:color w:val="000000"/>
                <w:sz w:val="18"/>
              </w:rPr>
              <w:t xml:space="preserve"> o udz</w:t>
            </w:r>
            <w:r w:rsidRPr="00A33B9F">
              <w:rPr>
                <w:rStyle w:val="normaltextrun"/>
                <w:rFonts w:ascii="Times New Roman" w:hAnsi="Times New Roman"/>
                <w:noProof/>
                <w:color w:val="000000"/>
                <w:sz w:val="18"/>
              </w:rPr>
              <w:t>ielenie dotacji będzie wskazywała otrzymaną kwotę finansową oraz szczegółowe informacje</w:t>
            </w:r>
            <w:r w:rsidR="00A33B9F" w:rsidRPr="00A33B9F">
              <w:rPr>
                <w:rStyle w:val="normaltextrun"/>
                <w:rFonts w:ascii="Times New Roman" w:hAnsi="Times New Roman"/>
                <w:noProof/>
                <w:color w:val="000000"/>
                <w:sz w:val="18"/>
              </w:rPr>
              <w:t xml:space="preserve"> o pro</w:t>
            </w:r>
            <w:r w:rsidRPr="00A33B9F">
              <w:rPr>
                <w:rStyle w:val="normaltextrun"/>
                <w:rFonts w:ascii="Times New Roman" w:hAnsi="Times New Roman"/>
                <w:noProof/>
                <w:color w:val="000000"/>
                <w:sz w:val="18"/>
              </w:rPr>
              <w:t>jekcie.</w:t>
            </w:r>
            <w:r w:rsidRPr="00A33B9F">
              <w:rPr>
                <w:rStyle w:val="eop"/>
                <w:rFonts w:ascii="Times New Roman" w:hAnsi="Times New Roman"/>
                <w:noProof/>
                <w:color w:val="000000"/>
                <w:sz w:val="18"/>
              </w:rPr>
              <w:t xml:space="preserve"> </w:t>
            </w:r>
          </w:p>
        </w:tc>
      </w:tr>
      <w:tr w:rsidR="008C116B" w:rsidRPr="00A33B9F" w14:paraId="52BFD005" w14:textId="77777777" w:rsidTr="1CE0CE0C">
        <w:trPr>
          <w:trHeight w:val="313"/>
        </w:trPr>
        <w:tc>
          <w:tcPr>
            <w:tcW w:w="709" w:type="dxa"/>
            <w:shd w:val="clear" w:color="auto" w:fill="C6EFCE"/>
          </w:tcPr>
          <w:p w14:paraId="71777008" w14:textId="6C3C9C33"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D32G</w:t>
            </w:r>
          </w:p>
        </w:tc>
        <w:tc>
          <w:tcPr>
            <w:tcW w:w="2126" w:type="dxa"/>
            <w:shd w:val="clear" w:color="auto" w:fill="C6EFCE"/>
          </w:tcPr>
          <w:p w14:paraId="45FA3F6C" w14:textId="2A1A2B62"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D3.1 Zwiększenie efektywności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systemu opieki zdrowotnej przez wzmocnienie zaplecza naukowego</w:t>
            </w:r>
            <w:r w:rsidR="00A33B9F" w:rsidRPr="00A33B9F">
              <w:rPr>
                <w:rFonts w:ascii="Times New Roman" w:hAnsi="Times New Roman"/>
                <w:noProof/>
                <w:color w:val="000000"/>
                <w:sz w:val="18"/>
              </w:rPr>
              <w:t xml:space="preserve"> w dzi</w:t>
            </w:r>
            <w:r w:rsidRPr="00A33B9F">
              <w:rPr>
                <w:rFonts w:ascii="Times New Roman" w:hAnsi="Times New Roman"/>
                <w:noProof/>
                <w:color w:val="000000"/>
                <w:sz w:val="18"/>
              </w:rPr>
              <w:t>edzinie nauk medycznych</w:t>
            </w:r>
            <w:r w:rsidR="00A33B9F" w:rsidRPr="00A33B9F">
              <w:rPr>
                <w:rFonts w:ascii="Times New Roman" w:hAnsi="Times New Roman"/>
                <w:noProof/>
                <w:color w:val="000000"/>
                <w:sz w:val="18"/>
              </w:rPr>
              <w:t xml:space="preserve"> i nau</w:t>
            </w:r>
            <w:r w:rsidRPr="00A33B9F">
              <w:rPr>
                <w:rFonts w:ascii="Times New Roman" w:hAnsi="Times New Roman"/>
                <w:noProof/>
                <w:color w:val="000000"/>
                <w:sz w:val="18"/>
              </w:rPr>
              <w:t>k</w:t>
            </w:r>
            <w:r w:rsidR="00A33B9F" w:rsidRPr="00A33B9F">
              <w:rPr>
                <w:rFonts w:ascii="Times New Roman" w:hAnsi="Times New Roman"/>
                <w:noProof/>
                <w:color w:val="000000"/>
                <w:sz w:val="18"/>
              </w:rPr>
              <w:t xml:space="preserve"> o zdr</w:t>
            </w:r>
            <w:r w:rsidRPr="00A33B9F">
              <w:rPr>
                <w:rFonts w:ascii="Times New Roman" w:hAnsi="Times New Roman"/>
                <w:noProof/>
                <w:color w:val="000000"/>
                <w:sz w:val="18"/>
              </w:rPr>
              <w:t>owiu</w:t>
            </w:r>
          </w:p>
        </w:tc>
        <w:tc>
          <w:tcPr>
            <w:tcW w:w="1050" w:type="dxa"/>
            <w:shd w:val="clear" w:color="auto" w:fill="C6EFCE"/>
          </w:tcPr>
          <w:p w14:paraId="1EDA7118"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59B9E84F" w14:textId="3810A38C"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Wejście</w:t>
            </w:r>
            <w:r w:rsidR="00A33B9F" w:rsidRPr="00A33B9F">
              <w:rPr>
                <w:rStyle w:val="normaltextrun"/>
                <w:rFonts w:ascii="Times New Roman" w:hAnsi="Times New Roman"/>
                <w:noProof/>
                <w:color w:val="000000"/>
                <w:sz w:val="18"/>
              </w:rPr>
              <w:t xml:space="preserve"> w życ</w:t>
            </w:r>
            <w:r w:rsidRPr="00A33B9F">
              <w:rPr>
                <w:rStyle w:val="normaltextrun"/>
                <w:rFonts w:ascii="Times New Roman" w:hAnsi="Times New Roman"/>
                <w:noProof/>
                <w:color w:val="000000"/>
                <w:sz w:val="18"/>
              </w:rPr>
              <w:t>ie ustawy</w:t>
            </w:r>
            <w:r w:rsidR="00A33B9F" w:rsidRPr="00A33B9F">
              <w:rPr>
                <w:rStyle w:val="normaltextrun"/>
                <w:rFonts w:ascii="Times New Roman" w:hAnsi="Times New Roman"/>
                <w:noProof/>
                <w:color w:val="000000"/>
                <w:sz w:val="18"/>
              </w:rPr>
              <w:t xml:space="preserve"> o bad</w:t>
            </w:r>
            <w:r w:rsidRPr="00A33B9F">
              <w:rPr>
                <w:rStyle w:val="normaltextrun"/>
                <w:rFonts w:ascii="Times New Roman" w:hAnsi="Times New Roman"/>
                <w:noProof/>
                <w:color w:val="000000"/>
                <w:sz w:val="18"/>
              </w:rPr>
              <w:t>aniach klinicznych produktów leczniczych stosowanych</w:t>
            </w:r>
            <w:r w:rsidR="00A33B9F" w:rsidRPr="00A33B9F">
              <w:rPr>
                <w:rStyle w:val="normaltextrun"/>
                <w:rFonts w:ascii="Times New Roman" w:hAnsi="Times New Roman"/>
                <w:noProof/>
                <w:color w:val="000000"/>
                <w:sz w:val="18"/>
              </w:rPr>
              <w:t xml:space="preserve"> u lud</w:t>
            </w:r>
            <w:r w:rsidRPr="00A33B9F">
              <w:rPr>
                <w:rStyle w:val="normaltextrun"/>
                <w:rFonts w:ascii="Times New Roman" w:hAnsi="Times New Roman"/>
                <w:noProof/>
                <w:color w:val="000000"/>
                <w:sz w:val="18"/>
              </w:rPr>
              <w:t>zi</w:t>
            </w:r>
            <w:r w:rsidRPr="00A33B9F">
              <w:rPr>
                <w:rStyle w:val="eop"/>
                <w:rFonts w:ascii="Times New Roman" w:hAnsi="Times New Roman"/>
                <w:noProof/>
                <w:color w:val="000000"/>
                <w:sz w:val="18"/>
              </w:rPr>
              <w:t xml:space="preserve"> </w:t>
            </w:r>
          </w:p>
        </w:tc>
        <w:tc>
          <w:tcPr>
            <w:tcW w:w="1560" w:type="dxa"/>
            <w:shd w:val="clear" w:color="auto" w:fill="C6EFCE"/>
          </w:tcPr>
          <w:p w14:paraId="26850E5C" w14:textId="059CAA99" w:rsidR="00F464C8" w:rsidRPr="00A33B9F" w:rsidRDefault="05891C8F" w:rsidP="4E56902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1247" w:type="dxa"/>
            <w:shd w:val="clear" w:color="auto" w:fill="C6EFCE"/>
          </w:tcPr>
          <w:p w14:paraId="5373853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5BE9AB8F"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08FC9E8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4E1F1B21"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3A69788C"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376649D6" w14:textId="2279ED43"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Wejdzie</w:t>
            </w:r>
            <w:r w:rsidR="00A33B9F" w:rsidRPr="00A33B9F">
              <w:rPr>
                <w:rStyle w:val="normaltextrun"/>
                <w:noProof/>
                <w:color w:val="000000"/>
                <w:sz w:val="18"/>
              </w:rPr>
              <w:t xml:space="preserve"> </w:t>
            </w:r>
            <w:r w:rsidR="00A33B9F" w:rsidRPr="00A33B9F">
              <w:rPr>
                <w:rStyle w:val="normaltextrun"/>
                <w:noProof/>
                <w:color w:val="000000" w:themeColor="text1"/>
                <w:sz w:val="18"/>
              </w:rPr>
              <w:t>w</w:t>
            </w:r>
            <w:r w:rsidR="00A33B9F" w:rsidRPr="00A33B9F">
              <w:rPr>
                <w:rStyle w:val="normaltextrun"/>
                <w:noProof/>
                <w:color w:val="000000"/>
                <w:sz w:val="18"/>
              </w:rPr>
              <w:t> </w:t>
            </w:r>
            <w:r w:rsidR="00A33B9F" w:rsidRPr="00A33B9F">
              <w:rPr>
                <w:rStyle w:val="normaltextrun"/>
                <w:noProof/>
                <w:color w:val="000000" w:themeColor="text1"/>
                <w:sz w:val="18"/>
              </w:rPr>
              <w:t>życ</w:t>
            </w:r>
            <w:r w:rsidRPr="00A33B9F">
              <w:rPr>
                <w:rStyle w:val="normaltextrun"/>
                <w:noProof/>
                <w:color w:val="000000" w:themeColor="text1"/>
                <w:sz w:val="18"/>
              </w:rPr>
              <w:t>ie ustawa</w:t>
            </w:r>
            <w:r w:rsidR="00A33B9F" w:rsidRPr="00A33B9F">
              <w:rPr>
                <w:rStyle w:val="normaltextrun"/>
                <w:noProof/>
                <w:color w:val="000000" w:themeColor="text1"/>
                <w:sz w:val="18"/>
              </w:rPr>
              <w:t xml:space="preserve"> o bad</w:t>
            </w:r>
            <w:r w:rsidRPr="00A33B9F">
              <w:rPr>
                <w:rStyle w:val="normaltextrun"/>
                <w:noProof/>
                <w:color w:val="000000" w:themeColor="text1"/>
                <w:sz w:val="18"/>
              </w:rPr>
              <w:t>aniach klinicznych produktów leczniczych stosowanych</w:t>
            </w:r>
            <w:r w:rsidR="00A33B9F" w:rsidRPr="00A33B9F">
              <w:rPr>
                <w:rStyle w:val="normaltextrun"/>
                <w:noProof/>
                <w:color w:val="000000" w:themeColor="text1"/>
                <w:sz w:val="18"/>
              </w:rPr>
              <w:t xml:space="preserve"> u lud</w:t>
            </w:r>
            <w:r w:rsidRPr="00A33B9F">
              <w:rPr>
                <w:rStyle w:val="normaltextrun"/>
                <w:noProof/>
                <w:color w:val="000000" w:themeColor="text1"/>
                <w:sz w:val="18"/>
              </w:rPr>
              <w:t>zi</w:t>
            </w:r>
            <w:r w:rsidRPr="00A33B9F">
              <w:rPr>
                <w:rStyle w:val="normaltextrun"/>
                <w:noProof/>
                <w:color w:val="000000"/>
                <w:sz w:val="18"/>
              </w:rPr>
              <w:t xml:space="preserve"> obejmująca:</w:t>
            </w:r>
            <w:r w:rsidR="00C3621A" w:rsidRPr="00A33B9F">
              <w:rPr>
                <w:rStyle w:val="normaltextrun"/>
                <w:noProof/>
                <w:color w:val="000000"/>
                <w:sz w:val="18"/>
              </w:rPr>
              <w:t xml:space="preserve"> </w:t>
            </w:r>
            <w:r w:rsidRPr="00A33B9F">
              <w:rPr>
                <w:noProof/>
              </w:rPr>
              <w:br/>
            </w:r>
            <w:r w:rsidRPr="00A33B9F">
              <w:rPr>
                <w:rStyle w:val="normaltextrun"/>
                <w:noProof/>
                <w:color w:val="000000"/>
                <w:sz w:val="18"/>
              </w:rPr>
              <w:t>– przejrzyste regulacje oraz</w:t>
            </w:r>
            <w:r w:rsidRPr="00A33B9F">
              <w:rPr>
                <w:noProof/>
              </w:rPr>
              <w:t xml:space="preserve"> </w:t>
            </w:r>
            <w:r w:rsidRPr="00A33B9F">
              <w:rPr>
                <w:noProof/>
              </w:rPr>
              <w:br/>
            </w:r>
            <w:r w:rsidRPr="00A33B9F">
              <w:rPr>
                <w:rStyle w:val="normaltextrun"/>
                <w:noProof/>
                <w:color w:val="000000"/>
                <w:sz w:val="18"/>
              </w:rPr>
              <w:t>– dodatkowe ułatwienia</w:t>
            </w:r>
            <w:r w:rsidR="00A33B9F" w:rsidRPr="00A33B9F">
              <w:rPr>
                <w:rStyle w:val="normaltextrun"/>
                <w:noProof/>
                <w:color w:val="000000"/>
                <w:sz w:val="18"/>
              </w:rPr>
              <w:t xml:space="preserve"> i mec</w:t>
            </w:r>
            <w:r w:rsidRPr="00A33B9F">
              <w:rPr>
                <w:rStyle w:val="normaltextrun"/>
                <w:noProof/>
                <w:color w:val="000000"/>
                <w:sz w:val="18"/>
              </w:rPr>
              <w:t>hanizmy zachęcające do prowadzenia badań klinicznych</w:t>
            </w:r>
            <w:r w:rsidR="00A33B9F" w:rsidRPr="00A33B9F">
              <w:rPr>
                <w:rStyle w:val="normaltextrun"/>
                <w:noProof/>
                <w:color w:val="000000"/>
                <w:sz w:val="18"/>
              </w:rPr>
              <w:t xml:space="preserve"> w Pol</w:t>
            </w:r>
            <w:r w:rsidRPr="00A33B9F">
              <w:rPr>
                <w:rStyle w:val="normaltextrun"/>
                <w:noProof/>
                <w:color w:val="000000"/>
                <w:sz w:val="18"/>
              </w:rPr>
              <w:t>sce oraz poprawiające jakość</w:t>
            </w:r>
            <w:r w:rsidR="00A33B9F" w:rsidRPr="00A33B9F">
              <w:rPr>
                <w:rStyle w:val="normaltextrun"/>
                <w:noProof/>
                <w:color w:val="000000"/>
                <w:sz w:val="18"/>
              </w:rPr>
              <w:t xml:space="preserve"> i usp</w:t>
            </w:r>
            <w:r w:rsidRPr="00A33B9F">
              <w:rPr>
                <w:rStyle w:val="normaltextrun"/>
                <w:noProof/>
                <w:color w:val="000000"/>
                <w:sz w:val="18"/>
              </w:rPr>
              <w:t>rawniające badania kliniczne</w:t>
            </w:r>
            <w:r w:rsidR="00A33B9F" w:rsidRPr="00A33B9F">
              <w:rPr>
                <w:rStyle w:val="normaltextrun"/>
                <w:noProof/>
                <w:color w:val="000000"/>
                <w:sz w:val="18"/>
              </w:rPr>
              <w:t xml:space="preserve"> w Pol</w:t>
            </w:r>
            <w:r w:rsidRPr="00A33B9F">
              <w:rPr>
                <w:rStyle w:val="normaltextrun"/>
                <w:noProof/>
                <w:color w:val="000000"/>
                <w:sz w:val="18"/>
              </w:rPr>
              <w:t>sce.</w:t>
            </w:r>
            <w:r w:rsidR="00C3621A" w:rsidRPr="00A33B9F">
              <w:rPr>
                <w:rStyle w:val="normaltextrun"/>
                <w:noProof/>
                <w:color w:val="000000"/>
                <w:sz w:val="18"/>
              </w:rPr>
              <w:t xml:space="preserve"> </w:t>
            </w:r>
          </w:p>
          <w:p w14:paraId="239C8723" w14:textId="365243E4" w:rsidR="00F464C8" w:rsidRPr="00A33B9F" w:rsidRDefault="00F464C8" w:rsidP="0085514F">
            <w:pPr>
              <w:pStyle w:val="paragraph"/>
              <w:spacing w:before="0" w:beforeAutospacing="0" w:after="0" w:afterAutospacing="0"/>
              <w:textAlignment w:val="baseline"/>
              <w:rPr>
                <w:noProof/>
                <w:color w:val="006100"/>
                <w:sz w:val="18"/>
                <w:szCs w:val="18"/>
              </w:rPr>
            </w:pPr>
            <w:r w:rsidRPr="00A33B9F">
              <w:rPr>
                <w:rStyle w:val="normaltextrun"/>
                <w:noProof/>
                <w:color w:val="000000"/>
                <w:sz w:val="18"/>
              </w:rPr>
              <w:t>W ustawie tej zostaną też zaktualizowane ramy prawne regulujące</w:t>
            </w:r>
            <w:r w:rsidR="00A33B9F" w:rsidRPr="00A33B9F">
              <w:rPr>
                <w:rStyle w:val="normaltextrun"/>
                <w:noProof/>
                <w:color w:val="000000"/>
                <w:sz w:val="18"/>
              </w:rPr>
              <w:t xml:space="preserve"> w spo</w:t>
            </w:r>
            <w:r w:rsidRPr="00A33B9F">
              <w:rPr>
                <w:rStyle w:val="normaltextrun"/>
                <w:noProof/>
                <w:color w:val="000000"/>
                <w:sz w:val="18"/>
              </w:rPr>
              <w:t>sób ogólny sektor biomedyczny</w:t>
            </w:r>
            <w:r w:rsidR="00A33B9F" w:rsidRPr="00A33B9F">
              <w:rPr>
                <w:rStyle w:val="normaltextrun"/>
                <w:noProof/>
                <w:color w:val="000000"/>
                <w:sz w:val="18"/>
              </w:rPr>
              <w:t xml:space="preserve"> w Pol</w:t>
            </w:r>
            <w:r w:rsidRPr="00A33B9F">
              <w:rPr>
                <w:rStyle w:val="normaltextrun"/>
                <w:noProof/>
                <w:color w:val="000000"/>
                <w:sz w:val="18"/>
              </w:rPr>
              <w:t>sce,</w:t>
            </w:r>
            <w:r w:rsidR="00A33B9F" w:rsidRPr="00A33B9F">
              <w:rPr>
                <w:rStyle w:val="normaltextrun"/>
                <w:noProof/>
                <w:color w:val="000000"/>
                <w:sz w:val="18"/>
              </w:rPr>
              <w:t xml:space="preserve"> w tym</w:t>
            </w:r>
            <w:r w:rsidRPr="00A33B9F">
              <w:rPr>
                <w:rStyle w:val="normaltextrun"/>
                <w:noProof/>
                <w:color w:val="000000"/>
                <w:sz w:val="18"/>
              </w:rPr>
              <w:t xml:space="preserve"> badania</w:t>
            </w:r>
            <w:r w:rsidR="00A33B9F" w:rsidRPr="00A33B9F">
              <w:rPr>
                <w:rStyle w:val="normaltextrun"/>
                <w:noProof/>
                <w:color w:val="000000"/>
                <w:sz w:val="18"/>
              </w:rPr>
              <w:t xml:space="preserve"> i roz</w:t>
            </w:r>
            <w:r w:rsidRPr="00A33B9F">
              <w:rPr>
                <w:rStyle w:val="normaltextrun"/>
                <w:noProof/>
                <w:color w:val="000000"/>
                <w:sz w:val="18"/>
              </w:rPr>
              <w:t>wój,</w:t>
            </w:r>
            <w:r w:rsidR="00A33B9F" w:rsidRPr="00A33B9F">
              <w:rPr>
                <w:rStyle w:val="normaltextrun"/>
                <w:noProof/>
                <w:color w:val="000000"/>
                <w:sz w:val="18"/>
              </w:rPr>
              <w:t xml:space="preserve"> w zak</w:t>
            </w:r>
            <w:r w:rsidRPr="00A33B9F">
              <w:rPr>
                <w:rStyle w:val="normaltextrun"/>
                <w:noProof/>
                <w:color w:val="000000"/>
                <w:sz w:val="18"/>
              </w:rPr>
              <w:t>resie</w:t>
            </w:r>
            <w:r w:rsidR="00A33B9F" w:rsidRPr="00A33B9F">
              <w:rPr>
                <w:rStyle w:val="normaltextrun"/>
                <w:noProof/>
                <w:color w:val="000000"/>
                <w:sz w:val="18"/>
              </w:rPr>
              <w:t xml:space="preserve"> w jak</w:t>
            </w:r>
            <w:r w:rsidRPr="00A33B9F">
              <w:rPr>
                <w:rStyle w:val="normaltextrun"/>
                <w:noProof/>
                <w:color w:val="000000"/>
                <w:sz w:val="18"/>
              </w:rPr>
              <w:t>im taka aktualizacja będzie uznana za niezbędną</w:t>
            </w:r>
            <w:r w:rsidR="00A33B9F" w:rsidRPr="00A33B9F">
              <w:rPr>
                <w:rStyle w:val="normaltextrun"/>
                <w:noProof/>
                <w:color w:val="000000"/>
                <w:sz w:val="18"/>
              </w:rPr>
              <w:t xml:space="preserve"> w rzą</w:t>
            </w:r>
            <w:r w:rsidRPr="00A33B9F">
              <w:rPr>
                <w:rStyle w:val="normaltextrun"/>
                <w:noProof/>
                <w:color w:val="000000"/>
                <w:sz w:val="18"/>
              </w:rPr>
              <w:t>dowym planie strategicznym rozwoju sektora biomedycznego</w:t>
            </w:r>
            <w:r w:rsidR="00A33B9F" w:rsidRPr="00A33B9F">
              <w:rPr>
                <w:rStyle w:val="normaltextrun"/>
                <w:noProof/>
                <w:color w:val="000000"/>
                <w:sz w:val="18"/>
              </w:rPr>
              <w:t xml:space="preserve"> w Pol</w:t>
            </w:r>
            <w:r w:rsidRPr="00A33B9F">
              <w:rPr>
                <w:rStyle w:val="normaltextrun"/>
                <w:noProof/>
                <w:color w:val="000000"/>
                <w:sz w:val="18"/>
              </w:rPr>
              <w:t>sce.</w:t>
            </w:r>
            <w:r w:rsidRPr="00A33B9F">
              <w:rPr>
                <w:rStyle w:val="eop"/>
                <w:noProof/>
                <w:color w:val="000000"/>
                <w:sz w:val="18"/>
              </w:rPr>
              <w:t xml:space="preserve"> </w:t>
            </w:r>
          </w:p>
        </w:tc>
      </w:tr>
      <w:tr w:rsidR="008C116B" w:rsidRPr="00A33B9F" w14:paraId="03F7DDD2" w14:textId="77777777" w:rsidTr="1CE0CE0C">
        <w:trPr>
          <w:trHeight w:val="313"/>
        </w:trPr>
        <w:tc>
          <w:tcPr>
            <w:tcW w:w="709" w:type="dxa"/>
            <w:shd w:val="clear" w:color="auto" w:fill="C6EFCE"/>
          </w:tcPr>
          <w:p w14:paraId="79B6DC27" w14:textId="62AC941F"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D33G</w:t>
            </w:r>
          </w:p>
        </w:tc>
        <w:tc>
          <w:tcPr>
            <w:tcW w:w="2126" w:type="dxa"/>
            <w:shd w:val="clear" w:color="auto" w:fill="C6EFCE"/>
          </w:tcPr>
          <w:p w14:paraId="1BC6E363" w14:textId="43DD9516"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D3.1 Zwiększenie efektywności</w:t>
            </w:r>
            <w:r w:rsidR="00A33B9F" w:rsidRPr="00A33B9F">
              <w:rPr>
                <w:rFonts w:ascii="Times New Roman" w:hAnsi="Times New Roman"/>
                <w:noProof/>
                <w:color w:val="000000"/>
                <w:sz w:val="18"/>
              </w:rPr>
              <w:t xml:space="preserve"> i jak</w:t>
            </w:r>
            <w:r w:rsidRPr="00A33B9F">
              <w:rPr>
                <w:rFonts w:ascii="Times New Roman" w:hAnsi="Times New Roman"/>
                <w:noProof/>
                <w:color w:val="000000"/>
                <w:sz w:val="18"/>
              </w:rPr>
              <w:t>ości systemu opieki zdrowotnej przez wzmocnienie zaplecza naukowego</w:t>
            </w:r>
            <w:r w:rsidR="00A33B9F" w:rsidRPr="00A33B9F">
              <w:rPr>
                <w:rFonts w:ascii="Times New Roman" w:hAnsi="Times New Roman"/>
                <w:noProof/>
                <w:color w:val="000000"/>
                <w:sz w:val="18"/>
              </w:rPr>
              <w:t xml:space="preserve"> w dzi</w:t>
            </w:r>
            <w:r w:rsidRPr="00A33B9F">
              <w:rPr>
                <w:rFonts w:ascii="Times New Roman" w:hAnsi="Times New Roman"/>
                <w:noProof/>
                <w:color w:val="000000"/>
                <w:sz w:val="18"/>
              </w:rPr>
              <w:t>edzinie nauk medycznych</w:t>
            </w:r>
            <w:r w:rsidR="00A33B9F" w:rsidRPr="00A33B9F">
              <w:rPr>
                <w:rFonts w:ascii="Times New Roman" w:hAnsi="Times New Roman"/>
                <w:noProof/>
                <w:color w:val="000000"/>
                <w:sz w:val="18"/>
              </w:rPr>
              <w:t xml:space="preserve"> i nau</w:t>
            </w:r>
            <w:r w:rsidRPr="00A33B9F">
              <w:rPr>
                <w:rFonts w:ascii="Times New Roman" w:hAnsi="Times New Roman"/>
                <w:noProof/>
                <w:color w:val="000000"/>
                <w:sz w:val="18"/>
              </w:rPr>
              <w:t>k</w:t>
            </w:r>
            <w:r w:rsidR="00A33B9F" w:rsidRPr="00A33B9F">
              <w:rPr>
                <w:rFonts w:ascii="Times New Roman" w:hAnsi="Times New Roman"/>
                <w:noProof/>
                <w:color w:val="000000"/>
                <w:sz w:val="18"/>
              </w:rPr>
              <w:t xml:space="preserve"> o zdr</w:t>
            </w:r>
            <w:r w:rsidRPr="00A33B9F">
              <w:rPr>
                <w:rFonts w:ascii="Times New Roman" w:hAnsi="Times New Roman"/>
                <w:noProof/>
                <w:color w:val="000000"/>
                <w:sz w:val="18"/>
              </w:rPr>
              <w:t>owiu</w:t>
            </w:r>
          </w:p>
        </w:tc>
        <w:tc>
          <w:tcPr>
            <w:tcW w:w="1050" w:type="dxa"/>
            <w:shd w:val="clear" w:color="auto" w:fill="C6EFCE"/>
          </w:tcPr>
          <w:p w14:paraId="5E453D8D"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2E42DBAD" w14:textId="094578A0"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Wejście</w:t>
            </w:r>
            <w:r w:rsidR="00A33B9F" w:rsidRPr="00A33B9F">
              <w:rPr>
                <w:rStyle w:val="normaltextrun"/>
                <w:rFonts w:ascii="Times New Roman" w:hAnsi="Times New Roman"/>
                <w:noProof/>
                <w:color w:val="000000"/>
                <w:sz w:val="18"/>
              </w:rPr>
              <w:t xml:space="preserve"> w życ</w:t>
            </w:r>
            <w:r w:rsidRPr="00A33B9F">
              <w:rPr>
                <w:rStyle w:val="normaltextrun"/>
                <w:rFonts w:ascii="Times New Roman" w:hAnsi="Times New Roman"/>
                <w:noProof/>
                <w:color w:val="000000"/>
                <w:sz w:val="18"/>
              </w:rPr>
              <w:t>ie lub wdrożenie kluczowych działań określonych</w:t>
            </w:r>
            <w:r w:rsidR="00A33B9F" w:rsidRPr="00A33B9F">
              <w:rPr>
                <w:rStyle w:val="normaltextrun"/>
                <w:rFonts w:ascii="Times New Roman" w:hAnsi="Times New Roman"/>
                <w:noProof/>
                <w:color w:val="000000"/>
                <w:sz w:val="18"/>
              </w:rPr>
              <w:t xml:space="preserve"> w rzą</w:t>
            </w:r>
            <w:r w:rsidRPr="00A33B9F">
              <w:rPr>
                <w:rStyle w:val="normaltextrun"/>
                <w:rFonts w:ascii="Times New Roman" w:hAnsi="Times New Roman"/>
                <w:noProof/>
                <w:color w:val="000000"/>
                <w:sz w:val="18"/>
              </w:rPr>
              <w:t>dowym planie strategicznym dla rozwoju sektora biomedycznego, zgodnie</w:t>
            </w:r>
            <w:r w:rsidR="00A33B9F" w:rsidRPr="00A33B9F">
              <w:rPr>
                <w:rStyle w:val="normaltextrun"/>
                <w:rFonts w:ascii="Times New Roman" w:hAnsi="Times New Roman"/>
                <w:noProof/>
                <w:color w:val="000000"/>
                <w:sz w:val="18"/>
              </w:rPr>
              <w:t xml:space="preserve"> z har</w:t>
            </w:r>
            <w:r w:rsidRPr="00A33B9F">
              <w:rPr>
                <w:rStyle w:val="normaltextrun"/>
                <w:rFonts w:ascii="Times New Roman" w:hAnsi="Times New Roman"/>
                <w:noProof/>
                <w:color w:val="000000"/>
                <w:sz w:val="18"/>
              </w:rPr>
              <w:t>monogramem określonym</w:t>
            </w:r>
            <w:r w:rsidR="00A33B9F" w:rsidRPr="00A33B9F">
              <w:rPr>
                <w:rStyle w:val="normaltextrun"/>
                <w:rFonts w:ascii="Times New Roman" w:hAnsi="Times New Roman"/>
                <w:noProof/>
                <w:color w:val="000000"/>
                <w:sz w:val="18"/>
              </w:rPr>
              <w:t xml:space="preserve"> w pla</w:t>
            </w:r>
            <w:r w:rsidRPr="00A33B9F">
              <w:rPr>
                <w:rStyle w:val="normaltextrun"/>
                <w:rFonts w:ascii="Times New Roman" w:hAnsi="Times New Roman"/>
                <w:noProof/>
                <w:color w:val="000000"/>
                <w:sz w:val="18"/>
              </w:rPr>
              <w:t>nie strategicznym</w:t>
            </w:r>
            <w:r w:rsidRPr="00A33B9F">
              <w:rPr>
                <w:rStyle w:val="eop"/>
                <w:rFonts w:ascii="Times New Roman" w:hAnsi="Times New Roman"/>
                <w:noProof/>
                <w:color w:val="000000"/>
                <w:sz w:val="18"/>
              </w:rPr>
              <w:t xml:space="preserve"> </w:t>
            </w:r>
          </w:p>
        </w:tc>
        <w:tc>
          <w:tcPr>
            <w:tcW w:w="1560" w:type="dxa"/>
            <w:shd w:val="clear" w:color="auto" w:fill="C6EFCE"/>
          </w:tcPr>
          <w:p w14:paraId="71141678" w14:textId="4D7FC06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Przepisy</w:t>
            </w:r>
            <w:r w:rsidR="00A33B9F" w:rsidRPr="00A33B9F">
              <w:rPr>
                <w:rFonts w:ascii="Times New Roman" w:hAnsi="Times New Roman"/>
                <w:noProof/>
                <w:color w:val="000000"/>
                <w:sz w:val="18"/>
              </w:rPr>
              <w:t xml:space="preserve"> w dok</w:t>
            </w:r>
            <w:r w:rsidRPr="00A33B9F">
              <w:rPr>
                <w:rFonts w:ascii="Times New Roman" w:hAnsi="Times New Roman"/>
                <w:noProof/>
                <w:color w:val="000000"/>
                <w:sz w:val="18"/>
              </w:rPr>
              <w:t>umentach bazowych wskazujące na ich wejście</w:t>
            </w:r>
            <w:r w:rsidR="00A33B9F" w:rsidRPr="00A33B9F">
              <w:rPr>
                <w:rFonts w:ascii="Times New Roman" w:hAnsi="Times New Roman"/>
                <w:noProof/>
                <w:color w:val="000000"/>
                <w:sz w:val="18"/>
              </w:rPr>
              <w:t xml:space="preserve"> w życ</w:t>
            </w:r>
            <w:r w:rsidRPr="00A33B9F">
              <w:rPr>
                <w:rFonts w:ascii="Times New Roman" w:hAnsi="Times New Roman"/>
                <w:noProof/>
                <w:color w:val="000000"/>
                <w:sz w:val="18"/>
              </w:rPr>
              <w:t>ie lub wdrożenie –</w:t>
            </w:r>
            <w:r w:rsidR="00A33B9F" w:rsidRPr="00A33B9F">
              <w:rPr>
                <w:rFonts w:ascii="Times New Roman" w:hAnsi="Times New Roman"/>
                <w:noProof/>
                <w:color w:val="000000"/>
                <w:sz w:val="18"/>
              </w:rPr>
              <w:t xml:space="preserve"> w zal</w:t>
            </w:r>
            <w:r w:rsidRPr="00A33B9F">
              <w:rPr>
                <w:rFonts w:ascii="Times New Roman" w:hAnsi="Times New Roman"/>
                <w:noProof/>
                <w:color w:val="000000"/>
                <w:sz w:val="18"/>
              </w:rPr>
              <w:t>eżności od rodzaju kluczowych działań wskazanych</w:t>
            </w:r>
            <w:r w:rsidR="00A33B9F" w:rsidRPr="00A33B9F">
              <w:rPr>
                <w:rFonts w:ascii="Times New Roman" w:hAnsi="Times New Roman"/>
                <w:noProof/>
                <w:color w:val="000000"/>
                <w:sz w:val="18"/>
              </w:rPr>
              <w:t xml:space="preserve"> w pla</w:t>
            </w:r>
            <w:r w:rsidRPr="00A33B9F">
              <w:rPr>
                <w:rFonts w:ascii="Times New Roman" w:hAnsi="Times New Roman"/>
                <w:noProof/>
                <w:color w:val="000000"/>
                <w:sz w:val="18"/>
              </w:rPr>
              <w:t xml:space="preserve">nie strategicznym </w:t>
            </w:r>
          </w:p>
        </w:tc>
        <w:tc>
          <w:tcPr>
            <w:tcW w:w="1247" w:type="dxa"/>
            <w:shd w:val="clear" w:color="auto" w:fill="C6EFCE"/>
          </w:tcPr>
          <w:p w14:paraId="73A03760"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24813A6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6EB7940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4FA61C73" w14:textId="12ED777F"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708" w:type="dxa"/>
            <w:shd w:val="clear" w:color="auto" w:fill="C6EFCE"/>
          </w:tcPr>
          <w:p w14:paraId="552515F6"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001F98EC" w14:textId="64369B26" w:rsidR="00F464C8" w:rsidRPr="00A33B9F" w:rsidRDefault="00F464C8" w:rsidP="0085514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Działania wskazane</w:t>
            </w:r>
            <w:r w:rsidR="00A33B9F" w:rsidRPr="00A33B9F">
              <w:rPr>
                <w:rStyle w:val="normaltextrun"/>
                <w:rFonts w:ascii="Times New Roman" w:hAnsi="Times New Roman"/>
                <w:noProof/>
                <w:color w:val="000000"/>
                <w:sz w:val="18"/>
              </w:rPr>
              <w:t xml:space="preserve"> w pla</w:t>
            </w:r>
            <w:r w:rsidRPr="00A33B9F">
              <w:rPr>
                <w:rStyle w:val="normaltextrun"/>
                <w:rFonts w:ascii="Times New Roman" w:hAnsi="Times New Roman"/>
                <w:noProof/>
                <w:color w:val="000000"/>
                <w:sz w:val="18"/>
              </w:rPr>
              <w:t>nie strategicznym jako „kluczowe działania” wejdą</w:t>
            </w:r>
            <w:r w:rsidR="00A33B9F" w:rsidRPr="00A33B9F">
              <w:rPr>
                <w:rStyle w:val="normaltextrun"/>
                <w:rFonts w:ascii="Times New Roman" w:hAnsi="Times New Roman"/>
                <w:noProof/>
                <w:color w:val="000000"/>
                <w:sz w:val="18"/>
              </w:rPr>
              <w:t xml:space="preserve"> w życ</w:t>
            </w:r>
            <w:r w:rsidRPr="00A33B9F">
              <w:rPr>
                <w:rStyle w:val="normaltextrun"/>
                <w:rFonts w:ascii="Times New Roman" w:hAnsi="Times New Roman"/>
                <w:noProof/>
                <w:color w:val="000000"/>
                <w:sz w:val="18"/>
              </w:rPr>
              <w:t>ie lub zostaną wdrożone zgodnie</w:t>
            </w:r>
            <w:r w:rsidR="00A33B9F" w:rsidRPr="00A33B9F">
              <w:rPr>
                <w:rStyle w:val="normaltextrun"/>
                <w:rFonts w:ascii="Times New Roman" w:hAnsi="Times New Roman"/>
                <w:noProof/>
                <w:color w:val="000000"/>
                <w:sz w:val="18"/>
              </w:rPr>
              <w:t xml:space="preserve"> z har</w:t>
            </w:r>
            <w:r w:rsidRPr="00A33B9F">
              <w:rPr>
                <w:rStyle w:val="normaltextrun"/>
                <w:rFonts w:ascii="Times New Roman" w:hAnsi="Times New Roman"/>
                <w:noProof/>
                <w:color w:val="000000"/>
                <w:sz w:val="18"/>
              </w:rPr>
              <w:t>monogramem zawartym</w:t>
            </w:r>
            <w:r w:rsidR="00A33B9F" w:rsidRPr="00A33B9F">
              <w:rPr>
                <w:rStyle w:val="normaltextrun"/>
                <w:rFonts w:ascii="Times New Roman" w:hAnsi="Times New Roman"/>
                <w:noProof/>
                <w:color w:val="000000"/>
                <w:sz w:val="18"/>
              </w:rPr>
              <w:t xml:space="preserve"> w pla</w:t>
            </w:r>
            <w:r w:rsidRPr="00A33B9F">
              <w:rPr>
                <w:rStyle w:val="normaltextrun"/>
                <w:rFonts w:ascii="Times New Roman" w:hAnsi="Times New Roman"/>
                <w:noProof/>
                <w:color w:val="000000"/>
                <w:sz w:val="18"/>
              </w:rPr>
              <w:t>nie strategicznym</w:t>
            </w:r>
            <w:r w:rsidR="00A33B9F" w:rsidRPr="00A33B9F">
              <w:rPr>
                <w:rStyle w:val="normaltextrun"/>
                <w:rFonts w:ascii="Times New Roman" w:hAnsi="Times New Roman"/>
                <w:noProof/>
                <w:color w:val="000000"/>
                <w:sz w:val="18"/>
              </w:rPr>
              <w:t xml:space="preserve"> i w zak</w:t>
            </w:r>
            <w:r w:rsidRPr="00A33B9F">
              <w:rPr>
                <w:rStyle w:val="normaltextrun"/>
                <w:rFonts w:ascii="Times New Roman" w:hAnsi="Times New Roman"/>
                <w:noProof/>
                <w:color w:val="000000"/>
                <w:sz w:val="18"/>
              </w:rPr>
              <w:t>resie określonym</w:t>
            </w:r>
            <w:r w:rsidR="00A33B9F" w:rsidRPr="00A33B9F">
              <w:rPr>
                <w:rStyle w:val="normaltextrun"/>
                <w:rFonts w:ascii="Times New Roman" w:hAnsi="Times New Roman"/>
                <w:noProof/>
                <w:color w:val="000000"/>
                <w:sz w:val="18"/>
              </w:rPr>
              <w:t xml:space="preserve"> w tym</w:t>
            </w:r>
            <w:r w:rsidRPr="00A33B9F">
              <w:rPr>
                <w:rStyle w:val="normaltextrun"/>
                <w:rFonts w:ascii="Times New Roman" w:hAnsi="Times New Roman"/>
                <w:noProof/>
                <w:color w:val="000000"/>
                <w:sz w:val="18"/>
              </w:rPr>
              <w:t xml:space="preserve"> planie. Przyjęcie samego planu strategicznego</w:t>
            </w:r>
            <w:r w:rsidR="00A33B9F" w:rsidRPr="00A33B9F">
              <w:rPr>
                <w:rStyle w:val="normaltextrun"/>
                <w:rFonts w:ascii="Times New Roman" w:hAnsi="Times New Roman"/>
                <w:noProof/>
                <w:color w:val="000000"/>
                <w:sz w:val="18"/>
              </w:rPr>
              <w:t xml:space="preserve"> w for</w:t>
            </w:r>
            <w:r w:rsidRPr="00A33B9F">
              <w:rPr>
                <w:rStyle w:val="normaltextrun"/>
                <w:rFonts w:ascii="Times New Roman" w:hAnsi="Times New Roman"/>
                <w:noProof/>
                <w:color w:val="000000"/>
                <w:sz w:val="18"/>
              </w:rPr>
              <w:t>mie rozporządzenia Rady Ministrów nastąpi</w:t>
            </w:r>
            <w:r w:rsidR="00A33B9F" w:rsidRPr="00A33B9F">
              <w:rPr>
                <w:rStyle w:val="normaltextrun"/>
                <w:rFonts w:ascii="Times New Roman" w:hAnsi="Times New Roman"/>
                <w:noProof/>
                <w:color w:val="000000"/>
                <w:sz w:val="18"/>
              </w:rPr>
              <w:t xml:space="preserve"> w 2</w:t>
            </w:r>
            <w:r w:rsidRPr="00A33B9F">
              <w:rPr>
                <w:rStyle w:val="normaltextrun"/>
                <w:rFonts w:ascii="Times New Roman" w:hAnsi="Times New Roman"/>
                <w:noProof/>
                <w:color w:val="000000"/>
                <w:sz w:val="18"/>
              </w:rPr>
              <w:t>022</w:t>
            </w:r>
            <w:r w:rsidR="00A33B9F" w:rsidRPr="00A33B9F">
              <w:rPr>
                <w:rStyle w:val="normaltextrun"/>
                <w:rFonts w:ascii="Times New Roman" w:hAnsi="Times New Roman"/>
                <w:noProof/>
                <w:color w:val="000000"/>
                <w:sz w:val="18"/>
              </w:rPr>
              <w:t> </w:t>
            </w:r>
            <w:r w:rsidRPr="00A33B9F">
              <w:rPr>
                <w:rStyle w:val="normaltextrun"/>
                <w:rFonts w:ascii="Times New Roman" w:hAnsi="Times New Roman"/>
                <w:noProof/>
                <w:color w:val="000000"/>
                <w:sz w:val="18"/>
              </w:rPr>
              <w:t>r. Kluczowe działania będą obejmowały projekt systemu zarządzania rozwojem sektora, pierwsze konkursy</w:t>
            </w:r>
            <w:r w:rsidR="00A33B9F" w:rsidRPr="00A33B9F">
              <w:rPr>
                <w:rStyle w:val="normaltextrun"/>
                <w:rFonts w:ascii="Times New Roman" w:hAnsi="Times New Roman"/>
                <w:noProof/>
                <w:color w:val="000000"/>
                <w:sz w:val="18"/>
              </w:rPr>
              <w:t xml:space="preserve"> o udz</w:t>
            </w:r>
            <w:r w:rsidRPr="00A33B9F">
              <w:rPr>
                <w:rStyle w:val="normaltextrun"/>
                <w:rFonts w:ascii="Times New Roman" w:hAnsi="Times New Roman"/>
                <w:noProof/>
                <w:color w:val="000000"/>
                <w:sz w:val="18"/>
              </w:rPr>
              <w:t>ielenie dotacji</w:t>
            </w:r>
            <w:r w:rsidR="00A33B9F" w:rsidRPr="00A33B9F">
              <w:rPr>
                <w:rStyle w:val="normaltextrun"/>
                <w:rFonts w:ascii="Times New Roman" w:hAnsi="Times New Roman"/>
                <w:noProof/>
                <w:color w:val="000000"/>
                <w:sz w:val="18"/>
              </w:rPr>
              <w:t xml:space="preserve"> w obs</w:t>
            </w:r>
            <w:r w:rsidRPr="00A33B9F">
              <w:rPr>
                <w:rStyle w:val="normaltextrun"/>
                <w:rFonts w:ascii="Times New Roman" w:hAnsi="Times New Roman"/>
                <w:noProof/>
                <w:color w:val="000000"/>
                <w:sz w:val="18"/>
              </w:rPr>
              <w:t>zarach priorytetowych,</w:t>
            </w:r>
            <w:r w:rsidR="00A33B9F" w:rsidRPr="00A33B9F">
              <w:rPr>
                <w:rStyle w:val="normaltextrun"/>
                <w:rFonts w:ascii="Times New Roman" w:hAnsi="Times New Roman"/>
                <w:noProof/>
                <w:color w:val="000000"/>
                <w:sz w:val="18"/>
              </w:rPr>
              <w:t xml:space="preserve"> a tak</w:t>
            </w:r>
            <w:r w:rsidRPr="00A33B9F">
              <w:rPr>
                <w:rStyle w:val="normaltextrun"/>
                <w:rFonts w:ascii="Times New Roman" w:hAnsi="Times New Roman"/>
                <w:noProof/>
                <w:color w:val="000000"/>
                <w:sz w:val="18"/>
              </w:rPr>
              <w:t>że ciągłe monitorowanie polskiego rynku biomedycznego.</w:t>
            </w:r>
            <w:r w:rsidRPr="00A33B9F">
              <w:rPr>
                <w:rStyle w:val="eop"/>
                <w:rFonts w:ascii="Times New Roman" w:hAnsi="Times New Roman"/>
                <w:noProof/>
                <w:color w:val="000000"/>
                <w:sz w:val="18"/>
              </w:rPr>
              <w:t xml:space="preserve"> </w:t>
            </w:r>
          </w:p>
        </w:tc>
      </w:tr>
      <w:tr w:rsidR="008C116B" w:rsidRPr="00A33B9F" w14:paraId="20435E28" w14:textId="77777777" w:rsidTr="1CE0CE0C">
        <w:trPr>
          <w:trHeight w:val="313"/>
        </w:trPr>
        <w:tc>
          <w:tcPr>
            <w:tcW w:w="709" w:type="dxa"/>
            <w:shd w:val="clear" w:color="auto" w:fill="C6EFCE"/>
          </w:tcPr>
          <w:p w14:paraId="22AF83E7" w14:textId="11BB59E2"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D34G</w:t>
            </w:r>
          </w:p>
        </w:tc>
        <w:tc>
          <w:tcPr>
            <w:tcW w:w="2126" w:type="dxa"/>
            <w:shd w:val="clear" w:color="auto" w:fill="C6EFCE"/>
          </w:tcPr>
          <w:p w14:paraId="5261DEAA" w14:textId="19287C73"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D3.1.1 Kompleksowy rozwój badań</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nauk medycznych</w:t>
            </w:r>
            <w:r w:rsidR="00A33B9F" w:rsidRPr="00A33B9F">
              <w:rPr>
                <w:rFonts w:ascii="Times New Roman" w:hAnsi="Times New Roman"/>
                <w:noProof/>
                <w:color w:val="000000"/>
                <w:sz w:val="18"/>
              </w:rPr>
              <w:t xml:space="preserve"> i nau</w:t>
            </w:r>
            <w:r w:rsidRPr="00A33B9F">
              <w:rPr>
                <w:rFonts w:ascii="Times New Roman" w:hAnsi="Times New Roman"/>
                <w:noProof/>
                <w:color w:val="000000"/>
                <w:sz w:val="18"/>
              </w:rPr>
              <w:t>k</w:t>
            </w:r>
            <w:r w:rsidR="00A33B9F" w:rsidRPr="00A33B9F">
              <w:rPr>
                <w:rFonts w:ascii="Times New Roman" w:hAnsi="Times New Roman"/>
                <w:noProof/>
                <w:color w:val="000000"/>
                <w:sz w:val="18"/>
              </w:rPr>
              <w:t xml:space="preserve"> o zdr</w:t>
            </w:r>
            <w:r w:rsidRPr="00A33B9F">
              <w:rPr>
                <w:rFonts w:ascii="Times New Roman" w:hAnsi="Times New Roman"/>
                <w:noProof/>
                <w:color w:val="000000"/>
                <w:sz w:val="18"/>
              </w:rPr>
              <w:t xml:space="preserve">owiu </w:t>
            </w:r>
          </w:p>
        </w:tc>
        <w:tc>
          <w:tcPr>
            <w:tcW w:w="1050" w:type="dxa"/>
            <w:shd w:val="clear" w:color="auto" w:fill="C6EFCE"/>
          </w:tcPr>
          <w:p w14:paraId="78E2078F"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7D9F5668" w14:textId="37AD3039"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Uruchomienie elektronicznej platformy dla Polskiej Sieci Ośrodków Badań Klinicznych.</w:t>
            </w:r>
            <w:r w:rsidRPr="00A33B9F">
              <w:rPr>
                <w:rStyle w:val="eop"/>
                <w:rFonts w:ascii="Times New Roman" w:hAnsi="Times New Roman"/>
                <w:noProof/>
                <w:color w:val="000000"/>
                <w:sz w:val="18"/>
              </w:rPr>
              <w:t xml:space="preserve"> </w:t>
            </w:r>
          </w:p>
        </w:tc>
        <w:tc>
          <w:tcPr>
            <w:tcW w:w="1560" w:type="dxa"/>
            <w:shd w:val="clear" w:color="auto" w:fill="C6EFCE"/>
          </w:tcPr>
          <w:p w14:paraId="0AC783AD"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Uruchomienie platformy dla Polskiej Sieci Ośrodków Badań Klinicznych.</w:t>
            </w:r>
          </w:p>
        </w:tc>
        <w:tc>
          <w:tcPr>
            <w:tcW w:w="1247" w:type="dxa"/>
            <w:shd w:val="clear" w:color="auto" w:fill="C6EFCE"/>
          </w:tcPr>
          <w:p w14:paraId="51F5F09A"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066B52B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0D4C31BA"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019399AE"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708" w:type="dxa"/>
            <w:shd w:val="clear" w:color="auto" w:fill="C6EFCE"/>
          </w:tcPr>
          <w:p w14:paraId="49C06588"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544" w:type="dxa"/>
            <w:shd w:val="clear" w:color="auto" w:fill="C6EFCE"/>
          </w:tcPr>
          <w:p w14:paraId="2F5F1A62" w14:textId="201517FA"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Wejdzie</w:t>
            </w:r>
            <w:r w:rsidR="00A33B9F" w:rsidRPr="00A33B9F">
              <w:rPr>
                <w:rStyle w:val="normaltextrun"/>
                <w:rFonts w:ascii="Times New Roman" w:hAnsi="Times New Roman"/>
                <w:noProof/>
                <w:color w:val="000000"/>
                <w:sz w:val="18"/>
              </w:rPr>
              <w:t xml:space="preserve"> w życ</w:t>
            </w:r>
            <w:r w:rsidRPr="00A33B9F">
              <w:rPr>
                <w:rStyle w:val="normaltextrun"/>
                <w:rFonts w:ascii="Times New Roman" w:hAnsi="Times New Roman"/>
                <w:noProof/>
                <w:color w:val="000000"/>
                <w:sz w:val="18"/>
              </w:rPr>
              <w:t>ie elektroniczna platforma, która ułatwi komunikowanie się członków sieci,</w:t>
            </w:r>
            <w:r w:rsidR="00A33B9F" w:rsidRPr="00A33B9F">
              <w:rPr>
                <w:rStyle w:val="normaltextrun"/>
                <w:rFonts w:ascii="Times New Roman" w:hAnsi="Times New Roman"/>
                <w:noProof/>
                <w:color w:val="000000"/>
                <w:sz w:val="18"/>
              </w:rPr>
              <w:t xml:space="preserve"> w tym</w:t>
            </w:r>
            <w:r w:rsidRPr="00A33B9F">
              <w:rPr>
                <w:rStyle w:val="normaltextrun"/>
                <w:rFonts w:ascii="Times New Roman" w:hAnsi="Times New Roman"/>
                <w:noProof/>
                <w:color w:val="000000"/>
                <w:sz w:val="18"/>
              </w:rPr>
              <w:t xml:space="preserve"> ośrodków komercyjnych</w:t>
            </w:r>
            <w:r w:rsidR="00A33B9F" w:rsidRPr="00A33B9F">
              <w:rPr>
                <w:rStyle w:val="normaltextrun"/>
                <w:rFonts w:ascii="Times New Roman" w:hAnsi="Times New Roman"/>
                <w:noProof/>
                <w:color w:val="000000"/>
                <w:sz w:val="18"/>
              </w:rPr>
              <w:t xml:space="preserve"> i nie</w:t>
            </w:r>
            <w:r w:rsidRPr="00A33B9F">
              <w:rPr>
                <w:rStyle w:val="normaltextrun"/>
                <w:rFonts w:ascii="Times New Roman" w:hAnsi="Times New Roman"/>
                <w:noProof/>
                <w:color w:val="000000"/>
                <w:sz w:val="18"/>
              </w:rPr>
              <w:t>komercyjnych badań klinicznych. Platforma będzie obejmowała narzędzia do koordynacji funkcjonowania sieci, centralny rejestr przeprowadzanych</w:t>
            </w:r>
            <w:r w:rsidR="00A33B9F" w:rsidRPr="00A33B9F">
              <w:rPr>
                <w:rStyle w:val="normaltextrun"/>
                <w:rFonts w:ascii="Times New Roman" w:hAnsi="Times New Roman"/>
                <w:noProof/>
                <w:color w:val="000000"/>
                <w:sz w:val="18"/>
              </w:rPr>
              <w:t xml:space="preserve"> w Pol</w:t>
            </w:r>
            <w:r w:rsidRPr="00A33B9F">
              <w:rPr>
                <w:rStyle w:val="normaltextrun"/>
                <w:rFonts w:ascii="Times New Roman" w:hAnsi="Times New Roman"/>
                <w:noProof/>
                <w:color w:val="000000"/>
                <w:sz w:val="18"/>
              </w:rPr>
              <w:t>sce badań klinicznych, wyszukiwarkę internetową umożliwiającą wyszukiwanie badań klinicznych, stronę internetową przeznaczoną dla pacjentów poszukujących możliwości udziału</w:t>
            </w:r>
            <w:r w:rsidR="00A33B9F" w:rsidRPr="00A33B9F">
              <w:rPr>
                <w:rStyle w:val="normaltextrun"/>
                <w:rFonts w:ascii="Times New Roman" w:hAnsi="Times New Roman"/>
                <w:noProof/>
                <w:color w:val="000000"/>
                <w:sz w:val="18"/>
              </w:rPr>
              <w:t xml:space="preserve"> w bad</w:t>
            </w:r>
            <w:r w:rsidRPr="00A33B9F">
              <w:rPr>
                <w:rStyle w:val="normaltextrun"/>
                <w:rFonts w:ascii="Times New Roman" w:hAnsi="Times New Roman"/>
                <w:noProof/>
                <w:color w:val="000000"/>
                <w:sz w:val="18"/>
              </w:rPr>
              <w:t>aniach klinicznych, wykorzystującą wspomnianą wyszukiwarkę, oraz wyszukiwarkę dla specjalistów uczestniczących</w:t>
            </w:r>
            <w:r w:rsidR="00A33B9F" w:rsidRPr="00A33B9F">
              <w:rPr>
                <w:rStyle w:val="normaltextrun"/>
                <w:rFonts w:ascii="Times New Roman" w:hAnsi="Times New Roman"/>
                <w:noProof/>
                <w:color w:val="000000"/>
                <w:sz w:val="18"/>
              </w:rPr>
              <w:t xml:space="preserve"> w opr</w:t>
            </w:r>
            <w:r w:rsidRPr="00A33B9F">
              <w:rPr>
                <w:rStyle w:val="normaltextrun"/>
                <w:rFonts w:ascii="Times New Roman" w:hAnsi="Times New Roman"/>
                <w:noProof/>
                <w:color w:val="000000"/>
                <w:sz w:val="18"/>
              </w:rPr>
              <w:t>acowywaniu badań klinicznych lub prowadzących takie badania.</w:t>
            </w:r>
            <w:r w:rsidRPr="00A33B9F">
              <w:rPr>
                <w:rStyle w:val="eop"/>
                <w:rFonts w:ascii="Times New Roman" w:hAnsi="Times New Roman"/>
                <w:noProof/>
                <w:color w:val="000000"/>
                <w:sz w:val="18"/>
              </w:rPr>
              <w:t xml:space="preserve"> </w:t>
            </w:r>
          </w:p>
        </w:tc>
      </w:tr>
      <w:tr w:rsidR="008C116B" w:rsidRPr="00A33B9F" w14:paraId="4E3AA948" w14:textId="77777777" w:rsidTr="1CE0CE0C">
        <w:trPr>
          <w:trHeight w:val="313"/>
        </w:trPr>
        <w:tc>
          <w:tcPr>
            <w:tcW w:w="709" w:type="dxa"/>
            <w:shd w:val="clear" w:color="auto" w:fill="C6EFCE"/>
          </w:tcPr>
          <w:p w14:paraId="27F47661" w14:textId="5B73E6CD"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D35G</w:t>
            </w:r>
          </w:p>
        </w:tc>
        <w:tc>
          <w:tcPr>
            <w:tcW w:w="2126" w:type="dxa"/>
            <w:shd w:val="clear" w:color="auto" w:fill="C6EFCE"/>
          </w:tcPr>
          <w:p w14:paraId="7E22B60A" w14:textId="692BED93"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D3.1.1 Kompleksowy rozwój badań</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nauk medycznych</w:t>
            </w:r>
            <w:r w:rsidR="00A33B9F" w:rsidRPr="00A33B9F">
              <w:rPr>
                <w:rFonts w:ascii="Times New Roman" w:hAnsi="Times New Roman"/>
                <w:noProof/>
                <w:color w:val="000000"/>
                <w:sz w:val="18"/>
              </w:rPr>
              <w:t xml:space="preserve"> i nau</w:t>
            </w:r>
            <w:r w:rsidRPr="00A33B9F">
              <w:rPr>
                <w:rFonts w:ascii="Times New Roman" w:hAnsi="Times New Roman"/>
                <w:noProof/>
                <w:color w:val="000000"/>
                <w:sz w:val="18"/>
              </w:rPr>
              <w:t>k</w:t>
            </w:r>
            <w:r w:rsidR="00A33B9F" w:rsidRPr="00A33B9F">
              <w:rPr>
                <w:rFonts w:ascii="Times New Roman" w:hAnsi="Times New Roman"/>
                <w:noProof/>
                <w:color w:val="000000"/>
                <w:sz w:val="18"/>
              </w:rPr>
              <w:t xml:space="preserve"> o zdr</w:t>
            </w:r>
            <w:r w:rsidRPr="00A33B9F">
              <w:rPr>
                <w:rFonts w:ascii="Times New Roman" w:hAnsi="Times New Roman"/>
                <w:noProof/>
                <w:color w:val="000000"/>
                <w:sz w:val="18"/>
              </w:rPr>
              <w:t xml:space="preserve">owiu </w:t>
            </w:r>
          </w:p>
        </w:tc>
        <w:tc>
          <w:tcPr>
            <w:tcW w:w="1050" w:type="dxa"/>
            <w:shd w:val="clear" w:color="auto" w:fill="C6EFCE"/>
          </w:tcPr>
          <w:p w14:paraId="227B542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785" w:type="dxa"/>
            <w:shd w:val="clear" w:color="auto" w:fill="C6EFCE"/>
          </w:tcPr>
          <w:p w14:paraId="69C1BF6D" w14:textId="7ECC0B6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Ustanowienie specjalistycznego Centrum Badawczo-Analitycznego</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62B8F7B7" w14:textId="3094EC8C"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Raport końcowy</w:t>
            </w:r>
            <w:r w:rsidR="00A33B9F" w:rsidRPr="00A33B9F">
              <w:rPr>
                <w:rFonts w:ascii="Times New Roman" w:hAnsi="Times New Roman"/>
                <w:noProof/>
                <w:color w:val="000000"/>
                <w:sz w:val="18"/>
              </w:rPr>
              <w:t xml:space="preserve"> z uko</w:t>
            </w:r>
            <w:r w:rsidRPr="00A33B9F">
              <w:rPr>
                <w:rFonts w:ascii="Times New Roman" w:hAnsi="Times New Roman"/>
                <w:noProof/>
                <w:color w:val="000000"/>
                <w:sz w:val="18"/>
              </w:rPr>
              <w:t>ńczenia budowy Centrum Badawczo-Analitycznego obejmującego co najmniej 41 laboratoriów bezpieczeństwa biologicznego oraz teren szkoleniowy obejmujący kampus</w:t>
            </w:r>
          </w:p>
        </w:tc>
        <w:tc>
          <w:tcPr>
            <w:tcW w:w="1247" w:type="dxa"/>
            <w:shd w:val="clear" w:color="auto" w:fill="C6EFCE"/>
          </w:tcPr>
          <w:p w14:paraId="0CA2BEDC"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76" w:type="dxa"/>
            <w:shd w:val="clear" w:color="auto" w:fill="C6EFCE"/>
          </w:tcPr>
          <w:p w14:paraId="57122C1D"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850" w:type="dxa"/>
            <w:shd w:val="clear" w:color="auto" w:fill="C6EFCE"/>
          </w:tcPr>
          <w:p w14:paraId="06F04CA3"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shd w:val="clear" w:color="auto" w:fill="C6EFCE"/>
          </w:tcPr>
          <w:p w14:paraId="1F155D43"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1BE16FE9"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5E089D11" w14:textId="71632CBA"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Budowa infrastruktury Centrum Badawczo-Analitycznego zostanie zakończona. Zakończenie budowy nastąpi po potwierdzeniu zgodności ze specyfikacjami technicznymi</w:t>
            </w:r>
            <w:r w:rsidR="00A33B9F" w:rsidRPr="00A33B9F">
              <w:rPr>
                <w:rStyle w:val="normaltextrun"/>
                <w:noProof/>
                <w:color w:val="000000"/>
                <w:sz w:val="18"/>
              </w:rPr>
              <w:t xml:space="preserve"> i zob</w:t>
            </w:r>
            <w:r w:rsidRPr="00A33B9F">
              <w:rPr>
                <w:rStyle w:val="normaltextrun"/>
                <w:noProof/>
                <w:color w:val="000000"/>
                <w:sz w:val="18"/>
              </w:rPr>
              <w:t>owiązaniami umownymi dotyczącymi projektu na podstawie krajowej ustawy</w:t>
            </w:r>
            <w:r w:rsidR="00A33B9F" w:rsidRPr="00A33B9F">
              <w:rPr>
                <w:rStyle w:val="normaltextrun"/>
                <w:noProof/>
                <w:color w:val="000000"/>
                <w:sz w:val="18"/>
              </w:rPr>
              <w:t xml:space="preserve"> o zam</w:t>
            </w:r>
            <w:r w:rsidRPr="00A33B9F">
              <w:rPr>
                <w:rStyle w:val="normaltextrun"/>
                <w:noProof/>
                <w:color w:val="000000"/>
                <w:sz w:val="18"/>
              </w:rPr>
              <w:t>ówieniach publicznych.</w:t>
            </w:r>
            <w:r w:rsidR="00C3621A" w:rsidRPr="00A33B9F">
              <w:rPr>
                <w:rStyle w:val="normaltextrun"/>
                <w:noProof/>
                <w:color w:val="000000"/>
                <w:sz w:val="18"/>
              </w:rPr>
              <w:t xml:space="preserve"> </w:t>
            </w:r>
          </w:p>
          <w:p w14:paraId="0B7E70E4" w14:textId="77777777" w:rsidR="00F464C8" w:rsidRPr="00A33B9F" w:rsidRDefault="00F464C8" w:rsidP="00F464C8">
            <w:pPr>
              <w:pStyle w:val="paragraph"/>
              <w:spacing w:before="0" w:beforeAutospacing="0" w:after="0" w:afterAutospacing="0"/>
              <w:textAlignment w:val="baseline"/>
              <w:rPr>
                <w:noProof/>
                <w:sz w:val="18"/>
                <w:szCs w:val="18"/>
              </w:rPr>
            </w:pPr>
            <w:r w:rsidRPr="00A33B9F">
              <w:rPr>
                <w:rStyle w:val="eop"/>
                <w:noProof/>
                <w:color w:val="000000"/>
                <w:sz w:val="18"/>
              </w:rPr>
              <w:t xml:space="preserve"> </w:t>
            </w:r>
          </w:p>
          <w:p w14:paraId="0CBD9AE5" w14:textId="011EBD1B" w:rsidR="00F464C8" w:rsidRPr="00A33B9F" w:rsidRDefault="00F464C8" w:rsidP="00F464C8">
            <w:pPr>
              <w:pStyle w:val="paragraph"/>
              <w:spacing w:before="0" w:beforeAutospacing="0" w:after="0" w:afterAutospacing="0"/>
              <w:textAlignment w:val="baseline"/>
              <w:rPr>
                <w:noProof/>
                <w:color w:val="000000"/>
                <w:sz w:val="18"/>
                <w:szCs w:val="18"/>
              </w:rPr>
            </w:pPr>
            <w:r w:rsidRPr="00A33B9F">
              <w:rPr>
                <w:rStyle w:val="normaltextrun"/>
                <w:noProof/>
                <w:color w:val="000000"/>
                <w:sz w:val="18"/>
              </w:rPr>
              <w:t>Przekazana infrastruktura będzie obejmowała:</w:t>
            </w:r>
            <w:r w:rsidR="00C3621A" w:rsidRPr="00A33B9F">
              <w:rPr>
                <w:rStyle w:val="scxw147420095"/>
                <w:noProof/>
                <w:color w:val="000000"/>
                <w:sz w:val="18"/>
              </w:rPr>
              <w:t xml:space="preserve"> </w:t>
            </w:r>
            <w:r w:rsidRPr="00A33B9F">
              <w:rPr>
                <w:noProof/>
              </w:rPr>
              <w:br/>
            </w:r>
            <w:r w:rsidRPr="00A33B9F">
              <w:rPr>
                <w:rStyle w:val="normaltextrun"/>
                <w:noProof/>
                <w:color w:val="000000"/>
                <w:sz w:val="18"/>
              </w:rPr>
              <w:t>– Centrum Badawczo-Analityczne</w:t>
            </w:r>
            <w:r w:rsidR="00A33B9F" w:rsidRPr="00A33B9F">
              <w:rPr>
                <w:rStyle w:val="normaltextrun"/>
                <w:noProof/>
                <w:color w:val="000000"/>
                <w:sz w:val="18"/>
              </w:rPr>
              <w:t xml:space="preserve"> o sta</w:t>
            </w:r>
            <w:r w:rsidRPr="00A33B9F">
              <w:rPr>
                <w:rStyle w:val="normaltextrun"/>
                <w:noProof/>
                <w:color w:val="000000"/>
                <w:sz w:val="18"/>
              </w:rPr>
              <w:t>tusie Państwowego Instytutu Badawczego klasy A na terenie należącym do Narodowego Instytutu Zdrowia Publicznego PZH – Państwowego Instytutu Badawczego przy ul. Powsińskiej 61/63</w:t>
            </w:r>
            <w:r w:rsidR="00A33B9F" w:rsidRPr="00A33B9F">
              <w:rPr>
                <w:rStyle w:val="normaltextrun"/>
                <w:noProof/>
                <w:color w:val="000000"/>
                <w:sz w:val="18"/>
              </w:rPr>
              <w:t xml:space="preserve"> w War</w:t>
            </w:r>
            <w:r w:rsidRPr="00A33B9F">
              <w:rPr>
                <w:rStyle w:val="normaltextrun"/>
                <w:noProof/>
                <w:color w:val="000000"/>
                <w:sz w:val="18"/>
              </w:rPr>
              <w:t>szawie,</w:t>
            </w:r>
            <w:r w:rsidR="00C3621A" w:rsidRPr="00A33B9F">
              <w:rPr>
                <w:rStyle w:val="normaltextrun"/>
                <w:noProof/>
                <w:color w:val="000000"/>
                <w:sz w:val="18"/>
              </w:rPr>
              <w:t xml:space="preserve"> </w:t>
            </w:r>
          </w:p>
          <w:p w14:paraId="60EC0248" w14:textId="683F8F2F"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 co najmniej 41 laboratoriów bezpieczeństwa biologicznego,</w:t>
            </w:r>
            <w:r w:rsidR="00A33B9F" w:rsidRPr="00A33B9F">
              <w:rPr>
                <w:rStyle w:val="normaltextrun"/>
                <w:noProof/>
                <w:color w:val="000000"/>
                <w:sz w:val="18"/>
              </w:rPr>
              <w:t xml:space="preserve"> w tym </w:t>
            </w:r>
            <w:r w:rsidRPr="00A33B9F">
              <w:rPr>
                <w:rStyle w:val="normaltextrun"/>
                <w:noProof/>
                <w:color w:val="000000"/>
                <w:sz w:val="18"/>
              </w:rPr>
              <w:t>20 laboratoriów BSL-1, 19 laboratoriów BSL-2, jedno laboratorium BSL-3 do badań środowiska</w:t>
            </w:r>
            <w:r w:rsidR="00A33B9F" w:rsidRPr="00A33B9F">
              <w:rPr>
                <w:rStyle w:val="normaltextrun"/>
                <w:noProof/>
                <w:color w:val="000000"/>
                <w:sz w:val="18"/>
              </w:rPr>
              <w:t xml:space="preserve"> i jed</w:t>
            </w:r>
            <w:r w:rsidRPr="00A33B9F">
              <w:rPr>
                <w:rStyle w:val="normaltextrun"/>
                <w:noProof/>
                <w:color w:val="000000"/>
                <w:sz w:val="18"/>
              </w:rPr>
              <w:t>no laboratorium BSL-3+ do badań materiału ludzkiego,</w:t>
            </w:r>
            <w:r w:rsidR="00A33B9F" w:rsidRPr="00A33B9F">
              <w:rPr>
                <w:rStyle w:val="normaltextrun"/>
                <w:noProof/>
                <w:color w:val="000000"/>
                <w:sz w:val="18"/>
              </w:rPr>
              <w:t xml:space="preserve"> w tym</w:t>
            </w:r>
            <w:r w:rsidRPr="00A33B9F">
              <w:rPr>
                <w:rStyle w:val="normaltextrun"/>
                <w:noProof/>
                <w:color w:val="000000"/>
                <w:sz w:val="18"/>
              </w:rPr>
              <w:t xml:space="preserve"> laboratoria do celów diagnostycznych. Zostanie podpisana umowa</w:t>
            </w:r>
            <w:r w:rsidR="00A33B9F" w:rsidRPr="00A33B9F">
              <w:rPr>
                <w:rStyle w:val="normaltextrun"/>
                <w:noProof/>
                <w:color w:val="000000"/>
                <w:sz w:val="18"/>
              </w:rPr>
              <w:t xml:space="preserve"> o wsp</w:t>
            </w:r>
            <w:r w:rsidRPr="00A33B9F">
              <w:rPr>
                <w:rStyle w:val="normaltextrun"/>
                <w:noProof/>
                <w:color w:val="000000"/>
                <w:sz w:val="18"/>
              </w:rPr>
              <w:t>ółpracy</w:t>
            </w:r>
            <w:r w:rsidR="00A33B9F" w:rsidRPr="00A33B9F">
              <w:rPr>
                <w:rStyle w:val="normaltextrun"/>
                <w:noProof/>
                <w:color w:val="000000"/>
                <w:sz w:val="18"/>
              </w:rPr>
              <w:t xml:space="preserve"> z eur</w:t>
            </w:r>
            <w:r w:rsidRPr="00A33B9F">
              <w:rPr>
                <w:rStyle w:val="normaltextrun"/>
                <w:noProof/>
                <w:color w:val="000000"/>
                <w:sz w:val="18"/>
              </w:rPr>
              <w:t>opejskim laboratorium bezpieczeństwa biologicznego na budowanie zdolności krajowych technicznych ekspertów laboratoryjnych oraz</w:t>
            </w:r>
            <w:r w:rsidRPr="00A33B9F">
              <w:rPr>
                <w:rStyle w:val="eop"/>
                <w:noProof/>
                <w:color w:val="000000"/>
                <w:sz w:val="18"/>
              </w:rPr>
              <w:t xml:space="preserve"> </w:t>
            </w:r>
          </w:p>
          <w:p w14:paraId="6810F0D1" w14:textId="05A261A5" w:rsidR="00F464C8" w:rsidRPr="00A33B9F" w:rsidRDefault="00F464C8" w:rsidP="00F464C8">
            <w:pPr>
              <w:pStyle w:val="paragraph"/>
              <w:spacing w:before="0" w:beforeAutospacing="0" w:after="0" w:afterAutospacing="0"/>
              <w:textAlignment w:val="baseline"/>
              <w:rPr>
                <w:noProof/>
                <w:color w:val="000000" w:themeColor="text1"/>
                <w:sz w:val="18"/>
                <w:szCs w:val="18"/>
              </w:rPr>
            </w:pPr>
            <w:r w:rsidRPr="00A33B9F">
              <w:rPr>
                <w:rStyle w:val="normaltextrun"/>
                <w:noProof/>
                <w:color w:val="000000"/>
                <w:sz w:val="18"/>
              </w:rPr>
              <w:t> – kampus</w:t>
            </w:r>
            <w:r w:rsidR="00A33B9F" w:rsidRPr="00A33B9F">
              <w:rPr>
                <w:rStyle w:val="normaltextrun"/>
                <w:noProof/>
                <w:color w:val="000000"/>
                <w:sz w:val="18"/>
              </w:rPr>
              <w:t xml:space="preserve"> o pow</w:t>
            </w:r>
            <w:r w:rsidRPr="00A33B9F">
              <w:rPr>
                <w:rStyle w:val="normaltextrun"/>
                <w:noProof/>
                <w:color w:val="000000"/>
                <w:sz w:val="18"/>
              </w:rPr>
              <w:t>ierzchni ok.</w:t>
            </w:r>
            <w:r w:rsidR="00A33B9F" w:rsidRPr="00A33B9F">
              <w:rPr>
                <w:rStyle w:val="normaltextrun"/>
                <w:noProof/>
                <w:color w:val="000000"/>
                <w:sz w:val="18"/>
              </w:rPr>
              <w:t> </w:t>
            </w:r>
            <w:r w:rsidRPr="00A33B9F">
              <w:rPr>
                <w:rStyle w:val="normaltextrun"/>
                <w:noProof/>
                <w:color w:val="000000"/>
                <w:sz w:val="18"/>
              </w:rPr>
              <w:t>3 000 m</w:t>
            </w:r>
            <w:r w:rsidRPr="00A33B9F">
              <w:rPr>
                <w:rStyle w:val="normaltextrun"/>
                <w:noProof/>
                <w:color w:val="000000"/>
                <w:sz w:val="18"/>
                <w:vertAlign w:val="superscript"/>
              </w:rPr>
              <w:t>2</w:t>
            </w:r>
            <w:r w:rsidRPr="00A33B9F">
              <w:rPr>
                <w:rStyle w:val="normaltextrun"/>
                <w:noProof/>
                <w:color w:val="000000"/>
                <w:sz w:val="18"/>
              </w:rPr>
              <w:t xml:space="preserve"> na potrzeby szkoleniowe.</w:t>
            </w:r>
            <w:r w:rsidRPr="00A33B9F">
              <w:rPr>
                <w:rStyle w:val="eop"/>
                <w:noProof/>
                <w:color w:val="000000"/>
                <w:sz w:val="18"/>
              </w:rPr>
              <w:t xml:space="preserve"> </w:t>
            </w:r>
          </w:p>
        </w:tc>
      </w:tr>
      <w:tr w:rsidR="008C116B" w:rsidRPr="00A33B9F" w14:paraId="7E077E3A" w14:textId="77777777" w:rsidTr="1CE0CE0C">
        <w:trPr>
          <w:trHeight w:val="313"/>
        </w:trPr>
        <w:tc>
          <w:tcPr>
            <w:tcW w:w="709" w:type="dxa"/>
            <w:shd w:val="clear" w:color="auto" w:fill="C6EFCE"/>
          </w:tcPr>
          <w:p w14:paraId="3A7F104C" w14:textId="4ACAC49C"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D36G</w:t>
            </w:r>
          </w:p>
        </w:tc>
        <w:tc>
          <w:tcPr>
            <w:tcW w:w="2126" w:type="dxa"/>
            <w:shd w:val="clear" w:color="auto" w:fill="C6EFCE"/>
          </w:tcPr>
          <w:p w14:paraId="0A522A03" w14:textId="3F0F3752"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D3.1.1 Kompleksowy rozwój badań</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nauk medycznych</w:t>
            </w:r>
            <w:r w:rsidR="00A33B9F" w:rsidRPr="00A33B9F">
              <w:rPr>
                <w:rFonts w:ascii="Times New Roman" w:hAnsi="Times New Roman"/>
                <w:noProof/>
                <w:color w:val="000000"/>
                <w:sz w:val="18"/>
              </w:rPr>
              <w:t xml:space="preserve"> i nau</w:t>
            </w:r>
            <w:r w:rsidRPr="00A33B9F">
              <w:rPr>
                <w:rFonts w:ascii="Times New Roman" w:hAnsi="Times New Roman"/>
                <w:noProof/>
                <w:color w:val="000000"/>
                <w:sz w:val="18"/>
              </w:rPr>
              <w:t>k</w:t>
            </w:r>
            <w:r w:rsidR="00A33B9F" w:rsidRPr="00A33B9F">
              <w:rPr>
                <w:rFonts w:ascii="Times New Roman" w:hAnsi="Times New Roman"/>
                <w:noProof/>
                <w:color w:val="000000"/>
                <w:sz w:val="18"/>
              </w:rPr>
              <w:t xml:space="preserve"> o zdr</w:t>
            </w:r>
            <w:r w:rsidRPr="00A33B9F">
              <w:rPr>
                <w:rFonts w:ascii="Times New Roman" w:hAnsi="Times New Roman"/>
                <w:noProof/>
                <w:color w:val="000000"/>
                <w:sz w:val="18"/>
              </w:rPr>
              <w:t xml:space="preserve">owiu </w:t>
            </w:r>
          </w:p>
        </w:tc>
        <w:tc>
          <w:tcPr>
            <w:tcW w:w="1050" w:type="dxa"/>
            <w:shd w:val="clear" w:color="auto" w:fill="C6EFCE"/>
          </w:tcPr>
          <w:p w14:paraId="15EAB80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785" w:type="dxa"/>
            <w:shd w:val="clear" w:color="auto" w:fill="C6EFCE"/>
          </w:tcPr>
          <w:p w14:paraId="3E5CD168" w14:textId="0A208EA4"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Liczba finansowanych projektów na rzecz jednostek badawczych</w:t>
            </w:r>
            <w:r w:rsidR="00A33B9F" w:rsidRPr="00A33B9F">
              <w:rPr>
                <w:rStyle w:val="normaltextrun"/>
                <w:rFonts w:ascii="Times New Roman" w:hAnsi="Times New Roman"/>
                <w:noProof/>
                <w:color w:val="000000"/>
                <w:sz w:val="18"/>
              </w:rPr>
              <w:t xml:space="preserve"> i prz</w:t>
            </w:r>
            <w:r w:rsidRPr="00A33B9F">
              <w:rPr>
                <w:rStyle w:val="normaltextrun"/>
                <w:rFonts w:ascii="Times New Roman" w:hAnsi="Times New Roman"/>
                <w:noProof/>
                <w:color w:val="000000"/>
                <w:sz w:val="18"/>
              </w:rPr>
              <w:t>edsiębiorców</w:t>
            </w:r>
            <w:r w:rsidR="00A33B9F" w:rsidRPr="00A33B9F">
              <w:rPr>
                <w:rStyle w:val="normaltextrun"/>
                <w:rFonts w:ascii="Times New Roman" w:hAnsi="Times New Roman"/>
                <w:noProof/>
                <w:color w:val="000000"/>
                <w:sz w:val="18"/>
              </w:rPr>
              <w:t xml:space="preserve"> z sek</w:t>
            </w:r>
            <w:r w:rsidRPr="00A33B9F">
              <w:rPr>
                <w:rStyle w:val="normaltextrun"/>
                <w:rFonts w:ascii="Times New Roman" w:hAnsi="Times New Roman"/>
                <w:noProof/>
                <w:color w:val="000000"/>
                <w:sz w:val="18"/>
              </w:rPr>
              <w:t>tora biomedycznego</w:t>
            </w:r>
            <w:r w:rsidRPr="00A33B9F">
              <w:rPr>
                <w:rStyle w:val="eop"/>
                <w:rFonts w:ascii="Times New Roman" w:hAnsi="Times New Roman"/>
                <w:noProof/>
                <w:color w:val="000000"/>
                <w:sz w:val="18"/>
              </w:rPr>
              <w:t xml:space="preserve"> </w:t>
            </w:r>
          </w:p>
        </w:tc>
        <w:tc>
          <w:tcPr>
            <w:tcW w:w="1560" w:type="dxa"/>
            <w:shd w:val="clear" w:color="auto" w:fill="C6EFCE"/>
          </w:tcPr>
          <w:p w14:paraId="285D5BE7"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47" w:type="dxa"/>
            <w:shd w:val="clear" w:color="auto" w:fill="C6EFCE"/>
          </w:tcPr>
          <w:p w14:paraId="77E2DDE5"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276" w:type="dxa"/>
            <w:shd w:val="clear" w:color="auto" w:fill="C6EFCE"/>
          </w:tcPr>
          <w:p w14:paraId="687C6CF4"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850" w:type="dxa"/>
            <w:shd w:val="clear" w:color="auto" w:fill="C6EFCE"/>
          </w:tcPr>
          <w:p w14:paraId="0AAF667E"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80</w:t>
            </w:r>
          </w:p>
        </w:tc>
        <w:tc>
          <w:tcPr>
            <w:tcW w:w="993" w:type="dxa"/>
            <w:shd w:val="clear" w:color="auto" w:fill="C6EFCE"/>
          </w:tcPr>
          <w:p w14:paraId="791C77DD"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708" w:type="dxa"/>
            <w:shd w:val="clear" w:color="auto" w:fill="C6EFCE"/>
          </w:tcPr>
          <w:p w14:paraId="3E61268E"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544" w:type="dxa"/>
            <w:shd w:val="clear" w:color="auto" w:fill="C6EFCE"/>
          </w:tcPr>
          <w:p w14:paraId="6779E37F" w14:textId="70DEE62F"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sz w:val="18"/>
              </w:rPr>
              <w:t>Zatwierdzone zostaną raporty końcowe</w:t>
            </w:r>
            <w:r w:rsidR="00A33B9F" w:rsidRPr="00A33B9F">
              <w:rPr>
                <w:rStyle w:val="normaltextrun"/>
                <w:noProof/>
                <w:color w:val="000000"/>
                <w:sz w:val="18"/>
              </w:rPr>
              <w:t xml:space="preserve"> z wdr</w:t>
            </w:r>
            <w:r w:rsidRPr="00A33B9F">
              <w:rPr>
                <w:rStyle w:val="normaltextrun"/>
                <w:noProof/>
                <w:color w:val="000000"/>
                <w:sz w:val="18"/>
              </w:rPr>
              <w:t>ożenia 80 projektów objętych wsparciem. Zostanie udzielone wsparcie jednostkom badawczym</w:t>
            </w:r>
            <w:r w:rsidR="00A33B9F" w:rsidRPr="00A33B9F">
              <w:rPr>
                <w:rStyle w:val="normaltextrun"/>
                <w:noProof/>
                <w:color w:val="000000"/>
                <w:sz w:val="18"/>
              </w:rPr>
              <w:t xml:space="preserve"> i prz</w:t>
            </w:r>
            <w:r w:rsidRPr="00A33B9F">
              <w:rPr>
                <w:rStyle w:val="normaltextrun"/>
                <w:noProof/>
                <w:color w:val="000000"/>
                <w:sz w:val="18"/>
              </w:rPr>
              <w:t>edsiębiorcom</w:t>
            </w:r>
            <w:r w:rsidR="00A33B9F" w:rsidRPr="00A33B9F">
              <w:rPr>
                <w:rStyle w:val="normaltextrun"/>
                <w:noProof/>
                <w:color w:val="000000"/>
                <w:sz w:val="18"/>
              </w:rPr>
              <w:t xml:space="preserve"> w dzi</w:t>
            </w:r>
            <w:r w:rsidRPr="00A33B9F">
              <w:rPr>
                <w:rStyle w:val="normaltextrun"/>
                <w:noProof/>
                <w:color w:val="000000"/>
                <w:sz w:val="18"/>
              </w:rPr>
              <w:t>edzinie innowacji farmaceutycznych, wyrobów medycznych</w:t>
            </w:r>
            <w:r w:rsidR="00A33B9F" w:rsidRPr="00A33B9F">
              <w:rPr>
                <w:rStyle w:val="normaltextrun"/>
                <w:noProof/>
                <w:color w:val="000000"/>
                <w:sz w:val="18"/>
              </w:rPr>
              <w:t xml:space="preserve"> i roz</w:t>
            </w:r>
            <w:r w:rsidRPr="00A33B9F">
              <w:rPr>
                <w:rStyle w:val="normaltextrun"/>
                <w:noProof/>
                <w:color w:val="000000"/>
                <w:sz w:val="18"/>
              </w:rPr>
              <w:t>wiązań informatycznych, zgodnie</w:t>
            </w:r>
            <w:r w:rsidR="00A33B9F" w:rsidRPr="00A33B9F">
              <w:rPr>
                <w:rStyle w:val="normaltextrun"/>
                <w:noProof/>
                <w:color w:val="000000"/>
                <w:sz w:val="18"/>
              </w:rPr>
              <w:t xml:space="preserve"> z pla</w:t>
            </w:r>
            <w:r w:rsidRPr="00A33B9F">
              <w:rPr>
                <w:rStyle w:val="normaltextrun"/>
                <w:noProof/>
                <w:color w:val="000000"/>
                <w:sz w:val="18"/>
              </w:rPr>
              <w:t>nem strategicznym rozwoju sektora biomedycznego</w:t>
            </w:r>
            <w:r w:rsidR="00A33B9F" w:rsidRPr="00A33B9F">
              <w:rPr>
                <w:rStyle w:val="normaltextrun"/>
                <w:noProof/>
                <w:color w:val="000000"/>
                <w:sz w:val="18"/>
              </w:rPr>
              <w:t xml:space="preserve"> w Pol</w:t>
            </w:r>
            <w:r w:rsidRPr="00A33B9F">
              <w:rPr>
                <w:rStyle w:val="normaltextrun"/>
                <w:noProof/>
                <w:color w:val="000000"/>
                <w:sz w:val="18"/>
              </w:rPr>
              <w:t>sce.</w:t>
            </w:r>
            <w:r w:rsidR="00C3621A" w:rsidRPr="00A33B9F">
              <w:rPr>
                <w:rStyle w:val="normaltextrun"/>
                <w:noProof/>
                <w:color w:val="000000"/>
                <w:sz w:val="18"/>
              </w:rPr>
              <w:t xml:space="preserve"> </w:t>
            </w:r>
            <w:r w:rsidRPr="00A33B9F">
              <w:rPr>
                <w:noProof/>
              </w:rPr>
              <w:br/>
            </w:r>
            <w:r w:rsidRPr="00A33B9F">
              <w:rPr>
                <w:rStyle w:val="normaltextrun"/>
                <w:noProof/>
                <w:color w:val="000000"/>
                <w:sz w:val="18"/>
              </w:rPr>
              <w:t>Temat konkursów będzie ukierunkowany na innowacje produktowe, takie jak leki, opracowanie wyrobów medycznych, zwłaszcza do użytku mobilnego,</w:t>
            </w:r>
            <w:r w:rsidR="00A33B9F" w:rsidRPr="00A33B9F">
              <w:rPr>
                <w:rStyle w:val="normaltextrun"/>
                <w:noProof/>
                <w:color w:val="000000"/>
                <w:sz w:val="18"/>
              </w:rPr>
              <w:t xml:space="preserve"> a tak</w:t>
            </w:r>
            <w:r w:rsidRPr="00A33B9F">
              <w:rPr>
                <w:rStyle w:val="normaltextrun"/>
                <w:noProof/>
                <w:color w:val="000000"/>
                <w:sz w:val="18"/>
              </w:rPr>
              <w:t>że rozwój</w:t>
            </w:r>
            <w:r w:rsidR="00A33B9F" w:rsidRPr="00A33B9F">
              <w:rPr>
                <w:rStyle w:val="normaltextrun"/>
                <w:noProof/>
                <w:color w:val="000000"/>
                <w:sz w:val="18"/>
              </w:rPr>
              <w:t xml:space="preserve"> i wdr</w:t>
            </w:r>
            <w:r w:rsidRPr="00A33B9F">
              <w:rPr>
                <w:rStyle w:val="normaltextrun"/>
                <w:noProof/>
                <w:color w:val="000000"/>
                <w:sz w:val="18"/>
              </w:rPr>
              <w:t>ażanie narzędzi ICT</w:t>
            </w:r>
            <w:r w:rsidR="00A33B9F" w:rsidRPr="00A33B9F">
              <w:rPr>
                <w:rStyle w:val="normaltextrun"/>
                <w:noProof/>
                <w:color w:val="000000"/>
                <w:sz w:val="18"/>
              </w:rPr>
              <w:t xml:space="preserve"> w cel</w:t>
            </w:r>
            <w:r w:rsidRPr="00A33B9F">
              <w:rPr>
                <w:rStyle w:val="normaltextrun"/>
                <w:noProof/>
                <w:color w:val="000000"/>
                <w:sz w:val="18"/>
              </w:rPr>
              <w:t>ach medycznych</w:t>
            </w:r>
            <w:r w:rsidR="00A33B9F" w:rsidRPr="00A33B9F">
              <w:rPr>
                <w:rStyle w:val="normaltextrun"/>
                <w:noProof/>
                <w:color w:val="000000"/>
                <w:sz w:val="18"/>
              </w:rPr>
              <w:t xml:space="preserve"> i zdr</w:t>
            </w:r>
            <w:r w:rsidRPr="00A33B9F">
              <w:rPr>
                <w:rStyle w:val="normaltextrun"/>
                <w:noProof/>
                <w:color w:val="000000"/>
                <w:sz w:val="18"/>
              </w:rPr>
              <w:t>owotnych.</w:t>
            </w:r>
            <w:r w:rsidR="00C3621A" w:rsidRPr="00A33B9F">
              <w:rPr>
                <w:rStyle w:val="normaltextrun"/>
                <w:noProof/>
                <w:color w:val="000000"/>
                <w:sz w:val="18"/>
              </w:rPr>
              <w:t xml:space="preserve"> </w:t>
            </w:r>
          </w:p>
          <w:p w14:paraId="38012948" w14:textId="15A1FC5E"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Projekty zostaną wybrane</w:t>
            </w:r>
            <w:r w:rsidR="00A33B9F" w:rsidRPr="00A33B9F">
              <w:rPr>
                <w:rStyle w:val="normaltextrun"/>
                <w:rFonts w:ascii="Times New Roman" w:hAnsi="Times New Roman"/>
                <w:noProof/>
                <w:color w:val="000000"/>
                <w:sz w:val="18"/>
              </w:rPr>
              <w:t xml:space="preserve"> w ram</w:t>
            </w:r>
            <w:r w:rsidRPr="00A33B9F">
              <w:rPr>
                <w:rStyle w:val="normaltextrun"/>
                <w:rFonts w:ascii="Times New Roman" w:hAnsi="Times New Roman"/>
                <w:noProof/>
                <w:color w:val="000000"/>
                <w:sz w:val="18"/>
              </w:rPr>
              <w:t>ach otwartych</w:t>
            </w:r>
            <w:r w:rsidR="00A33B9F" w:rsidRPr="00A33B9F">
              <w:rPr>
                <w:rStyle w:val="normaltextrun"/>
                <w:rFonts w:ascii="Times New Roman" w:hAnsi="Times New Roman"/>
                <w:noProof/>
                <w:color w:val="000000"/>
                <w:sz w:val="18"/>
              </w:rPr>
              <w:t xml:space="preserve"> i zle</w:t>
            </w:r>
            <w:r w:rsidRPr="00A33B9F">
              <w:rPr>
                <w:rStyle w:val="normaltextrun"/>
                <w:rFonts w:ascii="Times New Roman" w:hAnsi="Times New Roman"/>
                <w:noProof/>
                <w:color w:val="000000"/>
                <w:sz w:val="18"/>
              </w:rPr>
              <w:t>conych konkursów</w:t>
            </w:r>
            <w:r w:rsidR="00A33B9F" w:rsidRPr="00A33B9F">
              <w:rPr>
                <w:rStyle w:val="normaltextrun"/>
                <w:rFonts w:ascii="Times New Roman" w:hAnsi="Times New Roman"/>
                <w:noProof/>
                <w:color w:val="000000"/>
                <w:sz w:val="18"/>
              </w:rPr>
              <w:t xml:space="preserve"> o udz</w:t>
            </w:r>
            <w:r w:rsidRPr="00A33B9F">
              <w:rPr>
                <w:rStyle w:val="normaltextrun"/>
                <w:rFonts w:ascii="Times New Roman" w:hAnsi="Times New Roman"/>
                <w:noProof/>
                <w:color w:val="000000"/>
                <w:sz w:val="18"/>
              </w:rPr>
              <w:t>ielenie dotacji.</w:t>
            </w:r>
            <w:r w:rsidR="00C3621A" w:rsidRPr="00A33B9F">
              <w:rPr>
                <w:rStyle w:val="normaltextrun"/>
                <w:rFonts w:ascii="Times New Roman" w:hAnsi="Times New Roman"/>
                <w:noProof/>
                <w:color w:val="000000"/>
                <w:sz w:val="18"/>
              </w:rPr>
              <w:t xml:space="preserve"> </w:t>
            </w:r>
            <w:r w:rsidRPr="00A33B9F">
              <w:rPr>
                <w:noProof/>
              </w:rPr>
              <w:br/>
            </w:r>
            <w:r w:rsidRPr="00A33B9F">
              <w:rPr>
                <w:rStyle w:val="normaltextrun"/>
                <w:rFonts w:ascii="Times New Roman" w:hAnsi="Times New Roman"/>
                <w:noProof/>
                <w:color w:val="000000"/>
                <w:sz w:val="18"/>
              </w:rPr>
              <w:t>Każda umowa</w:t>
            </w:r>
            <w:r w:rsidR="00A33B9F" w:rsidRPr="00A33B9F">
              <w:rPr>
                <w:rStyle w:val="normaltextrun"/>
                <w:rFonts w:ascii="Times New Roman" w:hAnsi="Times New Roman"/>
                <w:noProof/>
                <w:color w:val="000000"/>
                <w:sz w:val="18"/>
              </w:rPr>
              <w:t xml:space="preserve"> o udz</w:t>
            </w:r>
            <w:r w:rsidRPr="00A33B9F">
              <w:rPr>
                <w:rStyle w:val="normaltextrun"/>
                <w:rFonts w:ascii="Times New Roman" w:hAnsi="Times New Roman"/>
                <w:noProof/>
                <w:color w:val="000000"/>
                <w:sz w:val="18"/>
              </w:rPr>
              <w:t>ielenie dotacji będzie wskazywała otrzymaną kwotę finansową oraz szczegółowe informacje</w:t>
            </w:r>
            <w:r w:rsidR="00A33B9F" w:rsidRPr="00A33B9F">
              <w:rPr>
                <w:rStyle w:val="normaltextrun"/>
                <w:rFonts w:ascii="Times New Roman" w:hAnsi="Times New Roman"/>
                <w:noProof/>
                <w:color w:val="000000"/>
                <w:sz w:val="18"/>
              </w:rPr>
              <w:t xml:space="preserve"> o dan</w:t>
            </w:r>
            <w:r w:rsidRPr="00A33B9F">
              <w:rPr>
                <w:rStyle w:val="normaltextrun"/>
                <w:rFonts w:ascii="Times New Roman" w:hAnsi="Times New Roman"/>
                <w:noProof/>
                <w:color w:val="000000"/>
                <w:sz w:val="18"/>
              </w:rPr>
              <w:t>ym projekcie.</w:t>
            </w:r>
            <w:r w:rsidR="00C3621A" w:rsidRPr="00A33B9F">
              <w:rPr>
                <w:rStyle w:val="normaltextrun"/>
                <w:rFonts w:ascii="Times New Roman" w:hAnsi="Times New Roman"/>
                <w:noProof/>
                <w:color w:val="000000"/>
                <w:sz w:val="18"/>
              </w:rPr>
              <w:t xml:space="preserve"> </w:t>
            </w:r>
          </w:p>
        </w:tc>
      </w:tr>
      <w:tr w:rsidR="008C116B" w:rsidRPr="00A33B9F" w14:paraId="1E04069A" w14:textId="77777777" w:rsidTr="1CE0CE0C">
        <w:trPr>
          <w:trHeight w:val="313"/>
        </w:trPr>
        <w:tc>
          <w:tcPr>
            <w:tcW w:w="709" w:type="dxa"/>
            <w:shd w:val="clear" w:color="auto" w:fill="C6EFCE"/>
          </w:tcPr>
          <w:p w14:paraId="63E8C4AE" w14:textId="5FE57733"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D37G</w:t>
            </w:r>
          </w:p>
        </w:tc>
        <w:tc>
          <w:tcPr>
            <w:tcW w:w="2126" w:type="dxa"/>
            <w:shd w:val="clear" w:color="auto" w:fill="C6EFCE"/>
          </w:tcPr>
          <w:p w14:paraId="30935DCC" w14:textId="001D2A48"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D3.1.1 Kompleksowy rozwój badań</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nauk medycznych</w:t>
            </w:r>
            <w:r w:rsidR="00A33B9F" w:rsidRPr="00A33B9F">
              <w:rPr>
                <w:rFonts w:ascii="Times New Roman" w:hAnsi="Times New Roman"/>
                <w:noProof/>
                <w:color w:val="000000"/>
                <w:sz w:val="18"/>
              </w:rPr>
              <w:t xml:space="preserve"> i nau</w:t>
            </w:r>
            <w:r w:rsidRPr="00A33B9F">
              <w:rPr>
                <w:rFonts w:ascii="Times New Roman" w:hAnsi="Times New Roman"/>
                <w:noProof/>
                <w:color w:val="000000"/>
                <w:sz w:val="18"/>
              </w:rPr>
              <w:t>k</w:t>
            </w:r>
            <w:r w:rsidR="00A33B9F" w:rsidRPr="00A33B9F">
              <w:rPr>
                <w:rFonts w:ascii="Times New Roman" w:hAnsi="Times New Roman"/>
                <w:noProof/>
                <w:color w:val="000000"/>
                <w:sz w:val="18"/>
              </w:rPr>
              <w:t xml:space="preserve"> o zdr</w:t>
            </w:r>
            <w:r w:rsidRPr="00A33B9F">
              <w:rPr>
                <w:rFonts w:ascii="Times New Roman" w:hAnsi="Times New Roman"/>
                <w:noProof/>
                <w:color w:val="000000"/>
                <w:sz w:val="18"/>
              </w:rPr>
              <w:t xml:space="preserve">owiu </w:t>
            </w:r>
          </w:p>
        </w:tc>
        <w:tc>
          <w:tcPr>
            <w:tcW w:w="1050" w:type="dxa"/>
            <w:shd w:val="clear" w:color="auto" w:fill="C6EFCE"/>
          </w:tcPr>
          <w:p w14:paraId="1E8961D8"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Wartość docelowa</w:t>
            </w:r>
          </w:p>
        </w:tc>
        <w:tc>
          <w:tcPr>
            <w:tcW w:w="1785" w:type="dxa"/>
            <w:shd w:val="clear" w:color="auto" w:fill="C6EFCE"/>
          </w:tcPr>
          <w:p w14:paraId="0B681316" w14:textId="2DD36201"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sz w:val="18"/>
              </w:rPr>
              <w:t>Liczba utworzonych Centrów Wsparcia Badań Klinicznych</w:t>
            </w:r>
            <w:r w:rsidR="00C3621A" w:rsidRPr="00A33B9F">
              <w:rPr>
                <w:rStyle w:val="normaltextrun"/>
                <w:rFonts w:ascii="Times New Roman" w:hAnsi="Times New Roman"/>
                <w:noProof/>
                <w:color w:val="000000"/>
                <w:sz w:val="18"/>
              </w:rPr>
              <w:t xml:space="preserve"> </w:t>
            </w:r>
          </w:p>
        </w:tc>
        <w:tc>
          <w:tcPr>
            <w:tcW w:w="1560" w:type="dxa"/>
            <w:shd w:val="clear" w:color="auto" w:fill="C6EFCE"/>
          </w:tcPr>
          <w:p w14:paraId="4B8697E4"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247" w:type="dxa"/>
            <w:shd w:val="clear" w:color="auto" w:fill="C6EFCE"/>
          </w:tcPr>
          <w:p w14:paraId="503467AE" w14:textId="77777777" w:rsidR="00F464C8" w:rsidRPr="00A33B9F" w:rsidRDefault="00F464C8"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Liczba</w:t>
            </w:r>
          </w:p>
        </w:tc>
        <w:tc>
          <w:tcPr>
            <w:tcW w:w="1276" w:type="dxa"/>
            <w:shd w:val="clear" w:color="auto" w:fill="C6EFCE"/>
          </w:tcPr>
          <w:p w14:paraId="5E8FBDAF" w14:textId="77777777" w:rsidR="00F464C8" w:rsidRPr="00A33B9F" w:rsidRDefault="00F464C8"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10</w:t>
            </w:r>
          </w:p>
        </w:tc>
        <w:tc>
          <w:tcPr>
            <w:tcW w:w="850" w:type="dxa"/>
            <w:shd w:val="clear" w:color="auto" w:fill="C6EFCE"/>
          </w:tcPr>
          <w:p w14:paraId="5E431150" w14:textId="6FF657DF" w:rsidR="00F464C8" w:rsidRPr="00A33B9F" w:rsidRDefault="00EA2576" w:rsidP="00F464C8">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43</w:t>
            </w:r>
          </w:p>
        </w:tc>
        <w:tc>
          <w:tcPr>
            <w:tcW w:w="993" w:type="dxa"/>
            <w:shd w:val="clear" w:color="auto" w:fill="C6EFCE"/>
          </w:tcPr>
          <w:p w14:paraId="22E20490"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708" w:type="dxa"/>
            <w:shd w:val="clear" w:color="auto" w:fill="C6EFCE"/>
          </w:tcPr>
          <w:p w14:paraId="5F4A7F67" w14:textId="77777777" w:rsidR="00F464C8" w:rsidRPr="00A33B9F" w:rsidRDefault="00F464C8" w:rsidP="00F464C8">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544" w:type="dxa"/>
            <w:shd w:val="clear" w:color="auto" w:fill="C6EFCE"/>
          </w:tcPr>
          <w:p w14:paraId="4967E184" w14:textId="309D3817" w:rsidR="00F464C8" w:rsidRPr="00A33B9F" w:rsidRDefault="00F464C8" w:rsidP="00F464C8">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Zakończone zostanie ustanowienie 33 dodatkowych Centrów Wsparcia Badań Klinicznych. Będą one usytuowane</w:t>
            </w:r>
            <w:r w:rsidR="00A33B9F" w:rsidRPr="00A33B9F">
              <w:rPr>
                <w:rStyle w:val="normaltextrun"/>
                <w:noProof/>
                <w:color w:val="000000" w:themeColor="text1"/>
                <w:sz w:val="18"/>
              </w:rPr>
              <w:t xml:space="preserve"> w str</w:t>
            </w:r>
            <w:r w:rsidRPr="00A33B9F">
              <w:rPr>
                <w:rStyle w:val="normaltextrun"/>
                <w:noProof/>
                <w:color w:val="000000" w:themeColor="text1"/>
                <w:sz w:val="18"/>
              </w:rPr>
              <w:t>ukturze mniejszych</w:t>
            </w:r>
            <w:r w:rsidR="00A33B9F" w:rsidRPr="00A33B9F">
              <w:rPr>
                <w:rStyle w:val="normaltextrun"/>
                <w:noProof/>
                <w:color w:val="000000" w:themeColor="text1"/>
                <w:sz w:val="18"/>
              </w:rPr>
              <w:t xml:space="preserve"> i lok</w:t>
            </w:r>
            <w:r w:rsidRPr="00A33B9F">
              <w:rPr>
                <w:rStyle w:val="normaltextrun"/>
                <w:noProof/>
                <w:color w:val="000000" w:themeColor="text1"/>
                <w:sz w:val="18"/>
              </w:rPr>
              <w:t>alnych podmiotów opieki zdrowotnej, pełniących kluczową rolę</w:t>
            </w:r>
            <w:r w:rsidR="00A33B9F" w:rsidRPr="00A33B9F">
              <w:rPr>
                <w:rStyle w:val="normaltextrun"/>
                <w:noProof/>
                <w:color w:val="000000" w:themeColor="text1"/>
                <w:sz w:val="18"/>
              </w:rPr>
              <w:t xml:space="preserve"> w zap</w:t>
            </w:r>
            <w:r w:rsidRPr="00A33B9F">
              <w:rPr>
                <w:rStyle w:val="normaltextrun"/>
                <w:noProof/>
                <w:color w:val="000000" w:themeColor="text1"/>
                <w:sz w:val="18"/>
              </w:rPr>
              <w:t>ewnianiu fachowego wsparcia (ze strony szpitala) organizacjom prowadzącym badania kliniczne</w:t>
            </w:r>
            <w:r w:rsidR="00A33B9F" w:rsidRPr="00A33B9F">
              <w:rPr>
                <w:rStyle w:val="normaltextrun"/>
                <w:noProof/>
                <w:color w:val="000000" w:themeColor="text1"/>
                <w:sz w:val="18"/>
              </w:rPr>
              <w:t xml:space="preserve"> i spo</w:t>
            </w:r>
            <w:r w:rsidRPr="00A33B9F">
              <w:rPr>
                <w:rStyle w:val="normaltextrun"/>
                <w:noProof/>
                <w:color w:val="000000" w:themeColor="text1"/>
                <w:sz w:val="18"/>
              </w:rPr>
              <w:t>nsorom tych badań (firmom farmaceutycznym)</w:t>
            </w:r>
            <w:r w:rsidR="00A33B9F" w:rsidRPr="00A33B9F">
              <w:rPr>
                <w:rStyle w:val="normaltextrun"/>
                <w:noProof/>
                <w:color w:val="000000" w:themeColor="text1"/>
                <w:sz w:val="18"/>
              </w:rPr>
              <w:t xml:space="preserve"> w cel</w:t>
            </w:r>
            <w:r w:rsidRPr="00A33B9F">
              <w:rPr>
                <w:rStyle w:val="normaltextrun"/>
                <w:noProof/>
                <w:color w:val="000000" w:themeColor="text1"/>
                <w:sz w:val="18"/>
              </w:rPr>
              <w:t>u wspierania negocjacji, procesu zawierania umów</w:t>
            </w:r>
            <w:r w:rsidR="00A33B9F" w:rsidRPr="00A33B9F">
              <w:rPr>
                <w:rStyle w:val="normaltextrun"/>
                <w:noProof/>
                <w:color w:val="000000" w:themeColor="text1"/>
                <w:sz w:val="18"/>
              </w:rPr>
              <w:t xml:space="preserve"> i roz</w:t>
            </w:r>
            <w:r w:rsidRPr="00A33B9F">
              <w:rPr>
                <w:rStyle w:val="normaltextrun"/>
                <w:noProof/>
                <w:color w:val="000000" w:themeColor="text1"/>
                <w:sz w:val="18"/>
              </w:rPr>
              <w:t>poczynania badań klinicznych.</w:t>
            </w:r>
            <w:r w:rsidR="00C3621A" w:rsidRPr="00A33B9F">
              <w:rPr>
                <w:rStyle w:val="normaltextrun"/>
                <w:noProof/>
                <w:color w:val="000000" w:themeColor="text1"/>
                <w:sz w:val="18"/>
              </w:rPr>
              <w:t xml:space="preserve"> </w:t>
            </w:r>
            <w:r w:rsidRPr="00A33B9F">
              <w:rPr>
                <w:noProof/>
              </w:rPr>
              <w:br/>
            </w:r>
            <w:r w:rsidRPr="00A33B9F">
              <w:rPr>
                <w:rStyle w:val="normaltextrun"/>
                <w:noProof/>
                <w:color w:val="000000" w:themeColor="text1"/>
                <w:sz w:val="18"/>
              </w:rPr>
              <w:t>Centra Wsparcia Badań Klinicznych uzyskają fundusze na inwestycje</w:t>
            </w:r>
            <w:r w:rsidR="00A33B9F" w:rsidRPr="00A33B9F">
              <w:rPr>
                <w:rStyle w:val="normaltextrun"/>
                <w:noProof/>
                <w:color w:val="000000" w:themeColor="text1"/>
                <w:sz w:val="18"/>
              </w:rPr>
              <w:t xml:space="preserve"> i roz</w:t>
            </w:r>
            <w:r w:rsidRPr="00A33B9F">
              <w:rPr>
                <w:rStyle w:val="normaltextrun"/>
                <w:noProof/>
                <w:color w:val="000000" w:themeColor="text1"/>
                <w:sz w:val="18"/>
              </w:rPr>
              <w:t>wój instytucjonalny. Będą zobowiązane do prowadzenia szkoleń dla personelu medycznego oraz działań mających na celu zwiększenie świadomości pacjentów dotyczącej badań klinicznych.</w:t>
            </w:r>
            <w:r w:rsidR="00C3621A" w:rsidRPr="00A33B9F">
              <w:rPr>
                <w:rStyle w:val="normaltextrun"/>
                <w:noProof/>
                <w:color w:val="000000" w:themeColor="text1"/>
                <w:sz w:val="18"/>
              </w:rPr>
              <w:t xml:space="preserve"> </w:t>
            </w:r>
          </w:p>
          <w:p w14:paraId="3E5DD7CC" w14:textId="4215EA66" w:rsidR="00F464C8" w:rsidRPr="00A33B9F" w:rsidRDefault="00C3621A" w:rsidP="00F464C8">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scxw147420095"/>
                <w:rFonts w:ascii="Times New Roman" w:hAnsi="Times New Roman"/>
                <w:noProof/>
                <w:sz w:val="18"/>
              </w:rPr>
              <w:t xml:space="preserve"> </w:t>
            </w:r>
            <w:r w:rsidR="00F464C8" w:rsidRPr="00A33B9F">
              <w:rPr>
                <w:noProof/>
              </w:rPr>
              <w:br/>
            </w:r>
            <w:r w:rsidR="00F464C8" w:rsidRPr="00A33B9F">
              <w:rPr>
                <w:rStyle w:val="normaltextrun"/>
                <w:rFonts w:ascii="Times New Roman" w:hAnsi="Times New Roman"/>
                <w:noProof/>
                <w:color w:val="000000"/>
                <w:sz w:val="18"/>
              </w:rPr>
              <w:t>Każda umowa</w:t>
            </w:r>
            <w:r w:rsidR="00A33B9F" w:rsidRPr="00A33B9F">
              <w:rPr>
                <w:rStyle w:val="normaltextrun"/>
                <w:rFonts w:ascii="Times New Roman" w:hAnsi="Times New Roman"/>
                <w:noProof/>
                <w:color w:val="000000"/>
                <w:sz w:val="18"/>
              </w:rPr>
              <w:t xml:space="preserve"> o udz</w:t>
            </w:r>
            <w:r w:rsidR="00F464C8" w:rsidRPr="00A33B9F">
              <w:rPr>
                <w:rStyle w:val="normaltextrun"/>
                <w:rFonts w:ascii="Times New Roman" w:hAnsi="Times New Roman"/>
                <w:noProof/>
                <w:color w:val="000000"/>
                <w:sz w:val="18"/>
              </w:rPr>
              <w:t>ielenie dotacji będzie wskazywała otrzymaną kwotę finansową oraz szczegółowe informacje</w:t>
            </w:r>
            <w:r w:rsidR="00A33B9F" w:rsidRPr="00A33B9F">
              <w:rPr>
                <w:rStyle w:val="normaltextrun"/>
                <w:rFonts w:ascii="Times New Roman" w:hAnsi="Times New Roman"/>
                <w:noProof/>
                <w:color w:val="000000"/>
                <w:sz w:val="18"/>
              </w:rPr>
              <w:t xml:space="preserve"> o dan</w:t>
            </w:r>
            <w:r w:rsidR="00F464C8" w:rsidRPr="00A33B9F">
              <w:rPr>
                <w:rStyle w:val="normaltextrun"/>
                <w:rFonts w:ascii="Times New Roman" w:hAnsi="Times New Roman"/>
                <w:noProof/>
                <w:color w:val="000000"/>
                <w:sz w:val="18"/>
              </w:rPr>
              <w:t>ym projekcie.</w:t>
            </w:r>
            <w:r w:rsidRPr="00A33B9F">
              <w:rPr>
                <w:rStyle w:val="normaltextrun"/>
                <w:rFonts w:ascii="Times New Roman" w:hAnsi="Times New Roman"/>
                <w:noProof/>
                <w:color w:val="000000"/>
                <w:sz w:val="18"/>
              </w:rPr>
              <w:t xml:space="preserve"> </w:t>
            </w:r>
          </w:p>
        </w:tc>
      </w:tr>
    </w:tbl>
    <w:p w14:paraId="74E797DC"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noProof/>
          <w:color w:val="4F81BD"/>
          <w:sz w:val="24"/>
          <w:szCs w:val="24"/>
        </w:rPr>
        <w:sectPr w:rsidR="007C4506" w:rsidRPr="00A33B9F" w:rsidSect="009B6BB9">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720" w:right="720" w:bottom="720" w:left="720" w:header="709" w:footer="709" w:gutter="0"/>
          <w:cols w:space="720"/>
          <w:docGrid w:linePitch="299"/>
        </w:sectPr>
      </w:pPr>
    </w:p>
    <w:p w14:paraId="187F72A2" w14:textId="07A30446" w:rsidR="00C05DFD" w:rsidRPr="00A33B9F" w:rsidRDefault="3DB27761"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noProof/>
          <w:color w:val="000000"/>
          <w:sz w:val="24"/>
          <w:szCs w:val="24"/>
        </w:rPr>
      </w:pPr>
      <w:r w:rsidRPr="00A33B9F">
        <w:rPr>
          <w:rFonts w:ascii="Times New Roman" w:hAnsi="Times New Roman"/>
          <w:b/>
          <w:noProof/>
          <w:color w:val="000000" w:themeColor="text1"/>
          <w:sz w:val="24"/>
        </w:rPr>
        <w:t xml:space="preserve">D.3. </w:t>
      </w:r>
      <w:r w:rsidRPr="00A33B9F">
        <w:rPr>
          <w:noProof/>
        </w:rPr>
        <w:tab/>
      </w:r>
      <w:r w:rsidRPr="00A33B9F">
        <w:rPr>
          <w:rFonts w:ascii="Times New Roman" w:hAnsi="Times New Roman"/>
          <w:b/>
          <w:noProof/>
          <w:color w:val="000000" w:themeColor="text1"/>
          <w:sz w:val="24"/>
        </w:rPr>
        <w:t>Opis reform</w:t>
      </w:r>
      <w:r w:rsidR="00A33B9F" w:rsidRPr="00A33B9F">
        <w:rPr>
          <w:rFonts w:ascii="Times New Roman" w:hAnsi="Times New Roman"/>
          <w:b/>
          <w:noProof/>
          <w:color w:val="000000" w:themeColor="text1"/>
          <w:sz w:val="24"/>
        </w:rPr>
        <w:t xml:space="preserve"> i inw</w:t>
      </w:r>
      <w:r w:rsidRPr="00A33B9F">
        <w:rPr>
          <w:rFonts w:ascii="Times New Roman" w:hAnsi="Times New Roman"/>
          <w:b/>
          <w:noProof/>
          <w:color w:val="000000" w:themeColor="text1"/>
          <w:sz w:val="24"/>
        </w:rPr>
        <w:t>estycji, które mają być finansowane</w:t>
      </w:r>
      <w:r w:rsidR="00A33B9F" w:rsidRPr="00A33B9F">
        <w:rPr>
          <w:rFonts w:ascii="Times New Roman" w:hAnsi="Times New Roman"/>
          <w:b/>
          <w:noProof/>
          <w:color w:val="000000" w:themeColor="text1"/>
          <w:sz w:val="24"/>
        </w:rPr>
        <w:t xml:space="preserve"> z poż</w:t>
      </w:r>
      <w:r w:rsidRPr="00A33B9F">
        <w:rPr>
          <w:rFonts w:ascii="Times New Roman" w:hAnsi="Times New Roman"/>
          <w:b/>
          <w:noProof/>
          <w:color w:val="000000" w:themeColor="text1"/>
          <w:sz w:val="24"/>
        </w:rPr>
        <w:t>yczki</w:t>
      </w:r>
    </w:p>
    <w:p w14:paraId="25AF7EAE" w14:textId="77777777" w:rsidR="007C4506" w:rsidRPr="00A33B9F" w:rsidRDefault="007C4506"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noProof/>
          <w:color w:val="000000"/>
          <w:sz w:val="24"/>
          <w:szCs w:val="24"/>
        </w:rPr>
      </w:pPr>
    </w:p>
    <w:p w14:paraId="5128C476" w14:textId="324C2DE6"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D1.2 Zwiększenie efektywności, dostępności</w:t>
      </w:r>
      <w:r w:rsidR="00A33B9F" w:rsidRPr="00A33B9F">
        <w:rPr>
          <w:rFonts w:ascii="Times New Roman" w:hAnsi="Times New Roman"/>
          <w:b/>
          <w:noProof/>
          <w:color w:val="000000" w:themeColor="text1"/>
          <w:sz w:val="24"/>
          <w:u w:val="single"/>
        </w:rPr>
        <w:t xml:space="preserve"> i jak</w:t>
      </w:r>
      <w:r w:rsidRPr="00A33B9F">
        <w:rPr>
          <w:rFonts w:ascii="Times New Roman" w:hAnsi="Times New Roman"/>
          <w:b/>
          <w:noProof/>
          <w:color w:val="000000" w:themeColor="text1"/>
          <w:sz w:val="24"/>
          <w:u w:val="single"/>
        </w:rPr>
        <w:t>ości świadczeń opieki długoterminowej podmiotów leczniczych na poziomie powiatowym</w:t>
      </w:r>
    </w:p>
    <w:p w14:paraId="60932A32" w14:textId="767FF826" w:rsidR="007C4506" w:rsidRPr="00A33B9F" w:rsidRDefault="2F9F118C" w:rsidP="00B50CE5">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wspieranie przekształcenia szpitali powiatowych</w:t>
      </w:r>
      <w:r w:rsidR="00A33B9F" w:rsidRPr="00A33B9F">
        <w:rPr>
          <w:rFonts w:ascii="Times New Roman" w:hAnsi="Times New Roman"/>
          <w:noProof/>
          <w:color w:val="000000" w:themeColor="text1"/>
          <w:sz w:val="24"/>
        </w:rPr>
        <w:t xml:space="preserve"> w jed</w:t>
      </w:r>
      <w:r w:rsidRPr="00A33B9F">
        <w:rPr>
          <w:rFonts w:ascii="Times New Roman" w:hAnsi="Times New Roman"/>
          <w:noProof/>
          <w:color w:val="000000" w:themeColor="text1"/>
          <w:sz w:val="24"/>
        </w:rPr>
        <w:t>nostki lub ośrodki opieki długoterminowej</w:t>
      </w:r>
      <w:r w:rsidR="00A33B9F" w:rsidRPr="00A33B9F">
        <w:rPr>
          <w:rFonts w:ascii="Times New Roman" w:hAnsi="Times New Roman"/>
          <w:noProof/>
          <w:color w:val="000000" w:themeColor="text1"/>
          <w:sz w:val="24"/>
        </w:rPr>
        <w:t xml:space="preserve"> i ger</w:t>
      </w:r>
      <w:r w:rsidRPr="00A33B9F">
        <w:rPr>
          <w:rFonts w:ascii="Times New Roman" w:hAnsi="Times New Roman"/>
          <w:noProof/>
          <w:color w:val="000000" w:themeColor="text1"/>
          <w:sz w:val="24"/>
        </w:rPr>
        <w:t>iatrycznej. Podstawą prawną reformy będzie specjalny akt ustawodawczy opracowany na podstawie wniosków</w:t>
      </w:r>
      <w:r w:rsidR="00A33B9F" w:rsidRPr="00A33B9F">
        <w:rPr>
          <w:rFonts w:ascii="Times New Roman" w:hAnsi="Times New Roman"/>
          <w:noProof/>
          <w:color w:val="000000" w:themeColor="text1"/>
          <w:sz w:val="24"/>
        </w:rPr>
        <w:t xml:space="preserve"> z prz</w:t>
      </w:r>
      <w:r w:rsidRPr="00A33B9F">
        <w:rPr>
          <w:rFonts w:ascii="Times New Roman" w:hAnsi="Times New Roman"/>
          <w:noProof/>
          <w:color w:val="000000" w:themeColor="text1"/>
          <w:sz w:val="24"/>
        </w:rPr>
        <w:t>eglądu potencjału ustanowienia jednostek/ośrodków opieki długoterminowej</w:t>
      </w:r>
      <w:r w:rsidR="00A33B9F" w:rsidRPr="00A33B9F">
        <w:rPr>
          <w:rFonts w:ascii="Times New Roman" w:hAnsi="Times New Roman"/>
          <w:noProof/>
          <w:color w:val="000000" w:themeColor="text1"/>
          <w:sz w:val="24"/>
        </w:rPr>
        <w:t xml:space="preserve"> i ger</w:t>
      </w:r>
      <w:r w:rsidRPr="00A33B9F">
        <w:rPr>
          <w:rFonts w:ascii="Times New Roman" w:hAnsi="Times New Roman"/>
          <w:noProof/>
          <w:color w:val="000000" w:themeColor="text1"/>
          <w:sz w:val="24"/>
        </w:rPr>
        <w:t>iatrycznej</w:t>
      </w:r>
      <w:r w:rsidR="00A33B9F" w:rsidRPr="00A33B9F">
        <w:rPr>
          <w:rFonts w:ascii="Times New Roman" w:hAnsi="Times New Roman"/>
          <w:noProof/>
          <w:color w:val="000000" w:themeColor="text1"/>
          <w:sz w:val="24"/>
        </w:rPr>
        <w:t xml:space="preserve"> w szp</w:t>
      </w:r>
      <w:r w:rsidRPr="00A33B9F">
        <w:rPr>
          <w:rFonts w:ascii="Times New Roman" w:hAnsi="Times New Roman"/>
          <w:noProof/>
          <w:color w:val="000000" w:themeColor="text1"/>
          <w:sz w:val="24"/>
        </w:rPr>
        <w:t>italach powiatowych</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Reforma będzie również zgodna ze strategią deinstytucjonalizacji przygotowaną przez Ministerstwo Zdrowia (załącznik do dokumentu „Zdrowa Przyszłość. Ramy strategiczne dla systemu ochrony zdrowia na lata 2021–2027”).</w:t>
      </w:r>
    </w:p>
    <w:p w14:paraId="1E819EF6" w14:textId="34CC51B4" w:rsidR="007C4506" w:rsidRPr="00A33B9F" w:rsidRDefault="3DB27761" w:rsidP="00F07CEA">
      <w:pPr>
        <w:pStyle w:val="Normal0"/>
        <w:pBdr>
          <w:top w:val="nil"/>
          <w:left w:val="nil"/>
          <w:bottom w:val="nil"/>
          <w:right w:val="nil"/>
          <w:between w:val="nil"/>
        </w:pBdr>
        <w:spacing w:before="120" w:after="120" w:line="240" w:lineRule="auto"/>
        <w:jc w:val="both"/>
        <w:rPr>
          <w:rStyle w:val="normaltextrun"/>
          <w:noProof/>
          <w:color w:val="000000"/>
          <w:sz w:val="18"/>
          <w:szCs w:val="18"/>
        </w:rPr>
      </w:pPr>
      <w:r w:rsidRPr="00A33B9F">
        <w:rPr>
          <w:rFonts w:ascii="Times New Roman" w:hAnsi="Times New Roman"/>
          <w:noProof/>
          <w:color w:val="000000" w:themeColor="text1"/>
          <w:sz w:val="24"/>
        </w:rPr>
        <w:t>Realizacja reformy zostanie zakończona do dnia 30 września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2633CEB9" w14:textId="77777777" w:rsidR="007C4506" w:rsidRPr="00A33B9F" w:rsidRDefault="007C450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p>
    <w:p w14:paraId="27020553" w14:textId="77777777"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rPr>
      </w:pPr>
      <w:r w:rsidRPr="00A33B9F">
        <w:rPr>
          <w:rFonts w:ascii="Times New Roman" w:hAnsi="Times New Roman"/>
          <w:b/>
          <w:noProof/>
          <w:color w:val="000000" w:themeColor="text1"/>
          <w:sz w:val="24"/>
          <w:u w:val="single"/>
        </w:rPr>
        <w:t>D1.2.1 Rozwój opieki długoterminowej poprzez modernizację infrastruktury podmiotów leczniczych na poziomie powiatowym</w:t>
      </w:r>
    </w:p>
    <w:p w14:paraId="4FC9F4CC" w14:textId="0675D832" w:rsidR="00AA4217" w:rsidRPr="00A33B9F" w:rsidRDefault="5F427A5E" w:rsidP="46A24104">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Inwestycja zapewni wsparcie dla projektów na niezbędne prace budowlano-remontowe oraz zakup sprzętu dla szpitali powiatowych,</w:t>
      </w:r>
      <w:r w:rsidR="00A33B9F" w:rsidRPr="00A33B9F">
        <w:rPr>
          <w:rFonts w:ascii="Times New Roman" w:hAnsi="Times New Roman"/>
          <w:noProof/>
          <w:color w:val="000000" w:themeColor="text1"/>
          <w:sz w:val="24"/>
        </w:rPr>
        <w:t xml:space="preserve"> w któ</w:t>
      </w:r>
      <w:r w:rsidRPr="00A33B9F">
        <w:rPr>
          <w:rFonts w:ascii="Times New Roman" w:hAnsi="Times New Roman"/>
          <w:noProof/>
          <w:color w:val="000000" w:themeColor="text1"/>
          <w:sz w:val="24"/>
        </w:rPr>
        <w:t>rych</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planów przekształcenia ustanowione zostaną jednostki lub ośrodki opieki długoterminowej</w:t>
      </w:r>
      <w:r w:rsidR="00A33B9F" w:rsidRPr="00A33B9F">
        <w:rPr>
          <w:rFonts w:ascii="Times New Roman" w:hAnsi="Times New Roman"/>
          <w:noProof/>
          <w:color w:val="000000" w:themeColor="text1"/>
          <w:sz w:val="24"/>
        </w:rPr>
        <w:t xml:space="preserve"> i ger</w:t>
      </w:r>
      <w:r w:rsidRPr="00A33B9F">
        <w:rPr>
          <w:rFonts w:ascii="Times New Roman" w:hAnsi="Times New Roman"/>
          <w:noProof/>
          <w:color w:val="000000" w:themeColor="text1"/>
          <w:sz w:val="24"/>
        </w:rPr>
        <w:t>iatrycznej. Umowy inwestycyjne będą zawierane na podstawie przejrzystych</w:t>
      </w:r>
      <w:r w:rsidR="00A33B9F" w:rsidRPr="00A33B9F">
        <w:rPr>
          <w:rFonts w:ascii="Times New Roman" w:hAnsi="Times New Roman"/>
          <w:noProof/>
          <w:color w:val="000000" w:themeColor="text1"/>
          <w:sz w:val="24"/>
        </w:rPr>
        <w:t xml:space="preserve"> i jas</w:t>
      </w:r>
      <w:r w:rsidRPr="00A33B9F">
        <w:rPr>
          <w:rFonts w:ascii="Times New Roman" w:hAnsi="Times New Roman"/>
          <w:noProof/>
          <w:color w:val="000000" w:themeColor="text1"/>
          <w:sz w:val="24"/>
        </w:rPr>
        <w:t>nych postanowień oraz zgodne</w:t>
      </w:r>
      <w:r w:rsidR="00A33B9F" w:rsidRPr="00A33B9F">
        <w:rPr>
          <w:rFonts w:ascii="Times New Roman" w:hAnsi="Times New Roman"/>
          <w:noProof/>
          <w:color w:val="000000" w:themeColor="text1"/>
          <w:sz w:val="24"/>
        </w:rPr>
        <w:t xml:space="preserve"> z cel</w:t>
      </w:r>
      <w:r w:rsidRPr="00A33B9F">
        <w:rPr>
          <w:rFonts w:ascii="Times New Roman" w:hAnsi="Times New Roman"/>
          <w:noProof/>
          <w:color w:val="000000" w:themeColor="text1"/>
          <w:sz w:val="24"/>
        </w:rPr>
        <w:t>ami reformy D.1.2. Inwestycje będą opierały się na mechanizmach zapewniania jakości świadczeń opieki zintegrowanej ukierunkowanych na kwestie dostępności</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 xml:space="preserve">ystępności cenowej. </w:t>
      </w:r>
    </w:p>
    <w:p w14:paraId="4B1D477B" w14:textId="77777777" w:rsidR="46A24104" w:rsidRPr="00A33B9F" w:rsidRDefault="46A24104" w:rsidP="46A24104">
      <w:pPr>
        <w:pStyle w:val="Normal0"/>
        <w:spacing w:after="0" w:line="240" w:lineRule="auto"/>
        <w:jc w:val="both"/>
        <w:rPr>
          <w:rFonts w:ascii="Times New Roman" w:eastAsia="Times New Roman" w:hAnsi="Times New Roman" w:cs="Times New Roman"/>
          <w:noProof/>
          <w:color w:val="000000" w:themeColor="text1"/>
          <w:sz w:val="24"/>
          <w:szCs w:val="24"/>
        </w:rPr>
      </w:pPr>
    </w:p>
    <w:p w14:paraId="4B4CFCCF" w14:textId="1D3D476D" w:rsidR="007C4506" w:rsidRPr="00A33B9F" w:rsidRDefault="110E162E" w:rsidP="46A24104">
      <w:pPr>
        <w:pStyle w:val="Normal0"/>
        <w:pBdr>
          <w:top w:val="nil"/>
          <w:left w:val="nil"/>
          <w:bottom w:val="nil"/>
          <w:right w:val="nil"/>
          <w:between w:val="nil"/>
        </w:pBdr>
        <w:spacing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65BE1F1D" w14:textId="77777777" w:rsidR="007C4506" w:rsidRPr="00A33B9F"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2A8F24A3" w14:textId="60C98A49"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D3.2 Stworzenie sprzyjających warunków dla rozwoju sektora leków</w:t>
      </w:r>
      <w:r w:rsidR="00A33B9F" w:rsidRPr="00A33B9F">
        <w:rPr>
          <w:rFonts w:ascii="Times New Roman" w:hAnsi="Times New Roman"/>
          <w:b/>
          <w:noProof/>
          <w:color w:val="000000" w:themeColor="text1"/>
          <w:sz w:val="24"/>
          <w:u w:val="single"/>
        </w:rPr>
        <w:t xml:space="preserve"> i wyr</w:t>
      </w:r>
      <w:r w:rsidRPr="00A33B9F">
        <w:rPr>
          <w:rFonts w:ascii="Times New Roman" w:hAnsi="Times New Roman"/>
          <w:b/>
          <w:noProof/>
          <w:color w:val="000000" w:themeColor="text1"/>
          <w:sz w:val="24"/>
          <w:u w:val="single"/>
        </w:rPr>
        <w:t xml:space="preserve">obów medycznych </w:t>
      </w:r>
    </w:p>
    <w:p w14:paraId="24F8FE32" w14:textId="0157C752" w:rsidR="007C4506" w:rsidRPr="00A33B9F" w:rsidRDefault="08AFDBED">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wprowadzenie ram regulacyjnych ułatwiających przyciągnięcie do Polski producentów leków</w:t>
      </w:r>
      <w:r w:rsidR="00A33B9F" w:rsidRPr="00A33B9F">
        <w:rPr>
          <w:rFonts w:ascii="Times New Roman" w:hAnsi="Times New Roman"/>
          <w:noProof/>
          <w:color w:val="000000" w:themeColor="text1"/>
          <w:sz w:val="24"/>
        </w:rPr>
        <w:t xml:space="preserve"> i far</w:t>
      </w:r>
      <w:r w:rsidRPr="00A33B9F">
        <w:rPr>
          <w:rFonts w:ascii="Times New Roman" w:hAnsi="Times New Roman"/>
          <w:noProof/>
          <w:color w:val="000000" w:themeColor="text1"/>
          <w:sz w:val="24"/>
        </w:rPr>
        <w:t>maceutycznych składników czynnych (API) oraz zwiększenie ich produkcji</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Przyczyni się to do zwiększenia bezpieczeństwa Polski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podaży leków. Nowe ramy wzmocnią ramy analityczne</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wskazania luk</w:t>
      </w:r>
      <w:r w:rsidR="00A33B9F" w:rsidRPr="00A33B9F">
        <w:rPr>
          <w:rFonts w:ascii="Times New Roman" w:hAnsi="Times New Roman"/>
          <w:noProof/>
          <w:color w:val="000000" w:themeColor="text1"/>
          <w:sz w:val="24"/>
        </w:rPr>
        <w:t xml:space="preserve"> i zag</w:t>
      </w:r>
      <w:r w:rsidRPr="00A33B9F">
        <w:rPr>
          <w:rFonts w:ascii="Times New Roman" w:hAnsi="Times New Roman"/>
          <w:noProof/>
          <w:color w:val="000000" w:themeColor="text1"/>
          <w:sz w:val="24"/>
        </w:rPr>
        <w:t>rożeń dotyczących podaży API</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Zapewnią one również wsparcie dla przedsiębiorców decydujących się na produkcję leków,</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których</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sce występują potencjalne niedobory dostaw.</w:t>
      </w:r>
    </w:p>
    <w:p w14:paraId="2C5CC340" w14:textId="397AE1A2" w:rsidR="007C4506" w:rsidRPr="00A33B9F" w:rsidRDefault="110E162E" w:rsidP="46A24104">
      <w:pPr>
        <w:pStyle w:val="Normal0"/>
        <w:pBdr>
          <w:top w:val="nil"/>
          <w:left w:val="nil"/>
          <w:bottom w:val="nil"/>
          <w:right w:val="nil"/>
          <w:between w:val="nil"/>
        </w:pBdr>
        <w:spacing w:before="120" w:after="120" w:line="240" w:lineRule="auto"/>
        <w:jc w:val="both"/>
        <w:rPr>
          <w:rFonts w:ascii="Times New Roman" w:hAnsi="Times New Roman" w:cs="Times New Roman"/>
          <w:noProof/>
          <w:color w:val="000000" w:themeColor="text1"/>
          <w:sz w:val="24"/>
          <w:szCs w:val="24"/>
        </w:rPr>
      </w:pPr>
      <w:r w:rsidRPr="00A33B9F">
        <w:rPr>
          <w:rFonts w:ascii="Times New Roman" w:hAnsi="Times New Roman"/>
          <w:noProof/>
          <w:color w:val="000000" w:themeColor="text1"/>
          <w:sz w:val="24"/>
        </w:rPr>
        <w:t>Reforma będzie powiązana</w:t>
      </w:r>
      <w:r w:rsidR="00A33B9F" w:rsidRPr="00A33B9F">
        <w:rPr>
          <w:rFonts w:ascii="Times New Roman" w:hAnsi="Times New Roman"/>
          <w:noProof/>
          <w:color w:val="000000" w:themeColor="text1"/>
          <w:sz w:val="24"/>
        </w:rPr>
        <w:t xml:space="preserve"> z wdr</w:t>
      </w:r>
      <w:r w:rsidRPr="00A33B9F">
        <w:rPr>
          <w:rFonts w:ascii="Times New Roman" w:hAnsi="Times New Roman"/>
          <w:noProof/>
          <w:color w:val="000000" w:themeColor="text1"/>
          <w:sz w:val="24"/>
        </w:rPr>
        <w:t xml:space="preserve">ożeniem strategii farmaceutycznej dla Europy na szczeblu unijnym. </w:t>
      </w:r>
    </w:p>
    <w:p w14:paraId="7B6E1984" w14:textId="72E0A763" w:rsidR="007C4506" w:rsidRPr="00A33B9F" w:rsidRDefault="110E162E">
      <w:pPr>
        <w:pStyle w:val="Normal0"/>
        <w:pBdr>
          <w:top w:val="nil"/>
          <w:left w:val="nil"/>
          <w:bottom w:val="nil"/>
          <w:right w:val="nil"/>
          <w:between w:val="nil"/>
        </w:pBdr>
        <w:spacing w:before="120" w:after="120" w:line="240" w:lineRule="auto"/>
        <w:jc w:val="both"/>
        <w:rPr>
          <w:rFonts w:ascii="Times New Roman" w:hAnsi="Times New Roman" w:cs="Times New Roman"/>
          <w:noProof/>
          <w:color w:val="000000"/>
          <w:sz w:val="24"/>
          <w:szCs w:val="24"/>
        </w:rPr>
      </w:pPr>
      <w:r w:rsidRPr="00A33B9F">
        <w:rPr>
          <w:rFonts w:ascii="Times New Roman" w:hAnsi="Times New Roman"/>
          <w:noProof/>
          <w:color w:val="000000" w:themeColor="text1"/>
          <w:sz w:val="24"/>
        </w:rPr>
        <w:t>Realizacja reformy zostanie zakończona do dnia 30 czerwca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6AFAB436" w14:textId="77777777" w:rsidR="007C4506" w:rsidRPr="00A33B9F" w:rsidRDefault="007C4506">
      <w:pPr>
        <w:pStyle w:val="Normal0"/>
        <w:pBdr>
          <w:top w:val="nil"/>
          <w:left w:val="nil"/>
          <w:bottom w:val="nil"/>
          <w:right w:val="nil"/>
          <w:between w:val="nil"/>
        </w:pBdr>
        <w:spacing w:before="120" w:after="120" w:line="240" w:lineRule="auto"/>
        <w:ind w:left="284" w:hanging="284"/>
        <w:jc w:val="both"/>
        <w:rPr>
          <w:rFonts w:ascii="Times New Roman" w:eastAsia="Times New Roman" w:hAnsi="Times New Roman" w:cs="Times New Roman"/>
          <w:noProof/>
          <w:color w:val="000000"/>
          <w:sz w:val="24"/>
          <w:szCs w:val="24"/>
          <w:u w:val="single"/>
        </w:rPr>
      </w:pPr>
    </w:p>
    <w:p w14:paraId="45C4AB64" w14:textId="0BC3C860" w:rsidR="007C4506" w:rsidRPr="00A33B9F" w:rsidRDefault="1D7EA089" w:rsidP="1B11766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highlight w:val="yellow"/>
          <w:u w:val="single"/>
        </w:rPr>
      </w:pPr>
      <w:r w:rsidRPr="00A33B9F">
        <w:rPr>
          <w:rFonts w:ascii="Times New Roman" w:hAnsi="Times New Roman"/>
          <w:b/>
          <w:noProof/>
          <w:color w:val="000000" w:themeColor="text1"/>
          <w:sz w:val="24"/>
          <w:u w:val="single"/>
        </w:rPr>
        <w:t>D3.2.1 Rozwój potencjału sektora leków</w:t>
      </w:r>
      <w:r w:rsidR="00A33B9F" w:rsidRPr="00A33B9F">
        <w:rPr>
          <w:rFonts w:ascii="Times New Roman" w:hAnsi="Times New Roman"/>
          <w:b/>
          <w:noProof/>
          <w:color w:val="000000" w:themeColor="text1"/>
          <w:sz w:val="24"/>
          <w:u w:val="single"/>
        </w:rPr>
        <w:t xml:space="preserve"> i wyr</w:t>
      </w:r>
      <w:r w:rsidRPr="00A33B9F">
        <w:rPr>
          <w:rFonts w:ascii="Times New Roman" w:hAnsi="Times New Roman"/>
          <w:b/>
          <w:noProof/>
          <w:color w:val="000000" w:themeColor="text1"/>
          <w:sz w:val="24"/>
          <w:u w:val="single"/>
        </w:rPr>
        <w:t>obów medycznych – inwestycje związane</w:t>
      </w:r>
      <w:r w:rsidR="00A33B9F" w:rsidRPr="00A33B9F">
        <w:rPr>
          <w:rFonts w:ascii="Times New Roman" w:hAnsi="Times New Roman"/>
          <w:b/>
          <w:noProof/>
          <w:color w:val="000000" w:themeColor="text1"/>
          <w:sz w:val="24"/>
          <w:u w:val="single"/>
        </w:rPr>
        <w:t xml:space="preserve"> z pro</w:t>
      </w:r>
      <w:r w:rsidRPr="00A33B9F">
        <w:rPr>
          <w:rFonts w:ascii="Times New Roman" w:hAnsi="Times New Roman"/>
          <w:b/>
          <w:noProof/>
          <w:color w:val="000000" w:themeColor="text1"/>
          <w:sz w:val="24"/>
          <w:u w:val="single"/>
        </w:rPr>
        <w:t>dukcją</w:t>
      </w:r>
      <w:r w:rsidR="00A33B9F" w:rsidRPr="00A33B9F">
        <w:rPr>
          <w:rFonts w:ascii="Times New Roman" w:hAnsi="Times New Roman"/>
          <w:b/>
          <w:noProof/>
          <w:color w:val="000000" w:themeColor="text1"/>
          <w:sz w:val="24"/>
          <w:u w:val="single"/>
        </w:rPr>
        <w:t xml:space="preserve"> w Pol</w:t>
      </w:r>
      <w:r w:rsidRPr="00A33B9F">
        <w:rPr>
          <w:rFonts w:ascii="Times New Roman" w:hAnsi="Times New Roman"/>
          <w:b/>
          <w:noProof/>
          <w:color w:val="000000" w:themeColor="text1"/>
          <w:sz w:val="24"/>
          <w:u w:val="single"/>
        </w:rPr>
        <w:t>sce</w:t>
      </w:r>
      <w:r w:rsidR="003A7910" w:rsidRPr="00A33B9F">
        <w:rPr>
          <w:rFonts w:ascii="Times New Roman" w:hAnsi="Times New Roman"/>
          <w:b/>
          <w:noProof/>
          <w:color w:val="000000" w:themeColor="text1"/>
          <w:sz w:val="24"/>
          <w:u w:val="single"/>
        </w:rPr>
        <w:t xml:space="preserve"> API</w:t>
      </w:r>
    </w:p>
    <w:p w14:paraId="4B37AEE7" w14:textId="16758343" w:rsidR="007C4506" w:rsidRPr="00A33B9F" w:rsidRDefault="1D7EA089" w:rsidP="3954470C">
      <w:pPr>
        <w:pStyle w:val="Normal0"/>
        <w:pBdr>
          <w:top w:val="nil"/>
          <w:left w:val="nil"/>
          <w:bottom w:val="nil"/>
          <w:right w:val="nil"/>
          <w:between w:val="nil"/>
        </w:pBdr>
        <w:spacing w:before="120" w:after="120" w:line="240" w:lineRule="auto"/>
        <w:jc w:val="both"/>
        <w:rPr>
          <w:rFonts w:ascii="Times New Roman" w:hAnsi="Times New Roman" w:cs="Times New Roman"/>
          <w:noProof/>
          <w:color w:val="000000"/>
          <w:sz w:val="24"/>
          <w:szCs w:val="24"/>
        </w:rPr>
      </w:pPr>
      <w:r w:rsidRPr="00A33B9F">
        <w:rPr>
          <w:rFonts w:ascii="Times New Roman" w:hAnsi="Times New Roman"/>
          <w:noProof/>
          <w:color w:val="000000" w:themeColor="text1"/>
          <w:sz w:val="24"/>
        </w:rPr>
        <w:t>Celem inwestycji jest wsparcie projektów</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opracowywania API. Wsparcie przyczyni się do rozwoju linii produkcyjnych API (w tym oryginalnych, biopodobnych</w:t>
      </w:r>
      <w:r w:rsidR="00A33B9F" w:rsidRPr="00A33B9F">
        <w:rPr>
          <w:rFonts w:ascii="Times New Roman" w:hAnsi="Times New Roman"/>
          <w:noProof/>
          <w:color w:val="000000" w:themeColor="text1"/>
          <w:sz w:val="24"/>
        </w:rPr>
        <w:t xml:space="preserve"> i gen</w:t>
      </w:r>
      <w:r w:rsidRPr="00A33B9F">
        <w:rPr>
          <w:rFonts w:ascii="Times New Roman" w:hAnsi="Times New Roman"/>
          <w:noProof/>
          <w:color w:val="000000" w:themeColor="text1"/>
          <w:sz w:val="24"/>
        </w:rPr>
        <w:t>erycznych API) oraz powiązanych wyrobów medycznych,</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 sprawą budowy/rozbudowy niezbędnej infrastruktury. Inwestycje</w:t>
      </w:r>
      <w:r w:rsidR="00A33B9F" w:rsidRPr="00A33B9F">
        <w:rPr>
          <w:rFonts w:ascii="Times New Roman" w:hAnsi="Times New Roman"/>
          <w:noProof/>
          <w:color w:val="000000" w:themeColor="text1"/>
          <w:sz w:val="24"/>
        </w:rPr>
        <w:t xml:space="preserve"> w tej</w:t>
      </w:r>
      <w:r w:rsidRPr="00A33B9F">
        <w:rPr>
          <w:rFonts w:ascii="Times New Roman" w:hAnsi="Times New Roman"/>
          <w:noProof/>
          <w:color w:val="000000" w:themeColor="text1"/>
          <w:sz w:val="24"/>
        </w:rPr>
        <w:t xml:space="preserve"> dziedzinie wspomogą co najmniej 11 API.</w:t>
      </w:r>
    </w:p>
    <w:p w14:paraId="02FA8E39" w14:textId="39692569"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Realizacja inwestycji zostanie zakończona do dnia 31 grudnia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4DCF38B" w14:textId="77777777" w:rsidR="00387C8F" w:rsidRPr="00A33B9F"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sectPr w:rsidR="00387C8F" w:rsidRPr="00A33B9F">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sectPr>
      </w:pPr>
    </w:p>
    <w:p w14:paraId="042C5D41" w14:textId="46EDA8AC" w:rsidR="00212550" w:rsidRPr="00A33B9F" w:rsidRDefault="00387C8F">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themeColor="text1"/>
          <w:sz w:val="24"/>
        </w:rPr>
        <w:t xml:space="preserve">D.4. </w:t>
      </w:r>
      <w:r w:rsidRPr="00A33B9F">
        <w:rPr>
          <w:noProof/>
        </w:rPr>
        <w:tab/>
      </w:r>
      <w:r w:rsidRPr="00A33B9F">
        <w:rPr>
          <w:rFonts w:ascii="Times New Roman" w:hAnsi="Times New Roman"/>
          <w:b/>
          <w:noProof/>
          <w:color w:val="000000" w:themeColor="text1"/>
          <w:sz w:val="24"/>
        </w:rPr>
        <w:t>Kamienie milowe, wartości docelowe, wskaźniki</w:t>
      </w:r>
      <w:r w:rsidR="00A33B9F" w:rsidRPr="00A33B9F">
        <w:rPr>
          <w:rFonts w:ascii="Times New Roman" w:hAnsi="Times New Roman"/>
          <w:b/>
          <w:noProof/>
          <w:color w:val="000000" w:themeColor="text1"/>
          <w:sz w:val="24"/>
        </w:rPr>
        <w:t xml:space="preserve"> i har</w:t>
      </w:r>
      <w:r w:rsidRPr="00A33B9F">
        <w:rPr>
          <w:rFonts w:ascii="Times New Roman" w:hAnsi="Times New Roman"/>
          <w:b/>
          <w:noProof/>
          <w:color w:val="000000" w:themeColor="text1"/>
          <w:sz w:val="24"/>
        </w:rPr>
        <w:t>monogram monitorowania</w:t>
      </w:r>
      <w:r w:rsidR="00A33B9F" w:rsidRPr="00A33B9F">
        <w:rPr>
          <w:rFonts w:ascii="Times New Roman" w:hAnsi="Times New Roman"/>
          <w:b/>
          <w:noProof/>
          <w:color w:val="000000" w:themeColor="text1"/>
          <w:sz w:val="24"/>
        </w:rPr>
        <w:t xml:space="preserve"> i rea</w:t>
      </w:r>
      <w:r w:rsidRPr="00A33B9F">
        <w:rPr>
          <w:rFonts w:ascii="Times New Roman" w:hAnsi="Times New Roman"/>
          <w:b/>
          <w:noProof/>
          <w:color w:val="000000" w:themeColor="text1"/>
          <w:sz w:val="24"/>
        </w:rPr>
        <w:t>lizacji dotyczące pożyczki</w:t>
      </w:r>
    </w:p>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709"/>
        <w:gridCol w:w="1985"/>
        <w:gridCol w:w="1134"/>
        <w:gridCol w:w="1842"/>
        <w:gridCol w:w="1276"/>
        <w:gridCol w:w="992"/>
        <w:gridCol w:w="993"/>
        <w:gridCol w:w="708"/>
        <w:gridCol w:w="993"/>
        <w:gridCol w:w="850"/>
        <w:gridCol w:w="3827"/>
      </w:tblGrid>
      <w:tr w:rsidR="008C116B" w:rsidRPr="00A33B9F" w14:paraId="41B1E524" w14:textId="77777777" w:rsidTr="7A2BD239">
        <w:trPr>
          <w:trHeight w:val="939"/>
          <w:tblHeader/>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F16C5A5" w14:textId="259D0D59" w:rsidR="007C4506" w:rsidRPr="00A33B9F"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60E4090"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1BB03AA8"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3775D93"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8E68DE" w14:textId="77777777" w:rsidR="007C4506" w:rsidRPr="00A33B9F"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 xml:space="preserve">Wskaźniki jakościowe </w:t>
            </w:r>
            <w:r w:rsidRPr="00A33B9F">
              <w:rPr>
                <w:rFonts w:ascii="Times New Roman" w:hAnsi="Times New Roman"/>
                <w:b/>
                <w:noProof/>
                <w:color w:val="000000" w:themeColor="text1"/>
                <w:sz w:val="18"/>
              </w:rPr>
              <w:br/>
              <w:t>(dla kamieni milowych)</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0BDFEBE5" w14:textId="77777777" w:rsidR="007C4506" w:rsidRPr="00A33B9F" w:rsidRDefault="00B31839" w:rsidP="46A24104">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Wskaźniki ilościowe</w:t>
            </w:r>
            <w:r w:rsidRPr="00A33B9F">
              <w:rPr>
                <w:noProof/>
              </w:rPr>
              <w:t xml:space="preserve"> </w:t>
            </w:r>
            <w:r w:rsidRPr="00A33B9F">
              <w:rPr>
                <w:noProof/>
              </w:rPr>
              <w:br/>
            </w:r>
            <w:r w:rsidRPr="00A33B9F">
              <w:rPr>
                <w:rFonts w:ascii="Times New Roman" w:hAnsi="Times New Roman"/>
                <w:b/>
                <w:noProof/>
                <w:color w:val="000000" w:themeColor="text1"/>
                <w:sz w:val="18"/>
              </w:rPr>
              <w:t>(dla wartości docelowych)</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0367129"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8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26E10174" w14:textId="11A54BBD"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8C116B" w:rsidRPr="00A33B9F" w14:paraId="7C60732D" w14:textId="77777777" w:rsidTr="7A2BD239">
        <w:trPr>
          <w:trHeight w:val="1027"/>
        </w:trPr>
        <w:tc>
          <w:tcPr>
            <w:tcW w:w="709" w:type="dxa"/>
            <w:vMerge/>
            <w:vAlign w:val="center"/>
          </w:tcPr>
          <w:p w14:paraId="4D2E12B8"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5" w:type="dxa"/>
            <w:vMerge/>
            <w:vAlign w:val="center"/>
          </w:tcPr>
          <w:p w14:paraId="308F224F"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34" w:type="dxa"/>
            <w:vMerge/>
            <w:vAlign w:val="center"/>
          </w:tcPr>
          <w:p w14:paraId="5E6D6F63"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842" w:type="dxa"/>
            <w:vMerge/>
            <w:vAlign w:val="center"/>
          </w:tcPr>
          <w:p w14:paraId="7B969857"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76" w:type="dxa"/>
            <w:vMerge/>
            <w:vAlign w:val="center"/>
          </w:tcPr>
          <w:p w14:paraId="0FE634FD"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46FC7D89"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7E5D7B35"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2489BEF"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31CCBDDF"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vAlign w:val="center"/>
          </w:tcPr>
          <w:p w14:paraId="5252C6C6"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827" w:type="dxa"/>
            <w:vMerge/>
            <w:vAlign w:val="center"/>
          </w:tcPr>
          <w:p w14:paraId="62A1F980"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41CB191C"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15E2E81" w14:textId="011ADA44"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D1L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19F041" w14:textId="08A555B8"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D1.2 Zwiększenie efektywności, dostępności</w:t>
            </w:r>
            <w:r w:rsidR="00A33B9F" w:rsidRPr="00A33B9F">
              <w:rPr>
                <w:rFonts w:ascii="Times New Roman" w:hAnsi="Times New Roman"/>
                <w:noProof/>
                <w:color w:val="000000" w:themeColor="text1"/>
                <w:sz w:val="18"/>
              </w:rPr>
              <w:t xml:space="preserve"> i jak</w:t>
            </w:r>
            <w:r w:rsidRPr="00A33B9F">
              <w:rPr>
                <w:rFonts w:ascii="Times New Roman" w:hAnsi="Times New Roman"/>
                <w:noProof/>
                <w:color w:val="000000" w:themeColor="text1"/>
                <w:sz w:val="18"/>
              </w:rPr>
              <w:t>ości świadczeń opieki długoterminowej podmiotów leczniczych na poziomie powiatowym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70380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C6B6AC6" w14:textId="4D2616C3"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themeColor="text1"/>
                <w:sz w:val="18"/>
              </w:rPr>
              <w:t>Przegląd potencjału ustanowienia jednostek/ośrodków opieki długoterminowej</w:t>
            </w:r>
            <w:r w:rsidR="00A33B9F" w:rsidRPr="00A33B9F">
              <w:rPr>
                <w:rStyle w:val="normaltextrun"/>
                <w:rFonts w:ascii="Times New Roman" w:hAnsi="Times New Roman"/>
                <w:noProof/>
                <w:color w:val="000000" w:themeColor="text1"/>
                <w:sz w:val="18"/>
              </w:rPr>
              <w:t xml:space="preserve"> i ger</w:t>
            </w:r>
            <w:r w:rsidRPr="00A33B9F">
              <w:rPr>
                <w:rStyle w:val="normaltextrun"/>
                <w:rFonts w:ascii="Times New Roman" w:hAnsi="Times New Roman"/>
                <w:noProof/>
                <w:color w:val="000000" w:themeColor="text1"/>
                <w:sz w:val="18"/>
              </w:rPr>
              <w:t>iatrycznej</w:t>
            </w:r>
            <w:r w:rsidR="00A33B9F" w:rsidRPr="00A33B9F">
              <w:rPr>
                <w:rStyle w:val="normaltextrun"/>
                <w:rFonts w:ascii="Times New Roman" w:hAnsi="Times New Roman"/>
                <w:noProof/>
                <w:color w:val="000000" w:themeColor="text1"/>
                <w:sz w:val="18"/>
              </w:rPr>
              <w:t xml:space="preserve"> w szp</w:t>
            </w:r>
            <w:r w:rsidRPr="00A33B9F">
              <w:rPr>
                <w:rStyle w:val="normaltextrun"/>
                <w:rFonts w:ascii="Times New Roman" w:hAnsi="Times New Roman"/>
                <w:noProof/>
                <w:color w:val="000000" w:themeColor="text1"/>
                <w:sz w:val="18"/>
              </w:rPr>
              <w:t>italach powiatowych</w:t>
            </w:r>
            <w:r w:rsidR="00A33B9F" w:rsidRPr="00A33B9F">
              <w:rPr>
                <w:rStyle w:val="normaltextrun"/>
                <w:rFonts w:ascii="Times New Roman" w:hAnsi="Times New Roman"/>
                <w:noProof/>
                <w:color w:val="000000" w:themeColor="text1"/>
                <w:sz w:val="18"/>
              </w:rPr>
              <w:t xml:space="preserve"> w Pol</w:t>
            </w:r>
            <w:r w:rsidRPr="00A33B9F">
              <w:rPr>
                <w:rStyle w:val="normaltextrun"/>
                <w:rFonts w:ascii="Times New Roman" w:hAnsi="Times New Roman"/>
                <w:noProof/>
                <w:color w:val="000000" w:themeColor="text1"/>
                <w:sz w:val="18"/>
              </w:rPr>
              <w:t>sce</w:t>
            </w:r>
            <w:r w:rsidRPr="00A33B9F">
              <w:rPr>
                <w:rStyle w:val="eop"/>
                <w:rFonts w:ascii="Times New Roman" w:hAnsi="Times New Roman"/>
                <w:noProof/>
                <w:color w:val="000000" w:themeColor="text1"/>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89BA5A"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Publikacja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B6071E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24BB67"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FA51D"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67D810" w14:textId="3A39116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D5D9FA"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2665BB" w14:textId="533BFC0D" w:rsidR="00736BBF" w:rsidRPr="00A33B9F" w:rsidRDefault="11BD3D58" w:rsidP="7FE92C8E">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Publikacja przeglądu dokonanego</w:t>
            </w:r>
            <w:r w:rsidR="00A33B9F" w:rsidRPr="00A33B9F">
              <w:rPr>
                <w:rStyle w:val="normaltextrun"/>
                <w:noProof/>
                <w:color w:val="000000" w:themeColor="text1"/>
                <w:sz w:val="18"/>
              </w:rPr>
              <w:t xml:space="preserve"> w ram</w:t>
            </w:r>
            <w:r w:rsidRPr="00A33B9F">
              <w:rPr>
                <w:rStyle w:val="normaltextrun"/>
                <w:noProof/>
                <w:color w:val="000000" w:themeColor="text1"/>
                <w:sz w:val="18"/>
              </w:rPr>
              <w:t>ach ogólnej analizy strategicznej opieki długoterminowej</w:t>
            </w:r>
            <w:r w:rsidR="00A33B9F" w:rsidRPr="00A33B9F">
              <w:rPr>
                <w:rStyle w:val="normaltextrun"/>
                <w:noProof/>
                <w:color w:val="000000" w:themeColor="text1"/>
                <w:sz w:val="18"/>
              </w:rPr>
              <w:t xml:space="preserve"> w Pol</w:t>
            </w:r>
            <w:r w:rsidRPr="00A33B9F">
              <w:rPr>
                <w:rStyle w:val="normaltextrun"/>
                <w:noProof/>
                <w:color w:val="000000" w:themeColor="text1"/>
                <w:sz w:val="18"/>
              </w:rPr>
              <w:t>sce przewidzianej</w:t>
            </w:r>
            <w:r w:rsidR="00A33B9F" w:rsidRPr="00A33B9F">
              <w:rPr>
                <w:rStyle w:val="normaltextrun"/>
                <w:noProof/>
                <w:color w:val="000000" w:themeColor="text1"/>
                <w:sz w:val="18"/>
              </w:rPr>
              <w:t xml:space="preserve"> w kom</w:t>
            </w:r>
            <w:r w:rsidRPr="00A33B9F">
              <w:rPr>
                <w:rStyle w:val="normaltextrun"/>
                <w:noProof/>
                <w:color w:val="000000" w:themeColor="text1"/>
                <w:sz w:val="18"/>
              </w:rPr>
              <w:t>ponencie A, dotyczącego potencjału ustanowienia jednostek/ośrodków opieki długoterminowej</w:t>
            </w:r>
            <w:r w:rsidR="00A33B9F" w:rsidRPr="00A33B9F">
              <w:rPr>
                <w:rStyle w:val="normaltextrun"/>
                <w:noProof/>
                <w:color w:val="000000" w:themeColor="text1"/>
                <w:sz w:val="18"/>
              </w:rPr>
              <w:t xml:space="preserve"> i ger</w:t>
            </w:r>
            <w:r w:rsidRPr="00A33B9F">
              <w:rPr>
                <w:rStyle w:val="normaltextrun"/>
                <w:noProof/>
                <w:color w:val="000000" w:themeColor="text1"/>
                <w:sz w:val="18"/>
              </w:rPr>
              <w:t>iatrycznej</w:t>
            </w:r>
            <w:r w:rsidR="00A33B9F" w:rsidRPr="00A33B9F">
              <w:rPr>
                <w:rStyle w:val="normaltextrun"/>
                <w:noProof/>
                <w:color w:val="000000" w:themeColor="text1"/>
                <w:sz w:val="18"/>
              </w:rPr>
              <w:t xml:space="preserve"> w szp</w:t>
            </w:r>
            <w:r w:rsidRPr="00A33B9F">
              <w:rPr>
                <w:rStyle w:val="normaltextrun"/>
                <w:noProof/>
                <w:color w:val="000000" w:themeColor="text1"/>
                <w:sz w:val="18"/>
              </w:rPr>
              <w:t>italach powiatowych (w tym przekształcenia części szpitali powiatowych)</w:t>
            </w:r>
            <w:r w:rsidR="00A33B9F" w:rsidRPr="00A33B9F">
              <w:rPr>
                <w:rStyle w:val="normaltextrun"/>
                <w:noProof/>
                <w:color w:val="000000" w:themeColor="text1"/>
                <w:sz w:val="18"/>
              </w:rPr>
              <w:t>. W ram</w:t>
            </w:r>
            <w:r w:rsidRPr="00A33B9F">
              <w:rPr>
                <w:rStyle w:val="normaltextrun"/>
                <w:noProof/>
                <w:color w:val="000000" w:themeColor="text1"/>
                <w:sz w:val="18"/>
              </w:rPr>
              <w:t>ach analizy zbadane zostaną</w:t>
            </w:r>
            <w:r w:rsidR="00A33B9F" w:rsidRPr="00A33B9F">
              <w:rPr>
                <w:rStyle w:val="normaltextrun"/>
                <w:noProof/>
                <w:color w:val="000000" w:themeColor="text1"/>
                <w:sz w:val="18"/>
              </w:rPr>
              <w:t xml:space="preserve"> w szc</w:t>
            </w:r>
            <w:r w:rsidRPr="00A33B9F">
              <w:rPr>
                <w:rStyle w:val="normaltextrun"/>
                <w:noProof/>
                <w:color w:val="000000" w:themeColor="text1"/>
                <w:sz w:val="18"/>
              </w:rPr>
              <w:t>zególności możliwości:</w:t>
            </w:r>
            <w:r w:rsidR="00C3621A" w:rsidRPr="00A33B9F">
              <w:rPr>
                <w:rStyle w:val="scxw256459143"/>
                <w:noProof/>
                <w:color w:val="000000" w:themeColor="text1"/>
                <w:sz w:val="18"/>
              </w:rPr>
              <w:t xml:space="preserve"> </w:t>
            </w:r>
            <w:r w:rsidRPr="00A33B9F">
              <w:rPr>
                <w:noProof/>
              </w:rPr>
              <w:br/>
            </w:r>
            <w:r w:rsidRPr="00A33B9F">
              <w:rPr>
                <w:rStyle w:val="normaltextrun"/>
                <w:noProof/>
                <w:color w:val="000000" w:themeColor="text1"/>
                <w:sz w:val="18"/>
              </w:rPr>
              <w:t>– zwiększenia dostępności usług opieki długoterminowej poprzez eliminowanie stwierdzonych luk</w:t>
            </w:r>
            <w:r w:rsidR="00A33B9F" w:rsidRPr="00A33B9F">
              <w:rPr>
                <w:rStyle w:val="normaltextrun"/>
                <w:noProof/>
                <w:color w:val="000000" w:themeColor="text1"/>
                <w:sz w:val="18"/>
              </w:rPr>
              <w:t xml:space="preserve"> w zak</w:t>
            </w:r>
            <w:r w:rsidRPr="00A33B9F">
              <w:rPr>
                <w:rStyle w:val="normaltextrun"/>
                <w:noProof/>
                <w:color w:val="000000" w:themeColor="text1"/>
                <w:sz w:val="18"/>
              </w:rPr>
              <w:t>resie zapewniania opieki długoterminowej,</w:t>
            </w:r>
            <w:r w:rsidR="00A33B9F" w:rsidRPr="00A33B9F">
              <w:rPr>
                <w:rStyle w:val="normaltextrun"/>
                <w:noProof/>
                <w:color w:val="000000" w:themeColor="text1"/>
                <w:sz w:val="18"/>
              </w:rPr>
              <w:t xml:space="preserve"> w szc</w:t>
            </w:r>
            <w:r w:rsidRPr="00A33B9F">
              <w:rPr>
                <w:rStyle w:val="normaltextrun"/>
                <w:noProof/>
                <w:color w:val="000000" w:themeColor="text1"/>
                <w:sz w:val="18"/>
              </w:rPr>
              <w:t>zególności na szczeblu powiatowym;</w:t>
            </w:r>
            <w:r w:rsidR="00C3621A" w:rsidRPr="00A33B9F">
              <w:rPr>
                <w:rStyle w:val="scxw256459143"/>
                <w:noProof/>
                <w:color w:val="000000" w:themeColor="text1"/>
                <w:sz w:val="18"/>
              </w:rPr>
              <w:t xml:space="preserve"> </w:t>
            </w:r>
            <w:r w:rsidRPr="00A33B9F">
              <w:rPr>
                <w:noProof/>
              </w:rPr>
              <w:br/>
            </w:r>
            <w:r w:rsidRPr="00A33B9F">
              <w:rPr>
                <w:rStyle w:val="normaltextrun"/>
                <w:noProof/>
                <w:color w:val="000000" w:themeColor="text1"/>
                <w:sz w:val="18"/>
              </w:rPr>
              <w:t>– likwidowania nierówności</w:t>
            </w:r>
            <w:r w:rsidR="00A33B9F" w:rsidRPr="00A33B9F">
              <w:rPr>
                <w:rStyle w:val="normaltextrun"/>
                <w:noProof/>
                <w:color w:val="000000" w:themeColor="text1"/>
                <w:sz w:val="18"/>
              </w:rPr>
              <w:t xml:space="preserve"> w zak</w:t>
            </w:r>
            <w:r w:rsidRPr="00A33B9F">
              <w:rPr>
                <w:rStyle w:val="normaltextrun"/>
                <w:noProof/>
                <w:color w:val="000000" w:themeColor="text1"/>
                <w:sz w:val="18"/>
              </w:rPr>
              <w:t>resie dostępu do usług długoterminowej opieki;</w:t>
            </w:r>
            <w:r w:rsidR="00C3621A" w:rsidRPr="00A33B9F">
              <w:rPr>
                <w:rStyle w:val="scxw256459143"/>
                <w:noProof/>
                <w:color w:val="000000" w:themeColor="text1"/>
                <w:sz w:val="18"/>
              </w:rPr>
              <w:t xml:space="preserve"> </w:t>
            </w:r>
            <w:r w:rsidRPr="00A33B9F">
              <w:rPr>
                <w:noProof/>
              </w:rPr>
              <w:br/>
            </w:r>
            <w:r w:rsidRPr="00A33B9F">
              <w:rPr>
                <w:rStyle w:val="normaltextrun"/>
                <w:noProof/>
                <w:color w:val="000000" w:themeColor="text1"/>
                <w:sz w:val="18"/>
              </w:rPr>
              <w:t>– poprawy warunki pracy personelu medycznego oraz</w:t>
            </w:r>
            <w:r w:rsidR="00C3621A" w:rsidRPr="00A33B9F">
              <w:rPr>
                <w:rStyle w:val="scxw256459143"/>
                <w:noProof/>
                <w:color w:val="000000" w:themeColor="text1"/>
                <w:sz w:val="18"/>
              </w:rPr>
              <w:t xml:space="preserve"> </w:t>
            </w:r>
            <w:r w:rsidRPr="00A33B9F">
              <w:rPr>
                <w:noProof/>
              </w:rPr>
              <w:br/>
            </w:r>
            <w:r w:rsidRPr="00A33B9F">
              <w:rPr>
                <w:rStyle w:val="normaltextrun"/>
                <w:noProof/>
                <w:color w:val="000000" w:themeColor="text1"/>
                <w:sz w:val="18"/>
              </w:rPr>
              <w:t>– poprawy jakości opieki długoterminowej.</w:t>
            </w:r>
            <w:r w:rsidRPr="00A33B9F">
              <w:rPr>
                <w:rStyle w:val="scxw256459143"/>
                <w:noProof/>
                <w:color w:val="000000" w:themeColor="text1"/>
                <w:sz w:val="18"/>
              </w:rPr>
              <w:t xml:space="preserve"> </w:t>
            </w:r>
          </w:p>
        </w:tc>
      </w:tr>
      <w:tr w:rsidR="008C116B" w:rsidRPr="00A33B9F" w14:paraId="131C4A67"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17E941" w14:textId="23165E11"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D2L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577446" w14:textId="3F0AF3D4"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D1.2 Zwiększenie efektywności, dostępności</w:t>
            </w:r>
            <w:r w:rsidR="00A33B9F" w:rsidRPr="00A33B9F">
              <w:rPr>
                <w:rFonts w:ascii="Times New Roman" w:hAnsi="Times New Roman"/>
                <w:noProof/>
                <w:color w:val="000000" w:themeColor="text1"/>
                <w:sz w:val="18"/>
              </w:rPr>
              <w:t xml:space="preserve"> i jak</w:t>
            </w:r>
            <w:r w:rsidRPr="00A33B9F">
              <w:rPr>
                <w:rFonts w:ascii="Times New Roman" w:hAnsi="Times New Roman"/>
                <w:noProof/>
                <w:color w:val="000000" w:themeColor="text1"/>
                <w:sz w:val="18"/>
              </w:rPr>
              <w:t>ości świadczeń opieki długoterminowej podmiotów leczniczych na poziomie powiatowym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CC04EC"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189877" w14:textId="31426B9C"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aktu ustawodawczego</w:t>
            </w:r>
            <w:r w:rsidR="00A33B9F" w:rsidRPr="00A33B9F">
              <w:rPr>
                <w:rStyle w:val="normaltextrun"/>
                <w:rFonts w:ascii="Times New Roman" w:hAnsi="Times New Roman"/>
                <w:noProof/>
                <w:color w:val="000000" w:themeColor="text1"/>
                <w:sz w:val="18"/>
              </w:rPr>
              <w:t xml:space="preserve"> w spr</w:t>
            </w:r>
            <w:r w:rsidRPr="00A33B9F">
              <w:rPr>
                <w:rStyle w:val="normaltextrun"/>
                <w:rFonts w:ascii="Times New Roman" w:hAnsi="Times New Roman"/>
                <w:noProof/>
                <w:color w:val="000000" w:themeColor="text1"/>
                <w:sz w:val="18"/>
              </w:rPr>
              <w:t>awie wsparcia na rzecz ustanowienia jednostek/ośrodków opieki długoterminowej</w:t>
            </w:r>
            <w:r w:rsidR="00A33B9F" w:rsidRPr="00A33B9F">
              <w:rPr>
                <w:rStyle w:val="normaltextrun"/>
                <w:rFonts w:ascii="Times New Roman" w:hAnsi="Times New Roman"/>
                <w:noProof/>
                <w:color w:val="000000" w:themeColor="text1"/>
                <w:sz w:val="18"/>
              </w:rPr>
              <w:t xml:space="preserve"> i ger</w:t>
            </w:r>
            <w:r w:rsidRPr="00A33B9F">
              <w:rPr>
                <w:rStyle w:val="normaltextrun"/>
                <w:rFonts w:ascii="Times New Roman" w:hAnsi="Times New Roman"/>
                <w:noProof/>
                <w:color w:val="000000" w:themeColor="text1"/>
                <w:sz w:val="18"/>
              </w:rPr>
              <w:t>iatrycznej</w:t>
            </w:r>
            <w:r w:rsidR="00A33B9F" w:rsidRPr="00A33B9F">
              <w:rPr>
                <w:rStyle w:val="normaltextrun"/>
                <w:rFonts w:ascii="Times New Roman" w:hAnsi="Times New Roman"/>
                <w:noProof/>
                <w:color w:val="000000" w:themeColor="text1"/>
                <w:sz w:val="18"/>
              </w:rPr>
              <w:t xml:space="preserve"> w szp</w:t>
            </w:r>
            <w:r w:rsidRPr="00A33B9F">
              <w:rPr>
                <w:rStyle w:val="normaltextrun"/>
                <w:rFonts w:ascii="Times New Roman" w:hAnsi="Times New Roman"/>
                <w:noProof/>
                <w:color w:val="000000" w:themeColor="text1"/>
                <w:sz w:val="18"/>
              </w:rPr>
              <w:t>italach powiatowych na podstawie wyników przeglądu</w:t>
            </w:r>
            <w:r w:rsidRPr="00A33B9F">
              <w:rPr>
                <w:rStyle w:val="eop"/>
                <w:rFonts w:ascii="Times New Roman" w:hAnsi="Times New Roman"/>
                <w:noProof/>
                <w:color w:val="000000" w:themeColor="text1"/>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67AEB2" w14:textId="04996976"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ustawodawczym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41CB72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8AA7D2D"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2A23B7E"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02FF158"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E3062E1" w14:textId="211A4A05"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181F5B" w14:textId="51FA0802" w:rsidR="00736BBF" w:rsidRPr="00A33B9F" w:rsidRDefault="00736BBF" w:rsidP="00736BBF">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aktu ustawodawczego na podstawie wyników przeglądu potencjału ustanowienia jednostek/ośrodków opieki długoterminowej</w:t>
            </w:r>
            <w:r w:rsidR="00A33B9F" w:rsidRPr="00A33B9F">
              <w:rPr>
                <w:rStyle w:val="normaltextrun"/>
                <w:rFonts w:ascii="Times New Roman" w:hAnsi="Times New Roman"/>
                <w:noProof/>
                <w:color w:val="000000" w:themeColor="text1"/>
                <w:sz w:val="18"/>
              </w:rPr>
              <w:t xml:space="preserve"> i ger</w:t>
            </w:r>
            <w:r w:rsidRPr="00A33B9F">
              <w:rPr>
                <w:rStyle w:val="normaltextrun"/>
                <w:rFonts w:ascii="Times New Roman" w:hAnsi="Times New Roman"/>
                <w:noProof/>
                <w:color w:val="000000" w:themeColor="text1"/>
                <w:sz w:val="18"/>
              </w:rPr>
              <w:t>iatrycznej</w:t>
            </w:r>
            <w:r w:rsidR="00A33B9F" w:rsidRPr="00A33B9F">
              <w:rPr>
                <w:rStyle w:val="normaltextrun"/>
                <w:rFonts w:ascii="Times New Roman" w:hAnsi="Times New Roman"/>
                <w:noProof/>
                <w:color w:val="000000" w:themeColor="text1"/>
                <w:sz w:val="18"/>
              </w:rPr>
              <w:t xml:space="preserve"> w szp</w:t>
            </w:r>
            <w:r w:rsidRPr="00A33B9F">
              <w:rPr>
                <w:rStyle w:val="normaltextrun"/>
                <w:rFonts w:ascii="Times New Roman" w:hAnsi="Times New Roman"/>
                <w:noProof/>
                <w:color w:val="000000" w:themeColor="text1"/>
                <w:sz w:val="18"/>
              </w:rPr>
              <w:t>italach powiatowych</w:t>
            </w:r>
            <w:r w:rsidR="00A33B9F" w:rsidRPr="00A33B9F">
              <w:rPr>
                <w:rStyle w:val="normaltextrun"/>
                <w:rFonts w:ascii="Times New Roman" w:hAnsi="Times New Roman"/>
                <w:noProof/>
                <w:color w:val="000000" w:themeColor="text1"/>
                <w:sz w:val="18"/>
              </w:rPr>
              <w:t xml:space="preserve"> w Pol</w:t>
            </w:r>
            <w:r w:rsidRPr="00A33B9F">
              <w:rPr>
                <w:rStyle w:val="normaltextrun"/>
                <w:rFonts w:ascii="Times New Roman" w:hAnsi="Times New Roman"/>
                <w:noProof/>
                <w:color w:val="000000" w:themeColor="text1"/>
                <w:sz w:val="18"/>
              </w:rPr>
              <w:t>sce. W ustawie zostanie określone,</w:t>
            </w:r>
            <w:r w:rsidR="00A33B9F" w:rsidRPr="00A33B9F">
              <w:rPr>
                <w:rStyle w:val="normaltextrun"/>
                <w:rFonts w:ascii="Times New Roman" w:hAnsi="Times New Roman"/>
                <w:noProof/>
                <w:color w:val="000000" w:themeColor="text1"/>
                <w:sz w:val="18"/>
              </w:rPr>
              <w:t xml:space="preserve"> w jak</w:t>
            </w:r>
            <w:r w:rsidRPr="00A33B9F">
              <w:rPr>
                <w:rStyle w:val="normaltextrun"/>
                <w:rFonts w:ascii="Times New Roman" w:hAnsi="Times New Roman"/>
                <w:noProof/>
                <w:color w:val="000000" w:themeColor="text1"/>
                <w:sz w:val="18"/>
              </w:rPr>
              <w:t>i sposób wsparcie na rzecz ustanowienia jednostek lub ośrodków opieki długoterminowej</w:t>
            </w:r>
            <w:r w:rsidR="00A33B9F" w:rsidRPr="00A33B9F">
              <w:rPr>
                <w:rStyle w:val="normaltextrun"/>
                <w:rFonts w:ascii="Times New Roman" w:hAnsi="Times New Roman"/>
                <w:noProof/>
                <w:color w:val="000000" w:themeColor="text1"/>
                <w:sz w:val="18"/>
              </w:rPr>
              <w:t xml:space="preserve"> i ger</w:t>
            </w:r>
            <w:r w:rsidRPr="00A33B9F">
              <w:rPr>
                <w:rStyle w:val="normaltextrun"/>
                <w:rFonts w:ascii="Times New Roman" w:hAnsi="Times New Roman"/>
                <w:noProof/>
                <w:color w:val="000000" w:themeColor="text1"/>
                <w:sz w:val="18"/>
              </w:rPr>
              <w:t>iatrycznej</w:t>
            </w:r>
            <w:r w:rsidR="00A33B9F" w:rsidRPr="00A33B9F">
              <w:rPr>
                <w:rStyle w:val="normaltextrun"/>
                <w:rFonts w:ascii="Times New Roman" w:hAnsi="Times New Roman"/>
                <w:noProof/>
                <w:color w:val="000000" w:themeColor="text1"/>
                <w:sz w:val="18"/>
              </w:rPr>
              <w:t xml:space="preserve"> w szp</w:t>
            </w:r>
            <w:r w:rsidRPr="00A33B9F">
              <w:rPr>
                <w:rStyle w:val="normaltextrun"/>
                <w:rFonts w:ascii="Times New Roman" w:hAnsi="Times New Roman"/>
                <w:noProof/>
                <w:color w:val="000000" w:themeColor="text1"/>
                <w:sz w:val="18"/>
              </w:rPr>
              <w:t>italach powiatowych przyczyni się do poprawy zapewniania opieki, m.in. seniorom, na szczeblu lokalnym.</w:t>
            </w:r>
            <w:r w:rsidR="00C3621A" w:rsidRPr="00A33B9F">
              <w:rPr>
                <w:rStyle w:val="normaltextrun"/>
                <w:rFonts w:ascii="Times New Roman" w:hAnsi="Times New Roman"/>
                <w:noProof/>
                <w:color w:val="000000" w:themeColor="text1"/>
                <w:sz w:val="18"/>
              </w:rPr>
              <w:t xml:space="preserve"> </w:t>
            </w:r>
          </w:p>
          <w:p w14:paraId="323CC72B" w14:textId="7F70D9C8"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Akt ustawodawczy będzie zgodny</w:t>
            </w:r>
            <w:r w:rsidR="00A33B9F" w:rsidRPr="00A33B9F">
              <w:rPr>
                <w:rFonts w:ascii="Times New Roman" w:hAnsi="Times New Roman"/>
                <w:noProof/>
                <w:color w:val="000000" w:themeColor="text1"/>
                <w:sz w:val="18"/>
              </w:rPr>
              <w:t xml:space="preserve"> z zał</w:t>
            </w:r>
            <w:r w:rsidRPr="00A33B9F">
              <w:rPr>
                <w:rFonts w:ascii="Times New Roman" w:hAnsi="Times New Roman"/>
                <w:noProof/>
                <w:color w:val="000000" w:themeColor="text1"/>
                <w:sz w:val="18"/>
              </w:rPr>
              <w:t>ożeniami dokumentu „Zdrowa Przyszłość. Ramy strategiczne dla systemu ochrony zdrowia na lata 2021–2027”.</w:t>
            </w:r>
          </w:p>
        </w:tc>
      </w:tr>
      <w:tr w:rsidR="008C116B" w:rsidRPr="00A33B9F" w14:paraId="42539413"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53FF3A" w14:textId="69077AE9"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D3L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5DD28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D1.2.1 Rozwój opieki długoterminowej poprzez modernizację infrastruktury podmiotów leczniczych na poziomie powiatowym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F371D0"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3BFC0C" w14:textId="7B22B393"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Wykaz szpitali powiatowych wybranych do uzyskania dodatkowego wsparcia na utworzenie łóżek opieki długoterminowej</w:t>
            </w:r>
            <w:r w:rsidR="00A33B9F" w:rsidRPr="00A33B9F">
              <w:rPr>
                <w:rStyle w:val="normaltextrun"/>
                <w:rFonts w:ascii="Times New Roman" w:hAnsi="Times New Roman"/>
                <w:noProof/>
                <w:color w:val="000000" w:themeColor="text1"/>
                <w:sz w:val="18"/>
              </w:rPr>
              <w:t xml:space="preserve"> i ger</w:t>
            </w:r>
            <w:r w:rsidRPr="00A33B9F">
              <w:rPr>
                <w:rStyle w:val="normaltextrun"/>
                <w:rFonts w:ascii="Times New Roman" w:hAnsi="Times New Roman"/>
                <w:noProof/>
                <w:color w:val="000000" w:themeColor="text1"/>
                <w:sz w:val="18"/>
              </w:rPr>
              <w:t>iatrycznej na podstawie szczegółowych kryteriów kwalifikacji</w:t>
            </w:r>
            <w:r w:rsidRPr="00A33B9F">
              <w:rPr>
                <w:rStyle w:val="eop"/>
                <w:rFonts w:ascii="Times New Roman" w:hAnsi="Times New Roman"/>
                <w:noProof/>
                <w:color w:val="000000" w:themeColor="text1"/>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D660D2C"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Publikacja wykazu wybranych szpitali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7F35E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5EC67C"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325A8CB"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F1349A"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4D07E19"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0B5AC" w14:textId="5D54B3CA" w:rsidR="003A074A" w:rsidRPr="00A33B9F" w:rsidRDefault="59F1D560" w:rsidP="7A2BD239">
            <w:pPr>
              <w:pStyle w:val="Normal0"/>
              <w:pBdr>
                <w:top w:val="nil"/>
                <w:left w:val="nil"/>
                <w:bottom w:val="nil"/>
                <w:right w:val="nil"/>
                <w:between w:val="nil"/>
              </w:pBdr>
              <w:spacing w:after="0" w:line="240" w:lineRule="auto"/>
              <w:rPr>
                <w:rStyle w:val="normaltextrun"/>
                <w:rFonts w:ascii="Times New Roman" w:hAnsi="Times New Roman" w:cs="Times New Roman"/>
                <w:noProof/>
                <w:color w:val="000000"/>
                <w:sz w:val="18"/>
                <w:szCs w:val="18"/>
              </w:rPr>
            </w:pPr>
            <w:r w:rsidRPr="00A33B9F">
              <w:rPr>
                <w:rStyle w:val="normaltextrun"/>
                <w:rFonts w:ascii="Times New Roman" w:hAnsi="Times New Roman"/>
                <w:noProof/>
                <w:color w:val="000000" w:themeColor="text1"/>
                <w:sz w:val="18"/>
              </w:rPr>
              <w:t>Opracowany zostanie wykaz szpitali powiatowych wybranych do uzyskania dodatkowego wsparcia na utworzenie łóżek opieki długoterminowej</w:t>
            </w:r>
            <w:r w:rsidR="00A33B9F" w:rsidRPr="00A33B9F">
              <w:rPr>
                <w:rStyle w:val="normaltextrun"/>
                <w:rFonts w:ascii="Times New Roman" w:hAnsi="Times New Roman"/>
                <w:noProof/>
                <w:color w:val="000000" w:themeColor="text1"/>
                <w:sz w:val="18"/>
              </w:rPr>
              <w:t xml:space="preserve"> i ger</w:t>
            </w:r>
            <w:r w:rsidRPr="00A33B9F">
              <w:rPr>
                <w:rStyle w:val="normaltextrun"/>
                <w:rFonts w:ascii="Times New Roman" w:hAnsi="Times New Roman"/>
                <w:noProof/>
                <w:color w:val="000000" w:themeColor="text1"/>
                <w:sz w:val="18"/>
              </w:rPr>
              <w:t>iatrycznej. Wybór będzie się opierał na zestawie jasnych</w:t>
            </w:r>
            <w:r w:rsidR="00A33B9F" w:rsidRPr="00A33B9F">
              <w:rPr>
                <w:rStyle w:val="normaltextrun"/>
                <w:rFonts w:ascii="Times New Roman" w:hAnsi="Times New Roman"/>
                <w:noProof/>
                <w:color w:val="000000" w:themeColor="text1"/>
                <w:sz w:val="18"/>
              </w:rPr>
              <w:t xml:space="preserve"> i prz</w:t>
            </w:r>
            <w:r w:rsidRPr="00A33B9F">
              <w:rPr>
                <w:rStyle w:val="normaltextrun"/>
                <w:rFonts w:ascii="Times New Roman" w:hAnsi="Times New Roman"/>
                <w:noProof/>
                <w:color w:val="000000" w:themeColor="text1"/>
                <w:sz w:val="18"/>
              </w:rPr>
              <w:t>ejrzystych kryteriów. Kryteria będą obejmowały warunki lokalne dotyczące:</w:t>
            </w:r>
            <w:r w:rsidR="00C3621A" w:rsidRPr="00A33B9F">
              <w:rPr>
                <w:rStyle w:val="scxw256459143"/>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tendencji demograficznych,</w:t>
            </w:r>
            <w:r w:rsidR="00C3621A" w:rsidRPr="00A33B9F">
              <w:rPr>
                <w:rStyle w:val="scxw256459143"/>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gęstości zaludnienia,</w:t>
            </w:r>
            <w:r w:rsidR="00C3621A" w:rsidRPr="00A33B9F">
              <w:rPr>
                <w:rStyle w:val="scxw256459143"/>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potrzeb</w:t>
            </w:r>
            <w:r w:rsidR="00A33B9F" w:rsidRPr="00A33B9F">
              <w:rPr>
                <w:rStyle w:val="normaltextrun"/>
                <w:rFonts w:ascii="Times New Roman" w:hAnsi="Times New Roman"/>
                <w:noProof/>
                <w:color w:val="000000" w:themeColor="text1"/>
                <w:sz w:val="18"/>
              </w:rPr>
              <w:t xml:space="preserve"> w zak</w:t>
            </w:r>
            <w:r w:rsidRPr="00A33B9F">
              <w:rPr>
                <w:rStyle w:val="normaltextrun"/>
                <w:rFonts w:ascii="Times New Roman" w:hAnsi="Times New Roman"/>
                <w:noProof/>
                <w:color w:val="000000" w:themeColor="text1"/>
                <w:sz w:val="18"/>
              </w:rPr>
              <w:t>resie opieki długoterminowej,</w:t>
            </w:r>
            <w:r w:rsidR="00C3621A" w:rsidRPr="00A33B9F">
              <w:rPr>
                <w:rStyle w:val="scxw256459143"/>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stanu nasycenia usługami opieki długoterminowej/geriatrycznej,</w:t>
            </w:r>
            <w:r w:rsidRPr="00A33B9F">
              <w:rPr>
                <w:noProof/>
              </w:rPr>
              <w:t xml:space="preserve"> </w:t>
            </w:r>
            <w:r w:rsidRPr="00A33B9F">
              <w:rPr>
                <w:noProof/>
              </w:rPr>
              <w:br/>
            </w:r>
            <w:r w:rsidRPr="00A33B9F">
              <w:rPr>
                <w:rStyle w:val="normaltextrun"/>
                <w:rFonts w:ascii="Times New Roman" w:hAnsi="Times New Roman"/>
                <w:noProof/>
                <w:color w:val="000000" w:themeColor="text1"/>
                <w:sz w:val="18"/>
              </w:rPr>
              <w:t>– jakości opieki oraz</w:t>
            </w:r>
            <w:r w:rsidR="00C3621A" w:rsidRPr="00A33B9F">
              <w:rPr>
                <w:rStyle w:val="scxw256459143"/>
                <w:rFonts w:ascii="Times New Roman" w:hAnsi="Times New Roman"/>
                <w:noProof/>
                <w:color w:val="000000" w:themeColor="text1"/>
                <w:sz w:val="18"/>
              </w:rPr>
              <w:t xml:space="preserve"> </w:t>
            </w:r>
            <w:r w:rsidRPr="00A33B9F">
              <w:rPr>
                <w:noProof/>
              </w:rPr>
              <w:br/>
            </w:r>
            <w:r w:rsidRPr="00A33B9F">
              <w:rPr>
                <w:rStyle w:val="normaltextrun"/>
                <w:rFonts w:ascii="Times New Roman" w:hAnsi="Times New Roman"/>
                <w:noProof/>
                <w:color w:val="000000" w:themeColor="text1"/>
                <w:sz w:val="18"/>
              </w:rPr>
              <w:t>– zgodności</w:t>
            </w:r>
            <w:r w:rsidR="00A33B9F" w:rsidRPr="00A33B9F">
              <w:rPr>
                <w:rStyle w:val="normaltextrun"/>
                <w:rFonts w:ascii="Times New Roman" w:hAnsi="Times New Roman"/>
                <w:noProof/>
                <w:color w:val="000000" w:themeColor="text1"/>
                <w:sz w:val="18"/>
              </w:rPr>
              <w:t xml:space="preserve"> z pla</w:t>
            </w:r>
            <w:r w:rsidRPr="00A33B9F">
              <w:rPr>
                <w:rStyle w:val="normaltextrun"/>
                <w:rFonts w:ascii="Times New Roman" w:hAnsi="Times New Roman"/>
                <w:noProof/>
                <w:color w:val="000000" w:themeColor="text1"/>
                <w:sz w:val="18"/>
              </w:rPr>
              <w:t>nami restrukturyzacji lub równoważnymi dokumentami dotyczącymi danego szpitala. Równoważny dokument zawiera co najmniej: informacje na temat działań podejmowanych</w:t>
            </w:r>
            <w:r w:rsidR="00A33B9F" w:rsidRPr="00A33B9F">
              <w:rPr>
                <w:rStyle w:val="normaltextrun"/>
                <w:rFonts w:ascii="Times New Roman" w:hAnsi="Times New Roman"/>
                <w:noProof/>
                <w:color w:val="000000" w:themeColor="text1"/>
                <w:sz w:val="18"/>
              </w:rPr>
              <w:t xml:space="preserve"> w cel</w:t>
            </w:r>
            <w:r w:rsidRPr="00A33B9F">
              <w:rPr>
                <w:rStyle w:val="normaltextrun"/>
                <w:rFonts w:ascii="Times New Roman" w:hAnsi="Times New Roman"/>
                <w:noProof/>
                <w:color w:val="000000" w:themeColor="text1"/>
                <w:sz w:val="18"/>
              </w:rPr>
              <w:t>u zapewnienia dobrej kondycji finansowej</w:t>
            </w:r>
          </w:p>
          <w:p w14:paraId="2B765496" w14:textId="5C75A45A" w:rsidR="003A074A" w:rsidRPr="00A33B9F" w:rsidRDefault="5789F075" w:rsidP="7A2BD239">
            <w:pPr>
              <w:pStyle w:val="Normal0"/>
              <w:pBdr>
                <w:top w:val="nil"/>
                <w:left w:val="nil"/>
                <w:bottom w:val="nil"/>
                <w:right w:val="nil"/>
                <w:between w:val="nil"/>
              </w:pBdr>
              <w:spacing w:after="0" w:line="240" w:lineRule="auto"/>
              <w:rPr>
                <w:rStyle w:val="normaltextrun"/>
                <w:rFonts w:ascii="Times New Roman" w:hAnsi="Times New Roman" w:cs="Times New Roman"/>
                <w:noProof/>
                <w:color w:val="000000"/>
                <w:sz w:val="18"/>
                <w:szCs w:val="18"/>
              </w:rPr>
            </w:pPr>
            <w:r w:rsidRPr="00A33B9F">
              <w:rPr>
                <w:rStyle w:val="normaltextrun"/>
                <w:rFonts w:ascii="Times New Roman" w:hAnsi="Times New Roman"/>
                <w:noProof/>
                <w:color w:val="000000" w:themeColor="text1"/>
                <w:sz w:val="18"/>
              </w:rPr>
              <w:t>danego szpitala, uwzględniając szczegółowe informacje na temat charakteru tych działań, terminu ich realizacji, powiązanych</w:t>
            </w:r>
            <w:r w:rsidR="00A33B9F" w:rsidRPr="00A33B9F">
              <w:rPr>
                <w:rStyle w:val="normaltextrun"/>
                <w:rFonts w:ascii="Times New Roman" w:hAnsi="Times New Roman"/>
                <w:noProof/>
                <w:color w:val="000000" w:themeColor="text1"/>
                <w:sz w:val="18"/>
              </w:rPr>
              <w:t xml:space="preserve"> z nim</w:t>
            </w:r>
            <w:r w:rsidRPr="00A33B9F">
              <w:rPr>
                <w:rStyle w:val="normaltextrun"/>
                <w:rFonts w:ascii="Times New Roman" w:hAnsi="Times New Roman"/>
                <w:noProof/>
                <w:color w:val="000000" w:themeColor="text1"/>
                <w:sz w:val="18"/>
              </w:rPr>
              <w:t>i kosztów</w:t>
            </w:r>
            <w:r w:rsidR="00A33B9F" w:rsidRPr="00A33B9F">
              <w:rPr>
                <w:rStyle w:val="normaltextrun"/>
                <w:rFonts w:ascii="Times New Roman" w:hAnsi="Times New Roman"/>
                <w:noProof/>
                <w:color w:val="000000" w:themeColor="text1"/>
                <w:sz w:val="18"/>
              </w:rPr>
              <w:t xml:space="preserve"> i ocz</w:t>
            </w:r>
            <w:r w:rsidRPr="00A33B9F">
              <w:rPr>
                <w:rStyle w:val="normaltextrun"/>
                <w:rFonts w:ascii="Times New Roman" w:hAnsi="Times New Roman"/>
                <w:noProof/>
                <w:color w:val="000000" w:themeColor="text1"/>
                <w:sz w:val="18"/>
              </w:rPr>
              <w:t>ekiwanych</w:t>
            </w:r>
          </w:p>
          <w:p w14:paraId="7E2841AF" w14:textId="642AB9AE" w:rsidR="00736BBF" w:rsidRPr="00A33B9F" w:rsidRDefault="057002F2" w:rsidP="7A2BD239">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wyników finansowych, organu odpowiedzialnego za ich podjęcie oraz ustaleń</w:t>
            </w:r>
            <w:r w:rsidR="00A33B9F" w:rsidRPr="00A33B9F">
              <w:rPr>
                <w:rStyle w:val="normaltextrun"/>
                <w:rFonts w:ascii="Times New Roman" w:hAnsi="Times New Roman"/>
                <w:noProof/>
                <w:color w:val="000000" w:themeColor="text1"/>
                <w:sz w:val="18"/>
              </w:rPr>
              <w:t xml:space="preserve"> w zak</w:t>
            </w:r>
            <w:r w:rsidRPr="00A33B9F">
              <w:rPr>
                <w:rStyle w:val="normaltextrun"/>
                <w:rFonts w:ascii="Times New Roman" w:hAnsi="Times New Roman"/>
                <w:noProof/>
                <w:color w:val="000000" w:themeColor="text1"/>
                <w:sz w:val="18"/>
              </w:rPr>
              <w:t>resie monitorowania.</w:t>
            </w:r>
          </w:p>
        </w:tc>
      </w:tr>
      <w:tr w:rsidR="008C116B" w:rsidRPr="00A33B9F" w14:paraId="4A112EFD"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D04761" w14:textId="5F0326BE"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D4L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CE657A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D1.2.1 Rozwój opieki długoterminowej poprzez modernizację infrastruktury podmiotów leczniczych na poziomie powiatowym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7A6F39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9FCB3C" w14:textId="5D1777C8"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sz w:val="18"/>
              </w:rPr>
              <w:t>Umowy podpisane między szpitalami powiatowymi</w:t>
            </w:r>
            <w:r w:rsidR="00A33B9F" w:rsidRPr="00A33B9F">
              <w:rPr>
                <w:rStyle w:val="normaltextrun"/>
                <w:rFonts w:ascii="Times New Roman" w:hAnsi="Times New Roman"/>
                <w:noProof/>
                <w:color w:val="000000"/>
                <w:sz w:val="18"/>
              </w:rPr>
              <w:t xml:space="preserve"> a Min</w:t>
            </w:r>
            <w:r w:rsidRPr="00A33B9F">
              <w:rPr>
                <w:rStyle w:val="normaltextrun"/>
                <w:rFonts w:ascii="Times New Roman" w:hAnsi="Times New Roman"/>
                <w:noProof/>
                <w:color w:val="000000"/>
                <w:sz w:val="18"/>
              </w:rPr>
              <w:t>isterstwem Zdrowia (lub inną instytucją wskazaną przez Ministerstwo) dotyczące wsparcia inwestycyjnego na rzecz tworzenia jednostek/ośrodków opieki długoterminowej</w:t>
            </w:r>
            <w:r w:rsidR="00A33B9F" w:rsidRPr="00A33B9F">
              <w:rPr>
                <w:rStyle w:val="normaltextrun"/>
                <w:rFonts w:ascii="Times New Roman" w:hAnsi="Times New Roman"/>
                <w:noProof/>
                <w:color w:val="000000"/>
                <w:sz w:val="18"/>
              </w:rPr>
              <w:t xml:space="preserve"> i ger</w:t>
            </w:r>
            <w:r w:rsidRPr="00A33B9F">
              <w:rPr>
                <w:rStyle w:val="normaltextrun"/>
                <w:rFonts w:ascii="Times New Roman" w:hAnsi="Times New Roman"/>
                <w:noProof/>
                <w:color w:val="000000"/>
                <w:sz w:val="18"/>
              </w:rPr>
              <w:t>iatrycznej</w:t>
            </w:r>
            <w:r w:rsidRPr="00A33B9F">
              <w:rPr>
                <w:rStyle w:val="eop"/>
                <w:rFonts w:ascii="Times New Roman" w:hAnsi="Times New Roman"/>
                <w:noProof/>
                <w:color w:val="000000"/>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7B3178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B851DD4"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98C3B7"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B6555B"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D2D875"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5709DDA"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70CD3DC" w14:textId="265179AC" w:rsidR="00736BBF" w:rsidRPr="00A33B9F" w:rsidRDefault="00736BBF" w:rsidP="00736BBF">
            <w:pPr>
              <w:pStyle w:val="paragraph"/>
              <w:spacing w:before="0" w:beforeAutospacing="0" w:after="0" w:afterAutospacing="0"/>
              <w:textAlignment w:val="baseline"/>
              <w:rPr>
                <w:noProof/>
                <w:sz w:val="18"/>
                <w:szCs w:val="18"/>
              </w:rPr>
            </w:pPr>
            <w:r w:rsidRPr="00A33B9F">
              <w:rPr>
                <w:rStyle w:val="normaltextrun"/>
                <w:noProof/>
                <w:color w:val="000000"/>
                <w:sz w:val="18"/>
              </w:rPr>
              <w:t>Liczba podpisanych umów na działania inwestycyjne Umowa zostanie podpisana między szpitalem</w:t>
            </w:r>
            <w:r w:rsidR="00A33B9F" w:rsidRPr="00A33B9F">
              <w:rPr>
                <w:rStyle w:val="normaltextrun"/>
                <w:noProof/>
                <w:color w:val="000000"/>
                <w:sz w:val="18"/>
              </w:rPr>
              <w:t xml:space="preserve"> a Min</w:t>
            </w:r>
            <w:r w:rsidRPr="00A33B9F">
              <w:rPr>
                <w:rStyle w:val="normaltextrun"/>
                <w:noProof/>
                <w:color w:val="000000"/>
                <w:sz w:val="18"/>
              </w:rPr>
              <w:t>isterstwem Zdrowia (lub inną instytucją wskazaną przez Ministerstwo).</w:t>
            </w:r>
            <w:r w:rsidRPr="00A33B9F">
              <w:rPr>
                <w:rStyle w:val="eop"/>
                <w:noProof/>
                <w:color w:val="000000"/>
                <w:sz w:val="18"/>
              </w:rPr>
              <w:t xml:space="preserve"> </w:t>
            </w:r>
          </w:p>
          <w:p w14:paraId="59380833" w14:textId="25E207CF" w:rsidR="00736BBF" w:rsidRPr="00A33B9F" w:rsidRDefault="00C3621A"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Style w:val="scxw256459143"/>
                <w:rFonts w:ascii="Times New Roman" w:hAnsi="Times New Roman"/>
                <w:noProof/>
                <w:sz w:val="18"/>
              </w:rPr>
              <w:t xml:space="preserve"> </w:t>
            </w:r>
            <w:r w:rsidR="00736BBF" w:rsidRPr="00A33B9F">
              <w:rPr>
                <w:noProof/>
              </w:rPr>
              <w:br/>
            </w:r>
            <w:r w:rsidR="00736BBF" w:rsidRPr="00A33B9F">
              <w:rPr>
                <w:rStyle w:val="normaltextrun"/>
                <w:rFonts w:ascii="Times New Roman" w:hAnsi="Times New Roman"/>
                <w:noProof/>
                <w:color w:val="000000"/>
                <w:sz w:val="18"/>
              </w:rPr>
              <w:t>Umowy będą oparte na przejrzystych</w:t>
            </w:r>
            <w:r w:rsidR="00A33B9F" w:rsidRPr="00A33B9F">
              <w:rPr>
                <w:rStyle w:val="normaltextrun"/>
                <w:rFonts w:ascii="Times New Roman" w:hAnsi="Times New Roman"/>
                <w:noProof/>
                <w:color w:val="000000"/>
                <w:sz w:val="18"/>
              </w:rPr>
              <w:t xml:space="preserve"> i jas</w:t>
            </w:r>
            <w:r w:rsidR="00736BBF" w:rsidRPr="00A33B9F">
              <w:rPr>
                <w:rStyle w:val="normaltextrun"/>
                <w:rFonts w:ascii="Times New Roman" w:hAnsi="Times New Roman"/>
                <w:noProof/>
                <w:color w:val="000000"/>
                <w:sz w:val="18"/>
              </w:rPr>
              <w:t>nych postanowieniach oraz przyczynią się do osiągnięcia celu, jakim jest rozwijanie usług zapewniania opieki długoterminowej</w:t>
            </w:r>
            <w:r w:rsidR="00A33B9F" w:rsidRPr="00A33B9F">
              <w:rPr>
                <w:rStyle w:val="normaltextrun"/>
                <w:rFonts w:ascii="Times New Roman" w:hAnsi="Times New Roman"/>
                <w:noProof/>
                <w:color w:val="000000"/>
                <w:sz w:val="18"/>
              </w:rPr>
              <w:t xml:space="preserve"> i ger</w:t>
            </w:r>
            <w:r w:rsidR="00736BBF" w:rsidRPr="00A33B9F">
              <w:rPr>
                <w:rStyle w:val="normaltextrun"/>
                <w:rFonts w:ascii="Times New Roman" w:hAnsi="Times New Roman"/>
                <w:noProof/>
                <w:color w:val="000000"/>
                <w:sz w:val="18"/>
              </w:rPr>
              <w:t>iatrycznej. Inwestycja zapewni wsparcie dla niezbędnych prac budowlano-remontowych oraz dla zakupu sprzętu.</w:t>
            </w:r>
            <w:r w:rsidRPr="00A33B9F">
              <w:rPr>
                <w:rStyle w:val="normaltextrun"/>
                <w:rFonts w:ascii="Times New Roman" w:hAnsi="Times New Roman"/>
                <w:noProof/>
                <w:color w:val="000000"/>
                <w:sz w:val="18"/>
              </w:rPr>
              <w:t xml:space="preserve"> </w:t>
            </w:r>
          </w:p>
        </w:tc>
      </w:tr>
      <w:tr w:rsidR="008C116B" w:rsidRPr="00A33B9F" w14:paraId="6A865040"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123EB3D" w14:textId="16F228A8"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noProof/>
                <w:sz w:val="18"/>
              </w:rPr>
              <w:t>D5L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98961D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D1.2.1 Rozwój opieki długoterminowej poprzez modernizację infrastruktury podmiotów leczniczych na poziomie powiatowym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67824CC"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359A7A" w14:textId="082E8A10"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Style w:val="normaltextrun"/>
                <w:rFonts w:ascii="Times New Roman" w:hAnsi="Times New Roman"/>
                <w:noProof/>
                <w:color w:val="000000"/>
                <w:sz w:val="18"/>
              </w:rPr>
              <w:t>Zakończone projekty mające na celu rozwój opieki długoterminowej</w:t>
            </w:r>
            <w:r w:rsidR="00A33B9F" w:rsidRPr="00A33B9F">
              <w:rPr>
                <w:rStyle w:val="normaltextrun"/>
                <w:rFonts w:ascii="Times New Roman" w:hAnsi="Times New Roman"/>
                <w:noProof/>
                <w:color w:val="000000"/>
                <w:sz w:val="18"/>
              </w:rPr>
              <w:t xml:space="preserve"> i ger</w:t>
            </w:r>
            <w:r w:rsidRPr="00A33B9F">
              <w:rPr>
                <w:rStyle w:val="normaltextrun"/>
                <w:rFonts w:ascii="Times New Roman" w:hAnsi="Times New Roman"/>
                <w:noProof/>
                <w:color w:val="000000"/>
                <w:sz w:val="18"/>
              </w:rPr>
              <w:t>iatrycznej</w:t>
            </w:r>
            <w:r w:rsidR="00A33B9F" w:rsidRPr="00A33B9F">
              <w:rPr>
                <w:rStyle w:val="normaltextrun"/>
                <w:rFonts w:ascii="Times New Roman" w:hAnsi="Times New Roman"/>
                <w:noProof/>
                <w:color w:val="000000"/>
                <w:sz w:val="18"/>
              </w:rPr>
              <w:t xml:space="preserve"> w szp</w:t>
            </w:r>
            <w:r w:rsidRPr="00A33B9F">
              <w:rPr>
                <w:rStyle w:val="normaltextrun"/>
                <w:rFonts w:ascii="Times New Roman" w:hAnsi="Times New Roman"/>
                <w:noProof/>
                <w:color w:val="000000"/>
                <w:sz w:val="18"/>
              </w:rPr>
              <w:t>italach powiatowych</w:t>
            </w:r>
            <w:r w:rsidRPr="00A33B9F">
              <w:rPr>
                <w:rStyle w:val="eop"/>
                <w:rFonts w:ascii="Times New Roman" w:hAnsi="Times New Roman"/>
                <w:noProof/>
                <w:color w:val="000000"/>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8555F5"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837DB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Liczba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19A2F3"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A8E4E1"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E41BBF" w14:textId="77777777" w:rsidR="00736BBF" w:rsidRPr="00A33B9F" w:rsidRDefault="00736BBF" w:rsidP="00730F7D">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E4F88CA" w14:textId="77777777" w:rsidR="00736BBF" w:rsidRPr="00A33B9F" w:rsidRDefault="00736BBF" w:rsidP="00485E30">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427EA5" w14:textId="6369D4EE" w:rsidR="00736BBF" w:rsidRPr="00A33B9F" w:rsidRDefault="009B0437" w:rsidP="00736BBF">
            <w:pPr>
              <w:pStyle w:val="paragraph"/>
              <w:spacing w:before="0" w:beforeAutospacing="0" w:after="0" w:afterAutospacing="0"/>
              <w:textAlignment w:val="baseline"/>
              <w:rPr>
                <w:noProof/>
                <w:color w:val="000000"/>
                <w:sz w:val="18"/>
                <w:szCs w:val="18"/>
              </w:rPr>
            </w:pPr>
            <w:r w:rsidRPr="00A33B9F">
              <w:rPr>
                <w:rStyle w:val="normaltextrun"/>
                <w:noProof/>
                <w:color w:val="000000"/>
                <w:sz w:val="18"/>
              </w:rPr>
              <w:t>Zakończonych zostanie co najmniej 50 projektów na podstawie podpisanych umów.</w:t>
            </w:r>
            <w:r w:rsidR="00C3621A" w:rsidRPr="00A33B9F">
              <w:rPr>
                <w:rStyle w:val="normaltextrun"/>
                <w:noProof/>
                <w:color w:val="000000"/>
                <w:sz w:val="18"/>
              </w:rPr>
              <w:t xml:space="preserve"> </w:t>
            </w:r>
          </w:p>
          <w:p w14:paraId="2BAC6FC9" w14:textId="34E34729" w:rsidR="00736BBF" w:rsidRPr="00A33B9F" w:rsidRDefault="00736BBF" w:rsidP="004D3536">
            <w:pPr>
              <w:pStyle w:val="paragraph"/>
              <w:spacing w:before="0" w:beforeAutospacing="0" w:after="0" w:afterAutospacing="0"/>
              <w:textAlignment w:val="baseline"/>
              <w:rPr>
                <w:noProof/>
                <w:color w:val="000000" w:themeColor="text1"/>
                <w:sz w:val="18"/>
                <w:szCs w:val="18"/>
              </w:rPr>
            </w:pPr>
            <w:r w:rsidRPr="00A33B9F">
              <w:rPr>
                <w:rStyle w:val="normaltextrun"/>
                <w:noProof/>
                <w:color w:val="000000"/>
                <w:sz w:val="18"/>
              </w:rPr>
              <w:t>Projekty powinny przyczyniać się do osiągnięcia celu, jakim jest rozwój opieki długoterminowej</w:t>
            </w:r>
            <w:r w:rsidR="00A33B9F" w:rsidRPr="00A33B9F">
              <w:rPr>
                <w:rStyle w:val="normaltextrun"/>
                <w:noProof/>
                <w:color w:val="000000"/>
                <w:sz w:val="18"/>
              </w:rPr>
              <w:t xml:space="preserve"> i opi</w:t>
            </w:r>
            <w:r w:rsidRPr="00A33B9F">
              <w:rPr>
                <w:rStyle w:val="normaltextrun"/>
                <w:noProof/>
                <w:color w:val="000000"/>
                <w:sz w:val="18"/>
              </w:rPr>
              <w:t>eki geriatrycznej</w:t>
            </w:r>
            <w:r w:rsidR="00A33B9F" w:rsidRPr="00A33B9F">
              <w:rPr>
                <w:rStyle w:val="normaltextrun"/>
                <w:noProof/>
                <w:color w:val="000000"/>
                <w:sz w:val="18"/>
              </w:rPr>
              <w:t xml:space="preserve"> w szp</w:t>
            </w:r>
            <w:r w:rsidRPr="00A33B9F">
              <w:rPr>
                <w:rStyle w:val="normaltextrun"/>
                <w:noProof/>
                <w:color w:val="000000"/>
                <w:sz w:val="18"/>
              </w:rPr>
              <w:t>italach powiatowych przez zwiększenie jej dostępności, wspieranie kompleksowego dostępu</w:t>
            </w:r>
            <w:r w:rsidR="00A33B9F" w:rsidRPr="00A33B9F">
              <w:rPr>
                <w:rStyle w:val="normaltextrun"/>
                <w:noProof/>
                <w:color w:val="000000"/>
                <w:sz w:val="18"/>
              </w:rPr>
              <w:t xml:space="preserve"> i pop</w:t>
            </w:r>
            <w:r w:rsidRPr="00A33B9F">
              <w:rPr>
                <w:rStyle w:val="normaltextrun"/>
                <w:noProof/>
                <w:color w:val="000000"/>
                <w:sz w:val="18"/>
              </w:rPr>
              <w:t>rawę jakości. Projekty te zapewnią wsparcie dla niezbędnych prac budowlano-remontowych oraz dla zakupu sprzętu.</w:t>
            </w:r>
            <w:r w:rsidRPr="00A33B9F">
              <w:rPr>
                <w:rStyle w:val="eop"/>
                <w:noProof/>
                <w:color w:val="000000"/>
                <w:sz w:val="18"/>
              </w:rPr>
              <w:t xml:space="preserve"> </w:t>
            </w:r>
          </w:p>
        </w:tc>
      </w:tr>
      <w:tr w:rsidR="008C116B" w:rsidRPr="00A33B9F" w14:paraId="482A8129"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FA43A6" w14:textId="0638B520"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sidRPr="00A33B9F">
              <w:rPr>
                <w:rFonts w:ascii="Times New Roman" w:hAnsi="Times New Roman"/>
                <w:noProof/>
                <w:sz w:val="18"/>
              </w:rPr>
              <w:t>D6L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6F95854" w14:textId="08AC6B8C"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D3.2 Stworzenie sprzyjających warunków dla rozwoju sektora leków</w:t>
            </w:r>
            <w:r w:rsidR="00A33B9F" w:rsidRPr="00A33B9F">
              <w:rPr>
                <w:rFonts w:ascii="Times New Roman" w:hAnsi="Times New Roman"/>
                <w:noProof/>
                <w:color w:val="000000" w:themeColor="text1"/>
                <w:sz w:val="18"/>
              </w:rPr>
              <w:t xml:space="preserve"> i wyr</w:t>
            </w:r>
            <w:r w:rsidRPr="00A33B9F">
              <w:rPr>
                <w:rFonts w:ascii="Times New Roman" w:hAnsi="Times New Roman"/>
                <w:noProof/>
                <w:color w:val="000000" w:themeColor="text1"/>
                <w:sz w:val="18"/>
              </w:rPr>
              <w:t>obów medycznych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34834F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EE2255" w14:textId="65C519E2" w:rsidR="00736BBF" w:rsidRPr="00A33B9F" w:rsidRDefault="11BD3D58">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Wejście</w:t>
            </w:r>
            <w:r w:rsidR="00A33B9F" w:rsidRPr="00A33B9F">
              <w:rPr>
                <w:rStyle w:val="normaltextrun"/>
                <w:rFonts w:ascii="Times New Roman" w:hAnsi="Times New Roman"/>
                <w:noProof/>
                <w:color w:val="000000" w:themeColor="text1"/>
                <w:sz w:val="18"/>
              </w:rPr>
              <w:t xml:space="preserve"> w życ</w:t>
            </w:r>
            <w:r w:rsidRPr="00A33B9F">
              <w:rPr>
                <w:rStyle w:val="normaltextrun"/>
                <w:rFonts w:ascii="Times New Roman" w:hAnsi="Times New Roman"/>
                <w:noProof/>
                <w:color w:val="000000" w:themeColor="text1"/>
                <w:sz w:val="18"/>
              </w:rPr>
              <w:t>ie aktu ustawodawczego zapewniającego bezpieczeństwo dostaw leków,</w:t>
            </w:r>
            <w:r w:rsidR="00A33B9F" w:rsidRPr="00A33B9F">
              <w:rPr>
                <w:rStyle w:val="normaltextrun"/>
                <w:rFonts w:ascii="Times New Roman" w:hAnsi="Times New Roman"/>
                <w:noProof/>
                <w:color w:val="000000" w:themeColor="text1"/>
                <w:sz w:val="18"/>
              </w:rPr>
              <w:t xml:space="preserve"> w tym</w:t>
            </w:r>
            <w:r w:rsidRPr="00A33B9F">
              <w:rPr>
                <w:rStyle w:val="normaltextrun"/>
                <w:rFonts w:ascii="Times New Roman" w:hAnsi="Times New Roman"/>
                <w:noProof/>
                <w:color w:val="000000" w:themeColor="text1"/>
                <w:sz w:val="18"/>
              </w:rPr>
              <w:t xml:space="preserve"> rozwiązań odnoszących się do niedoborów leków</w:t>
            </w:r>
            <w:r w:rsidR="00A33B9F" w:rsidRPr="00A33B9F">
              <w:rPr>
                <w:rStyle w:val="normaltextrun"/>
                <w:rFonts w:ascii="Times New Roman" w:hAnsi="Times New Roman"/>
                <w:noProof/>
                <w:color w:val="000000" w:themeColor="text1"/>
                <w:sz w:val="18"/>
              </w:rPr>
              <w:t xml:space="preserve"> i klu</w:t>
            </w:r>
            <w:r w:rsidRPr="00A33B9F">
              <w:rPr>
                <w:rStyle w:val="normaltextrun"/>
                <w:rFonts w:ascii="Times New Roman" w:hAnsi="Times New Roman"/>
                <w:noProof/>
                <w:color w:val="000000" w:themeColor="text1"/>
                <w:sz w:val="18"/>
              </w:rPr>
              <w:t>czowych zagrożeń</w:t>
            </w:r>
            <w:r w:rsidR="00A33B9F" w:rsidRPr="00A33B9F">
              <w:rPr>
                <w:rStyle w:val="normaltextrun"/>
                <w:rFonts w:ascii="Times New Roman" w:hAnsi="Times New Roman"/>
                <w:noProof/>
                <w:color w:val="000000" w:themeColor="text1"/>
                <w:sz w:val="18"/>
              </w:rPr>
              <w:t xml:space="preserve"> w ram</w:t>
            </w:r>
            <w:r w:rsidRPr="00A33B9F">
              <w:rPr>
                <w:rStyle w:val="normaltextrun"/>
                <w:rFonts w:ascii="Times New Roman" w:hAnsi="Times New Roman"/>
                <w:noProof/>
                <w:color w:val="000000" w:themeColor="text1"/>
                <w:sz w:val="18"/>
              </w:rPr>
              <w:t>ach łańcuchów dostaw</w:t>
            </w:r>
            <w:r w:rsidRPr="00A33B9F">
              <w:rPr>
                <w:rStyle w:val="eop"/>
                <w:rFonts w:ascii="Times New Roman" w:hAnsi="Times New Roman"/>
                <w:noProof/>
                <w:color w:val="000000" w:themeColor="text1"/>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013C20" w14:textId="40B8EF4D" w:rsidR="00736BBF" w:rsidRPr="00A33B9F" w:rsidRDefault="11BD3D58"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ustawodawczym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C32700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75AC9E2"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13E078"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35A5DF" w14:textId="58A9489D" w:rsidR="00736BBF" w:rsidRPr="00A33B9F"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4CBC82" w14:textId="71538281" w:rsidR="00736BBF" w:rsidRPr="00A33B9F"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3C510F9" w14:textId="398AAAE5" w:rsidR="003C2BE5" w:rsidRPr="00A33B9F" w:rsidRDefault="25274543" w:rsidP="4E569026">
            <w:pPr>
              <w:pStyle w:val="paragraph"/>
              <w:spacing w:before="0" w:beforeAutospacing="0" w:after="0" w:afterAutospacing="0"/>
              <w:textAlignment w:val="baseline"/>
              <w:rPr>
                <w:noProof/>
                <w:sz w:val="18"/>
                <w:szCs w:val="18"/>
              </w:rPr>
            </w:pPr>
            <w:r w:rsidRPr="00A33B9F">
              <w:rPr>
                <w:noProof/>
                <w:sz w:val="18"/>
              </w:rPr>
              <w:t>Wejście</w:t>
            </w:r>
            <w:r w:rsidR="00A33B9F" w:rsidRPr="00A33B9F">
              <w:rPr>
                <w:noProof/>
                <w:sz w:val="18"/>
              </w:rPr>
              <w:t xml:space="preserve"> w życ</w:t>
            </w:r>
            <w:r w:rsidRPr="00A33B9F">
              <w:rPr>
                <w:noProof/>
                <w:sz w:val="18"/>
              </w:rPr>
              <w:t>ie aktu ustawodawczego</w:t>
            </w:r>
            <w:r w:rsidRPr="00A33B9F">
              <w:rPr>
                <w:noProof/>
              </w:rPr>
              <w:t xml:space="preserve"> </w:t>
            </w:r>
            <w:r w:rsidRPr="00A33B9F">
              <w:rPr>
                <w:noProof/>
                <w:sz w:val="18"/>
              </w:rPr>
              <w:t>wprowadzającego</w:t>
            </w:r>
            <w:r w:rsidRPr="00A33B9F">
              <w:rPr>
                <w:noProof/>
              </w:rPr>
              <w:t xml:space="preserve"> </w:t>
            </w:r>
            <w:r w:rsidRPr="00A33B9F">
              <w:rPr>
                <w:noProof/>
                <w:sz w:val="18"/>
              </w:rPr>
              <w:t>ramy regulacyjne mające na celu zwiększenie produkcji</w:t>
            </w:r>
            <w:r w:rsidR="00A33B9F" w:rsidRPr="00A33B9F">
              <w:rPr>
                <w:noProof/>
                <w:sz w:val="18"/>
              </w:rPr>
              <w:t xml:space="preserve"> w Pol</w:t>
            </w:r>
            <w:r w:rsidRPr="00A33B9F">
              <w:rPr>
                <w:noProof/>
                <w:sz w:val="18"/>
              </w:rPr>
              <w:t>sce leków</w:t>
            </w:r>
            <w:r w:rsidR="00A33B9F" w:rsidRPr="00A33B9F">
              <w:rPr>
                <w:noProof/>
                <w:sz w:val="18"/>
              </w:rPr>
              <w:t xml:space="preserve"> i far</w:t>
            </w:r>
            <w:r w:rsidRPr="00A33B9F">
              <w:rPr>
                <w:noProof/>
                <w:sz w:val="18"/>
              </w:rPr>
              <w:t>maceutycznych składników czynnych (API). Przyczyni się to do zwiększenia bezpieczeństwa</w:t>
            </w:r>
            <w:r w:rsidR="00A33B9F" w:rsidRPr="00A33B9F">
              <w:rPr>
                <w:noProof/>
                <w:sz w:val="18"/>
              </w:rPr>
              <w:t xml:space="preserve"> w zak</w:t>
            </w:r>
            <w:r w:rsidRPr="00A33B9F">
              <w:rPr>
                <w:noProof/>
                <w:sz w:val="18"/>
              </w:rPr>
              <w:t>resie podaży leków</w:t>
            </w:r>
            <w:r w:rsidR="00A33B9F" w:rsidRPr="00A33B9F">
              <w:rPr>
                <w:noProof/>
                <w:sz w:val="18"/>
              </w:rPr>
              <w:t xml:space="preserve"> o kry</w:t>
            </w:r>
            <w:r w:rsidRPr="00A33B9F">
              <w:rPr>
                <w:noProof/>
                <w:sz w:val="18"/>
              </w:rPr>
              <w:t xml:space="preserve">tycznym znaczeniu. </w:t>
            </w:r>
          </w:p>
          <w:p w14:paraId="5FD612F7" w14:textId="1D870630" w:rsidR="00736BBF" w:rsidRPr="00A33B9F" w:rsidRDefault="00736BBF" w:rsidP="00736BBF">
            <w:pPr>
              <w:pStyle w:val="paragraph"/>
              <w:spacing w:before="0" w:beforeAutospacing="0" w:after="0" w:afterAutospacing="0"/>
              <w:textAlignment w:val="baseline"/>
              <w:rPr>
                <w:noProof/>
                <w:color w:val="000000" w:themeColor="text1"/>
                <w:sz w:val="18"/>
                <w:szCs w:val="18"/>
              </w:rPr>
            </w:pPr>
            <w:r w:rsidRPr="00A33B9F">
              <w:rPr>
                <w:noProof/>
                <w:sz w:val="18"/>
              </w:rPr>
              <w:t>Akt ten będzie obejmował:</w:t>
            </w:r>
            <w:r w:rsidR="00C3621A" w:rsidRPr="00A33B9F">
              <w:rPr>
                <w:rStyle w:val="scxw256459143"/>
                <w:noProof/>
                <w:color w:val="000000" w:themeColor="text1"/>
                <w:sz w:val="12"/>
              </w:rPr>
              <w:t xml:space="preserve"> </w:t>
            </w:r>
            <w:r w:rsidRPr="00A33B9F">
              <w:rPr>
                <w:noProof/>
              </w:rPr>
              <w:br/>
            </w:r>
            <w:r w:rsidRPr="00A33B9F">
              <w:rPr>
                <w:rStyle w:val="normaltextrun"/>
                <w:noProof/>
                <w:color w:val="000000" w:themeColor="text1"/>
                <w:sz w:val="18"/>
              </w:rPr>
              <w:t>– wzmocnienie ram analitycznych</w:t>
            </w:r>
            <w:r w:rsidR="00A33B9F" w:rsidRPr="00A33B9F">
              <w:rPr>
                <w:rStyle w:val="normaltextrun"/>
                <w:noProof/>
                <w:color w:val="000000" w:themeColor="text1"/>
                <w:sz w:val="18"/>
              </w:rPr>
              <w:t xml:space="preserve"> w cel</w:t>
            </w:r>
            <w:r w:rsidRPr="00A33B9F">
              <w:rPr>
                <w:rStyle w:val="normaltextrun"/>
                <w:noProof/>
                <w:color w:val="000000" w:themeColor="text1"/>
                <w:sz w:val="18"/>
              </w:rPr>
              <w:t>u wskazania luk</w:t>
            </w:r>
            <w:r w:rsidR="00A33B9F" w:rsidRPr="00A33B9F">
              <w:rPr>
                <w:rStyle w:val="normaltextrun"/>
                <w:noProof/>
                <w:color w:val="000000" w:themeColor="text1"/>
                <w:sz w:val="18"/>
              </w:rPr>
              <w:t xml:space="preserve"> i zag</w:t>
            </w:r>
            <w:r w:rsidRPr="00A33B9F">
              <w:rPr>
                <w:rStyle w:val="normaltextrun"/>
                <w:noProof/>
                <w:color w:val="000000" w:themeColor="text1"/>
                <w:sz w:val="18"/>
              </w:rPr>
              <w:t>rożeń dotyczących podaży API</w:t>
            </w:r>
            <w:r w:rsidR="00A33B9F" w:rsidRPr="00A33B9F">
              <w:rPr>
                <w:rStyle w:val="normaltextrun"/>
                <w:noProof/>
                <w:color w:val="000000" w:themeColor="text1"/>
                <w:sz w:val="18"/>
              </w:rPr>
              <w:t xml:space="preserve"> o kry</w:t>
            </w:r>
            <w:r w:rsidRPr="00A33B9F">
              <w:rPr>
                <w:rStyle w:val="normaltextrun"/>
                <w:noProof/>
                <w:color w:val="000000" w:themeColor="text1"/>
                <w:sz w:val="18"/>
              </w:rPr>
              <w:t>tycznym znaczeniu</w:t>
            </w:r>
            <w:r w:rsidR="00A33B9F" w:rsidRPr="00A33B9F">
              <w:rPr>
                <w:rStyle w:val="normaltextrun"/>
                <w:noProof/>
                <w:color w:val="000000" w:themeColor="text1"/>
                <w:sz w:val="18"/>
              </w:rPr>
              <w:t xml:space="preserve"> w Pol</w:t>
            </w:r>
            <w:r w:rsidRPr="00A33B9F">
              <w:rPr>
                <w:rStyle w:val="normaltextrun"/>
                <w:noProof/>
                <w:color w:val="000000" w:themeColor="text1"/>
                <w:sz w:val="18"/>
              </w:rPr>
              <w:t>sce,</w:t>
            </w:r>
            <w:r w:rsidR="00A33B9F" w:rsidRPr="00A33B9F">
              <w:rPr>
                <w:rStyle w:val="normaltextrun"/>
                <w:noProof/>
                <w:color w:val="000000" w:themeColor="text1"/>
                <w:sz w:val="18"/>
              </w:rPr>
              <w:t xml:space="preserve"> w tym</w:t>
            </w:r>
            <w:r w:rsidRPr="00A33B9F">
              <w:rPr>
                <w:rStyle w:val="normaltextrun"/>
                <w:noProof/>
                <w:color w:val="000000" w:themeColor="text1"/>
                <w:sz w:val="18"/>
              </w:rPr>
              <w:t xml:space="preserve"> pracy zespołu zadaniowego API;</w:t>
            </w:r>
          </w:p>
          <w:p w14:paraId="1A5C1FCB" w14:textId="6813493D" w:rsidR="00736BBF" w:rsidRPr="00A33B9F" w:rsidRDefault="34CE5B00" w:rsidP="00F07CEA">
            <w:pPr>
              <w:pStyle w:val="paragraph"/>
              <w:spacing w:before="0" w:beforeAutospacing="0" w:after="0" w:afterAutospacing="0"/>
              <w:textAlignment w:val="baseline"/>
              <w:rPr>
                <w:noProof/>
                <w:color w:val="006100"/>
              </w:rPr>
            </w:pPr>
            <w:r w:rsidRPr="00A33B9F">
              <w:rPr>
                <w:rStyle w:val="normaltextrun"/>
                <w:noProof/>
                <w:color w:val="000000" w:themeColor="text1"/>
                <w:sz w:val="18"/>
              </w:rPr>
              <w:t>– upoważnienie właściwego ministra do przyjęcia,</w:t>
            </w:r>
            <w:r w:rsidR="00A33B9F" w:rsidRPr="00A33B9F">
              <w:rPr>
                <w:rStyle w:val="normaltextrun"/>
                <w:noProof/>
                <w:color w:val="000000" w:themeColor="text1"/>
                <w:sz w:val="18"/>
              </w:rPr>
              <w:t xml:space="preserve"> w dro</w:t>
            </w:r>
            <w:r w:rsidRPr="00A33B9F">
              <w:rPr>
                <w:rStyle w:val="normaltextrun"/>
                <w:noProof/>
                <w:color w:val="000000" w:themeColor="text1"/>
                <w:sz w:val="18"/>
              </w:rPr>
              <w:t>dze rozporządzenia, wykazu API</w:t>
            </w:r>
            <w:r w:rsidR="00A33B9F" w:rsidRPr="00A33B9F">
              <w:rPr>
                <w:rStyle w:val="normaltextrun"/>
                <w:noProof/>
                <w:color w:val="000000" w:themeColor="text1"/>
                <w:sz w:val="18"/>
              </w:rPr>
              <w:t xml:space="preserve"> o kry</w:t>
            </w:r>
            <w:r w:rsidRPr="00A33B9F">
              <w:rPr>
                <w:rStyle w:val="normaltextrun"/>
                <w:noProof/>
                <w:color w:val="000000" w:themeColor="text1"/>
                <w:sz w:val="18"/>
              </w:rPr>
              <w:t>tycznym znaczeniu (w tym stosowanych</w:t>
            </w:r>
            <w:r w:rsidR="00A33B9F" w:rsidRPr="00A33B9F">
              <w:rPr>
                <w:rStyle w:val="normaltextrun"/>
                <w:noProof/>
                <w:color w:val="000000" w:themeColor="text1"/>
                <w:sz w:val="18"/>
              </w:rPr>
              <w:t xml:space="preserve"> w lek</w:t>
            </w:r>
            <w:r w:rsidRPr="00A33B9F">
              <w:rPr>
                <w:rStyle w:val="normaltextrun"/>
                <w:noProof/>
                <w:color w:val="000000" w:themeColor="text1"/>
                <w:sz w:val="18"/>
              </w:rPr>
              <w:t>ach oryginalnych, biopodobnych</w:t>
            </w:r>
            <w:r w:rsidR="00A33B9F" w:rsidRPr="00A33B9F">
              <w:rPr>
                <w:rStyle w:val="normaltextrun"/>
                <w:noProof/>
                <w:color w:val="000000" w:themeColor="text1"/>
                <w:sz w:val="18"/>
              </w:rPr>
              <w:t xml:space="preserve"> i gen</w:t>
            </w:r>
            <w:r w:rsidRPr="00A33B9F">
              <w:rPr>
                <w:rStyle w:val="normaltextrun"/>
                <w:noProof/>
                <w:color w:val="000000" w:themeColor="text1"/>
                <w:sz w:val="18"/>
              </w:rPr>
              <w:t>erycznych), które mają zostać opracowane oraz</w:t>
            </w:r>
            <w:r w:rsidRPr="00A33B9F">
              <w:rPr>
                <w:noProof/>
              </w:rPr>
              <w:t xml:space="preserve"> </w:t>
            </w:r>
            <w:r w:rsidRPr="00A33B9F">
              <w:rPr>
                <w:noProof/>
              </w:rPr>
              <w:br/>
            </w:r>
            <w:r w:rsidRPr="00A33B9F">
              <w:rPr>
                <w:rStyle w:val="normaltextrun"/>
                <w:noProof/>
                <w:color w:val="000000" w:themeColor="text1"/>
                <w:sz w:val="18"/>
              </w:rPr>
              <w:t>– ramy wprowadzające zachęty dla przedsiębiorców produkujących produkty lecznicze</w:t>
            </w:r>
            <w:r w:rsidR="00A33B9F" w:rsidRPr="00A33B9F">
              <w:rPr>
                <w:rStyle w:val="normaltextrun"/>
                <w:noProof/>
                <w:color w:val="000000" w:themeColor="text1"/>
                <w:sz w:val="18"/>
              </w:rPr>
              <w:t xml:space="preserve"> w Pol</w:t>
            </w:r>
            <w:r w:rsidRPr="00A33B9F">
              <w:rPr>
                <w:rStyle w:val="normaltextrun"/>
                <w:noProof/>
                <w:color w:val="000000" w:themeColor="text1"/>
                <w:sz w:val="18"/>
              </w:rPr>
              <w:t>sce. Zachęty te oraz wszelkie zapewnione wsparcie będą się opierać na jasnych, przejrzystych</w:t>
            </w:r>
            <w:r w:rsidR="00A33B9F" w:rsidRPr="00A33B9F">
              <w:rPr>
                <w:rStyle w:val="normaltextrun"/>
                <w:noProof/>
                <w:color w:val="000000" w:themeColor="text1"/>
                <w:sz w:val="18"/>
              </w:rPr>
              <w:t xml:space="preserve"> i nie</w:t>
            </w:r>
            <w:r w:rsidRPr="00A33B9F">
              <w:rPr>
                <w:rStyle w:val="normaltextrun"/>
                <w:noProof/>
                <w:color w:val="000000" w:themeColor="text1"/>
                <w:sz w:val="18"/>
              </w:rPr>
              <w:t>dyskryminacyjnych kryteriach.</w:t>
            </w:r>
            <w:r w:rsidR="00C3621A" w:rsidRPr="00A33B9F">
              <w:rPr>
                <w:rStyle w:val="eop"/>
                <w:noProof/>
                <w:color w:val="000000" w:themeColor="text1"/>
                <w:sz w:val="18"/>
              </w:rPr>
              <w:t xml:space="preserve"> </w:t>
            </w:r>
            <w:r w:rsidRPr="00A33B9F">
              <w:rPr>
                <w:noProof/>
              </w:rPr>
              <w:br/>
            </w:r>
            <w:r w:rsidRPr="00A33B9F">
              <w:rPr>
                <w:rStyle w:val="normaltextrun"/>
                <w:noProof/>
                <w:color w:val="000000"/>
                <w:sz w:val="18"/>
              </w:rPr>
              <w:t>Wspomniany akt przyczyni się do wdrożenia strategii farmaceutycznej dla Europy,</w:t>
            </w:r>
            <w:r w:rsidR="00A33B9F" w:rsidRPr="00A33B9F">
              <w:rPr>
                <w:rStyle w:val="normaltextrun"/>
                <w:noProof/>
                <w:color w:val="000000"/>
                <w:sz w:val="18"/>
              </w:rPr>
              <w:t xml:space="preserve"> w szc</w:t>
            </w:r>
            <w:r w:rsidRPr="00A33B9F">
              <w:rPr>
                <w:rStyle w:val="normaltextrun"/>
                <w:noProof/>
                <w:color w:val="000000"/>
                <w:sz w:val="18"/>
              </w:rPr>
              <w:t>zególności</w:t>
            </w:r>
            <w:r w:rsidR="00A33B9F" w:rsidRPr="00A33B9F">
              <w:rPr>
                <w:rStyle w:val="normaltextrun"/>
                <w:noProof/>
                <w:color w:val="000000"/>
                <w:sz w:val="18"/>
              </w:rPr>
              <w:t xml:space="preserve"> w kon</w:t>
            </w:r>
            <w:r w:rsidRPr="00A33B9F">
              <w:rPr>
                <w:rStyle w:val="normaltextrun"/>
                <w:noProof/>
                <w:color w:val="000000"/>
                <w:sz w:val="18"/>
              </w:rPr>
              <w:t>tekście poprawy strategicznej autonomii</w:t>
            </w:r>
            <w:r w:rsidR="00A33B9F" w:rsidRPr="00A33B9F">
              <w:rPr>
                <w:rStyle w:val="normaltextrun"/>
                <w:noProof/>
                <w:color w:val="000000"/>
                <w:sz w:val="18"/>
              </w:rPr>
              <w:t xml:space="preserve"> z myś</w:t>
            </w:r>
            <w:r w:rsidRPr="00A33B9F">
              <w:rPr>
                <w:rStyle w:val="normaltextrun"/>
                <w:noProof/>
                <w:color w:val="000000"/>
                <w:sz w:val="18"/>
              </w:rPr>
              <w:t>lą</w:t>
            </w:r>
            <w:r w:rsidR="00A33B9F" w:rsidRPr="00A33B9F">
              <w:rPr>
                <w:rStyle w:val="normaltextrun"/>
                <w:noProof/>
                <w:color w:val="000000"/>
                <w:sz w:val="18"/>
              </w:rPr>
              <w:t xml:space="preserve"> o dos</w:t>
            </w:r>
            <w:r w:rsidRPr="00A33B9F">
              <w:rPr>
                <w:rStyle w:val="normaltextrun"/>
                <w:noProof/>
                <w:color w:val="000000"/>
                <w:sz w:val="18"/>
              </w:rPr>
              <w:t>tępności leków w UE.</w:t>
            </w:r>
            <w:r w:rsidRPr="00A33B9F">
              <w:rPr>
                <w:rStyle w:val="eop"/>
                <w:noProof/>
                <w:color w:val="000000"/>
                <w:sz w:val="18"/>
              </w:rPr>
              <w:t xml:space="preserve"> </w:t>
            </w:r>
          </w:p>
        </w:tc>
      </w:tr>
      <w:tr w:rsidR="008C116B" w:rsidRPr="00A33B9F" w14:paraId="2548A0A6"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8F550FB" w14:textId="4889335D"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sidRPr="00A33B9F">
              <w:rPr>
                <w:rFonts w:ascii="Times New Roman" w:hAnsi="Times New Roman"/>
                <w:noProof/>
                <w:sz w:val="18"/>
              </w:rPr>
              <w:t>D7L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60C6DF9" w14:textId="66D10C55"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D3.2.1 Rozwój potencjału sektora leków</w:t>
            </w:r>
            <w:r w:rsidR="00A33B9F" w:rsidRPr="00A33B9F">
              <w:rPr>
                <w:rFonts w:ascii="Times New Roman" w:hAnsi="Times New Roman"/>
                <w:noProof/>
                <w:color w:val="000000"/>
                <w:sz w:val="18"/>
              </w:rPr>
              <w:t xml:space="preserve"> i wyr</w:t>
            </w:r>
            <w:r w:rsidRPr="00A33B9F">
              <w:rPr>
                <w:rFonts w:ascii="Times New Roman" w:hAnsi="Times New Roman"/>
                <w:noProof/>
                <w:color w:val="000000"/>
                <w:sz w:val="18"/>
              </w:rPr>
              <w:t>obów medycznych – inwestycje związane</w:t>
            </w:r>
            <w:r w:rsidR="00A33B9F" w:rsidRPr="00A33B9F">
              <w:rPr>
                <w:rFonts w:ascii="Times New Roman" w:hAnsi="Times New Roman"/>
                <w:noProof/>
                <w:color w:val="000000"/>
                <w:sz w:val="18"/>
              </w:rPr>
              <w:t xml:space="preserve"> z pro</w:t>
            </w:r>
            <w:r w:rsidRPr="00A33B9F">
              <w:rPr>
                <w:rFonts w:ascii="Times New Roman" w:hAnsi="Times New Roman"/>
                <w:noProof/>
                <w:color w:val="000000"/>
                <w:sz w:val="18"/>
              </w:rPr>
              <w:t>dukcją</w:t>
            </w:r>
            <w:r w:rsidR="00A33B9F" w:rsidRPr="00A33B9F">
              <w:rPr>
                <w:rFonts w:ascii="Times New Roman" w:hAnsi="Times New Roman"/>
                <w:noProof/>
                <w:color w:val="000000"/>
                <w:sz w:val="18"/>
              </w:rPr>
              <w:t xml:space="preserve"> w Pol</w:t>
            </w:r>
            <w:r w:rsidRPr="00A33B9F">
              <w:rPr>
                <w:rFonts w:ascii="Times New Roman" w:hAnsi="Times New Roman"/>
                <w:noProof/>
                <w:color w:val="000000"/>
                <w:sz w:val="18"/>
              </w:rPr>
              <w:t>sce</w:t>
            </w:r>
            <w:r w:rsidR="003A7910" w:rsidRPr="00A33B9F">
              <w:rPr>
                <w:rFonts w:ascii="Times New Roman" w:hAnsi="Times New Roman"/>
                <w:noProof/>
                <w:color w:val="000000"/>
                <w:sz w:val="18"/>
              </w:rPr>
              <w:t xml:space="preserve"> API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5A40039"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BE2C0FA" w14:textId="48CF05DA"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Style w:val="normaltextrun"/>
                <w:rFonts w:ascii="Times New Roman" w:hAnsi="Times New Roman"/>
                <w:noProof/>
                <w:color w:val="000000" w:themeColor="text1"/>
                <w:sz w:val="18"/>
              </w:rPr>
              <w:t>Wybór projektów dotyczących produkcji API, które mają zostać objęte wsparciem</w:t>
            </w:r>
            <w:r w:rsidRPr="00A33B9F">
              <w:rPr>
                <w:rStyle w:val="eop"/>
                <w:rFonts w:ascii="Times New Roman" w:hAnsi="Times New Roman"/>
                <w:noProof/>
                <w:color w:val="000000" w:themeColor="text1"/>
                <w:sz w:val="18"/>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C8456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Publikacja wykazu wybranych projektów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97746AE"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C3D763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C4984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D52167B" w14:textId="6C9D8691" w:rsidR="00736BBF" w:rsidRPr="00A33B9F" w:rsidRDefault="00736BBF" w:rsidP="0082710E">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III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E6A961E"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332578" w14:textId="70CEA243" w:rsidR="00736BBF" w:rsidRPr="00A33B9F" w:rsidRDefault="00736BBF" w:rsidP="00736BBF">
            <w:pPr>
              <w:pStyle w:val="paragraph"/>
              <w:spacing w:before="0" w:beforeAutospacing="0" w:after="0" w:afterAutospacing="0"/>
              <w:rPr>
                <w:noProof/>
                <w:sz w:val="18"/>
                <w:szCs w:val="18"/>
              </w:rPr>
            </w:pPr>
            <w:r w:rsidRPr="00A33B9F">
              <w:rPr>
                <w:rStyle w:val="eop"/>
                <w:noProof/>
                <w:color w:val="000000" w:themeColor="text1"/>
                <w:sz w:val="18"/>
              </w:rPr>
              <w:t>Projekty mające na celu stworzenie lub zwiększenie zdolności produkcyjnych</w:t>
            </w:r>
            <w:r w:rsidR="00A33B9F" w:rsidRPr="00A33B9F">
              <w:rPr>
                <w:rStyle w:val="eop"/>
                <w:noProof/>
                <w:color w:val="000000" w:themeColor="text1"/>
                <w:sz w:val="18"/>
              </w:rPr>
              <w:t xml:space="preserve"> w dzi</w:t>
            </w:r>
            <w:r w:rsidRPr="00A33B9F">
              <w:rPr>
                <w:rStyle w:val="eop"/>
                <w:noProof/>
                <w:color w:val="000000" w:themeColor="text1"/>
                <w:sz w:val="18"/>
              </w:rPr>
              <w:t>edzinie API (w tym oryginalnych, biopodobnych</w:t>
            </w:r>
            <w:r w:rsidR="00A33B9F" w:rsidRPr="00A33B9F">
              <w:rPr>
                <w:rStyle w:val="eop"/>
                <w:noProof/>
                <w:color w:val="000000" w:themeColor="text1"/>
                <w:sz w:val="18"/>
              </w:rPr>
              <w:t xml:space="preserve"> i gen</w:t>
            </w:r>
            <w:r w:rsidRPr="00A33B9F">
              <w:rPr>
                <w:rStyle w:val="eop"/>
                <w:noProof/>
                <w:color w:val="000000" w:themeColor="text1"/>
                <w:sz w:val="18"/>
              </w:rPr>
              <w:t>erycznych API) oraz powiązanych wyrobów medycznych zostaną wybrane do wykazu</w:t>
            </w:r>
            <w:r w:rsidR="00A33B9F" w:rsidRPr="00A33B9F">
              <w:rPr>
                <w:rStyle w:val="eop"/>
                <w:noProof/>
                <w:color w:val="000000" w:themeColor="text1"/>
                <w:sz w:val="18"/>
              </w:rPr>
              <w:t xml:space="preserve"> w dro</w:t>
            </w:r>
            <w:r w:rsidRPr="00A33B9F">
              <w:rPr>
                <w:rStyle w:val="eop"/>
                <w:noProof/>
                <w:color w:val="000000" w:themeColor="text1"/>
                <w:sz w:val="18"/>
              </w:rPr>
              <w:t>dze zaproszenia do składania wniosków.</w:t>
            </w:r>
          </w:p>
          <w:p w14:paraId="1C8D046E" w14:textId="08F4C9EB" w:rsidR="00736BBF" w:rsidRPr="00A33B9F" w:rsidRDefault="00736BBF" w:rsidP="00736BBF">
            <w:pPr>
              <w:pStyle w:val="paragraph"/>
              <w:spacing w:before="0" w:beforeAutospacing="0" w:after="0" w:afterAutospacing="0"/>
              <w:jc w:val="both"/>
              <w:rPr>
                <w:rStyle w:val="eop"/>
                <w:noProof/>
                <w:color w:val="000000" w:themeColor="text1"/>
                <w:sz w:val="18"/>
                <w:szCs w:val="18"/>
              </w:rPr>
            </w:pPr>
          </w:p>
          <w:p w14:paraId="0557E30A" w14:textId="1233F84F" w:rsidR="00736BBF" w:rsidRPr="00A33B9F" w:rsidRDefault="00736BBF" w:rsidP="00736BBF">
            <w:pPr>
              <w:pStyle w:val="paragraph"/>
              <w:spacing w:before="0" w:beforeAutospacing="0" w:after="0" w:afterAutospacing="0"/>
              <w:jc w:val="both"/>
              <w:rPr>
                <w:noProof/>
                <w:sz w:val="18"/>
                <w:szCs w:val="18"/>
              </w:rPr>
            </w:pPr>
            <w:r w:rsidRPr="00A33B9F">
              <w:rPr>
                <w:rStyle w:val="eop"/>
                <w:noProof/>
                <w:color w:val="000000" w:themeColor="text1"/>
                <w:sz w:val="18"/>
              </w:rPr>
              <w:t>Kryteria kwalifikacji zawarte</w:t>
            </w:r>
            <w:r w:rsidR="00A33B9F" w:rsidRPr="00A33B9F">
              <w:rPr>
                <w:rStyle w:val="eop"/>
                <w:noProof/>
                <w:color w:val="000000" w:themeColor="text1"/>
                <w:sz w:val="18"/>
              </w:rPr>
              <w:t xml:space="preserve"> w zap</w:t>
            </w:r>
            <w:r w:rsidRPr="00A33B9F">
              <w:rPr>
                <w:rStyle w:val="eop"/>
                <w:noProof/>
                <w:color w:val="000000" w:themeColor="text1"/>
                <w:sz w:val="18"/>
              </w:rPr>
              <w:t>roszeniu do składania wniosków będą niedyskryminacyjne</w:t>
            </w:r>
            <w:r w:rsidR="00A33B9F" w:rsidRPr="00A33B9F">
              <w:rPr>
                <w:rStyle w:val="eop"/>
                <w:noProof/>
                <w:color w:val="000000" w:themeColor="text1"/>
                <w:sz w:val="18"/>
              </w:rPr>
              <w:t xml:space="preserve"> i prz</w:t>
            </w:r>
            <w:r w:rsidRPr="00A33B9F">
              <w:rPr>
                <w:rStyle w:val="eop"/>
                <w:noProof/>
                <w:color w:val="000000" w:themeColor="text1"/>
                <w:sz w:val="18"/>
              </w:rPr>
              <w:t>ejrzyste. Będą obejmowały wymóg, aby projekty przyczyniały się do produkcji API</w:t>
            </w:r>
            <w:r w:rsidR="00A33B9F" w:rsidRPr="00A33B9F">
              <w:rPr>
                <w:rStyle w:val="eop"/>
                <w:noProof/>
                <w:color w:val="000000" w:themeColor="text1"/>
                <w:sz w:val="18"/>
              </w:rPr>
              <w:t xml:space="preserve"> o kry</w:t>
            </w:r>
            <w:r w:rsidRPr="00A33B9F">
              <w:rPr>
                <w:rStyle w:val="eop"/>
                <w:noProof/>
                <w:color w:val="000000" w:themeColor="text1"/>
                <w:sz w:val="18"/>
              </w:rPr>
              <w:t>tycznym znaczeniu</w:t>
            </w:r>
            <w:r w:rsidR="00A33B9F" w:rsidRPr="00A33B9F">
              <w:rPr>
                <w:rStyle w:val="eop"/>
                <w:noProof/>
                <w:color w:val="000000" w:themeColor="text1"/>
                <w:sz w:val="18"/>
              </w:rPr>
              <w:t>. W tym</w:t>
            </w:r>
            <w:r w:rsidRPr="00A33B9F">
              <w:rPr>
                <w:rStyle w:val="eop"/>
                <w:noProof/>
                <w:color w:val="000000" w:themeColor="text1"/>
                <w:sz w:val="18"/>
              </w:rPr>
              <w:t xml:space="preserve"> celu przed opublikowaniem zaproszenia do składania wniosków opracowany zostanie wykaz API</w:t>
            </w:r>
            <w:r w:rsidR="00A33B9F" w:rsidRPr="00A33B9F">
              <w:rPr>
                <w:rStyle w:val="eop"/>
                <w:noProof/>
                <w:color w:val="000000" w:themeColor="text1"/>
                <w:sz w:val="18"/>
              </w:rPr>
              <w:t xml:space="preserve"> o kry</w:t>
            </w:r>
            <w:r w:rsidRPr="00A33B9F">
              <w:rPr>
                <w:rStyle w:val="eop"/>
                <w:noProof/>
                <w:color w:val="000000" w:themeColor="text1"/>
                <w:sz w:val="18"/>
              </w:rPr>
              <w:t>tycznym znaczeniu oparty na ramach analitycznych służących wskazaniu luk</w:t>
            </w:r>
            <w:r w:rsidR="00A33B9F" w:rsidRPr="00A33B9F">
              <w:rPr>
                <w:rStyle w:val="eop"/>
                <w:noProof/>
                <w:color w:val="000000" w:themeColor="text1"/>
                <w:sz w:val="18"/>
              </w:rPr>
              <w:t xml:space="preserve"> i zag</w:t>
            </w:r>
            <w:r w:rsidRPr="00A33B9F">
              <w:rPr>
                <w:rStyle w:val="eop"/>
                <w:noProof/>
                <w:color w:val="000000" w:themeColor="text1"/>
                <w:sz w:val="18"/>
              </w:rPr>
              <w:t>rożeń dotyczących podaży API</w:t>
            </w:r>
            <w:r w:rsidR="00A33B9F" w:rsidRPr="00A33B9F">
              <w:rPr>
                <w:rStyle w:val="eop"/>
                <w:noProof/>
                <w:color w:val="000000" w:themeColor="text1"/>
                <w:sz w:val="18"/>
              </w:rPr>
              <w:t xml:space="preserve"> o kry</w:t>
            </w:r>
            <w:r w:rsidRPr="00A33B9F">
              <w:rPr>
                <w:rStyle w:val="eop"/>
                <w:noProof/>
                <w:color w:val="000000" w:themeColor="text1"/>
                <w:sz w:val="18"/>
              </w:rPr>
              <w:t>tycznym znaczeniu</w:t>
            </w:r>
            <w:r w:rsidR="00A33B9F" w:rsidRPr="00A33B9F">
              <w:rPr>
                <w:rStyle w:val="eop"/>
                <w:noProof/>
                <w:color w:val="000000" w:themeColor="text1"/>
                <w:sz w:val="18"/>
              </w:rPr>
              <w:t xml:space="preserve"> w Pol</w:t>
            </w:r>
            <w:r w:rsidRPr="00A33B9F">
              <w:rPr>
                <w:rStyle w:val="eop"/>
                <w:noProof/>
                <w:color w:val="000000" w:themeColor="text1"/>
                <w:sz w:val="18"/>
              </w:rPr>
              <w:t xml:space="preserve">sce. </w:t>
            </w:r>
          </w:p>
          <w:p w14:paraId="38EF9A66" w14:textId="26C86F34" w:rsidR="00736BBF" w:rsidRPr="00A33B9F" w:rsidRDefault="00736BBF" w:rsidP="00736BBF">
            <w:pPr>
              <w:pStyle w:val="paragraph"/>
              <w:spacing w:before="0" w:beforeAutospacing="0" w:after="0" w:afterAutospacing="0"/>
              <w:jc w:val="both"/>
              <w:rPr>
                <w:rStyle w:val="eop"/>
                <w:noProof/>
                <w:color w:val="000000" w:themeColor="text1"/>
                <w:sz w:val="18"/>
                <w:szCs w:val="18"/>
              </w:rPr>
            </w:pPr>
          </w:p>
          <w:p w14:paraId="6287FEC7" w14:textId="768386B6" w:rsidR="009B0437" w:rsidRPr="00A33B9F" w:rsidRDefault="34CE5B00" w:rsidP="00F07CEA">
            <w:pPr>
              <w:spacing w:after="120" w:line="240" w:lineRule="auto"/>
              <w:rPr>
                <w:rStyle w:val="eop"/>
                <w:rFonts w:ascii="Times New Roman" w:hAnsi="Times New Roman" w:cs="Times New Roman"/>
                <w:noProof/>
                <w:color w:val="000000" w:themeColor="text1"/>
                <w:sz w:val="18"/>
                <w:szCs w:val="18"/>
              </w:rPr>
            </w:pPr>
            <w:r w:rsidRPr="00A33B9F">
              <w:rPr>
                <w:rStyle w:val="eop"/>
                <w:rFonts w:ascii="Times New Roman" w:hAnsi="Times New Roman"/>
                <w:noProof/>
                <w:color w:val="000000" w:themeColor="text1"/>
                <w:sz w:val="18"/>
              </w:rPr>
              <w:t>Projekty będą wybierane zgodnie</w:t>
            </w:r>
            <w:r w:rsidR="00A33B9F" w:rsidRPr="00A33B9F">
              <w:rPr>
                <w:rStyle w:val="eop"/>
                <w:rFonts w:ascii="Times New Roman" w:hAnsi="Times New Roman"/>
                <w:noProof/>
                <w:color w:val="000000" w:themeColor="text1"/>
                <w:sz w:val="18"/>
              </w:rPr>
              <w:t xml:space="preserve"> z nas</w:t>
            </w:r>
            <w:r w:rsidRPr="00A33B9F">
              <w:rPr>
                <w:rStyle w:val="eop"/>
                <w:rFonts w:ascii="Times New Roman" w:hAnsi="Times New Roman"/>
                <w:noProof/>
                <w:color w:val="000000" w:themeColor="text1"/>
                <w:sz w:val="18"/>
              </w:rPr>
              <w:t>tępującymi warunkami:</w:t>
            </w:r>
          </w:p>
          <w:p w14:paraId="2B8DA36D" w14:textId="3556192B" w:rsidR="00736BBF" w:rsidRPr="00A33B9F" w:rsidRDefault="34CE5B00" w:rsidP="00F07CEA">
            <w:pPr>
              <w:spacing w:after="120" w:line="240" w:lineRule="auto"/>
              <w:rPr>
                <w:rStyle w:val="eop"/>
                <w:rFonts w:ascii="Times New Roman" w:hAnsi="Times New Roman" w:cs="Times New Roman"/>
                <w:noProof/>
                <w:color w:val="000000" w:themeColor="text1"/>
                <w:sz w:val="18"/>
                <w:szCs w:val="18"/>
              </w:rPr>
            </w:pPr>
            <w:r w:rsidRPr="00A33B9F">
              <w:rPr>
                <w:rStyle w:val="eop"/>
                <w:rFonts w:ascii="Times New Roman" w:hAnsi="Times New Roman"/>
                <w:noProof/>
                <w:color w:val="000000" w:themeColor="text1"/>
                <w:sz w:val="18"/>
              </w:rPr>
              <w:t>– projekt ma wspierać jeden z API wskazanych</w:t>
            </w:r>
            <w:r w:rsidR="00A33B9F" w:rsidRPr="00A33B9F">
              <w:rPr>
                <w:rStyle w:val="eop"/>
                <w:rFonts w:ascii="Times New Roman" w:hAnsi="Times New Roman"/>
                <w:noProof/>
                <w:color w:val="000000" w:themeColor="text1"/>
                <w:sz w:val="18"/>
              </w:rPr>
              <w:t xml:space="preserve"> w wyk</w:t>
            </w:r>
            <w:r w:rsidRPr="00A33B9F">
              <w:rPr>
                <w:rStyle w:val="eop"/>
                <w:rFonts w:ascii="Times New Roman" w:hAnsi="Times New Roman"/>
                <w:noProof/>
                <w:color w:val="000000" w:themeColor="text1"/>
                <w:sz w:val="18"/>
              </w:rPr>
              <w:t>azie API</w:t>
            </w:r>
            <w:r w:rsidR="00A33B9F" w:rsidRPr="00A33B9F">
              <w:rPr>
                <w:rStyle w:val="eop"/>
                <w:rFonts w:ascii="Times New Roman" w:hAnsi="Times New Roman"/>
                <w:noProof/>
                <w:color w:val="000000" w:themeColor="text1"/>
                <w:sz w:val="18"/>
              </w:rPr>
              <w:t xml:space="preserve"> o kry</w:t>
            </w:r>
            <w:r w:rsidRPr="00A33B9F">
              <w:rPr>
                <w:rStyle w:val="eop"/>
                <w:rFonts w:ascii="Times New Roman" w:hAnsi="Times New Roman"/>
                <w:noProof/>
                <w:color w:val="000000" w:themeColor="text1"/>
                <w:sz w:val="18"/>
              </w:rPr>
              <w:t>tycznym znaczeniu;</w:t>
            </w:r>
          </w:p>
          <w:p w14:paraId="1B064226" w14:textId="73B898C3" w:rsidR="00736BBF" w:rsidRPr="00A33B9F" w:rsidRDefault="00FF4CA2" w:rsidP="00F07CEA">
            <w:pPr>
              <w:spacing w:after="120" w:line="240" w:lineRule="auto"/>
              <w:rPr>
                <w:rStyle w:val="eop"/>
                <w:rFonts w:ascii="Times New Roman" w:hAnsi="Times New Roman" w:cs="Times New Roman"/>
                <w:noProof/>
                <w:color w:val="000000" w:themeColor="text1"/>
                <w:sz w:val="18"/>
                <w:szCs w:val="18"/>
              </w:rPr>
            </w:pPr>
            <w:r w:rsidRPr="00A33B9F">
              <w:rPr>
                <w:rStyle w:val="eop"/>
                <w:rFonts w:ascii="Times New Roman" w:hAnsi="Times New Roman"/>
                <w:noProof/>
                <w:color w:val="000000" w:themeColor="text1"/>
                <w:sz w:val="18"/>
              </w:rPr>
              <w:t>– należy wykazać,</w:t>
            </w:r>
            <w:r w:rsidR="00A33B9F" w:rsidRPr="00A33B9F">
              <w:rPr>
                <w:rStyle w:val="eop"/>
                <w:rFonts w:ascii="Times New Roman" w:hAnsi="Times New Roman"/>
                <w:noProof/>
                <w:color w:val="000000" w:themeColor="text1"/>
                <w:sz w:val="18"/>
              </w:rPr>
              <w:t xml:space="preserve"> w jak</w:t>
            </w:r>
            <w:r w:rsidRPr="00A33B9F">
              <w:rPr>
                <w:rStyle w:val="eop"/>
                <w:rFonts w:ascii="Times New Roman" w:hAnsi="Times New Roman"/>
                <w:noProof/>
                <w:color w:val="000000" w:themeColor="text1"/>
                <w:sz w:val="18"/>
              </w:rPr>
              <w:t>i sposób projekt przyczynia się do osiągnięcia celów związanych</w:t>
            </w:r>
            <w:r w:rsidR="00A33B9F" w:rsidRPr="00A33B9F">
              <w:rPr>
                <w:rStyle w:val="eop"/>
                <w:rFonts w:ascii="Times New Roman" w:hAnsi="Times New Roman"/>
                <w:noProof/>
                <w:color w:val="000000" w:themeColor="text1"/>
                <w:sz w:val="18"/>
              </w:rPr>
              <w:t xml:space="preserve"> z zap</w:t>
            </w:r>
            <w:r w:rsidRPr="00A33B9F">
              <w:rPr>
                <w:rStyle w:val="eop"/>
                <w:rFonts w:ascii="Times New Roman" w:hAnsi="Times New Roman"/>
                <w:noProof/>
                <w:color w:val="000000" w:themeColor="text1"/>
                <w:sz w:val="18"/>
              </w:rPr>
              <w:t>ewnieniem bezpieczeństwa dostaw leków lub ma kluczowe znaczenie dla bezpieczeństwa dostaw leków</w:t>
            </w:r>
            <w:r w:rsidR="00A33B9F" w:rsidRPr="00A33B9F">
              <w:rPr>
                <w:rStyle w:val="eop"/>
                <w:rFonts w:ascii="Times New Roman" w:hAnsi="Times New Roman"/>
                <w:noProof/>
                <w:color w:val="000000" w:themeColor="text1"/>
                <w:sz w:val="18"/>
              </w:rPr>
              <w:t xml:space="preserve"> o kry</w:t>
            </w:r>
            <w:r w:rsidRPr="00A33B9F">
              <w:rPr>
                <w:rStyle w:val="eop"/>
                <w:rFonts w:ascii="Times New Roman" w:hAnsi="Times New Roman"/>
                <w:noProof/>
                <w:color w:val="000000" w:themeColor="text1"/>
                <w:sz w:val="18"/>
              </w:rPr>
              <w:t>tycznym znaczeniu, jak określono</w:t>
            </w:r>
            <w:r w:rsidR="00A33B9F" w:rsidRPr="00A33B9F">
              <w:rPr>
                <w:rStyle w:val="eop"/>
                <w:rFonts w:ascii="Times New Roman" w:hAnsi="Times New Roman"/>
                <w:noProof/>
                <w:color w:val="000000" w:themeColor="text1"/>
                <w:sz w:val="18"/>
              </w:rPr>
              <w:t xml:space="preserve"> w akc</w:t>
            </w:r>
            <w:r w:rsidRPr="00A33B9F">
              <w:rPr>
                <w:rStyle w:val="eop"/>
                <w:rFonts w:ascii="Times New Roman" w:hAnsi="Times New Roman"/>
                <w:noProof/>
                <w:color w:val="000000" w:themeColor="text1"/>
                <w:sz w:val="18"/>
              </w:rPr>
              <w:t>ie ustawodawczym</w:t>
            </w:r>
            <w:r w:rsidR="00A33B9F" w:rsidRPr="00A33B9F">
              <w:rPr>
                <w:rStyle w:val="eop"/>
                <w:rFonts w:ascii="Times New Roman" w:hAnsi="Times New Roman"/>
                <w:noProof/>
                <w:color w:val="000000" w:themeColor="text1"/>
                <w:sz w:val="18"/>
              </w:rPr>
              <w:t xml:space="preserve"> w spr</w:t>
            </w:r>
            <w:r w:rsidRPr="00A33B9F">
              <w:rPr>
                <w:rStyle w:val="eop"/>
                <w:rFonts w:ascii="Times New Roman" w:hAnsi="Times New Roman"/>
                <w:noProof/>
                <w:color w:val="000000" w:themeColor="text1"/>
                <w:sz w:val="18"/>
              </w:rPr>
              <w:t>awie zapewnienia bezpieczeństwa dostaw leków;</w:t>
            </w:r>
          </w:p>
          <w:p w14:paraId="522F3B84" w14:textId="6742F6FA" w:rsidR="00736BBF" w:rsidRPr="00A33B9F" w:rsidRDefault="00736BBF" w:rsidP="004D3536">
            <w:pPr>
              <w:spacing w:after="0" w:line="240" w:lineRule="auto"/>
              <w:rPr>
                <w:rStyle w:val="eop"/>
                <w:rFonts w:ascii="Times New Roman" w:hAnsi="Times New Roman" w:cs="Times New Roman"/>
                <w:noProof/>
                <w:color w:val="000000" w:themeColor="text1"/>
                <w:sz w:val="18"/>
                <w:szCs w:val="18"/>
              </w:rPr>
            </w:pPr>
            <w:r w:rsidRPr="00A33B9F">
              <w:rPr>
                <w:rStyle w:val="eop"/>
                <w:rFonts w:ascii="Times New Roman" w:hAnsi="Times New Roman"/>
                <w:noProof/>
                <w:color w:val="000000" w:themeColor="text1"/>
                <w:sz w:val="18"/>
              </w:rPr>
              <w:t>– projekt ma mieć jasny harmonogram, ze wskazaniem dat kluczowych etapów.</w:t>
            </w:r>
          </w:p>
        </w:tc>
      </w:tr>
      <w:tr w:rsidR="008C116B" w:rsidRPr="00A33B9F" w14:paraId="7EEA1F57" w14:textId="77777777" w:rsidTr="7A2BD239">
        <w:trPr>
          <w:trHeight w:val="3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631BB6C" w14:textId="0F09D088"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D8L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858757" w14:textId="49228192"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D3.2.1 Rozwój potencjału sektora leków</w:t>
            </w:r>
            <w:r w:rsidR="00A33B9F" w:rsidRPr="00A33B9F">
              <w:rPr>
                <w:rFonts w:ascii="Times New Roman" w:hAnsi="Times New Roman"/>
                <w:noProof/>
                <w:color w:val="000000"/>
                <w:sz w:val="18"/>
              </w:rPr>
              <w:t xml:space="preserve"> i wyr</w:t>
            </w:r>
            <w:r w:rsidRPr="00A33B9F">
              <w:rPr>
                <w:rFonts w:ascii="Times New Roman" w:hAnsi="Times New Roman"/>
                <w:noProof/>
                <w:color w:val="000000"/>
                <w:sz w:val="18"/>
              </w:rPr>
              <w:t>obów medycznych – inwestycje związane</w:t>
            </w:r>
            <w:r w:rsidR="00A33B9F" w:rsidRPr="00A33B9F">
              <w:rPr>
                <w:rFonts w:ascii="Times New Roman" w:hAnsi="Times New Roman"/>
                <w:noProof/>
                <w:color w:val="000000"/>
                <w:sz w:val="18"/>
              </w:rPr>
              <w:t xml:space="preserve"> z pro</w:t>
            </w:r>
            <w:r w:rsidRPr="00A33B9F">
              <w:rPr>
                <w:rFonts w:ascii="Times New Roman" w:hAnsi="Times New Roman"/>
                <w:noProof/>
                <w:color w:val="000000"/>
                <w:sz w:val="18"/>
              </w:rPr>
              <w:t>dukcją</w:t>
            </w:r>
            <w:r w:rsidR="00A33B9F" w:rsidRPr="00A33B9F">
              <w:rPr>
                <w:rFonts w:ascii="Times New Roman" w:hAnsi="Times New Roman"/>
                <w:noProof/>
                <w:color w:val="000000"/>
                <w:sz w:val="18"/>
              </w:rPr>
              <w:t xml:space="preserve"> w Pol</w:t>
            </w:r>
            <w:r w:rsidRPr="00A33B9F">
              <w:rPr>
                <w:rFonts w:ascii="Times New Roman" w:hAnsi="Times New Roman"/>
                <w:noProof/>
                <w:color w:val="000000"/>
                <w:sz w:val="18"/>
              </w:rPr>
              <w:t>sce</w:t>
            </w:r>
            <w:r w:rsidR="003A7910" w:rsidRPr="00A33B9F">
              <w:rPr>
                <w:rFonts w:ascii="Times New Roman" w:hAnsi="Times New Roman"/>
                <w:noProof/>
                <w:color w:val="000000"/>
                <w:sz w:val="18"/>
              </w:rPr>
              <w:t xml:space="preserve"> API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A55469B"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6BEE082" w14:textId="6708AEF5" w:rsidR="00736BBF" w:rsidRPr="00A33B9F" w:rsidRDefault="00736BBF" w:rsidP="00736BBF">
            <w:pPr>
              <w:pStyle w:val="Normal0"/>
              <w:pBdr>
                <w:top w:val="nil"/>
                <w:left w:val="nil"/>
                <w:bottom w:val="nil"/>
                <w:right w:val="nil"/>
                <w:between w:val="nil"/>
              </w:pBdr>
              <w:spacing w:after="0" w:line="240" w:lineRule="auto"/>
              <w:rPr>
                <w:rStyle w:val="eop"/>
                <w:rFonts w:ascii="Times New Roman" w:hAnsi="Times New Roman" w:cs="Times New Roman"/>
                <w:noProof/>
                <w:color w:val="000000" w:themeColor="text1"/>
                <w:sz w:val="18"/>
                <w:szCs w:val="18"/>
              </w:rPr>
            </w:pPr>
            <w:r w:rsidRPr="00A33B9F">
              <w:rPr>
                <w:rStyle w:val="normaltextrun"/>
                <w:rFonts w:ascii="Times New Roman" w:hAnsi="Times New Roman"/>
                <w:noProof/>
                <w:color w:val="000000" w:themeColor="text1"/>
                <w:sz w:val="18"/>
              </w:rPr>
              <w:t>Liczba wspieranych farmaceutycznych składników czynnych</w:t>
            </w:r>
            <w:r w:rsidR="00A33B9F" w:rsidRPr="00A33B9F">
              <w:rPr>
                <w:rStyle w:val="normaltextrun"/>
                <w:rFonts w:ascii="Times New Roman" w:hAnsi="Times New Roman"/>
                <w:noProof/>
                <w:color w:val="000000" w:themeColor="text1"/>
                <w:sz w:val="18"/>
              </w:rPr>
              <w:t xml:space="preserve"> o kry</w:t>
            </w:r>
            <w:r w:rsidRPr="00A33B9F">
              <w:rPr>
                <w:rStyle w:val="normaltextrun"/>
                <w:rFonts w:ascii="Times New Roman" w:hAnsi="Times New Roman"/>
                <w:noProof/>
                <w:color w:val="000000" w:themeColor="text1"/>
                <w:sz w:val="18"/>
              </w:rPr>
              <w:t xml:space="preserve">tycznym znaczeniu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8EB89A"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021125D"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81AA89C"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7A8282F" w14:textId="0D53592D"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59D3F6D" w14:textId="5E7C4289"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221D3CB" w14:textId="4987BF7F"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D75A139" w14:textId="5D863E44" w:rsidR="00736BBF" w:rsidRPr="00A33B9F" w:rsidRDefault="00736BBF" w:rsidP="004D3536">
            <w:pPr>
              <w:pStyle w:val="paragraph"/>
              <w:spacing w:before="0" w:beforeAutospacing="0" w:after="0" w:afterAutospacing="0"/>
              <w:textAlignment w:val="baseline"/>
              <w:rPr>
                <w:noProof/>
                <w:sz w:val="18"/>
                <w:szCs w:val="18"/>
              </w:rPr>
            </w:pPr>
            <w:r w:rsidRPr="00A33B9F">
              <w:rPr>
                <w:rStyle w:val="normaltextrun"/>
                <w:noProof/>
                <w:color w:val="000000" w:themeColor="text1"/>
                <w:sz w:val="18"/>
              </w:rPr>
              <w:t>Liczba farmaceutycznych składników czynnych (API)</w:t>
            </w:r>
            <w:r w:rsidR="00A33B9F" w:rsidRPr="00A33B9F">
              <w:rPr>
                <w:rStyle w:val="normaltextrun"/>
                <w:noProof/>
                <w:color w:val="000000" w:themeColor="text1"/>
                <w:sz w:val="18"/>
              </w:rPr>
              <w:t xml:space="preserve"> o kry</w:t>
            </w:r>
            <w:r w:rsidRPr="00A33B9F">
              <w:rPr>
                <w:rStyle w:val="normaltextrun"/>
                <w:noProof/>
                <w:color w:val="000000" w:themeColor="text1"/>
                <w:sz w:val="18"/>
              </w:rPr>
              <w:t xml:space="preserve">tycznym znaczeniu </w:t>
            </w:r>
            <w:r w:rsidRPr="00A33B9F">
              <w:rPr>
                <w:rStyle w:val="eop"/>
                <w:noProof/>
                <w:color w:val="000000" w:themeColor="text1"/>
                <w:sz w:val="18"/>
              </w:rPr>
              <w:t>(w tym oryginalnych, biopodobnych</w:t>
            </w:r>
            <w:r w:rsidR="00A33B9F" w:rsidRPr="00A33B9F">
              <w:rPr>
                <w:rStyle w:val="eop"/>
                <w:noProof/>
                <w:color w:val="000000" w:themeColor="text1"/>
                <w:sz w:val="18"/>
              </w:rPr>
              <w:t xml:space="preserve"> i gen</w:t>
            </w:r>
            <w:r w:rsidRPr="00A33B9F">
              <w:rPr>
                <w:rStyle w:val="eop"/>
                <w:noProof/>
                <w:color w:val="000000" w:themeColor="text1"/>
                <w:sz w:val="18"/>
              </w:rPr>
              <w:t>erycznych API)</w:t>
            </w:r>
            <w:r w:rsidRPr="00A33B9F">
              <w:rPr>
                <w:rStyle w:val="normaltextrun"/>
                <w:noProof/>
                <w:color w:val="000000" w:themeColor="text1"/>
                <w:sz w:val="18"/>
              </w:rPr>
              <w:t xml:space="preserve"> oraz wyrobów medycznych wspieranych</w:t>
            </w:r>
            <w:r w:rsidR="00A33B9F" w:rsidRPr="00A33B9F">
              <w:rPr>
                <w:rStyle w:val="normaltextrun"/>
                <w:noProof/>
                <w:color w:val="000000" w:themeColor="text1"/>
                <w:sz w:val="18"/>
              </w:rPr>
              <w:t xml:space="preserve"> w ram</w:t>
            </w:r>
            <w:r w:rsidRPr="00A33B9F">
              <w:rPr>
                <w:rStyle w:val="normaltextrun"/>
                <w:noProof/>
                <w:color w:val="000000" w:themeColor="text1"/>
                <w:sz w:val="18"/>
              </w:rPr>
              <w:t>ach projektów finansowanych z RRF</w:t>
            </w:r>
            <w:r w:rsidR="00C3621A" w:rsidRPr="00A33B9F">
              <w:rPr>
                <w:rStyle w:val="normaltextrun"/>
                <w:noProof/>
                <w:color w:val="000000" w:themeColor="text1"/>
                <w:sz w:val="18"/>
              </w:rPr>
              <w:t xml:space="preserve"> </w:t>
            </w:r>
          </w:p>
          <w:p w14:paraId="47918361" w14:textId="65DA488D" w:rsidR="00325444" w:rsidRPr="00A33B9F" w:rsidRDefault="00736BBF" w:rsidP="004D3536">
            <w:pPr>
              <w:pStyle w:val="paragraph"/>
              <w:spacing w:before="0" w:beforeAutospacing="0" w:after="0" w:afterAutospacing="0"/>
              <w:textAlignment w:val="baseline"/>
              <w:rPr>
                <w:noProof/>
                <w:sz w:val="18"/>
                <w:szCs w:val="18"/>
              </w:rPr>
            </w:pPr>
            <w:r w:rsidRPr="00A33B9F">
              <w:rPr>
                <w:rStyle w:val="normaltextrun"/>
                <w:noProof/>
                <w:color w:val="000000"/>
                <w:sz w:val="18"/>
              </w:rPr>
              <w:t>Dokumentacja projektowa musi obejmować:</w:t>
            </w:r>
            <w:r w:rsidRPr="00A33B9F">
              <w:rPr>
                <w:rStyle w:val="eop"/>
                <w:noProof/>
                <w:color w:val="000000"/>
                <w:sz w:val="18"/>
              </w:rPr>
              <w:t xml:space="preserve"> </w:t>
            </w:r>
          </w:p>
          <w:p w14:paraId="61E09289" w14:textId="222AB8A6" w:rsidR="00325444" w:rsidRPr="00A33B9F" w:rsidRDefault="009A4231" w:rsidP="00730F7D">
            <w:pPr>
              <w:pStyle w:val="paragraph"/>
              <w:spacing w:before="0" w:beforeAutospacing="0" w:after="0" w:afterAutospacing="0"/>
              <w:textAlignment w:val="baseline"/>
              <w:rPr>
                <w:noProof/>
                <w:sz w:val="18"/>
                <w:szCs w:val="18"/>
              </w:rPr>
            </w:pPr>
            <w:r w:rsidRPr="00A33B9F">
              <w:rPr>
                <w:rStyle w:val="eop"/>
                <w:noProof/>
                <w:color w:val="000000"/>
                <w:sz w:val="18"/>
              </w:rPr>
              <w:t xml:space="preserve">– </w:t>
            </w:r>
            <w:r w:rsidRPr="00A33B9F">
              <w:rPr>
                <w:rStyle w:val="normaltextrun"/>
                <w:noProof/>
                <w:color w:val="000000" w:themeColor="text1"/>
                <w:sz w:val="18"/>
              </w:rPr>
              <w:t>wskazanie potencjalnych beneficjentów oraz powiązanych wydatków;</w:t>
            </w:r>
            <w:r w:rsidR="00C3621A" w:rsidRPr="00A33B9F">
              <w:rPr>
                <w:rStyle w:val="normaltextrun"/>
                <w:noProof/>
                <w:color w:val="000000" w:themeColor="text1"/>
                <w:sz w:val="18"/>
              </w:rPr>
              <w:t xml:space="preserve"> </w:t>
            </w:r>
          </w:p>
          <w:p w14:paraId="6D7A29DB" w14:textId="7BAE5D45" w:rsidR="00325444" w:rsidRPr="00A33B9F" w:rsidRDefault="0BDB6954" w:rsidP="00394B30">
            <w:pPr>
              <w:pStyle w:val="paragraph"/>
              <w:numPr>
                <w:ilvl w:val="0"/>
                <w:numId w:val="12"/>
              </w:numPr>
              <w:spacing w:before="0" w:beforeAutospacing="0" w:after="0" w:afterAutospacing="0"/>
              <w:ind w:left="0"/>
              <w:textAlignment w:val="baseline"/>
              <w:rPr>
                <w:noProof/>
                <w:sz w:val="18"/>
                <w:szCs w:val="18"/>
              </w:rPr>
            </w:pPr>
            <w:r w:rsidRPr="00A33B9F">
              <w:rPr>
                <w:rStyle w:val="normaltextrun"/>
                <w:noProof/>
                <w:color w:val="000000" w:themeColor="text1"/>
                <w:sz w:val="18"/>
              </w:rPr>
              <w:t>– wykaz API</w:t>
            </w:r>
            <w:r w:rsidR="00A33B9F" w:rsidRPr="00A33B9F">
              <w:rPr>
                <w:rStyle w:val="normaltextrun"/>
                <w:noProof/>
                <w:color w:val="000000" w:themeColor="text1"/>
                <w:sz w:val="18"/>
              </w:rPr>
              <w:t xml:space="preserve"> o kry</w:t>
            </w:r>
            <w:r w:rsidRPr="00A33B9F">
              <w:rPr>
                <w:rStyle w:val="normaltextrun"/>
                <w:noProof/>
                <w:color w:val="000000" w:themeColor="text1"/>
                <w:sz w:val="18"/>
              </w:rPr>
              <w:t>tycznym znaczeniu (w tym oryginalnych, biopodobnych</w:t>
            </w:r>
            <w:r w:rsidR="00A33B9F" w:rsidRPr="00A33B9F">
              <w:rPr>
                <w:rStyle w:val="normaltextrun"/>
                <w:noProof/>
                <w:color w:val="000000" w:themeColor="text1"/>
                <w:sz w:val="18"/>
              </w:rPr>
              <w:t xml:space="preserve"> i gen</w:t>
            </w:r>
            <w:r w:rsidRPr="00A33B9F">
              <w:rPr>
                <w:rStyle w:val="normaltextrun"/>
                <w:noProof/>
                <w:color w:val="000000" w:themeColor="text1"/>
                <w:sz w:val="18"/>
              </w:rPr>
              <w:t>erycznych API), które każdy projekt ma wspierać;</w:t>
            </w:r>
            <w:r w:rsidRPr="00A33B9F">
              <w:rPr>
                <w:rStyle w:val="eop"/>
                <w:noProof/>
                <w:color w:val="000000" w:themeColor="text1"/>
                <w:sz w:val="18"/>
              </w:rPr>
              <w:t xml:space="preserve"> </w:t>
            </w:r>
          </w:p>
          <w:p w14:paraId="25DACE4B" w14:textId="1DC63F35" w:rsidR="00736BBF" w:rsidRPr="00A33B9F" w:rsidRDefault="00325444" w:rsidP="004D3536">
            <w:pPr>
              <w:pStyle w:val="paragraph"/>
              <w:spacing w:before="0" w:beforeAutospacing="0" w:after="0" w:afterAutospacing="0"/>
              <w:textAlignment w:val="baseline"/>
              <w:rPr>
                <w:noProof/>
                <w:color w:val="000000" w:themeColor="text1"/>
                <w:sz w:val="18"/>
                <w:szCs w:val="18"/>
              </w:rPr>
            </w:pPr>
            <w:r w:rsidRPr="00A33B9F">
              <w:rPr>
                <w:rStyle w:val="normaltextrun"/>
                <w:noProof/>
                <w:color w:val="000000" w:themeColor="text1"/>
                <w:sz w:val="18"/>
              </w:rPr>
              <w:t>– analizę tego,</w:t>
            </w:r>
            <w:r w:rsidR="00A33B9F" w:rsidRPr="00A33B9F">
              <w:rPr>
                <w:rStyle w:val="normaltextrun"/>
                <w:noProof/>
                <w:color w:val="000000" w:themeColor="text1"/>
                <w:sz w:val="18"/>
              </w:rPr>
              <w:t xml:space="preserve"> w jak</w:t>
            </w:r>
            <w:r w:rsidRPr="00A33B9F">
              <w:rPr>
                <w:rStyle w:val="normaltextrun"/>
                <w:noProof/>
                <w:color w:val="000000" w:themeColor="text1"/>
                <w:sz w:val="18"/>
              </w:rPr>
              <w:t>i sposób projekt przyczyni się do osiągnięcia celu, jakim jest zwiększenie bezpieczeństwa dostaw leków</w:t>
            </w:r>
            <w:r w:rsidR="00A33B9F" w:rsidRPr="00A33B9F">
              <w:rPr>
                <w:rStyle w:val="normaltextrun"/>
                <w:noProof/>
                <w:color w:val="000000" w:themeColor="text1"/>
                <w:sz w:val="18"/>
              </w:rPr>
              <w:t xml:space="preserve"> o kry</w:t>
            </w:r>
            <w:r w:rsidRPr="00A33B9F">
              <w:rPr>
                <w:rStyle w:val="normaltextrun"/>
                <w:noProof/>
                <w:color w:val="000000" w:themeColor="text1"/>
                <w:sz w:val="18"/>
              </w:rPr>
              <w:t>tycznym znaczeniu.</w:t>
            </w:r>
            <w:r w:rsidRPr="00A33B9F">
              <w:rPr>
                <w:rStyle w:val="eop"/>
                <w:noProof/>
                <w:color w:val="000000" w:themeColor="text1"/>
                <w:sz w:val="18"/>
              </w:rPr>
              <w:t xml:space="preserve"> </w:t>
            </w:r>
          </w:p>
        </w:tc>
      </w:tr>
    </w:tbl>
    <w:p w14:paraId="299D8616" w14:textId="78AD8A7C" w:rsidR="007C4506" w:rsidRPr="00A33B9F" w:rsidRDefault="007C4506" w:rsidP="395447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i/>
          <w:iCs/>
          <w:noProof/>
          <w:color w:val="4F81BD"/>
          <w:sz w:val="24"/>
          <w:szCs w:val="24"/>
        </w:rPr>
        <w:sectPr w:rsidR="007C4506" w:rsidRPr="00A33B9F" w:rsidSect="009B6BB9">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720" w:right="720" w:bottom="720" w:left="720" w:header="709" w:footer="709" w:gutter="0"/>
          <w:cols w:space="720"/>
          <w:docGrid w:linePitch="299"/>
        </w:sectPr>
      </w:pPr>
    </w:p>
    <w:p w14:paraId="59A5EB6B" w14:textId="77777777" w:rsidR="007C4506" w:rsidRPr="00A33B9F" w:rsidRDefault="00B31839">
      <w:pPr>
        <w:pStyle w:val="Normal0"/>
        <w:keepNext/>
        <w:pBdr>
          <w:top w:val="nil"/>
          <w:left w:val="nil"/>
          <w:bottom w:val="nil"/>
          <w:right w:val="nil"/>
          <w:between w:val="nil"/>
        </w:pBdr>
        <w:tabs>
          <w:tab w:val="left" w:pos="850"/>
        </w:tabs>
        <w:spacing w:before="360" w:after="120" w:line="240" w:lineRule="auto"/>
        <w:ind w:left="850" w:hanging="850"/>
        <w:jc w:val="both"/>
        <w:rPr>
          <w:rFonts w:ascii="Times New Roman" w:eastAsia="Times New Roman" w:hAnsi="Times New Roman" w:cs="Times New Roman"/>
          <w:b/>
          <w:smallCaps/>
          <w:noProof/>
          <w:color w:val="000000"/>
          <w:sz w:val="24"/>
          <w:szCs w:val="24"/>
        </w:rPr>
      </w:pPr>
      <w:r w:rsidRPr="00A33B9F">
        <w:rPr>
          <w:rFonts w:ascii="Times New Roman" w:hAnsi="Times New Roman"/>
          <w:b/>
          <w:smallCaps/>
          <w:noProof/>
          <w:color w:val="000000"/>
          <w:sz w:val="24"/>
        </w:rPr>
        <w:t>E. KOMPONENT E: ZIELONA, INTELIGENTNA MOBILNOŚĆ</w:t>
      </w:r>
    </w:p>
    <w:p w14:paraId="5A9030EE" w14:textId="47754232" w:rsidR="007C4506" w:rsidRPr="00A33B9F" w:rsidRDefault="01E2AC56">
      <w:pPr>
        <w:pStyle w:val="Normal0"/>
        <w:pBdr>
          <w:top w:val="nil"/>
          <w:left w:val="nil"/>
          <w:bottom w:val="nil"/>
          <w:right w:val="nil"/>
          <w:between w:val="nil"/>
        </w:pBdr>
        <w:spacing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Ten komponent polskiego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przede wszystkim odnosi się do wyzwań, przed którymi stoi polski sektor transportu</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dekarbonizacji</w:t>
      </w:r>
      <w:r w:rsidR="00A33B9F" w:rsidRPr="00A33B9F">
        <w:rPr>
          <w:rFonts w:ascii="Times New Roman" w:hAnsi="Times New Roman"/>
          <w:noProof/>
          <w:color w:val="000000" w:themeColor="text1"/>
          <w:sz w:val="24"/>
        </w:rPr>
        <w:t xml:space="preserve"> i zan</w:t>
      </w:r>
      <w:r w:rsidRPr="00A33B9F">
        <w:rPr>
          <w:rFonts w:ascii="Times New Roman" w:hAnsi="Times New Roman"/>
          <w:noProof/>
          <w:color w:val="000000" w:themeColor="text1"/>
          <w:sz w:val="24"/>
        </w:rPr>
        <w:t>ieczyszczenia powietrza. Od 1990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emisje</w:t>
      </w:r>
      <w:r w:rsidR="00A33B9F" w:rsidRPr="00A33B9F">
        <w:rPr>
          <w:rFonts w:ascii="Times New Roman" w:hAnsi="Times New Roman"/>
          <w:noProof/>
          <w:color w:val="000000" w:themeColor="text1"/>
          <w:sz w:val="24"/>
        </w:rPr>
        <w:t xml:space="preserve"> z tra</w:t>
      </w:r>
      <w:r w:rsidRPr="00A33B9F">
        <w:rPr>
          <w:rFonts w:ascii="Times New Roman" w:hAnsi="Times New Roman"/>
          <w:noProof/>
          <w:color w:val="000000" w:themeColor="text1"/>
          <w:sz w:val="24"/>
        </w:rPr>
        <w:t>nsportu wzrosły</w:t>
      </w:r>
      <w:r w:rsidR="00A33B9F" w:rsidRPr="00A33B9F">
        <w:rPr>
          <w:rFonts w:ascii="Times New Roman" w:hAnsi="Times New Roman"/>
          <w:noProof/>
          <w:color w:val="000000" w:themeColor="text1"/>
          <w:sz w:val="24"/>
        </w:rPr>
        <w:t xml:space="preserve"> o 2</w:t>
      </w:r>
      <w:r w:rsidRPr="00A33B9F">
        <w:rPr>
          <w:rFonts w:ascii="Times New Roman" w:hAnsi="Times New Roman"/>
          <w:noProof/>
          <w:color w:val="000000" w:themeColor="text1"/>
          <w:sz w:val="24"/>
        </w:rPr>
        <w:t>14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głównie ze względu na znaczny wzrost natężenia ruchu</w:t>
      </w:r>
      <w:r w:rsidR="00A33B9F" w:rsidRPr="00A33B9F">
        <w:rPr>
          <w:rFonts w:ascii="Times New Roman" w:hAnsi="Times New Roman"/>
          <w:noProof/>
          <w:color w:val="000000" w:themeColor="text1"/>
          <w:sz w:val="24"/>
        </w:rPr>
        <w:t xml:space="preserve"> w tra</w:t>
      </w:r>
      <w:r w:rsidRPr="00A33B9F">
        <w:rPr>
          <w:rFonts w:ascii="Times New Roman" w:hAnsi="Times New Roman"/>
          <w:noProof/>
          <w:color w:val="000000" w:themeColor="text1"/>
          <w:sz w:val="24"/>
        </w:rPr>
        <w:t>nsporcie drogowym</w:t>
      </w:r>
      <w:r w:rsidR="00A33B9F" w:rsidRPr="00A33B9F">
        <w:rPr>
          <w:rFonts w:ascii="Times New Roman" w:hAnsi="Times New Roman"/>
          <w:noProof/>
          <w:color w:val="000000" w:themeColor="text1"/>
          <w:sz w:val="24"/>
        </w:rPr>
        <w:t>. W lat</w:t>
      </w:r>
      <w:r w:rsidRPr="00A33B9F">
        <w:rPr>
          <w:rFonts w:ascii="Times New Roman" w:hAnsi="Times New Roman"/>
          <w:noProof/>
          <w:color w:val="000000" w:themeColor="text1"/>
          <w:sz w:val="24"/>
        </w:rPr>
        <w:t>ach 2005–2019 natężenie ruchu drogowego wzrosło niemal trzykrotnie, podczas gdy</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kolei wzrost ten wyniósł zaledwie 9</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Komponent E ma na celu zapewnienie synergii między programem dekarbonizacji</w:t>
      </w:r>
      <w:r w:rsidR="00A33B9F" w:rsidRPr="00A33B9F">
        <w:rPr>
          <w:rFonts w:ascii="Times New Roman" w:hAnsi="Times New Roman"/>
          <w:noProof/>
          <w:color w:val="000000" w:themeColor="text1"/>
          <w:sz w:val="24"/>
        </w:rPr>
        <w:t xml:space="preserve"> a pro</w:t>
      </w:r>
      <w:r w:rsidRPr="00A33B9F">
        <w:rPr>
          <w:rFonts w:ascii="Times New Roman" w:hAnsi="Times New Roman"/>
          <w:noProof/>
          <w:color w:val="000000" w:themeColor="text1"/>
          <w:sz w:val="24"/>
        </w:rPr>
        <w:t>gramem przemysłowym. Biorąc pod uwagę utrzymującą się</w:t>
      </w:r>
      <w:r w:rsidR="00A33B9F" w:rsidRPr="00A33B9F">
        <w:rPr>
          <w:rFonts w:ascii="Times New Roman" w:hAnsi="Times New Roman"/>
          <w:noProof/>
          <w:color w:val="000000" w:themeColor="text1"/>
          <w:sz w:val="24"/>
        </w:rPr>
        <w:t xml:space="preserve"> w kra</w:t>
      </w:r>
      <w:r w:rsidRPr="00A33B9F">
        <w:rPr>
          <w:rFonts w:ascii="Times New Roman" w:hAnsi="Times New Roman"/>
          <w:noProof/>
          <w:color w:val="000000" w:themeColor="text1"/>
          <w:sz w:val="24"/>
        </w:rPr>
        <w:t>ju wysoką liczbę ofiar śmiertelnych wypadków drogowych, komponent ten ma także zaradzić wyzwaniu, jakim jest bezpieczeństwo ruchu drogowego. Ponadto komponent ten obejmuje wyłączenie niektórych obszarów</w:t>
      </w:r>
      <w:r w:rsidR="00A33B9F" w:rsidRPr="00A33B9F">
        <w:rPr>
          <w:rFonts w:ascii="Times New Roman" w:hAnsi="Times New Roman"/>
          <w:noProof/>
          <w:color w:val="000000" w:themeColor="text1"/>
          <w:sz w:val="24"/>
        </w:rPr>
        <w:t xml:space="preserve"> z rea</w:t>
      </w:r>
      <w:r w:rsidRPr="00A33B9F">
        <w:rPr>
          <w:rFonts w:ascii="Times New Roman" w:hAnsi="Times New Roman"/>
          <w:noProof/>
          <w:color w:val="000000" w:themeColor="text1"/>
          <w:sz w:val="24"/>
        </w:rPr>
        <w:t>lnej oferty transportu publicznego.</w:t>
      </w:r>
    </w:p>
    <w:p w14:paraId="7724F607" w14:textId="292FE267" w:rsidR="007C4506" w:rsidRPr="00A33B9F" w:rsidRDefault="110E162E">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Głównym celem tego komponentu jest zatem wprowadzenie reform</w:t>
      </w:r>
      <w:r w:rsidR="00A33B9F" w:rsidRPr="00A33B9F">
        <w:rPr>
          <w:rFonts w:ascii="Times New Roman" w:hAnsi="Times New Roman"/>
          <w:noProof/>
          <w:color w:val="000000" w:themeColor="text1"/>
          <w:sz w:val="24"/>
        </w:rPr>
        <w:t xml:space="preserve"> i inw</w:t>
      </w:r>
      <w:r w:rsidRPr="00A33B9F">
        <w:rPr>
          <w:rFonts w:ascii="Times New Roman" w:hAnsi="Times New Roman"/>
          <w:noProof/>
          <w:color w:val="000000" w:themeColor="text1"/>
          <w:sz w:val="24"/>
        </w:rPr>
        <w:t>estycji propagujących zrównoważony transport</w:t>
      </w:r>
      <w:r w:rsidR="00A33B9F" w:rsidRPr="00A33B9F">
        <w:rPr>
          <w:rFonts w:ascii="Times New Roman" w:hAnsi="Times New Roman"/>
          <w:noProof/>
          <w:color w:val="000000" w:themeColor="text1"/>
          <w:sz w:val="24"/>
        </w:rPr>
        <w:t xml:space="preserve"> z pom</w:t>
      </w:r>
      <w:r w:rsidRPr="00A33B9F">
        <w:rPr>
          <w:rFonts w:ascii="Times New Roman" w:hAnsi="Times New Roman"/>
          <w:noProof/>
          <w:color w:val="000000" w:themeColor="text1"/>
          <w:sz w:val="24"/>
        </w:rPr>
        <w:t>ocą publicznego transportu miejskiego, czystych ekologicznie pojazdów</w:t>
      </w:r>
      <w:r w:rsidR="00A33B9F" w:rsidRPr="00A33B9F">
        <w:rPr>
          <w:rFonts w:ascii="Times New Roman" w:hAnsi="Times New Roman"/>
          <w:noProof/>
          <w:color w:val="000000" w:themeColor="text1"/>
          <w:sz w:val="24"/>
        </w:rPr>
        <w:t xml:space="preserve"> i odp</w:t>
      </w:r>
      <w:r w:rsidRPr="00A33B9F">
        <w:rPr>
          <w:rFonts w:ascii="Times New Roman" w:hAnsi="Times New Roman"/>
          <w:noProof/>
          <w:color w:val="000000" w:themeColor="text1"/>
          <w:sz w:val="24"/>
        </w:rPr>
        <w:t>owiedniej infrastruktury, przesunięcia międzygałęziowego</w:t>
      </w:r>
      <w:r w:rsidR="00A33B9F" w:rsidRPr="00A33B9F">
        <w:rPr>
          <w:rFonts w:ascii="Times New Roman" w:hAnsi="Times New Roman"/>
          <w:noProof/>
          <w:color w:val="000000" w:themeColor="text1"/>
          <w:sz w:val="24"/>
        </w:rPr>
        <w:t xml:space="preserve"> z tra</w:t>
      </w:r>
      <w:r w:rsidRPr="00A33B9F">
        <w:rPr>
          <w:rFonts w:ascii="Times New Roman" w:hAnsi="Times New Roman"/>
          <w:noProof/>
          <w:color w:val="000000" w:themeColor="text1"/>
          <w:sz w:val="24"/>
        </w:rPr>
        <w:t>nsportu drogowego na kolejowy oraz transportu intermodalnego. Odpowiedzią na problemy związane</w:t>
      </w:r>
      <w:r w:rsidR="00A33B9F" w:rsidRPr="00A33B9F">
        <w:rPr>
          <w:rFonts w:ascii="Times New Roman" w:hAnsi="Times New Roman"/>
          <w:noProof/>
          <w:color w:val="000000" w:themeColor="text1"/>
          <w:sz w:val="24"/>
        </w:rPr>
        <w:t xml:space="preserve"> z kon</w:t>
      </w:r>
      <w:r w:rsidRPr="00A33B9F">
        <w:rPr>
          <w:rFonts w:ascii="Times New Roman" w:hAnsi="Times New Roman"/>
          <w:noProof/>
          <w:color w:val="000000" w:themeColor="text1"/>
          <w:sz w:val="24"/>
        </w:rPr>
        <w:t>kurencyjnością jest wsparcie inwestycyjne dla przedsiębiorstw na rzecz rozwoju zeroemisyjnych technologii transportowych. Bezpieczeństwo ruchu drogowego ma być zapewnione dzięki kompleksowemu zestawowi reform</w:t>
      </w:r>
      <w:r w:rsidR="00A33B9F" w:rsidRPr="00A33B9F">
        <w:rPr>
          <w:rFonts w:ascii="Times New Roman" w:hAnsi="Times New Roman"/>
          <w:noProof/>
          <w:color w:val="000000" w:themeColor="text1"/>
          <w:sz w:val="24"/>
        </w:rPr>
        <w:t xml:space="preserve"> i inw</w:t>
      </w:r>
      <w:r w:rsidRPr="00A33B9F">
        <w:rPr>
          <w:rFonts w:ascii="Times New Roman" w:hAnsi="Times New Roman"/>
          <w:noProof/>
          <w:color w:val="000000" w:themeColor="text1"/>
          <w:sz w:val="24"/>
        </w:rPr>
        <w:t>estycji mających na celu zwiększenie bezpieczeństwa poszczególnych odcinków dróg. Inwestycje</w:t>
      </w:r>
      <w:r w:rsidR="00A33B9F" w:rsidRPr="00A33B9F">
        <w:rPr>
          <w:rFonts w:ascii="Times New Roman" w:hAnsi="Times New Roman"/>
          <w:noProof/>
          <w:color w:val="000000" w:themeColor="text1"/>
          <w:sz w:val="24"/>
        </w:rPr>
        <w:t xml:space="preserve"> w tra</w:t>
      </w:r>
      <w:r w:rsidRPr="00A33B9F">
        <w:rPr>
          <w:rFonts w:ascii="Times New Roman" w:hAnsi="Times New Roman"/>
          <w:noProof/>
          <w:color w:val="000000" w:themeColor="text1"/>
          <w:sz w:val="24"/>
        </w:rPr>
        <w:t>nsport publiczny na obszarach wiejskich mają sprawić, że taki transport stanie się realną alternatywą dla samochodów,</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zmierzają do zwiększenia spójności gospodarczej</w:t>
      </w:r>
      <w:r w:rsidR="00A33B9F" w:rsidRPr="00A33B9F">
        <w:rPr>
          <w:rFonts w:ascii="Times New Roman" w:hAnsi="Times New Roman"/>
          <w:noProof/>
          <w:color w:val="000000" w:themeColor="text1"/>
          <w:sz w:val="24"/>
        </w:rPr>
        <w:t xml:space="preserve"> i spo</w:t>
      </w:r>
      <w:r w:rsidRPr="00A33B9F">
        <w:rPr>
          <w:rFonts w:ascii="Times New Roman" w:hAnsi="Times New Roman"/>
          <w:noProof/>
          <w:color w:val="000000" w:themeColor="text1"/>
          <w:sz w:val="24"/>
        </w:rPr>
        <w:t xml:space="preserve">łecznej oraz włączenia społecznego. </w:t>
      </w:r>
    </w:p>
    <w:p w14:paraId="30F04CC4" w14:textId="69441E0D" w:rsidR="007C4506" w:rsidRPr="00A33B9F" w:rsidRDefault="110E162E">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Komponent przyczynia się do realizacji zalecenia dla poszczególnych krajów dotyczącego ukierunkowania inwestycyjnej polityki gospodarczej na innowacje, transport,</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jego zrównoważony charakter, na infrastrukturę energetyczną</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rową, opiekę zdrowotną oraz czystszą energię,</w:t>
      </w:r>
      <w:r w:rsidR="00A33B9F" w:rsidRPr="00A33B9F">
        <w:rPr>
          <w:rFonts w:ascii="Times New Roman" w:hAnsi="Times New Roman"/>
          <w:noProof/>
          <w:color w:val="000000" w:themeColor="text1"/>
          <w:sz w:val="24"/>
        </w:rPr>
        <w:t xml:space="preserve"> z uwz</w:t>
      </w:r>
      <w:r w:rsidRPr="00A33B9F">
        <w:rPr>
          <w:rFonts w:ascii="Times New Roman" w:hAnsi="Times New Roman"/>
          <w:noProof/>
          <w:color w:val="000000" w:themeColor="text1"/>
          <w:sz w:val="24"/>
        </w:rPr>
        <w:t>ględnieniem różnic regionalnych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019</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oraz ukierunkowania inwestycji na transformację zieloną</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rową,</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na infrastrukturę cyfrową, czyste</w:t>
      </w:r>
      <w:r w:rsidR="00A33B9F" w:rsidRPr="00A33B9F">
        <w:rPr>
          <w:rFonts w:ascii="Times New Roman" w:hAnsi="Times New Roman"/>
          <w:noProof/>
          <w:color w:val="000000" w:themeColor="text1"/>
          <w:sz w:val="24"/>
        </w:rPr>
        <w:t xml:space="preserve"> i wyd</w:t>
      </w:r>
      <w:r w:rsidRPr="00A33B9F">
        <w:rPr>
          <w:rFonts w:ascii="Times New Roman" w:hAnsi="Times New Roman"/>
          <w:noProof/>
          <w:color w:val="000000" w:themeColor="text1"/>
          <w:sz w:val="24"/>
        </w:rPr>
        <w:t>ajne wytwarzanie</w:t>
      </w:r>
      <w:r w:rsidR="00A33B9F" w:rsidRPr="00A33B9F">
        <w:rPr>
          <w:rFonts w:ascii="Times New Roman" w:hAnsi="Times New Roman"/>
          <w:noProof/>
          <w:color w:val="000000" w:themeColor="text1"/>
          <w:sz w:val="24"/>
        </w:rPr>
        <w:t xml:space="preserve"> i wyk</w:t>
      </w:r>
      <w:r w:rsidRPr="00A33B9F">
        <w:rPr>
          <w:rFonts w:ascii="Times New Roman" w:hAnsi="Times New Roman"/>
          <w:noProof/>
          <w:color w:val="000000" w:themeColor="text1"/>
          <w:sz w:val="24"/>
        </w:rPr>
        <w:t>orzystanie energii oraz zrównoważony transport, co będzie przyczyniać się do stopniowej dekarbonizacji gospodarki, m.in.</w:t>
      </w:r>
      <w:r w:rsidR="00A33B9F" w:rsidRPr="00A33B9F">
        <w:rPr>
          <w:rFonts w:ascii="Times New Roman" w:hAnsi="Times New Roman"/>
          <w:noProof/>
          <w:color w:val="000000" w:themeColor="text1"/>
          <w:sz w:val="24"/>
        </w:rPr>
        <w:t xml:space="preserve"> w reg</w:t>
      </w:r>
      <w:r w:rsidRPr="00A33B9F">
        <w:rPr>
          <w:rFonts w:ascii="Times New Roman" w:hAnsi="Times New Roman"/>
          <w:noProof/>
          <w:color w:val="000000" w:themeColor="text1"/>
          <w:sz w:val="24"/>
        </w:rPr>
        <w:t>ionach górniczych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020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9BCFB91" w14:textId="5EEF0D99" w:rsidR="00564A81" w:rsidRPr="00A33B9F" w:rsidRDefault="1A439CB2" w:rsidP="003E6A10">
      <w:pPr>
        <w:pStyle w:val="Normal0"/>
        <w:pBdr>
          <w:top w:val="nil"/>
          <w:left w:val="nil"/>
          <w:bottom w:val="nil"/>
          <w:right w:val="nil"/>
          <w:between w:val="nil"/>
        </w:pBdr>
        <w:spacing w:before="120" w:after="120" w:line="257"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Oczekuje się, że żaden ze środków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komponencie nie spowoduje poważnych szkód dla celów środowiskowych</w:t>
      </w:r>
      <w:r w:rsidR="00A33B9F" w:rsidRPr="00A33B9F">
        <w:rPr>
          <w:rFonts w:ascii="Times New Roman" w:hAnsi="Times New Roman"/>
          <w:noProof/>
          <w:color w:val="000000" w:themeColor="text1"/>
          <w:sz w:val="24"/>
        </w:rPr>
        <w:t xml:space="preserve"> w roz</w:t>
      </w:r>
      <w:r w:rsidRPr="00A33B9F">
        <w:rPr>
          <w:rFonts w:ascii="Times New Roman" w:hAnsi="Times New Roman"/>
          <w:noProof/>
          <w:color w:val="000000" w:themeColor="text1"/>
          <w:sz w:val="24"/>
        </w:rPr>
        <w:t>umieniu art.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17 rozporządzenia Parlamentu Europejskiego</w:t>
      </w:r>
      <w:r w:rsidR="00A33B9F" w:rsidRPr="00A33B9F">
        <w:rPr>
          <w:rFonts w:ascii="Times New Roman" w:hAnsi="Times New Roman"/>
          <w:noProof/>
          <w:color w:val="000000" w:themeColor="text1"/>
          <w:sz w:val="24"/>
        </w:rPr>
        <w:t xml:space="preserve"> i Rad</w:t>
      </w:r>
      <w:r w:rsidRPr="00A33B9F">
        <w:rPr>
          <w:rFonts w:ascii="Times New Roman" w:hAnsi="Times New Roman"/>
          <w:noProof/>
          <w:color w:val="000000" w:themeColor="text1"/>
          <w:sz w:val="24"/>
        </w:rPr>
        <w:t>y (UE) 2020/852, biorąc pod uwagę opis środków</w:t>
      </w:r>
      <w:r w:rsidR="00A33B9F" w:rsidRPr="00A33B9F">
        <w:rPr>
          <w:rFonts w:ascii="Times New Roman" w:hAnsi="Times New Roman"/>
          <w:noProof/>
          <w:color w:val="000000" w:themeColor="text1"/>
          <w:sz w:val="24"/>
        </w:rPr>
        <w:t xml:space="preserve"> i dzi</w:t>
      </w:r>
      <w:r w:rsidRPr="00A33B9F">
        <w:rPr>
          <w:rFonts w:ascii="Times New Roman" w:hAnsi="Times New Roman"/>
          <w:noProof/>
          <w:color w:val="000000" w:themeColor="text1"/>
          <w:sz w:val="24"/>
        </w:rPr>
        <w:t>ałań ograniczających ryzyko</w:t>
      </w:r>
      <w:r w:rsidR="00A33B9F" w:rsidRPr="00A33B9F">
        <w:rPr>
          <w:rFonts w:ascii="Times New Roman" w:hAnsi="Times New Roman"/>
          <w:noProof/>
          <w:color w:val="000000" w:themeColor="text1"/>
          <w:sz w:val="24"/>
        </w:rPr>
        <w:t xml:space="preserve"> w pla</w:t>
      </w:r>
      <w:r w:rsidRPr="00A33B9F">
        <w:rPr>
          <w:rFonts w:ascii="Times New Roman" w:hAnsi="Times New Roman"/>
          <w:noProof/>
          <w:color w:val="000000" w:themeColor="text1"/>
          <w:sz w:val="24"/>
        </w:rPr>
        <w:t>nie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zgodnie</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(2021/C 58/01). Wszystkie projekty inwestycyjne finansowane</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tego komponentu, które wymagają decyzji</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oceny oddziaływania na środowisko (OOŚ), muszą być zgodne</w:t>
      </w:r>
      <w:r w:rsidR="00A33B9F" w:rsidRPr="00A33B9F">
        <w:rPr>
          <w:rFonts w:ascii="Times New Roman" w:hAnsi="Times New Roman"/>
          <w:noProof/>
          <w:color w:val="000000" w:themeColor="text1"/>
          <w:sz w:val="24"/>
        </w:rPr>
        <w:t xml:space="preserve"> z dyr</w:t>
      </w:r>
      <w:r w:rsidRPr="00A33B9F">
        <w:rPr>
          <w:rFonts w:ascii="Times New Roman" w:hAnsi="Times New Roman"/>
          <w:noProof/>
          <w:color w:val="000000" w:themeColor="text1"/>
          <w:sz w:val="24"/>
        </w:rPr>
        <w:t>ektywą 2011/92/UE zmienioną dyrektywą 2014/52/UE</w:t>
      </w:r>
      <w:r w:rsidR="00A33B9F" w:rsidRPr="00A33B9F">
        <w:rPr>
          <w:rFonts w:ascii="Times New Roman" w:hAnsi="Times New Roman"/>
          <w:noProof/>
          <w:color w:val="000000" w:themeColor="text1"/>
          <w:sz w:val="24"/>
        </w:rPr>
        <w:t>. W szc</w:t>
      </w:r>
      <w:r w:rsidRPr="00A33B9F">
        <w:rPr>
          <w:rFonts w:ascii="Times New Roman" w:hAnsi="Times New Roman"/>
          <w:noProof/>
          <w:color w:val="000000" w:themeColor="text1"/>
          <w:sz w:val="24"/>
        </w:rPr>
        <w:t>zególności wszystkie nowe projekty, które wymagają OOŚ, muszą uzyskać zezwolenie na podstawie ustawy</w:t>
      </w:r>
      <w:r w:rsidR="00A33B9F" w:rsidRPr="00A33B9F">
        <w:rPr>
          <w:rFonts w:ascii="Times New Roman" w:hAnsi="Times New Roman"/>
          <w:noProof/>
          <w:color w:val="000000" w:themeColor="text1"/>
          <w:sz w:val="24"/>
        </w:rPr>
        <w:t xml:space="preserve"> o udo</w:t>
      </w:r>
      <w:r w:rsidRPr="00A33B9F">
        <w:rPr>
          <w:rFonts w:ascii="Times New Roman" w:hAnsi="Times New Roman"/>
          <w:noProof/>
          <w:color w:val="000000" w:themeColor="text1"/>
          <w:sz w:val="24"/>
        </w:rPr>
        <w:t>stępnianiu informacji</w:t>
      </w:r>
      <w:r w:rsidR="00A33B9F" w:rsidRPr="00A33B9F">
        <w:rPr>
          <w:rFonts w:ascii="Times New Roman" w:hAnsi="Times New Roman"/>
          <w:noProof/>
          <w:color w:val="000000" w:themeColor="text1"/>
          <w:sz w:val="24"/>
        </w:rPr>
        <w:t xml:space="preserve"> o śro</w:t>
      </w:r>
      <w:r w:rsidRPr="00A33B9F">
        <w:rPr>
          <w:rFonts w:ascii="Times New Roman" w:hAnsi="Times New Roman"/>
          <w:noProof/>
          <w:color w:val="000000" w:themeColor="text1"/>
          <w:sz w:val="24"/>
        </w:rPr>
        <w:t>dowisku</w:t>
      </w:r>
      <w:r w:rsidR="00A33B9F" w:rsidRPr="00A33B9F">
        <w:rPr>
          <w:rFonts w:ascii="Times New Roman" w:hAnsi="Times New Roman"/>
          <w:noProof/>
          <w:color w:val="000000" w:themeColor="text1"/>
          <w:sz w:val="24"/>
        </w:rPr>
        <w:t xml:space="preserve"> i jeg</w:t>
      </w:r>
      <w:r w:rsidRPr="00A33B9F">
        <w:rPr>
          <w:rFonts w:ascii="Times New Roman" w:hAnsi="Times New Roman"/>
          <w:noProof/>
          <w:color w:val="000000" w:themeColor="text1"/>
          <w:sz w:val="24"/>
        </w:rPr>
        <w:t>o ochronie, udziale społeczeństwa</w:t>
      </w:r>
      <w:r w:rsidR="00A33B9F" w:rsidRPr="00A33B9F">
        <w:rPr>
          <w:rFonts w:ascii="Times New Roman" w:hAnsi="Times New Roman"/>
          <w:noProof/>
          <w:color w:val="000000" w:themeColor="text1"/>
          <w:sz w:val="24"/>
        </w:rPr>
        <w:t xml:space="preserve"> w och</w:t>
      </w:r>
      <w:r w:rsidRPr="00A33B9F">
        <w:rPr>
          <w:rFonts w:ascii="Times New Roman" w:hAnsi="Times New Roman"/>
          <w:noProof/>
          <w:color w:val="000000" w:themeColor="text1"/>
          <w:sz w:val="24"/>
        </w:rPr>
        <w:t>ronie środowiska oraz</w:t>
      </w:r>
      <w:r w:rsidR="00A33B9F" w:rsidRPr="00A33B9F">
        <w:rPr>
          <w:rFonts w:ascii="Times New Roman" w:hAnsi="Times New Roman"/>
          <w:noProof/>
          <w:color w:val="000000" w:themeColor="text1"/>
          <w:sz w:val="24"/>
        </w:rPr>
        <w:t xml:space="preserve"> o oce</w:t>
      </w:r>
      <w:r w:rsidRPr="00A33B9F">
        <w:rPr>
          <w:rFonts w:ascii="Times New Roman" w:hAnsi="Times New Roman"/>
          <w:noProof/>
          <w:color w:val="000000" w:themeColor="text1"/>
          <w:sz w:val="24"/>
        </w:rPr>
        <w:t>nach oddziaływania na środowisko, zmienionej ustawą</w:t>
      </w:r>
      <w:r w:rsidR="00A33B9F" w:rsidRPr="00A33B9F">
        <w:rPr>
          <w:rFonts w:ascii="Times New Roman" w:hAnsi="Times New Roman"/>
          <w:noProof/>
          <w:color w:val="000000" w:themeColor="text1"/>
          <w:sz w:val="24"/>
        </w:rPr>
        <w:t xml:space="preserve"> z dni</w:t>
      </w:r>
      <w:r w:rsidRPr="00A33B9F">
        <w:rPr>
          <w:rFonts w:ascii="Times New Roman" w:hAnsi="Times New Roman"/>
          <w:noProof/>
          <w:color w:val="000000" w:themeColor="text1"/>
          <w:sz w:val="24"/>
        </w:rPr>
        <w:t>a 30 marca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r w:rsidR="00A33B9F" w:rsidRPr="00A33B9F">
        <w:rPr>
          <w:rFonts w:ascii="Times New Roman" w:hAnsi="Times New Roman"/>
          <w:noProof/>
          <w:color w:val="000000" w:themeColor="text1"/>
          <w:sz w:val="24"/>
        </w:rPr>
        <w:t xml:space="preserve"> o zmi</w:t>
      </w:r>
      <w:r w:rsidRPr="00A33B9F">
        <w:rPr>
          <w:rFonts w:ascii="Times New Roman" w:hAnsi="Times New Roman"/>
          <w:noProof/>
          <w:color w:val="000000" w:themeColor="text1"/>
          <w:sz w:val="24"/>
        </w:rPr>
        <w:t>anie tej ustawy oraz niektórych innych ustaw. Przy realizacji wszystkich projektów inwestycyjnych,</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których wniosek</w:t>
      </w:r>
      <w:r w:rsidR="00A33B9F" w:rsidRPr="00A33B9F">
        <w:rPr>
          <w:rFonts w:ascii="Times New Roman" w:hAnsi="Times New Roman"/>
          <w:noProof/>
          <w:color w:val="000000" w:themeColor="text1"/>
          <w:sz w:val="24"/>
        </w:rPr>
        <w:t xml:space="preserve"> o wyd</w:t>
      </w:r>
      <w:r w:rsidRPr="00A33B9F">
        <w:rPr>
          <w:rFonts w:ascii="Times New Roman" w:hAnsi="Times New Roman"/>
          <w:noProof/>
          <w:color w:val="000000" w:themeColor="text1"/>
          <w:sz w:val="24"/>
        </w:rPr>
        <w:t>anie decyzji środowiskowej lub pozwolenia na budowę lub rozbudowę złożono przed wejściem</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ustawy</w:t>
      </w:r>
      <w:r w:rsidR="00A33B9F" w:rsidRPr="00A33B9F">
        <w:rPr>
          <w:rFonts w:ascii="Times New Roman" w:hAnsi="Times New Roman"/>
          <w:noProof/>
          <w:color w:val="000000" w:themeColor="text1"/>
          <w:sz w:val="24"/>
        </w:rPr>
        <w:t xml:space="preserve"> z dni</w:t>
      </w:r>
      <w:r w:rsidRPr="00A33B9F">
        <w:rPr>
          <w:rFonts w:ascii="Times New Roman" w:hAnsi="Times New Roman"/>
          <w:noProof/>
          <w:color w:val="000000" w:themeColor="text1"/>
          <w:sz w:val="24"/>
        </w:rPr>
        <w:t>a 30 marca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uwzględnia się przepisy określone w „Wytycznych</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awie działań naprawczych</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projektów współfinansowanych</w:t>
      </w:r>
      <w:r w:rsidR="00A33B9F" w:rsidRPr="00A33B9F">
        <w:rPr>
          <w:rFonts w:ascii="Times New Roman" w:hAnsi="Times New Roman"/>
          <w:noProof/>
          <w:color w:val="000000" w:themeColor="text1"/>
          <w:sz w:val="24"/>
        </w:rPr>
        <w:t xml:space="preserve"> z fun</w:t>
      </w:r>
      <w:r w:rsidRPr="00A33B9F">
        <w:rPr>
          <w:rFonts w:ascii="Times New Roman" w:hAnsi="Times New Roman"/>
          <w:noProof/>
          <w:color w:val="000000" w:themeColor="text1"/>
          <w:sz w:val="24"/>
        </w:rPr>
        <w:t>duszy UE, których dotyczy naruszenie 2016/2046”, przekazanych Polsce</w:t>
      </w:r>
      <w:r w:rsidR="00A33B9F" w:rsidRPr="00A33B9F">
        <w:rPr>
          <w:rFonts w:ascii="Times New Roman" w:hAnsi="Times New Roman"/>
          <w:noProof/>
          <w:color w:val="000000" w:themeColor="text1"/>
          <w:sz w:val="24"/>
        </w:rPr>
        <w:t xml:space="preserve"> w 2</w:t>
      </w:r>
      <w:r w:rsidRPr="00A33B9F">
        <w:rPr>
          <w:rFonts w:ascii="Times New Roman" w:hAnsi="Times New Roman"/>
          <w:noProof/>
          <w:color w:val="000000" w:themeColor="text1"/>
          <w:sz w:val="24"/>
        </w:rPr>
        <w:t>3 lutego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(nr ref. Ares(2021)1423319).</w:t>
      </w:r>
    </w:p>
    <w:p w14:paraId="47EE4D1F" w14:textId="15AD3DBA" w:rsidR="007C4506" w:rsidRPr="00A33B9F" w:rsidRDefault="110E162E" w:rsidP="0035718C">
      <w:pPr>
        <w:pStyle w:val="Normal0"/>
        <w:pageBreakBefore/>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themeColor="text1"/>
          <w:sz w:val="24"/>
          <w:szCs w:val="24"/>
        </w:rPr>
      </w:pPr>
      <w:r w:rsidRPr="00A33B9F">
        <w:rPr>
          <w:rFonts w:ascii="Times New Roman" w:hAnsi="Times New Roman"/>
          <w:b/>
          <w:noProof/>
          <w:color w:val="000000" w:themeColor="text1"/>
          <w:sz w:val="24"/>
        </w:rPr>
        <w:t xml:space="preserve">E.1. </w:t>
      </w:r>
      <w:r w:rsidRPr="00A33B9F">
        <w:rPr>
          <w:noProof/>
        </w:rPr>
        <w:tab/>
      </w:r>
      <w:r w:rsidRPr="00A33B9F">
        <w:rPr>
          <w:rFonts w:ascii="Times New Roman" w:hAnsi="Times New Roman"/>
          <w:b/>
          <w:noProof/>
          <w:color w:val="000000" w:themeColor="text1"/>
          <w:sz w:val="24"/>
        </w:rPr>
        <w:t>Opis reform</w:t>
      </w:r>
      <w:r w:rsidR="00A33B9F" w:rsidRPr="00A33B9F">
        <w:rPr>
          <w:rFonts w:ascii="Times New Roman" w:hAnsi="Times New Roman"/>
          <w:b/>
          <w:noProof/>
          <w:color w:val="000000" w:themeColor="text1"/>
          <w:sz w:val="24"/>
        </w:rPr>
        <w:t xml:space="preserve"> i inw</w:t>
      </w:r>
      <w:r w:rsidRPr="00A33B9F">
        <w:rPr>
          <w:rFonts w:ascii="Times New Roman" w:hAnsi="Times New Roman"/>
          <w:b/>
          <w:noProof/>
          <w:color w:val="000000" w:themeColor="text1"/>
          <w:sz w:val="24"/>
        </w:rPr>
        <w:t>estycji, które mają być finansowane</w:t>
      </w:r>
      <w:r w:rsidR="00A33B9F" w:rsidRPr="00A33B9F">
        <w:rPr>
          <w:rFonts w:ascii="Times New Roman" w:hAnsi="Times New Roman"/>
          <w:b/>
          <w:noProof/>
          <w:color w:val="000000" w:themeColor="text1"/>
          <w:sz w:val="24"/>
        </w:rPr>
        <w:t xml:space="preserve"> z bez</w:t>
      </w:r>
      <w:r w:rsidRPr="00A33B9F">
        <w:rPr>
          <w:rFonts w:ascii="Times New Roman" w:hAnsi="Times New Roman"/>
          <w:b/>
          <w:noProof/>
          <w:color w:val="000000" w:themeColor="text1"/>
          <w:sz w:val="24"/>
        </w:rPr>
        <w:t>zwrotnego wsparcia finansowego</w:t>
      </w:r>
    </w:p>
    <w:p w14:paraId="6F5CD9ED" w14:textId="77777777" w:rsidR="00D04678" w:rsidRPr="00A33B9F" w:rsidRDefault="00D04678"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i/>
          <w:iCs/>
          <w:noProof/>
          <w:color w:val="000000"/>
          <w:sz w:val="24"/>
          <w:szCs w:val="24"/>
        </w:rPr>
      </w:pPr>
    </w:p>
    <w:p w14:paraId="5EF90BB6" w14:textId="77777777"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E1.1 Wzrost wykorzystania transportu przyjaznego dla środowiska</w:t>
      </w:r>
    </w:p>
    <w:p w14:paraId="6E223EAA" w14:textId="43618313"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reformy jest ograniczenie emisji gazów cieplarnianych</w:t>
      </w:r>
      <w:r w:rsidR="00A33B9F" w:rsidRPr="00A33B9F">
        <w:rPr>
          <w:rFonts w:ascii="Times New Roman" w:hAnsi="Times New Roman"/>
          <w:noProof/>
          <w:color w:val="000000" w:themeColor="text1"/>
          <w:sz w:val="24"/>
        </w:rPr>
        <w:t xml:space="preserve"> i zan</w:t>
      </w:r>
      <w:r w:rsidRPr="00A33B9F">
        <w:rPr>
          <w:rFonts w:ascii="Times New Roman" w:hAnsi="Times New Roman"/>
          <w:noProof/>
          <w:color w:val="000000" w:themeColor="text1"/>
          <w:sz w:val="24"/>
        </w:rPr>
        <w:t>ieczyszczeń powietrza</w:t>
      </w:r>
      <w:r w:rsidR="00A33B9F" w:rsidRPr="00A33B9F">
        <w:rPr>
          <w:rFonts w:ascii="Times New Roman" w:hAnsi="Times New Roman"/>
          <w:noProof/>
          <w:color w:val="000000" w:themeColor="text1"/>
          <w:sz w:val="24"/>
        </w:rPr>
        <w:t xml:space="preserve"> z tra</w:t>
      </w:r>
      <w:r w:rsidRPr="00A33B9F">
        <w:rPr>
          <w:rFonts w:ascii="Times New Roman" w:hAnsi="Times New Roman"/>
          <w:noProof/>
          <w:color w:val="000000" w:themeColor="text1"/>
          <w:sz w:val="24"/>
        </w:rPr>
        <w:t>nsportu oraz zwiększenie udziału paliw alternatywnych za pomocą szerokiego wachlarza środków regulacyjnych</w:t>
      </w:r>
      <w:r w:rsidR="00A33B9F" w:rsidRPr="00A33B9F">
        <w:rPr>
          <w:rFonts w:ascii="Times New Roman" w:hAnsi="Times New Roman"/>
          <w:noProof/>
          <w:color w:val="000000" w:themeColor="text1"/>
          <w:sz w:val="24"/>
        </w:rPr>
        <w:t xml:space="preserve"> i nie</w:t>
      </w:r>
      <w:r w:rsidRPr="00A33B9F">
        <w:rPr>
          <w:rFonts w:ascii="Times New Roman" w:hAnsi="Times New Roman"/>
          <w:noProof/>
          <w:color w:val="000000" w:themeColor="text1"/>
          <w:sz w:val="24"/>
        </w:rPr>
        <w:t>regulacyjnych wdrożonych</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kompleksowej, długoterminowej strategii dekarbonizacji transportu.</w:t>
      </w:r>
    </w:p>
    <w:p w14:paraId="013C6093" w14:textId="3DC09888" w:rsidR="007C4506" w:rsidRPr="00A33B9F" w:rsidRDefault="261EDB76" w:rsidP="4220C76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Po pierwsze, ten cel reformy zostanie osiągnięty dzięki nałożeniu na regionalne</w:t>
      </w:r>
      <w:r w:rsidR="00A33B9F" w:rsidRPr="00A33B9F">
        <w:rPr>
          <w:rFonts w:ascii="Times New Roman" w:hAnsi="Times New Roman"/>
          <w:noProof/>
          <w:color w:val="000000" w:themeColor="text1"/>
          <w:sz w:val="24"/>
        </w:rPr>
        <w:t xml:space="preserve"> i lok</w:t>
      </w:r>
      <w:r w:rsidRPr="00A33B9F">
        <w:rPr>
          <w:rFonts w:ascii="Times New Roman" w:hAnsi="Times New Roman"/>
          <w:noProof/>
          <w:color w:val="000000" w:themeColor="text1"/>
          <w:sz w:val="24"/>
        </w:rPr>
        <w:t>alne organy publiczne obowiązku zakupu tylko niskoemisyjnych</w:t>
      </w:r>
      <w:r w:rsidR="00A33B9F" w:rsidRPr="00A33B9F">
        <w:rPr>
          <w:rFonts w:ascii="Times New Roman" w:hAnsi="Times New Roman"/>
          <w:noProof/>
          <w:color w:val="000000" w:themeColor="text1"/>
          <w:sz w:val="24"/>
        </w:rPr>
        <w:t xml:space="preserve"> i zer</w:t>
      </w:r>
      <w:r w:rsidRPr="00A33B9F">
        <w:rPr>
          <w:rFonts w:ascii="Times New Roman" w:hAnsi="Times New Roman"/>
          <w:noProof/>
          <w:color w:val="000000" w:themeColor="text1"/>
          <w:sz w:val="24"/>
        </w:rPr>
        <w:t>oemisyjnych autobusów</w:t>
      </w:r>
      <w:r w:rsidR="00A33B9F" w:rsidRPr="00A33B9F">
        <w:rPr>
          <w:rFonts w:ascii="Times New Roman" w:hAnsi="Times New Roman"/>
          <w:noProof/>
          <w:color w:val="000000" w:themeColor="text1"/>
          <w:sz w:val="24"/>
        </w:rPr>
        <w:t xml:space="preserve"> w mia</w:t>
      </w:r>
      <w:r w:rsidRPr="00A33B9F">
        <w:rPr>
          <w:rFonts w:ascii="Times New Roman" w:hAnsi="Times New Roman"/>
          <w:noProof/>
          <w:color w:val="000000" w:themeColor="text1"/>
          <w:sz w:val="24"/>
        </w:rPr>
        <w:t>stach powyżej 100 000 mieszkańców począwszy od</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Reforma ta zostanie zakończona do</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31 grudnia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037F87AE" w14:textId="6BCE3EC6"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Po drugie, należy zachęcać do korzystania</w:t>
      </w:r>
      <w:r w:rsidR="00A33B9F" w:rsidRPr="00A33B9F">
        <w:rPr>
          <w:rFonts w:ascii="Times New Roman" w:hAnsi="Times New Roman"/>
          <w:noProof/>
          <w:color w:val="000000" w:themeColor="text1"/>
          <w:sz w:val="24"/>
        </w:rPr>
        <w:t xml:space="preserve"> z tra</w:t>
      </w:r>
      <w:r w:rsidRPr="00A33B9F">
        <w:rPr>
          <w:rFonts w:ascii="Times New Roman" w:hAnsi="Times New Roman"/>
          <w:noProof/>
          <w:color w:val="000000" w:themeColor="text1"/>
          <w:sz w:val="24"/>
        </w:rPr>
        <w:t>nsportu przyjaznego dla środowiska za pomocą zestawu działań wspierających władze lokalne</w:t>
      </w:r>
      <w:r w:rsidR="00A33B9F" w:rsidRPr="00A33B9F">
        <w:rPr>
          <w:rFonts w:ascii="Times New Roman" w:hAnsi="Times New Roman"/>
          <w:noProof/>
          <w:color w:val="000000" w:themeColor="text1"/>
          <w:sz w:val="24"/>
        </w:rPr>
        <w:t xml:space="preserve"> w opr</w:t>
      </w:r>
      <w:r w:rsidRPr="00A33B9F">
        <w:rPr>
          <w:rFonts w:ascii="Times New Roman" w:hAnsi="Times New Roman"/>
          <w:noProof/>
          <w:color w:val="000000" w:themeColor="text1"/>
          <w:sz w:val="24"/>
        </w:rPr>
        <w:t>acowywaniu</w:t>
      </w:r>
      <w:r w:rsidR="00A33B9F" w:rsidRPr="00A33B9F">
        <w:rPr>
          <w:rFonts w:ascii="Times New Roman" w:hAnsi="Times New Roman"/>
          <w:noProof/>
          <w:color w:val="000000" w:themeColor="text1"/>
          <w:sz w:val="24"/>
        </w:rPr>
        <w:t xml:space="preserve"> i wdr</w:t>
      </w:r>
      <w:r w:rsidRPr="00A33B9F">
        <w:rPr>
          <w:rFonts w:ascii="Times New Roman" w:hAnsi="Times New Roman"/>
          <w:noProof/>
          <w:color w:val="000000" w:themeColor="text1"/>
          <w:sz w:val="24"/>
        </w:rPr>
        <w:t>ażaniu planów zrównoważonej mobilności miejskiej („SUMP”). Do 31 marca 2023</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utworzona zostanie struktura administracyjna dysponująca odpowiednimi zasobami</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zapewnienia wsparcia technicznego</w:t>
      </w:r>
      <w:r w:rsidR="00A33B9F" w:rsidRPr="00A33B9F">
        <w:rPr>
          <w:rFonts w:ascii="Times New Roman" w:hAnsi="Times New Roman"/>
          <w:noProof/>
          <w:color w:val="000000" w:themeColor="text1"/>
          <w:sz w:val="24"/>
        </w:rPr>
        <w:t xml:space="preserve"> i fin</w:t>
      </w:r>
      <w:r w:rsidRPr="00A33B9F">
        <w:rPr>
          <w:rFonts w:ascii="Times New Roman" w:hAnsi="Times New Roman"/>
          <w:noProof/>
          <w:color w:val="000000" w:themeColor="text1"/>
          <w:sz w:val="24"/>
        </w:rPr>
        <w:t>ansowego</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 xml:space="preserve">resie opracowywania lokalnych planów zrównoważonej mobilności miejskiej. Postęp będzie monitorowany pod kątem jasno określonej wartości docelowej. </w:t>
      </w:r>
    </w:p>
    <w:p w14:paraId="121B5272" w14:textId="1491F894"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Trzecim elementem tej reformy będzie wprowadzenie do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opłaty rejestracyjnej</w:t>
      </w:r>
      <w:r w:rsidR="00A33B9F" w:rsidRPr="00A33B9F">
        <w:rPr>
          <w:rFonts w:ascii="Times New Roman" w:hAnsi="Times New Roman"/>
          <w:noProof/>
          <w:color w:val="000000" w:themeColor="text1"/>
          <w:sz w:val="24"/>
        </w:rPr>
        <w:t xml:space="preserve"> i pod</w:t>
      </w:r>
      <w:r w:rsidRPr="00A33B9F">
        <w:rPr>
          <w:rFonts w:ascii="Times New Roman" w:hAnsi="Times New Roman"/>
          <w:noProof/>
          <w:color w:val="000000" w:themeColor="text1"/>
          <w:sz w:val="24"/>
        </w:rPr>
        <w:t>atku od posiadania pojazdów związanych</w:t>
      </w:r>
      <w:r w:rsidR="00A33B9F" w:rsidRPr="00A33B9F">
        <w:rPr>
          <w:rFonts w:ascii="Times New Roman" w:hAnsi="Times New Roman"/>
          <w:noProof/>
          <w:color w:val="000000" w:themeColor="text1"/>
          <w:sz w:val="24"/>
        </w:rPr>
        <w:t xml:space="preserve"> z emi</w:t>
      </w:r>
      <w:r w:rsidRPr="00A33B9F">
        <w:rPr>
          <w:rFonts w:ascii="Times New Roman" w:hAnsi="Times New Roman"/>
          <w:noProof/>
          <w:color w:val="000000" w:themeColor="text1"/>
          <w:sz w:val="24"/>
        </w:rPr>
        <w:t>sjami zgodne</w:t>
      </w:r>
      <w:r w:rsidR="00A33B9F" w:rsidRPr="00A33B9F">
        <w:rPr>
          <w:rFonts w:ascii="Times New Roman" w:hAnsi="Times New Roman"/>
          <w:noProof/>
          <w:color w:val="000000" w:themeColor="text1"/>
          <w:sz w:val="24"/>
        </w:rPr>
        <w:t xml:space="preserve"> z zas</w:t>
      </w:r>
      <w:r w:rsidRPr="00A33B9F">
        <w:rPr>
          <w:rFonts w:ascii="Times New Roman" w:hAnsi="Times New Roman"/>
          <w:noProof/>
          <w:color w:val="000000" w:themeColor="text1"/>
          <w:sz w:val="24"/>
        </w:rPr>
        <w:t>adą „zanieczyszczający płaci”. Wpływ tej reformy,</w:t>
      </w:r>
      <w:r w:rsidR="00A33B9F" w:rsidRPr="00A33B9F">
        <w:rPr>
          <w:rFonts w:ascii="Times New Roman" w:hAnsi="Times New Roman"/>
          <w:noProof/>
          <w:color w:val="000000" w:themeColor="text1"/>
          <w:sz w:val="24"/>
        </w:rPr>
        <w:t xml:space="preserve"> w poł</w:t>
      </w:r>
      <w:r w:rsidRPr="00A33B9F">
        <w:rPr>
          <w:rFonts w:ascii="Times New Roman" w:hAnsi="Times New Roman"/>
          <w:noProof/>
          <w:color w:val="000000" w:themeColor="text1"/>
          <w:sz w:val="24"/>
        </w:rPr>
        <w:t>ączeniu</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ymi działaniami, na upowszechnienie czystych ekologicznie pojazdów mierzy się</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 xml:space="preserve">iesieniu do konkretnej wartości docelowej dotyczącej zwiększenia udziału pojazdów elektrycznych. </w:t>
      </w:r>
    </w:p>
    <w:p w14:paraId="4A66DB38" w14:textId="3825EA51"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 celu promowania dostępności transportu publicznego ustanawia się również konkretną wartość docelową dotyczącą liczby linii autobusowych wspieranych</w:t>
      </w:r>
      <w:r w:rsidR="00A33B9F" w:rsidRPr="00A33B9F">
        <w:rPr>
          <w:rFonts w:ascii="Times New Roman" w:hAnsi="Times New Roman"/>
          <w:noProof/>
          <w:color w:val="000000" w:themeColor="text1"/>
          <w:sz w:val="24"/>
        </w:rPr>
        <w:t xml:space="preserve"> z Fun</w:t>
      </w:r>
      <w:r w:rsidRPr="00A33B9F">
        <w:rPr>
          <w:rFonts w:ascii="Times New Roman" w:hAnsi="Times New Roman"/>
          <w:noProof/>
          <w:color w:val="000000" w:themeColor="text1"/>
          <w:sz w:val="24"/>
        </w:rPr>
        <w:t>duszu rozwoju przewozów autobusowych</w:t>
      </w:r>
      <w:r w:rsidR="00A33B9F" w:rsidRPr="00A33B9F">
        <w:rPr>
          <w:rFonts w:ascii="Times New Roman" w:hAnsi="Times New Roman"/>
          <w:noProof/>
          <w:color w:val="000000" w:themeColor="text1"/>
          <w:sz w:val="24"/>
        </w:rPr>
        <w:t xml:space="preserve"> o cha</w:t>
      </w:r>
      <w:r w:rsidRPr="00A33B9F">
        <w:rPr>
          <w:rFonts w:ascii="Times New Roman" w:hAnsi="Times New Roman"/>
          <w:noProof/>
          <w:color w:val="000000" w:themeColor="text1"/>
          <w:sz w:val="24"/>
        </w:rPr>
        <w:t xml:space="preserve">rakterze użyteczności publicznej. </w:t>
      </w:r>
    </w:p>
    <w:p w14:paraId="4EF7FBD7" w14:textId="661E8E17" w:rsidR="007C4506" w:rsidRPr="00A33B9F" w:rsidRDefault="071D57FA" w:rsidP="00F07CEA">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reformy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27F045BF" w14:textId="77777777" w:rsidR="00E874D2" w:rsidRPr="00A33B9F" w:rsidRDefault="00E874D2" w:rsidP="00F07CEA">
      <w:pPr>
        <w:pStyle w:val="Normal0"/>
        <w:spacing w:before="120" w:after="120" w:line="240" w:lineRule="auto"/>
        <w:jc w:val="both"/>
        <w:rPr>
          <w:rFonts w:ascii="Times New Roman" w:eastAsia="Times New Roman" w:hAnsi="Times New Roman" w:cs="Times New Roman"/>
          <w:noProof/>
          <w:sz w:val="24"/>
          <w:szCs w:val="24"/>
          <w:u w:val="single"/>
        </w:rPr>
      </w:pPr>
    </w:p>
    <w:p w14:paraId="5931D26E" w14:textId="77777777" w:rsidR="007C4506" w:rsidRPr="00A33B9F" w:rsidRDefault="110E162E" w:rsidP="657383C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E1.1.1 Wsparcie dla gospodarki niskoemisyjnej</w:t>
      </w:r>
    </w:p>
    <w:p w14:paraId="2E791449" w14:textId="2F9414CA" w:rsidR="007C4506" w:rsidRPr="00A33B9F" w:rsidRDefault="0B96D20C">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Ogólnym celem inwestycji jest przyczynianie się do rozwoju gospodarki niskoemisyjnej</w:t>
      </w:r>
      <w:r w:rsidR="00A33B9F" w:rsidRPr="00A33B9F">
        <w:rPr>
          <w:rFonts w:ascii="Times New Roman" w:hAnsi="Times New Roman"/>
          <w:noProof/>
          <w:color w:val="000000" w:themeColor="text1"/>
          <w:sz w:val="24"/>
        </w:rPr>
        <w:t xml:space="preserve"> i zer</w:t>
      </w:r>
      <w:r w:rsidRPr="00A33B9F">
        <w:rPr>
          <w:rFonts w:ascii="Times New Roman" w:hAnsi="Times New Roman"/>
          <w:noProof/>
          <w:color w:val="000000" w:themeColor="text1"/>
          <w:sz w:val="24"/>
        </w:rPr>
        <w:t>oemisyjnej przez wspieranie przemysłu</w:t>
      </w:r>
      <w:r w:rsidR="00A33B9F" w:rsidRPr="00A33B9F">
        <w:rPr>
          <w:rFonts w:ascii="Times New Roman" w:hAnsi="Times New Roman"/>
          <w:noProof/>
          <w:color w:val="000000" w:themeColor="text1"/>
          <w:sz w:val="24"/>
        </w:rPr>
        <w:t xml:space="preserve"> z myś</w:t>
      </w:r>
      <w:r w:rsidRPr="00A33B9F">
        <w:rPr>
          <w:rFonts w:ascii="Times New Roman" w:hAnsi="Times New Roman"/>
          <w:noProof/>
          <w:color w:val="000000" w:themeColor="text1"/>
          <w:sz w:val="24"/>
        </w:rPr>
        <w:t>lą</w:t>
      </w:r>
      <w:r w:rsidR="00A33B9F" w:rsidRPr="00A33B9F">
        <w:rPr>
          <w:rFonts w:ascii="Times New Roman" w:hAnsi="Times New Roman"/>
          <w:noProof/>
          <w:color w:val="000000" w:themeColor="text1"/>
          <w:sz w:val="24"/>
        </w:rPr>
        <w:t xml:space="preserve"> o sek</w:t>
      </w:r>
      <w:r w:rsidRPr="00A33B9F">
        <w:rPr>
          <w:rFonts w:ascii="Times New Roman" w:hAnsi="Times New Roman"/>
          <w:noProof/>
          <w:color w:val="000000" w:themeColor="text1"/>
          <w:sz w:val="24"/>
        </w:rPr>
        <w:t>torze czystej mobilności</w:t>
      </w:r>
      <w:r w:rsidR="00A33B9F" w:rsidRPr="00A33B9F">
        <w:rPr>
          <w:rFonts w:ascii="Times New Roman" w:hAnsi="Times New Roman"/>
          <w:noProof/>
          <w:color w:val="000000" w:themeColor="text1"/>
          <w:sz w:val="24"/>
        </w:rPr>
        <w:t xml:space="preserve"> i sek</w:t>
      </w:r>
      <w:r w:rsidRPr="00A33B9F">
        <w:rPr>
          <w:rFonts w:ascii="Times New Roman" w:hAnsi="Times New Roman"/>
          <w:noProof/>
          <w:color w:val="000000" w:themeColor="text1"/>
          <w:sz w:val="24"/>
        </w:rPr>
        <w:t>torze energetycznym. Celem szczegółowym inwestycji jest zwiększenie potencjału wybranych sektorów</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opracowywania zeroemisyjnych</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koemisyjnych rozwiązań produktowych.</w:t>
      </w:r>
    </w:p>
    <w:p w14:paraId="577E048B" w14:textId="29266731" w:rsidR="006C6079" w:rsidRPr="00A33B9F" w:rsidRDefault="77A107F4" w:rsidP="008B24D6">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Cele te będą realizowane przez ustanowienie specjalnego instrumentu finansowego (funduszu) dla wspomnianych powyżej projektów przemysłowych. Wspierane produkty</w:t>
      </w:r>
      <w:r w:rsidR="00A33B9F" w:rsidRPr="00A33B9F">
        <w:rPr>
          <w:rFonts w:ascii="Times New Roman" w:hAnsi="Times New Roman"/>
          <w:noProof/>
          <w:color w:val="000000" w:themeColor="text1"/>
          <w:sz w:val="24"/>
        </w:rPr>
        <w:t xml:space="preserve"> i tec</w:t>
      </w:r>
      <w:r w:rsidRPr="00A33B9F">
        <w:rPr>
          <w:rFonts w:ascii="Times New Roman" w:hAnsi="Times New Roman"/>
          <w:noProof/>
          <w:color w:val="000000" w:themeColor="text1"/>
          <w:sz w:val="24"/>
        </w:rPr>
        <w:t>hnologie mogą</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obejmować procesy badawcze</w:t>
      </w:r>
      <w:r w:rsidR="00A33B9F" w:rsidRPr="00A33B9F">
        <w:rPr>
          <w:rFonts w:ascii="Times New Roman" w:hAnsi="Times New Roman"/>
          <w:noProof/>
          <w:color w:val="000000" w:themeColor="text1"/>
          <w:sz w:val="24"/>
        </w:rPr>
        <w:t xml:space="preserve"> i inn</w:t>
      </w:r>
      <w:r w:rsidRPr="00A33B9F">
        <w:rPr>
          <w:rFonts w:ascii="Times New Roman" w:hAnsi="Times New Roman"/>
          <w:noProof/>
          <w:color w:val="000000" w:themeColor="text1"/>
          <w:sz w:val="24"/>
        </w:rPr>
        <w:t>owacyjne, transfer technologii</w:t>
      </w:r>
      <w:r w:rsidR="00A33B9F" w:rsidRPr="00A33B9F">
        <w:rPr>
          <w:rFonts w:ascii="Times New Roman" w:hAnsi="Times New Roman"/>
          <w:noProof/>
          <w:color w:val="000000" w:themeColor="text1"/>
          <w:sz w:val="24"/>
        </w:rPr>
        <w:t xml:space="preserve"> i wsp</w:t>
      </w:r>
      <w:r w:rsidRPr="00A33B9F">
        <w:rPr>
          <w:rFonts w:ascii="Times New Roman" w:hAnsi="Times New Roman"/>
          <w:noProof/>
          <w:color w:val="000000" w:themeColor="text1"/>
          <w:sz w:val="24"/>
        </w:rPr>
        <w:t>ółpracę między przedsiębiorstwami koncentrującymi się na gospodarce niskoemisyjnej, ze szczególnym uwzględnieniem nisko-</w:t>
      </w:r>
      <w:r w:rsidR="00A33B9F" w:rsidRPr="00A33B9F">
        <w:rPr>
          <w:rFonts w:ascii="Times New Roman" w:hAnsi="Times New Roman"/>
          <w:noProof/>
          <w:color w:val="000000" w:themeColor="text1"/>
          <w:sz w:val="24"/>
        </w:rPr>
        <w:t xml:space="preserve"> i zer</w:t>
      </w:r>
      <w:r w:rsidRPr="00A33B9F">
        <w:rPr>
          <w:rFonts w:ascii="Times New Roman" w:hAnsi="Times New Roman"/>
          <w:noProof/>
          <w:color w:val="000000" w:themeColor="text1"/>
          <w:sz w:val="24"/>
        </w:rPr>
        <w:t>oemisyjnych rozwiązań innowacyjnych</w:t>
      </w:r>
      <w:r w:rsidR="00A33B9F" w:rsidRPr="00A33B9F">
        <w:rPr>
          <w:rFonts w:ascii="Times New Roman" w:hAnsi="Times New Roman"/>
          <w:noProof/>
          <w:color w:val="000000" w:themeColor="text1"/>
          <w:sz w:val="24"/>
        </w:rPr>
        <w:t xml:space="preserve"> w dzi</w:t>
      </w:r>
      <w:r w:rsidRPr="00A33B9F">
        <w:rPr>
          <w:rFonts w:ascii="Times New Roman" w:hAnsi="Times New Roman"/>
          <w:noProof/>
          <w:color w:val="000000" w:themeColor="text1"/>
          <w:sz w:val="24"/>
        </w:rPr>
        <w:t>edzinie zrównoważonej mobilności oraz nisko-</w:t>
      </w:r>
      <w:r w:rsidR="00A33B9F" w:rsidRPr="00A33B9F">
        <w:rPr>
          <w:rFonts w:ascii="Times New Roman" w:hAnsi="Times New Roman"/>
          <w:noProof/>
          <w:color w:val="000000" w:themeColor="text1"/>
          <w:sz w:val="24"/>
        </w:rPr>
        <w:t xml:space="preserve"> i zer</w:t>
      </w:r>
      <w:r w:rsidRPr="00A33B9F">
        <w:rPr>
          <w:rFonts w:ascii="Times New Roman" w:hAnsi="Times New Roman"/>
          <w:noProof/>
          <w:color w:val="000000" w:themeColor="text1"/>
          <w:sz w:val="24"/>
        </w:rPr>
        <w:t>oemisyjnych źródeł energii. Beneficjentami wsparcia będą przede wszystkim MŚP</w:t>
      </w:r>
      <w:r w:rsidR="00A33B9F" w:rsidRPr="00A33B9F">
        <w:rPr>
          <w:rFonts w:ascii="Times New Roman" w:hAnsi="Times New Roman"/>
          <w:noProof/>
          <w:color w:val="000000" w:themeColor="text1"/>
          <w:sz w:val="24"/>
        </w:rPr>
        <w:t xml:space="preserve"> i spó</w:t>
      </w:r>
      <w:r w:rsidRPr="00A33B9F">
        <w:rPr>
          <w:rFonts w:ascii="Times New Roman" w:hAnsi="Times New Roman"/>
          <w:noProof/>
          <w:color w:val="000000" w:themeColor="text1"/>
          <w:sz w:val="24"/>
        </w:rPr>
        <w:t>łki</w:t>
      </w:r>
      <w:r w:rsidR="00A33B9F" w:rsidRPr="00A33B9F">
        <w:rPr>
          <w:rFonts w:ascii="Times New Roman" w:hAnsi="Times New Roman"/>
          <w:noProof/>
          <w:color w:val="000000" w:themeColor="text1"/>
          <w:sz w:val="24"/>
        </w:rPr>
        <w:t xml:space="preserve"> o śre</w:t>
      </w:r>
      <w:r w:rsidRPr="00A33B9F">
        <w:rPr>
          <w:rFonts w:ascii="Times New Roman" w:hAnsi="Times New Roman"/>
          <w:noProof/>
          <w:color w:val="000000" w:themeColor="text1"/>
          <w:sz w:val="24"/>
        </w:rPr>
        <w:t>dniej kapitalizacji. Fundusz, wraz</w:t>
      </w:r>
      <w:r w:rsidR="00A33B9F" w:rsidRPr="00A33B9F">
        <w:rPr>
          <w:rFonts w:ascii="Times New Roman" w:hAnsi="Times New Roman"/>
          <w:noProof/>
          <w:color w:val="000000" w:themeColor="text1"/>
          <w:sz w:val="24"/>
        </w:rPr>
        <w:t xml:space="preserve"> z jeg</w:t>
      </w:r>
      <w:r w:rsidRPr="00A33B9F">
        <w:rPr>
          <w:rFonts w:ascii="Times New Roman" w:hAnsi="Times New Roman"/>
          <w:noProof/>
          <w:color w:val="000000" w:themeColor="text1"/>
          <w:sz w:val="24"/>
        </w:rPr>
        <w:t>o strategią inwestycyjną, zostanie ustanowiony do dnia 30 czerwca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Wyniki funduszu</w:t>
      </w:r>
      <w:r w:rsidR="00A33B9F" w:rsidRPr="00A33B9F">
        <w:rPr>
          <w:rFonts w:ascii="Times New Roman" w:hAnsi="Times New Roman"/>
          <w:noProof/>
          <w:color w:val="000000" w:themeColor="text1"/>
          <w:sz w:val="24"/>
        </w:rPr>
        <w:t xml:space="preserve"> w sto</w:t>
      </w:r>
      <w:r w:rsidRPr="00A33B9F">
        <w:rPr>
          <w:rFonts w:ascii="Times New Roman" w:hAnsi="Times New Roman"/>
          <w:noProof/>
          <w:color w:val="000000" w:themeColor="text1"/>
          <w:sz w:val="24"/>
        </w:rPr>
        <w:t>sunku do jego celów będą monitorowane za pomocą konkretnych wartości docelowych dotyczących zdolności produkcyjnej nowych pojazdów zeroemisyjnych oraz zdolności</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produkcji</w:t>
      </w:r>
      <w:r w:rsidR="00A33B9F" w:rsidRPr="00A33B9F">
        <w:rPr>
          <w:rFonts w:ascii="Times New Roman" w:hAnsi="Times New Roman"/>
          <w:noProof/>
          <w:color w:val="000000" w:themeColor="text1"/>
          <w:sz w:val="24"/>
        </w:rPr>
        <w:t xml:space="preserve"> i mag</w:t>
      </w:r>
      <w:r w:rsidRPr="00A33B9F">
        <w:rPr>
          <w:rFonts w:ascii="Times New Roman" w:hAnsi="Times New Roman"/>
          <w:noProof/>
          <w:color w:val="000000" w:themeColor="text1"/>
          <w:sz w:val="24"/>
        </w:rPr>
        <w:t>azynowania zeroemisyjnych/niskoemisyjnych instalacji magazynowych,</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za pomocą rozwiązań</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zrównoważonej mobilności oraz zeroemisyjnych</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koemisyjnych źródeł energii (z wyłączeniem sprężonego gazu ziemnego</w:t>
      </w:r>
      <w:r w:rsidR="00A33B9F" w:rsidRPr="00A33B9F">
        <w:rPr>
          <w:rFonts w:ascii="Times New Roman" w:hAnsi="Times New Roman"/>
          <w:noProof/>
          <w:color w:val="000000" w:themeColor="text1"/>
          <w:sz w:val="24"/>
        </w:rPr>
        <w:t xml:space="preserve"> i skr</w:t>
      </w:r>
      <w:r w:rsidRPr="00A33B9F">
        <w:rPr>
          <w:rFonts w:ascii="Times New Roman" w:hAnsi="Times New Roman"/>
          <w:noProof/>
          <w:color w:val="000000" w:themeColor="text1"/>
          <w:sz w:val="24"/>
        </w:rPr>
        <w:t>oplonego gazu ziemnego). Aby zapewnić zgodność środka</w:t>
      </w:r>
      <w:r w:rsidR="00A33B9F" w:rsidRPr="00A33B9F">
        <w:rPr>
          <w:rFonts w:ascii="Times New Roman" w:hAnsi="Times New Roman"/>
          <w:noProof/>
          <w:color w:val="000000" w:themeColor="text1"/>
          <w:sz w:val="24"/>
        </w:rPr>
        <w:t xml:space="preserve"> z wyt</w:t>
      </w:r>
      <w:r w:rsidRPr="00A33B9F">
        <w:rPr>
          <w:rFonts w:ascii="Times New Roman" w:hAnsi="Times New Roman"/>
          <w:noProof/>
          <w:color w:val="000000" w:themeColor="text1"/>
          <w:sz w:val="24"/>
        </w:rPr>
        <w:t>ycznymi technicznymi dotyczącymi stosowania zasady „nie czyń poważnych szkód” (2021/C 58/01), kryteria kwalifikacji</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tego instrumentu finansowego wykluczają następujący wykaz działań: (i) działania związane</w:t>
      </w:r>
      <w:r w:rsidR="00A33B9F" w:rsidRPr="00A33B9F">
        <w:rPr>
          <w:rFonts w:ascii="Times New Roman" w:hAnsi="Times New Roman"/>
          <w:noProof/>
          <w:color w:val="000000" w:themeColor="text1"/>
          <w:sz w:val="24"/>
        </w:rPr>
        <w:t xml:space="preserve"> z pal</w:t>
      </w:r>
      <w:r w:rsidRPr="00A33B9F">
        <w:rPr>
          <w:rFonts w:ascii="Times New Roman" w:hAnsi="Times New Roman"/>
          <w:noProof/>
          <w:color w:val="000000" w:themeColor="text1"/>
          <w:sz w:val="24"/>
        </w:rPr>
        <w:t>iwami kopalnymi,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zastosowania niższego szczebla</w:t>
      </w:r>
      <w:r w:rsidRPr="00A33B9F">
        <w:rPr>
          <w:rStyle w:val="FootnoteReference"/>
          <w:rFonts w:ascii="Times New Roman" w:eastAsia="Times New Roman" w:hAnsi="Times New Roman" w:cs="Times New Roman"/>
          <w:noProof/>
          <w:color w:val="000000" w:themeColor="text1"/>
          <w:sz w:val="24"/>
          <w:szCs w:val="24"/>
        </w:rPr>
        <w:footnoteReference w:id="31"/>
      </w:r>
      <w:r w:rsidRPr="00A33B9F">
        <w:rPr>
          <w:rFonts w:ascii="Times New Roman" w:hAnsi="Times New Roman"/>
          <w:noProof/>
          <w:color w:val="000000" w:themeColor="text1"/>
          <w:sz w:val="24"/>
        </w:rPr>
        <w:t>; (ii) działania</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unijnego systemu handlu uprawnieniami do emisji (ETS) prowadzące do osiągnięcia prognozowanych emisji gazów cieplarnianych nie niższych niż odpowiednie wskaźniki emisyjności</w:t>
      </w:r>
      <w:r w:rsidRPr="00A33B9F">
        <w:rPr>
          <w:rStyle w:val="FootnoteReference"/>
          <w:rFonts w:ascii="Times New Roman" w:eastAsia="Times New Roman" w:hAnsi="Times New Roman" w:cs="Times New Roman"/>
          <w:noProof/>
          <w:color w:val="000000" w:themeColor="text1"/>
          <w:sz w:val="24"/>
          <w:szCs w:val="24"/>
        </w:rPr>
        <w:footnoteReference w:id="32"/>
      </w:r>
      <w:r w:rsidRPr="00A33B9F">
        <w:rPr>
          <w:rFonts w:ascii="Times New Roman" w:hAnsi="Times New Roman"/>
          <w:noProof/>
          <w:color w:val="000000" w:themeColor="text1"/>
          <w:sz w:val="24"/>
        </w:rPr>
        <w:t>; (iii) działalność związana ze składowiskami odpadów, spalarniami</w:t>
      </w:r>
      <w:r w:rsidRPr="00A33B9F">
        <w:rPr>
          <w:rStyle w:val="FootnoteReference"/>
          <w:rFonts w:ascii="Times New Roman" w:eastAsia="Times New Roman" w:hAnsi="Times New Roman" w:cs="Times New Roman"/>
          <w:noProof/>
          <w:color w:val="000000" w:themeColor="text1"/>
          <w:sz w:val="24"/>
          <w:szCs w:val="24"/>
        </w:rPr>
        <w:footnoteReference w:id="33"/>
      </w:r>
      <w:r w:rsidR="00A33B9F" w:rsidRPr="00A33B9F">
        <w:rPr>
          <w:rFonts w:ascii="Times New Roman" w:hAnsi="Times New Roman"/>
          <w:noProof/>
          <w:color w:val="000000" w:themeColor="text1"/>
          <w:sz w:val="24"/>
        </w:rPr>
        <w:t xml:space="preserve"> i zak</w:t>
      </w:r>
      <w:r w:rsidRPr="00A33B9F">
        <w:rPr>
          <w:rFonts w:ascii="Times New Roman" w:hAnsi="Times New Roman"/>
          <w:noProof/>
          <w:color w:val="000000" w:themeColor="text1"/>
          <w:sz w:val="24"/>
        </w:rPr>
        <w:t>ładami mechaniczno-biologicznego przetwarzania odpadów</w:t>
      </w:r>
      <w:r w:rsidRPr="00A33B9F">
        <w:rPr>
          <w:rStyle w:val="FootnoteReference"/>
          <w:rFonts w:ascii="Times New Roman" w:eastAsia="Times New Roman" w:hAnsi="Times New Roman" w:cs="Times New Roman"/>
          <w:noProof/>
          <w:color w:val="000000" w:themeColor="text1"/>
          <w:sz w:val="24"/>
          <w:szCs w:val="24"/>
        </w:rPr>
        <w:footnoteReference w:id="34"/>
      </w:r>
      <w:r w:rsidRPr="00A33B9F">
        <w:rPr>
          <w:rFonts w:ascii="Times New Roman" w:hAnsi="Times New Roman"/>
          <w:noProof/>
          <w:color w:val="000000" w:themeColor="text1"/>
          <w:sz w:val="24"/>
        </w:rPr>
        <w:t xml:space="preserve"> oraz (iv) działania,</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których długoterminowe unieszkodliwianie odpadów może szkodzić środowisku naturalnemu</w:t>
      </w:r>
      <w:r w:rsidR="00A33B9F" w:rsidRPr="00A33B9F">
        <w:rPr>
          <w:rFonts w:ascii="Times New Roman" w:hAnsi="Times New Roman"/>
          <w:noProof/>
          <w:color w:val="000000" w:themeColor="text1"/>
          <w:sz w:val="24"/>
        </w:rPr>
        <w:t>. W zak</w:t>
      </w:r>
      <w:r w:rsidRPr="00A33B9F">
        <w:rPr>
          <w:rFonts w:ascii="Times New Roman" w:hAnsi="Times New Roman"/>
          <w:noProof/>
          <w:color w:val="000000" w:themeColor="text1"/>
          <w:sz w:val="24"/>
        </w:rPr>
        <w:t>resie zadań znajduje się dodatkowy wymóg, aby wybierane były tylko te działania, które są zgodne</w:t>
      </w:r>
      <w:r w:rsidR="00A33B9F" w:rsidRPr="00A33B9F">
        <w:rPr>
          <w:rFonts w:ascii="Times New Roman" w:hAnsi="Times New Roman"/>
          <w:noProof/>
          <w:color w:val="000000" w:themeColor="text1"/>
          <w:sz w:val="24"/>
        </w:rPr>
        <w:t xml:space="preserve"> z odp</w:t>
      </w:r>
      <w:r w:rsidRPr="00A33B9F">
        <w:rPr>
          <w:rFonts w:ascii="Times New Roman" w:hAnsi="Times New Roman"/>
          <w:noProof/>
          <w:color w:val="000000" w:themeColor="text1"/>
          <w:sz w:val="24"/>
        </w:rPr>
        <w:t>owiednimi unijnymi</w:t>
      </w:r>
      <w:r w:rsidR="00A33B9F" w:rsidRPr="00A33B9F">
        <w:rPr>
          <w:rFonts w:ascii="Times New Roman" w:hAnsi="Times New Roman"/>
          <w:noProof/>
          <w:color w:val="000000" w:themeColor="text1"/>
          <w:sz w:val="24"/>
        </w:rPr>
        <w:t xml:space="preserve"> i kra</w:t>
      </w:r>
      <w:r w:rsidRPr="00A33B9F">
        <w:rPr>
          <w:rFonts w:ascii="Times New Roman" w:hAnsi="Times New Roman"/>
          <w:noProof/>
          <w:color w:val="000000" w:themeColor="text1"/>
          <w:sz w:val="24"/>
        </w:rPr>
        <w:t>jowymi przepisami dotyczącymi ochrony środowiska.</w:t>
      </w:r>
    </w:p>
    <w:p w14:paraId="61EDFBD2" w14:textId="62167915" w:rsidR="006C6079" w:rsidRPr="00A33B9F" w:rsidRDefault="166241C1">
      <w:pPr>
        <w:pStyle w:val="Normal0"/>
        <w:spacing w:before="120" w:after="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inwestycji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405D1947" w14:textId="77777777" w:rsidR="00E874D2" w:rsidRPr="00A33B9F" w:rsidRDefault="00E874D2">
      <w:pPr>
        <w:pStyle w:val="Normal0"/>
        <w:spacing w:before="120" w:after="0" w:line="240" w:lineRule="auto"/>
        <w:jc w:val="both"/>
        <w:rPr>
          <w:rFonts w:ascii="Times New Roman" w:eastAsia="Times New Roman" w:hAnsi="Times New Roman" w:cs="Times New Roman"/>
          <w:noProof/>
          <w:sz w:val="24"/>
          <w:szCs w:val="24"/>
          <w:u w:val="single"/>
        </w:rPr>
      </w:pPr>
    </w:p>
    <w:p w14:paraId="4A7069F5" w14:textId="48C63651" w:rsidR="007C4506" w:rsidRPr="00A33B9F" w:rsidRDefault="110E162E" w:rsidP="008B24D6">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b/>
          <w:noProof/>
          <w:color w:val="000000" w:themeColor="text1"/>
          <w:sz w:val="24"/>
          <w:u w:val="single"/>
        </w:rPr>
        <w:t>E1.1.2 Zeroemisyjny</w:t>
      </w:r>
      <w:r w:rsidR="00A33B9F" w:rsidRPr="00A33B9F">
        <w:rPr>
          <w:rFonts w:ascii="Times New Roman" w:hAnsi="Times New Roman"/>
          <w:b/>
          <w:noProof/>
          <w:color w:val="000000" w:themeColor="text1"/>
          <w:sz w:val="24"/>
          <w:u w:val="single"/>
        </w:rPr>
        <w:t xml:space="preserve"> i nis</w:t>
      </w:r>
      <w:r w:rsidRPr="00A33B9F">
        <w:rPr>
          <w:rFonts w:ascii="Times New Roman" w:hAnsi="Times New Roman"/>
          <w:b/>
          <w:noProof/>
          <w:color w:val="000000" w:themeColor="text1"/>
          <w:sz w:val="24"/>
          <w:u w:val="single"/>
        </w:rPr>
        <w:t>koemisyjny transport zbiorowy (autobusy)</w:t>
      </w:r>
    </w:p>
    <w:p w14:paraId="63ED9FAD" w14:textId="12F02148" w:rsidR="007C4506" w:rsidRPr="00A33B9F" w:rsidRDefault="110E162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inwestycji jest doprowadzenie do tego, by transport publiczny był bardziej ekologiczny, oraz zwiększenie jego atrakcyjności</w:t>
      </w:r>
      <w:r w:rsidR="00A33B9F" w:rsidRPr="00A33B9F">
        <w:rPr>
          <w:rFonts w:ascii="Times New Roman" w:hAnsi="Times New Roman"/>
          <w:noProof/>
          <w:color w:val="000000" w:themeColor="text1"/>
          <w:sz w:val="24"/>
        </w:rPr>
        <w:t xml:space="preserve"> w sto</w:t>
      </w:r>
      <w:r w:rsidRPr="00A33B9F">
        <w:rPr>
          <w:rFonts w:ascii="Times New Roman" w:hAnsi="Times New Roman"/>
          <w:noProof/>
          <w:color w:val="000000" w:themeColor="text1"/>
          <w:sz w:val="24"/>
        </w:rPr>
        <w:t>sunku do samochodów prywatnych.</w:t>
      </w:r>
    </w:p>
    <w:p w14:paraId="6163D786" w14:textId="6EDE3789" w:rsidR="007C4506" w:rsidRPr="00A33B9F" w:rsidRDefault="4CE63643" w:rsidP="7A2BD2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polega na zakupie 579 czystych ekologicznie autobusów na potrzeby transportu międzymiastowego (zeroemisyjnego</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koemisyjnego) do</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036B6B03" w14:textId="19F9DD47" w:rsidR="00656D7B" w:rsidRPr="00A33B9F" w:rsidRDefault="7CAACB02" w:rsidP="079DCE0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Zakupione pojazdy umożliwiają transport zbiorowy na obszarach pozamiejskich, które dotychczas były wyłączone</w:t>
      </w:r>
      <w:r w:rsidR="00A33B9F" w:rsidRPr="00A33B9F">
        <w:rPr>
          <w:rFonts w:ascii="Times New Roman" w:hAnsi="Times New Roman"/>
          <w:noProof/>
          <w:color w:val="000000" w:themeColor="text1"/>
          <w:sz w:val="24"/>
        </w:rPr>
        <w:t xml:space="preserve"> z tra</w:t>
      </w:r>
      <w:r w:rsidRPr="00A33B9F">
        <w:rPr>
          <w:rFonts w:ascii="Times New Roman" w:hAnsi="Times New Roman"/>
          <w:noProof/>
          <w:color w:val="000000" w:themeColor="text1"/>
          <w:sz w:val="24"/>
        </w:rPr>
        <w:t>nsportu. Przewiduje się różne rodzaje technologii zasilania autobusów zeroemisyjnych</w:t>
      </w:r>
      <w:r w:rsidR="00A33B9F" w:rsidRPr="00A33B9F">
        <w:rPr>
          <w:rFonts w:ascii="Times New Roman" w:hAnsi="Times New Roman"/>
          <w:noProof/>
          <w:color w:val="000000" w:themeColor="text1"/>
          <w:sz w:val="24"/>
        </w:rPr>
        <w:t xml:space="preserve"> i nis</w:t>
      </w:r>
      <w:r w:rsidRPr="00A33B9F">
        <w:rPr>
          <w:rFonts w:ascii="Times New Roman" w:hAnsi="Times New Roman"/>
          <w:noProof/>
          <w:color w:val="000000" w:themeColor="text1"/>
          <w:sz w:val="24"/>
        </w:rPr>
        <w:t>koemisyjnych (akumulatory elektryczne, klasyczne hybrydy</w:t>
      </w:r>
      <w:r w:rsidR="00A33B9F" w:rsidRPr="00A33B9F">
        <w:rPr>
          <w:rFonts w:ascii="Times New Roman" w:hAnsi="Times New Roman"/>
          <w:noProof/>
          <w:color w:val="000000" w:themeColor="text1"/>
          <w:sz w:val="24"/>
        </w:rPr>
        <w:t xml:space="preserve"> i typ</w:t>
      </w:r>
      <w:r w:rsidRPr="00A33B9F">
        <w:rPr>
          <w:rFonts w:ascii="Times New Roman" w:hAnsi="Times New Roman"/>
          <w:noProof/>
          <w:color w:val="000000" w:themeColor="text1"/>
          <w:sz w:val="24"/>
        </w:rPr>
        <w:t>u plug-in, zasilanie gazowe:</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LNG, LPG, CNG</w:t>
      </w:r>
      <w:r w:rsidR="00A33B9F" w:rsidRPr="00A33B9F">
        <w:rPr>
          <w:rFonts w:ascii="Times New Roman" w:hAnsi="Times New Roman"/>
          <w:noProof/>
          <w:color w:val="000000" w:themeColor="text1"/>
          <w:sz w:val="24"/>
        </w:rPr>
        <w:t xml:space="preserve"> i inn</w:t>
      </w:r>
      <w:r w:rsidRPr="00A33B9F">
        <w:rPr>
          <w:rFonts w:ascii="Times New Roman" w:hAnsi="Times New Roman"/>
          <w:noProof/>
          <w:color w:val="000000" w:themeColor="text1"/>
          <w:sz w:val="24"/>
        </w:rPr>
        <w:t xml:space="preserve">e rodzaje, wyłącznie spełniające normę EURO VI). </w:t>
      </w:r>
    </w:p>
    <w:p w14:paraId="02D254A9" w14:textId="7006EBCB" w:rsidR="00656D7B" w:rsidRPr="00A33B9F" w:rsidRDefault="00656D7B" w:rsidP="00656D7B">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Doprowadzi to do upowszechnienia technologii paliw alternatywnych</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przyspieszenia wprowadzania paliw alternatywnych</w:t>
      </w:r>
      <w:r w:rsidR="00A33B9F" w:rsidRPr="00A33B9F">
        <w:rPr>
          <w:rFonts w:ascii="Times New Roman" w:hAnsi="Times New Roman"/>
          <w:noProof/>
          <w:color w:val="000000" w:themeColor="text1"/>
          <w:sz w:val="24"/>
        </w:rPr>
        <w:t xml:space="preserve"> w inn</w:t>
      </w:r>
      <w:r w:rsidRPr="00A33B9F">
        <w:rPr>
          <w:rFonts w:ascii="Times New Roman" w:hAnsi="Times New Roman"/>
          <w:noProof/>
          <w:color w:val="000000" w:themeColor="text1"/>
          <w:sz w:val="24"/>
        </w:rPr>
        <w:t>ych obszarach transportu</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tego działania wspiera się pojazdy spełniające wszystkie wymagane</w:t>
      </w:r>
      <w:r w:rsidR="00A33B9F" w:rsidRPr="00A33B9F">
        <w:rPr>
          <w:rFonts w:ascii="Times New Roman" w:hAnsi="Times New Roman"/>
          <w:noProof/>
          <w:color w:val="000000" w:themeColor="text1"/>
          <w:sz w:val="24"/>
        </w:rPr>
        <w:t xml:space="preserve"> i akt</w:t>
      </w:r>
      <w:r w:rsidRPr="00A33B9F">
        <w:rPr>
          <w:rFonts w:ascii="Times New Roman" w:hAnsi="Times New Roman"/>
          <w:noProof/>
          <w:color w:val="000000" w:themeColor="text1"/>
          <w:sz w:val="24"/>
        </w:rPr>
        <w:t>ualne normy dotyczące jednostek wykorzystujących dany rodzaj paliwa</w:t>
      </w:r>
      <w:r w:rsidR="00A33B9F" w:rsidRPr="00A33B9F">
        <w:rPr>
          <w:rFonts w:ascii="Times New Roman" w:hAnsi="Times New Roman"/>
          <w:noProof/>
          <w:color w:val="000000" w:themeColor="text1"/>
          <w:sz w:val="24"/>
        </w:rPr>
        <w:t xml:space="preserve"> i nap</w:t>
      </w:r>
      <w:r w:rsidRPr="00A33B9F">
        <w:rPr>
          <w:rFonts w:ascii="Times New Roman" w:hAnsi="Times New Roman"/>
          <w:noProof/>
          <w:color w:val="000000" w:themeColor="text1"/>
          <w:sz w:val="24"/>
        </w:rPr>
        <w:t>ędu.</w:t>
      </w:r>
    </w:p>
    <w:p w14:paraId="15C78039" w14:textId="77777777" w:rsidR="007C4506" w:rsidRPr="00A33B9F"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2F5D6B87" w14:textId="77777777" w:rsidR="007C4506" w:rsidRPr="00A33B9F" w:rsidRDefault="00B31839" w:rsidP="3D9EF941">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E2.1 Zwiększenie konkurencyjności sektora kolejowego</w:t>
      </w:r>
    </w:p>
    <w:p w14:paraId="4D1E3AEC" w14:textId="334B16B9" w:rsidR="007C4506" w:rsidRPr="00A33B9F" w:rsidRDefault="00C612C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Modernizacji kolei dokonuje się poprzez połączenie reform</w:t>
      </w:r>
      <w:r w:rsidR="00A33B9F" w:rsidRPr="00A33B9F">
        <w:rPr>
          <w:rFonts w:ascii="Times New Roman" w:hAnsi="Times New Roman"/>
          <w:noProof/>
          <w:color w:val="000000" w:themeColor="text1"/>
          <w:sz w:val="24"/>
        </w:rPr>
        <w:t xml:space="preserve"> i inw</w:t>
      </w:r>
      <w:r w:rsidRPr="00A33B9F">
        <w:rPr>
          <w:rFonts w:ascii="Times New Roman" w:hAnsi="Times New Roman"/>
          <w:noProof/>
          <w:color w:val="000000" w:themeColor="text1"/>
          <w:sz w:val="24"/>
        </w:rPr>
        <w:t>estycji. Reforma służy</w:t>
      </w:r>
      <w:r w:rsidR="00A33B9F" w:rsidRPr="00A33B9F">
        <w:rPr>
          <w:rFonts w:ascii="Times New Roman" w:hAnsi="Times New Roman"/>
          <w:noProof/>
          <w:color w:val="000000" w:themeColor="text1"/>
          <w:sz w:val="24"/>
        </w:rPr>
        <w:t xml:space="preserve"> u zwi</w:t>
      </w:r>
      <w:r w:rsidRPr="00A33B9F">
        <w:rPr>
          <w:rFonts w:ascii="Times New Roman" w:hAnsi="Times New Roman"/>
          <w:noProof/>
          <w:color w:val="000000" w:themeColor="text1"/>
          <w:sz w:val="24"/>
        </w:rPr>
        <w:t>ększeniu odporności operatorów kolejowych oraz konkurencyjności</w:t>
      </w:r>
      <w:r w:rsidR="00A33B9F" w:rsidRPr="00A33B9F">
        <w:rPr>
          <w:rFonts w:ascii="Times New Roman" w:hAnsi="Times New Roman"/>
          <w:noProof/>
          <w:color w:val="000000" w:themeColor="text1"/>
          <w:sz w:val="24"/>
        </w:rPr>
        <w:t xml:space="preserve"> i efe</w:t>
      </w:r>
      <w:r w:rsidRPr="00A33B9F">
        <w:rPr>
          <w:rFonts w:ascii="Times New Roman" w:hAnsi="Times New Roman"/>
          <w:noProof/>
          <w:color w:val="000000" w:themeColor="text1"/>
          <w:sz w:val="24"/>
        </w:rPr>
        <w:t>ktywności sektora kolejowego</w:t>
      </w:r>
      <w:r w:rsidR="00A33B9F" w:rsidRPr="00A33B9F">
        <w:rPr>
          <w:rFonts w:ascii="Times New Roman" w:hAnsi="Times New Roman"/>
          <w:noProof/>
          <w:color w:val="000000" w:themeColor="text1"/>
          <w:sz w:val="24"/>
        </w:rPr>
        <w:t xml:space="preserve"> w pol</w:t>
      </w:r>
      <w:r w:rsidRPr="00A33B9F">
        <w:rPr>
          <w:rFonts w:ascii="Times New Roman" w:hAnsi="Times New Roman"/>
          <w:noProof/>
          <w:color w:val="000000" w:themeColor="text1"/>
          <w:sz w:val="24"/>
        </w:rPr>
        <w:t xml:space="preserve">skim sektorze transportu. </w:t>
      </w:r>
    </w:p>
    <w:p w14:paraId="36082E90" w14:textId="5518FDA2"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Osiągnie się to poprzez określenie priorytetów dla transportu intermodalnego oraz poprawę zdolności do planowania</w:t>
      </w:r>
      <w:r w:rsidR="00A33B9F" w:rsidRPr="00A33B9F">
        <w:rPr>
          <w:rFonts w:ascii="Times New Roman" w:hAnsi="Times New Roman"/>
          <w:noProof/>
          <w:color w:val="000000" w:themeColor="text1"/>
          <w:sz w:val="24"/>
        </w:rPr>
        <w:t xml:space="preserve"> i wdr</w:t>
      </w:r>
      <w:r w:rsidRPr="00A33B9F">
        <w:rPr>
          <w:rFonts w:ascii="Times New Roman" w:hAnsi="Times New Roman"/>
          <w:noProof/>
          <w:color w:val="000000" w:themeColor="text1"/>
          <w:sz w:val="24"/>
        </w:rPr>
        <w:t>ażania projektów</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transportu kolejowego. Cel ten osiągnie się również dzięki umożliwieniu zarządcom infrastruktury obniżenia opłat za dostęp do infrastruktury</w:t>
      </w:r>
      <w:r w:rsidR="00A33B9F" w:rsidRPr="00A33B9F">
        <w:rPr>
          <w:rFonts w:ascii="Times New Roman" w:hAnsi="Times New Roman"/>
          <w:noProof/>
          <w:color w:val="000000" w:themeColor="text1"/>
          <w:sz w:val="24"/>
        </w:rPr>
        <w:t xml:space="preserve"> i zre</w:t>
      </w:r>
      <w:r w:rsidRPr="00A33B9F">
        <w:rPr>
          <w:rFonts w:ascii="Times New Roman" w:hAnsi="Times New Roman"/>
          <w:noProof/>
          <w:color w:val="000000" w:themeColor="text1"/>
          <w:sz w:val="24"/>
        </w:rPr>
        <w:t>kompensowanie im obniżenia tych opłat. Reforma przyczyni się do zmniejszenia kosztów ponoszonych przez przewoźników</w:t>
      </w:r>
      <w:r w:rsidR="00A33B9F" w:rsidRPr="00A33B9F">
        <w:rPr>
          <w:rFonts w:ascii="Times New Roman" w:hAnsi="Times New Roman"/>
          <w:noProof/>
          <w:color w:val="000000" w:themeColor="text1"/>
          <w:sz w:val="24"/>
        </w:rPr>
        <w:t xml:space="preserve"> i zap</w:t>
      </w:r>
      <w:r w:rsidRPr="00A33B9F">
        <w:rPr>
          <w:rFonts w:ascii="Times New Roman" w:hAnsi="Times New Roman"/>
          <w:noProof/>
          <w:color w:val="000000" w:themeColor="text1"/>
          <w:sz w:val="24"/>
        </w:rPr>
        <w:t>ewnienia utrzymania zdolności przepustowej</w:t>
      </w:r>
      <w:r w:rsidR="00A33B9F" w:rsidRPr="00A33B9F">
        <w:rPr>
          <w:rFonts w:ascii="Times New Roman" w:hAnsi="Times New Roman"/>
          <w:noProof/>
          <w:color w:val="000000" w:themeColor="text1"/>
          <w:sz w:val="24"/>
        </w:rPr>
        <w:t xml:space="preserve"> w okr</w:t>
      </w:r>
      <w:r w:rsidRPr="00A33B9F">
        <w:rPr>
          <w:rFonts w:ascii="Times New Roman" w:hAnsi="Times New Roman"/>
          <w:noProof/>
          <w:color w:val="000000" w:themeColor="text1"/>
          <w:sz w:val="24"/>
        </w:rPr>
        <w:t>esie zmniejszonego popytu na usługi, zapewnienia utrzymania konkurencyjności transportu kolejowego oraz uniknięcia spadku udziału tego sektora</w:t>
      </w:r>
      <w:r w:rsidR="00A33B9F" w:rsidRPr="00A33B9F">
        <w:rPr>
          <w:rFonts w:ascii="Times New Roman" w:hAnsi="Times New Roman"/>
          <w:noProof/>
          <w:color w:val="000000" w:themeColor="text1"/>
          <w:sz w:val="24"/>
        </w:rPr>
        <w:t xml:space="preserve"> w tra</w:t>
      </w:r>
      <w:r w:rsidRPr="00A33B9F">
        <w:rPr>
          <w:rFonts w:ascii="Times New Roman" w:hAnsi="Times New Roman"/>
          <w:noProof/>
          <w:color w:val="000000" w:themeColor="text1"/>
          <w:sz w:val="24"/>
        </w:rPr>
        <w:t>nsporcie</w:t>
      </w:r>
      <w:r w:rsidR="00A33B9F" w:rsidRPr="00A33B9F">
        <w:rPr>
          <w:rFonts w:ascii="Times New Roman" w:hAnsi="Times New Roman"/>
          <w:noProof/>
          <w:color w:val="000000" w:themeColor="text1"/>
          <w:sz w:val="24"/>
        </w:rPr>
        <w:t xml:space="preserve"> w syt</w:t>
      </w:r>
      <w:r w:rsidRPr="00A33B9F">
        <w:rPr>
          <w:rFonts w:ascii="Times New Roman" w:hAnsi="Times New Roman"/>
          <w:noProof/>
          <w:color w:val="000000" w:themeColor="text1"/>
          <w:sz w:val="24"/>
        </w:rPr>
        <w:t xml:space="preserve">uacjach nadzwyczajnych, epidemii lub zagrożeniach epidemiologicznych. </w:t>
      </w:r>
    </w:p>
    <w:p w14:paraId="239FB76C" w14:textId="44E77306"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ta zostanie zakończona do dnia 31 grudnia 2022</w:t>
      </w:r>
      <w:r w:rsidR="00A33B9F" w:rsidRPr="00A33B9F">
        <w:rPr>
          <w:rFonts w:ascii="Times New Roman" w:hAnsi="Times New Roman"/>
          <w:noProof/>
          <w:color w:val="000000"/>
          <w:sz w:val="24"/>
        </w:rPr>
        <w:t> </w:t>
      </w:r>
      <w:r w:rsidRPr="00A33B9F">
        <w:rPr>
          <w:rFonts w:ascii="Times New Roman" w:hAnsi="Times New Roman"/>
          <w:noProof/>
          <w:color w:val="000000"/>
          <w:sz w:val="24"/>
        </w:rPr>
        <w:t>r.</w:t>
      </w:r>
    </w:p>
    <w:p w14:paraId="116CAAAD" w14:textId="56EB3AF0" w:rsidR="007C4506" w:rsidRPr="00A33B9F"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Rentowność kolei</w:t>
      </w:r>
      <w:r w:rsidR="00A33B9F" w:rsidRPr="00A33B9F">
        <w:rPr>
          <w:rFonts w:ascii="Times New Roman" w:hAnsi="Times New Roman"/>
          <w:noProof/>
          <w:color w:val="000000" w:themeColor="text1"/>
          <w:sz w:val="24"/>
        </w:rPr>
        <w:t xml:space="preserve"> w por</w:t>
      </w:r>
      <w:r w:rsidRPr="00A33B9F">
        <w:rPr>
          <w:rFonts w:ascii="Times New Roman" w:hAnsi="Times New Roman"/>
          <w:noProof/>
          <w:color w:val="000000" w:themeColor="text1"/>
          <w:sz w:val="24"/>
        </w:rPr>
        <w:t>ównaniu</w:t>
      </w:r>
      <w:r w:rsidR="00A33B9F" w:rsidRPr="00A33B9F">
        <w:rPr>
          <w:rFonts w:ascii="Times New Roman" w:hAnsi="Times New Roman"/>
          <w:noProof/>
          <w:color w:val="000000" w:themeColor="text1"/>
          <w:sz w:val="24"/>
        </w:rPr>
        <w:t xml:space="preserve"> z inn</w:t>
      </w:r>
      <w:r w:rsidRPr="00A33B9F">
        <w:rPr>
          <w:rFonts w:ascii="Times New Roman" w:hAnsi="Times New Roman"/>
          <w:noProof/>
          <w:color w:val="000000" w:themeColor="text1"/>
          <w:sz w:val="24"/>
        </w:rPr>
        <w:t>ymi rodzajami transportu zwiększy się również przez rozszerzenie systemu opłat drogowych</w:t>
      </w:r>
      <w:r w:rsidR="00A33B9F" w:rsidRPr="00A33B9F">
        <w:rPr>
          <w:rFonts w:ascii="Times New Roman" w:hAnsi="Times New Roman"/>
          <w:noProof/>
          <w:color w:val="000000" w:themeColor="text1"/>
          <w:sz w:val="24"/>
        </w:rPr>
        <w:t xml:space="preserve"> o dod</w:t>
      </w:r>
      <w:r w:rsidRPr="00A33B9F">
        <w:rPr>
          <w:rFonts w:ascii="Times New Roman" w:hAnsi="Times New Roman"/>
          <w:noProof/>
          <w:color w:val="000000" w:themeColor="text1"/>
          <w:sz w:val="24"/>
        </w:rPr>
        <w:t>atkowe 1 400 km autostrad</w:t>
      </w:r>
      <w:r w:rsidR="00A33B9F" w:rsidRPr="00A33B9F">
        <w:rPr>
          <w:rFonts w:ascii="Times New Roman" w:hAnsi="Times New Roman"/>
          <w:noProof/>
          <w:color w:val="000000" w:themeColor="text1"/>
          <w:sz w:val="24"/>
        </w:rPr>
        <w:t xml:space="preserve"> i dró</w:t>
      </w:r>
      <w:r w:rsidRPr="00A33B9F">
        <w:rPr>
          <w:rFonts w:ascii="Times New Roman" w:hAnsi="Times New Roman"/>
          <w:noProof/>
          <w:color w:val="000000" w:themeColor="text1"/>
          <w:sz w:val="24"/>
        </w:rPr>
        <w:t>g ekspresowych.</w:t>
      </w:r>
    </w:p>
    <w:p w14:paraId="527D639D" w14:textId="77777777" w:rsidR="00623B98" w:rsidRPr="00A33B9F" w:rsidRDefault="00623B98"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44158554" w14:textId="4AC5398A" w:rsidR="007C4506" w:rsidRPr="00A33B9F" w:rsidRDefault="66E7BAD6" w:rsidP="1E7CB412">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E2.1.1 Linie kolejowe</w:t>
      </w:r>
    </w:p>
    <w:p w14:paraId="689F1200" w14:textId="5D254F88"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Celem tej inwestycji jest zwiększenie przepustowości</w:t>
      </w:r>
      <w:r w:rsidR="00A33B9F" w:rsidRPr="00A33B9F">
        <w:rPr>
          <w:rFonts w:ascii="Times New Roman" w:hAnsi="Times New Roman"/>
          <w:noProof/>
          <w:color w:val="000000" w:themeColor="text1"/>
          <w:sz w:val="24"/>
        </w:rPr>
        <w:t xml:space="preserve"> i prę</w:t>
      </w:r>
      <w:r w:rsidRPr="00A33B9F">
        <w:rPr>
          <w:rFonts w:ascii="Times New Roman" w:hAnsi="Times New Roman"/>
          <w:noProof/>
          <w:color w:val="000000" w:themeColor="text1"/>
          <w:sz w:val="24"/>
        </w:rPr>
        <w:t>dkości zarówno</w:t>
      </w:r>
      <w:r w:rsidR="00A33B9F" w:rsidRPr="00A33B9F">
        <w:rPr>
          <w:rFonts w:ascii="Times New Roman" w:hAnsi="Times New Roman"/>
          <w:noProof/>
          <w:color w:val="000000" w:themeColor="text1"/>
          <w:sz w:val="24"/>
        </w:rPr>
        <w:t xml:space="preserve"> w prz</w:t>
      </w:r>
      <w:r w:rsidRPr="00A33B9F">
        <w:rPr>
          <w:rFonts w:ascii="Times New Roman" w:hAnsi="Times New Roman"/>
          <w:noProof/>
          <w:color w:val="000000" w:themeColor="text1"/>
          <w:sz w:val="24"/>
        </w:rPr>
        <w:t>ypadku transportu towarowego, jak</w:t>
      </w:r>
      <w:r w:rsidR="00A33B9F" w:rsidRPr="00A33B9F">
        <w:rPr>
          <w:rFonts w:ascii="Times New Roman" w:hAnsi="Times New Roman"/>
          <w:noProof/>
          <w:color w:val="000000" w:themeColor="text1"/>
          <w:sz w:val="24"/>
        </w:rPr>
        <w:t xml:space="preserve"> i prz</w:t>
      </w:r>
      <w:r w:rsidRPr="00A33B9F">
        <w:rPr>
          <w:rFonts w:ascii="Times New Roman" w:hAnsi="Times New Roman"/>
          <w:noProof/>
          <w:color w:val="000000" w:themeColor="text1"/>
          <w:sz w:val="24"/>
        </w:rPr>
        <w:t>ewozu osób.</w:t>
      </w:r>
    </w:p>
    <w:p w14:paraId="0AC9D3D3" w14:textId="0242AC2A"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Inwestycja obejmuje modernizację 478 km linii kolejowych,</w:t>
      </w:r>
      <w:r w:rsidR="00A33B9F" w:rsidRPr="00A33B9F">
        <w:rPr>
          <w:rFonts w:ascii="Times New Roman" w:hAnsi="Times New Roman"/>
          <w:noProof/>
          <w:color w:val="000000" w:themeColor="text1"/>
          <w:sz w:val="24"/>
        </w:rPr>
        <w:t xml:space="preserve"> w tym </w:t>
      </w:r>
      <w:r w:rsidRPr="00A33B9F">
        <w:rPr>
          <w:rFonts w:ascii="Times New Roman" w:hAnsi="Times New Roman"/>
          <w:noProof/>
          <w:color w:val="000000" w:themeColor="text1"/>
          <w:sz w:val="24"/>
        </w:rPr>
        <w:t>300 km zgodnie ze standardami TEN-T,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Odpowiednie umowy finansowe zostaną podpisane do dnia 31 grudnia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5101B52C" w14:textId="77777777" w:rsidR="007C4506" w:rsidRPr="00A33B9F"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494BBFDA"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themeColor="text1"/>
          <w:sz w:val="24"/>
          <w:u w:val="single"/>
        </w:rPr>
        <w:t>E2.1.2 Pasażerski tabor kolejowy</w:t>
      </w:r>
    </w:p>
    <w:p w14:paraId="527914F9" w14:textId="4114FE7D"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Inwestycje mają na celu zwiększenie atrakcyjności</w:t>
      </w:r>
      <w:r w:rsidR="00A33B9F" w:rsidRPr="00A33B9F">
        <w:rPr>
          <w:rFonts w:ascii="Times New Roman" w:hAnsi="Times New Roman"/>
          <w:noProof/>
          <w:color w:val="000000"/>
          <w:sz w:val="24"/>
        </w:rPr>
        <w:t xml:space="preserve"> i ren</w:t>
      </w:r>
      <w:r w:rsidRPr="00A33B9F">
        <w:rPr>
          <w:rFonts w:ascii="Times New Roman" w:hAnsi="Times New Roman"/>
          <w:noProof/>
          <w:color w:val="000000"/>
          <w:sz w:val="24"/>
        </w:rPr>
        <w:t xml:space="preserve">towności transportu kolejowego. </w:t>
      </w:r>
    </w:p>
    <w:p w14:paraId="2BD60BAC" w14:textId="7C94C980" w:rsidR="007C4506" w:rsidRPr="00A33B9F" w:rsidRDefault="522DEB2C" w:rsidP="6F625753">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Zostanie to osiągnięte poprzez zakup jednostek taboru kolejowego do użytku dalekobieżnego</w:t>
      </w:r>
      <w:r w:rsidR="00A33B9F" w:rsidRPr="00A33B9F">
        <w:rPr>
          <w:rFonts w:ascii="Times New Roman" w:hAnsi="Times New Roman"/>
          <w:noProof/>
          <w:color w:val="000000" w:themeColor="text1"/>
          <w:sz w:val="24"/>
        </w:rPr>
        <w:t xml:space="preserve"> i reg</w:t>
      </w:r>
      <w:r w:rsidRPr="00A33B9F">
        <w:rPr>
          <w:rFonts w:ascii="Times New Roman" w:hAnsi="Times New Roman"/>
          <w:noProof/>
          <w:color w:val="000000" w:themeColor="text1"/>
          <w:sz w:val="24"/>
        </w:rPr>
        <w:t>ionalnego. Tabor musi być zeroemisyjny/elektryczny</w:t>
      </w:r>
      <w:r w:rsidR="00A33B9F" w:rsidRPr="00A33B9F">
        <w:rPr>
          <w:rFonts w:ascii="Times New Roman" w:hAnsi="Times New Roman"/>
          <w:noProof/>
          <w:color w:val="000000" w:themeColor="text1"/>
          <w:sz w:val="24"/>
        </w:rPr>
        <w:t xml:space="preserve"> i wyp</w:t>
      </w:r>
      <w:r w:rsidRPr="00A33B9F">
        <w:rPr>
          <w:rFonts w:ascii="Times New Roman" w:hAnsi="Times New Roman"/>
          <w:noProof/>
          <w:color w:val="000000" w:themeColor="text1"/>
          <w:sz w:val="24"/>
        </w:rPr>
        <w:t>osażony</w:t>
      </w:r>
      <w:r w:rsidR="00A33B9F" w:rsidRPr="00A33B9F">
        <w:rPr>
          <w:rFonts w:ascii="Times New Roman" w:hAnsi="Times New Roman"/>
          <w:noProof/>
          <w:color w:val="000000" w:themeColor="text1"/>
          <w:sz w:val="24"/>
        </w:rPr>
        <w:t xml:space="preserve"> w eur</w:t>
      </w:r>
      <w:r w:rsidRPr="00A33B9F">
        <w:rPr>
          <w:rFonts w:ascii="Times New Roman" w:hAnsi="Times New Roman"/>
          <w:noProof/>
          <w:color w:val="000000" w:themeColor="text1"/>
          <w:sz w:val="24"/>
        </w:rPr>
        <w:t>opejski system zarządzania ruchem kolejowym: 77 jednostek dla linii regionalnych</w:t>
      </w:r>
      <w:r w:rsidR="00A33B9F" w:rsidRPr="00A33B9F">
        <w:rPr>
          <w:rFonts w:ascii="Times New Roman" w:hAnsi="Times New Roman"/>
          <w:noProof/>
          <w:color w:val="000000" w:themeColor="text1"/>
          <w:sz w:val="24"/>
        </w:rPr>
        <w:t xml:space="preserve"> i 3</w:t>
      </w:r>
      <w:r w:rsidRPr="00A33B9F">
        <w:rPr>
          <w:rFonts w:ascii="Times New Roman" w:hAnsi="Times New Roman"/>
          <w:noProof/>
          <w:color w:val="000000" w:themeColor="text1"/>
          <w:sz w:val="24"/>
        </w:rPr>
        <w:t>04 jednostki (56 nowych lokomotyw</w:t>
      </w:r>
      <w:r w:rsidR="00A33B9F" w:rsidRPr="00A33B9F">
        <w:rPr>
          <w:rFonts w:ascii="Times New Roman" w:hAnsi="Times New Roman"/>
          <w:noProof/>
          <w:color w:val="000000" w:themeColor="text1"/>
          <w:sz w:val="24"/>
        </w:rPr>
        <w:t xml:space="preserve"> i 2</w:t>
      </w:r>
      <w:r w:rsidRPr="00A33B9F">
        <w:rPr>
          <w:rFonts w:ascii="Times New Roman" w:hAnsi="Times New Roman"/>
          <w:noProof/>
          <w:color w:val="000000" w:themeColor="text1"/>
          <w:sz w:val="24"/>
        </w:rPr>
        <w:t>48 zmodernizowanych wagonów) dla linii długodystansowych (w ramach zamówień publicznych na usługi). Inwestycja zostanie zakończona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Odpowiednie umowy finansowe zostaną podpisane do dnia 31 marca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3C8EC45C" w14:textId="77777777" w:rsidR="007C4506" w:rsidRPr="00A33B9F"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12BBF11E"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E2.1.3 Projekty intermodalne</w:t>
      </w:r>
    </w:p>
    <w:p w14:paraId="095D56F7"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Celem inwestycji jest wspieranie transportu intermodalnego poprzez odpowiednie inwestycje.</w:t>
      </w:r>
    </w:p>
    <w:p w14:paraId="76380612" w14:textId="0B0923E9" w:rsidR="007C4506" w:rsidRPr="00A33B9F" w:rsidRDefault="07295A7A" w:rsidP="079DCE0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Inwestycja polega na zwiększeniu przepustowości terminali intermodalnych do przeładunku towarów</w:t>
      </w:r>
      <w:r w:rsidR="00A33B9F" w:rsidRPr="00A33B9F">
        <w:rPr>
          <w:rFonts w:ascii="Times New Roman" w:hAnsi="Times New Roman"/>
          <w:noProof/>
          <w:color w:val="000000" w:themeColor="text1"/>
          <w:sz w:val="24"/>
        </w:rPr>
        <w:t xml:space="preserve"> z uki</w:t>
      </w:r>
      <w:r w:rsidRPr="00A33B9F">
        <w:rPr>
          <w:rFonts w:ascii="Times New Roman" w:hAnsi="Times New Roman"/>
          <w:noProof/>
          <w:color w:val="000000" w:themeColor="text1"/>
          <w:sz w:val="24"/>
        </w:rPr>
        <w:t>erunkowaniem na terminale kolejowo-drogowe</w:t>
      </w:r>
      <w:r w:rsidR="00A33B9F" w:rsidRPr="00A33B9F">
        <w:rPr>
          <w:rFonts w:ascii="Times New Roman" w:hAnsi="Times New Roman"/>
          <w:noProof/>
          <w:color w:val="000000" w:themeColor="text1"/>
          <w:sz w:val="24"/>
        </w:rPr>
        <w:t xml:space="preserve"> i tab</w:t>
      </w:r>
      <w:r w:rsidRPr="00A33B9F">
        <w:rPr>
          <w:rFonts w:ascii="Times New Roman" w:hAnsi="Times New Roman"/>
          <w:noProof/>
          <w:color w:val="000000" w:themeColor="text1"/>
          <w:sz w:val="24"/>
        </w:rPr>
        <w:t>or kolejowy. Odpowiednie umowy finansowe zostaną podpisane do dnia 31 grudnia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Wpływ inwestycji mierzy się</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celu określonego</w:t>
      </w:r>
      <w:r w:rsidR="00A33B9F" w:rsidRPr="00A33B9F">
        <w:rPr>
          <w:rFonts w:ascii="Times New Roman" w:hAnsi="Times New Roman"/>
          <w:noProof/>
          <w:color w:val="000000" w:themeColor="text1"/>
          <w:sz w:val="24"/>
        </w:rPr>
        <w:t xml:space="preserve"> w kat</w:t>
      </w:r>
      <w:r w:rsidRPr="00A33B9F">
        <w:rPr>
          <w:rFonts w:ascii="Times New Roman" w:hAnsi="Times New Roman"/>
          <w:noProof/>
          <w:color w:val="000000" w:themeColor="text1"/>
          <w:sz w:val="24"/>
        </w:rPr>
        <w:t>egoriach względnego wzrostu zdolności przeładunkowej terminali wspieranych</w:t>
      </w:r>
      <w:r w:rsidR="00A33B9F" w:rsidRPr="00A33B9F">
        <w:rPr>
          <w:rFonts w:ascii="Times New Roman" w:hAnsi="Times New Roman"/>
          <w:noProof/>
          <w:color w:val="000000" w:themeColor="text1"/>
          <w:sz w:val="24"/>
        </w:rPr>
        <w:t xml:space="preserve"> w ram</w:t>
      </w:r>
      <w:r w:rsidRPr="00A33B9F">
        <w:rPr>
          <w:rFonts w:ascii="Times New Roman" w:hAnsi="Times New Roman"/>
          <w:noProof/>
          <w:color w:val="000000" w:themeColor="text1"/>
          <w:sz w:val="24"/>
        </w:rPr>
        <w:t>ach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w:t>
      </w:r>
    </w:p>
    <w:p w14:paraId="326DC100" w14:textId="77777777" w:rsidR="007C4506" w:rsidRPr="00A33B9F" w:rsidRDefault="007C4506"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13A756E7"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themeColor="text1"/>
          <w:sz w:val="24"/>
          <w:u w:val="single"/>
        </w:rPr>
        <w:t>E2.2 Zwiększenie bezpieczeństwa transportu</w:t>
      </w:r>
    </w:p>
    <w:p w14:paraId="25D296D1" w14:textId="7CDA60D8"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Reforma ma na celu zwiększenie bezpieczeństwa transportu, ze szczególnym uwzględnieniem kwestii bezpieczeństwa użytkowników transportu znajdujących się</w:t>
      </w:r>
      <w:r w:rsidR="00A33B9F" w:rsidRPr="00A33B9F">
        <w:rPr>
          <w:rFonts w:ascii="Times New Roman" w:hAnsi="Times New Roman"/>
          <w:noProof/>
          <w:color w:val="000000"/>
          <w:sz w:val="24"/>
        </w:rPr>
        <w:t xml:space="preserve"> w tru</w:t>
      </w:r>
      <w:r w:rsidRPr="00A33B9F">
        <w:rPr>
          <w:rFonts w:ascii="Times New Roman" w:hAnsi="Times New Roman"/>
          <w:noProof/>
          <w:color w:val="000000"/>
          <w:sz w:val="24"/>
        </w:rPr>
        <w:t xml:space="preserve">dnej sytuacji. </w:t>
      </w:r>
    </w:p>
    <w:p w14:paraId="59CE4329" w14:textId="22ED81A3" w:rsidR="007C4506" w:rsidRPr="00A33B9F" w:rsidRDefault="66E7BAD6">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Reforma obejmuje szereg zmian legislacyjnych wprowadzających pierwszeństwo pieszych na przejściach, jednakową prędkość na obszarach zabudowanych oraz minimalny odstęp pomiędzy pojazdami. Wspomniane zmiany legislacyjne miały wejść</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do dnia 31 grudnia 2021</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Postępy</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reformy będą monitorowane</w:t>
      </w:r>
      <w:r w:rsidR="00A33B9F" w:rsidRPr="00A33B9F">
        <w:rPr>
          <w:rFonts w:ascii="Times New Roman" w:hAnsi="Times New Roman"/>
          <w:noProof/>
          <w:color w:val="000000" w:themeColor="text1"/>
          <w:sz w:val="24"/>
        </w:rPr>
        <w:t xml:space="preserve"> w kon</w:t>
      </w:r>
      <w:r w:rsidRPr="00A33B9F">
        <w:rPr>
          <w:rFonts w:ascii="Times New Roman" w:hAnsi="Times New Roman"/>
          <w:noProof/>
          <w:color w:val="000000" w:themeColor="text1"/>
          <w:sz w:val="24"/>
        </w:rPr>
        <w:t>tekście celu</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bezpieczeństwa ruchu drogowego dotyczącego względnego zmniejszenia liczby ofiar śmiertelnych</w:t>
      </w:r>
      <w:r w:rsidR="00A33B9F" w:rsidRPr="00A33B9F">
        <w:rPr>
          <w:rFonts w:ascii="Times New Roman" w:hAnsi="Times New Roman"/>
          <w:noProof/>
          <w:color w:val="000000" w:themeColor="text1"/>
          <w:sz w:val="24"/>
        </w:rPr>
        <w:t xml:space="preserve"> i osó</w:t>
      </w:r>
      <w:r w:rsidRPr="00A33B9F">
        <w:rPr>
          <w:rFonts w:ascii="Times New Roman" w:hAnsi="Times New Roman"/>
          <w:noProof/>
          <w:color w:val="000000" w:themeColor="text1"/>
          <w:sz w:val="24"/>
        </w:rPr>
        <w:t>b poważnie rannych, zgodnie</w:t>
      </w:r>
      <w:r w:rsidR="00A33B9F" w:rsidRPr="00A33B9F">
        <w:rPr>
          <w:rFonts w:ascii="Times New Roman" w:hAnsi="Times New Roman"/>
          <w:noProof/>
          <w:color w:val="000000" w:themeColor="text1"/>
          <w:sz w:val="24"/>
        </w:rPr>
        <w:t xml:space="preserve"> z cel</w:t>
      </w:r>
      <w:r w:rsidRPr="00A33B9F">
        <w:rPr>
          <w:rFonts w:ascii="Times New Roman" w:hAnsi="Times New Roman"/>
          <w:noProof/>
          <w:color w:val="000000" w:themeColor="text1"/>
          <w:sz w:val="24"/>
        </w:rPr>
        <w:t>ami UE</w:t>
      </w:r>
      <w:r w:rsidR="00A33B9F" w:rsidRPr="00A33B9F">
        <w:rPr>
          <w:rFonts w:ascii="Times New Roman" w:hAnsi="Times New Roman"/>
          <w:noProof/>
          <w:color w:val="000000" w:themeColor="text1"/>
          <w:sz w:val="24"/>
        </w:rPr>
        <w:t xml:space="preserve"> i pań</w:t>
      </w:r>
      <w:r w:rsidRPr="00A33B9F">
        <w:rPr>
          <w:rFonts w:ascii="Times New Roman" w:hAnsi="Times New Roman"/>
          <w:noProof/>
          <w:color w:val="000000" w:themeColor="text1"/>
          <w:sz w:val="24"/>
        </w:rPr>
        <w:t>stw członkowskich</w:t>
      </w:r>
      <w:r w:rsidR="00A33B9F" w:rsidRPr="00A33B9F">
        <w:rPr>
          <w:rFonts w:ascii="Times New Roman" w:hAnsi="Times New Roman"/>
          <w:noProof/>
          <w:color w:val="000000" w:themeColor="text1"/>
          <w:sz w:val="24"/>
        </w:rPr>
        <w:t xml:space="preserve"> w zak</w:t>
      </w:r>
      <w:r w:rsidRPr="00A33B9F">
        <w:rPr>
          <w:rFonts w:ascii="Times New Roman" w:hAnsi="Times New Roman"/>
          <w:noProof/>
          <w:color w:val="000000" w:themeColor="text1"/>
          <w:sz w:val="24"/>
        </w:rPr>
        <w:t>resie bezpieczeństwa ruchu drogowego.</w:t>
      </w:r>
    </w:p>
    <w:p w14:paraId="02725E73" w14:textId="77777777" w:rsidR="008B5AC9" w:rsidRPr="00A33B9F" w:rsidRDefault="008B5AC9" w:rsidP="7EFEC9F5">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themeColor="text1"/>
          <w:sz w:val="24"/>
          <w:szCs w:val="24"/>
          <w:u w:val="single"/>
        </w:rPr>
      </w:pPr>
    </w:p>
    <w:p w14:paraId="6D4FEDDE" w14:textId="7F0EE4CF" w:rsidR="007C4506" w:rsidRPr="00A33B9F" w:rsidRDefault="00B31839" w:rsidP="00301C62">
      <w:pPr>
        <w:pStyle w:val="Normal0"/>
        <w:pageBreakBefore/>
        <w:pBdr>
          <w:top w:val="nil"/>
          <w:left w:val="nil"/>
          <w:bottom w:val="nil"/>
          <w:right w:val="nil"/>
          <w:between w:val="nil"/>
        </w:pBdr>
        <w:spacing w:before="120" w:after="120" w:line="240" w:lineRule="auto"/>
        <w:jc w:val="both"/>
        <w:rPr>
          <w:rFonts w:ascii="Times New Roman" w:eastAsia="Times New Roman" w:hAnsi="Times New Roman" w:cs="Times New Roman"/>
          <w:b/>
          <w:bCs/>
          <w:noProof/>
          <w:color w:val="000000"/>
          <w:sz w:val="24"/>
          <w:szCs w:val="24"/>
          <w:u w:val="single"/>
        </w:rPr>
      </w:pPr>
      <w:r w:rsidRPr="00A33B9F">
        <w:rPr>
          <w:rFonts w:ascii="Times New Roman" w:hAnsi="Times New Roman"/>
          <w:b/>
          <w:noProof/>
          <w:color w:val="000000" w:themeColor="text1"/>
          <w:sz w:val="24"/>
          <w:u w:val="single"/>
        </w:rPr>
        <w:t>E2.2.1 Inwestycje</w:t>
      </w:r>
      <w:r w:rsidR="00A33B9F" w:rsidRPr="00A33B9F">
        <w:rPr>
          <w:rFonts w:ascii="Times New Roman" w:hAnsi="Times New Roman"/>
          <w:b/>
          <w:noProof/>
          <w:color w:val="000000" w:themeColor="text1"/>
          <w:sz w:val="24"/>
          <w:u w:val="single"/>
        </w:rPr>
        <w:t xml:space="preserve"> w zak</w:t>
      </w:r>
      <w:r w:rsidRPr="00A33B9F">
        <w:rPr>
          <w:rFonts w:ascii="Times New Roman" w:hAnsi="Times New Roman"/>
          <w:b/>
          <w:noProof/>
          <w:color w:val="000000" w:themeColor="text1"/>
          <w:sz w:val="24"/>
          <w:u w:val="single"/>
        </w:rPr>
        <w:t>resie bezpieczeństwa transportu</w:t>
      </w:r>
    </w:p>
    <w:p w14:paraId="32F57F18"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sz w:val="24"/>
        </w:rPr>
        <w:t xml:space="preserve">Celem inwestycji jest zwiększenie bezpieczeństwa transportu drogowego. </w:t>
      </w:r>
    </w:p>
    <w:p w14:paraId="38284F94" w14:textId="656FC536" w:rsidR="00E874D2"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Inwestycja ta obejmuje modernizację 305 niebezpiecznych czarnych punktów/hotspotów, 90 km obwodnic zbudowanych</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 xml:space="preserve">u usunięcia czarnych punktów/hotspotów bezpieczeństwa oraz 128 automatycznych urządzeń nadzoru drogowego. </w:t>
      </w:r>
    </w:p>
    <w:p w14:paraId="1BFB6461" w14:textId="6A2A0A2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Inwestycje zostaną zakończone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66FDCF4E" w14:textId="77777777" w:rsidR="00F74FF4" w:rsidRPr="00A33B9F" w:rsidRDefault="00F74FF4" w:rsidP="004970C3">
      <w:pPr>
        <w:pStyle w:val="Normal0"/>
        <w:pBdr>
          <w:top w:val="nil"/>
          <w:left w:val="nil"/>
          <w:bottom w:val="nil"/>
          <w:right w:val="nil"/>
          <w:between w:val="nil"/>
        </w:pBdr>
        <w:spacing w:before="120" w:after="0" w:line="240" w:lineRule="auto"/>
        <w:jc w:val="both"/>
        <w:rPr>
          <w:rFonts w:ascii="Times New Roman" w:eastAsia="Times New Roman" w:hAnsi="Times New Roman" w:cs="Times New Roman"/>
          <w:noProof/>
          <w:color w:val="000000"/>
          <w:sz w:val="24"/>
          <w:szCs w:val="24"/>
        </w:rPr>
      </w:pPr>
    </w:p>
    <w:p w14:paraId="0E7E0800" w14:textId="77777777"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u w:val="single"/>
        </w:rPr>
      </w:pPr>
      <w:r w:rsidRPr="00A33B9F">
        <w:rPr>
          <w:rFonts w:ascii="Times New Roman" w:hAnsi="Times New Roman"/>
          <w:b/>
          <w:noProof/>
          <w:color w:val="000000"/>
          <w:sz w:val="24"/>
          <w:u w:val="single"/>
        </w:rPr>
        <w:t>E2.2.2 Cyfryzacja transportu</w:t>
      </w:r>
    </w:p>
    <w:p w14:paraId="5C39EA61" w14:textId="00AA4049"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Działanie to ma na celu zwiększenie atrakcyjności</w:t>
      </w:r>
      <w:r w:rsidR="00A33B9F" w:rsidRPr="00A33B9F">
        <w:rPr>
          <w:rFonts w:ascii="Times New Roman" w:hAnsi="Times New Roman"/>
          <w:noProof/>
          <w:color w:val="000000" w:themeColor="text1"/>
          <w:sz w:val="24"/>
        </w:rPr>
        <w:t xml:space="preserve"> i efe</w:t>
      </w:r>
      <w:r w:rsidRPr="00A33B9F">
        <w:rPr>
          <w:rFonts w:ascii="Times New Roman" w:hAnsi="Times New Roman"/>
          <w:noProof/>
          <w:color w:val="000000" w:themeColor="text1"/>
          <w:sz w:val="24"/>
        </w:rPr>
        <w:t>ktywności kolei</w:t>
      </w:r>
      <w:r w:rsidR="00A33B9F" w:rsidRPr="00A33B9F">
        <w:rPr>
          <w:rFonts w:ascii="Times New Roman" w:hAnsi="Times New Roman"/>
          <w:noProof/>
          <w:color w:val="000000" w:themeColor="text1"/>
          <w:sz w:val="24"/>
        </w:rPr>
        <w:t xml:space="preserve"> i tra</w:t>
      </w:r>
      <w:r w:rsidRPr="00A33B9F">
        <w:rPr>
          <w:rFonts w:ascii="Times New Roman" w:hAnsi="Times New Roman"/>
          <w:noProof/>
          <w:color w:val="000000" w:themeColor="text1"/>
          <w:sz w:val="24"/>
        </w:rPr>
        <w:t xml:space="preserve">nsportu publicznego poprzez wprowadzenie rozwiązań cyfrowych. </w:t>
      </w:r>
    </w:p>
    <w:p w14:paraId="3BEE236D" w14:textId="77777777" w:rsidR="007C4506" w:rsidRPr="00A33B9F" w:rsidRDefault="007C4506">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54065544" w14:textId="4FFCCB3E" w:rsidR="00463240" w:rsidRPr="00A33B9F" w:rsidRDefault="00B31839">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Działanie to obejmuje inwestycje w:</w:t>
      </w:r>
    </w:p>
    <w:p w14:paraId="36FFD098" w14:textId="26250246" w:rsidR="00463240" w:rsidRPr="00A33B9F" w:rsidRDefault="37057B2D" w:rsidP="00394B30">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zakup</w:t>
      </w:r>
      <w:r w:rsidR="00A33B9F" w:rsidRPr="00A33B9F">
        <w:rPr>
          <w:rFonts w:ascii="Times New Roman" w:hAnsi="Times New Roman"/>
          <w:noProof/>
          <w:color w:val="000000" w:themeColor="text1"/>
          <w:sz w:val="24"/>
        </w:rPr>
        <w:t xml:space="preserve"> i ins</w:t>
      </w:r>
      <w:r w:rsidRPr="00A33B9F">
        <w:rPr>
          <w:rFonts w:ascii="Times New Roman" w:hAnsi="Times New Roman"/>
          <w:noProof/>
          <w:color w:val="000000" w:themeColor="text1"/>
          <w:sz w:val="24"/>
        </w:rPr>
        <w:t>talację 160 urządzeń pokładowych ERTMS;</w:t>
      </w:r>
    </w:p>
    <w:p w14:paraId="0C2FDF94" w14:textId="130C125D" w:rsidR="00463240" w:rsidRPr="00A33B9F" w:rsidRDefault="4028D535" w:rsidP="00394B30">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wdrożenie zdalnego sterowania na</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35 stacjach kolejowych;</w:t>
      </w:r>
    </w:p>
    <w:p w14:paraId="0391A202" w14:textId="6E1F53B9" w:rsidR="00463240" w:rsidRPr="00A33B9F" w:rsidRDefault="4028D535" w:rsidP="00394B30">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modernizację systemów przejazdów kolejowych</w:t>
      </w:r>
      <w:r w:rsidR="00A33B9F" w:rsidRPr="00A33B9F">
        <w:rPr>
          <w:rFonts w:ascii="Times New Roman" w:hAnsi="Times New Roman"/>
          <w:noProof/>
          <w:color w:val="000000" w:themeColor="text1"/>
          <w:sz w:val="24"/>
        </w:rPr>
        <w:t xml:space="preserve"> w 4</w:t>
      </w:r>
      <w:r w:rsidRPr="00A33B9F">
        <w:rPr>
          <w:rFonts w:ascii="Times New Roman" w:hAnsi="Times New Roman"/>
          <w:noProof/>
          <w:color w:val="000000" w:themeColor="text1"/>
          <w:sz w:val="24"/>
        </w:rPr>
        <w:t>5 lokalizacjach;</w:t>
      </w:r>
    </w:p>
    <w:p w14:paraId="4A5E45A5" w14:textId="555BDE19" w:rsidR="00463240" w:rsidRPr="00A33B9F" w:rsidRDefault="4028D535" w:rsidP="00394B30">
      <w:pPr>
        <w:pStyle w:val="Normal0"/>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budowę</w:t>
      </w:r>
      <w:r w:rsidR="00A33B9F" w:rsidRPr="00A33B9F">
        <w:rPr>
          <w:rFonts w:ascii="Times New Roman" w:hAnsi="Times New Roman"/>
          <w:noProof/>
          <w:color w:val="000000" w:themeColor="text1"/>
          <w:sz w:val="24"/>
        </w:rPr>
        <w:t xml:space="preserve"> i ren</w:t>
      </w:r>
      <w:r w:rsidRPr="00A33B9F">
        <w:rPr>
          <w:rFonts w:ascii="Times New Roman" w:hAnsi="Times New Roman"/>
          <w:noProof/>
          <w:color w:val="000000" w:themeColor="text1"/>
          <w:sz w:val="24"/>
        </w:rPr>
        <w:t>owację lokalnych ośrodków kontroli oraz inwestycje</w:t>
      </w:r>
      <w:r w:rsidR="00A33B9F" w:rsidRPr="00A33B9F">
        <w:rPr>
          <w:rFonts w:ascii="Times New Roman" w:hAnsi="Times New Roman"/>
          <w:noProof/>
          <w:color w:val="000000" w:themeColor="text1"/>
          <w:sz w:val="24"/>
        </w:rPr>
        <w:t xml:space="preserve"> w zar</w:t>
      </w:r>
      <w:r w:rsidRPr="00A33B9F">
        <w:rPr>
          <w:rFonts w:ascii="Times New Roman" w:hAnsi="Times New Roman"/>
          <w:noProof/>
          <w:color w:val="000000" w:themeColor="text1"/>
          <w:sz w:val="24"/>
        </w:rPr>
        <w:t>ządzanie ruchem,</w:t>
      </w:r>
    </w:p>
    <w:p w14:paraId="0CCC0888" w14:textId="77777777" w:rsidR="00463240" w:rsidRPr="00A33B9F" w:rsidRDefault="00463240" w:rsidP="00463240">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7C11670D" w14:textId="7EEF8216" w:rsidR="007C4506" w:rsidRPr="00A33B9F" w:rsidRDefault="0DFDE7A0" w:rsidP="6F625753">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noProof/>
          <w:color w:val="000000" w:themeColor="text1"/>
          <w:sz w:val="24"/>
        </w:rPr>
        <w:t>które mają zostać zakończone do dnia 30 czerwca 2026</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natomiast budowa SDIP (Systemów Dynamicznej Informacji Pasażerskiej)</w:t>
      </w:r>
      <w:r w:rsidR="00A33B9F" w:rsidRPr="00A33B9F">
        <w:rPr>
          <w:rFonts w:ascii="Times New Roman" w:hAnsi="Times New Roman"/>
          <w:noProof/>
          <w:color w:val="000000" w:themeColor="text1"/>
          <w:sz w:val="24"/>
        </w:rPr>
        <w:t xml:space="preserve"> i inn</w:t>
      </w:r>
      <w:r w:rsidRPr="00A33B9F">
        <w:rPr>
          <w:rFonts w:ascii="Times New Roman" w:hAnsi="Times New Roman"/>
          <w:noProof/>
          <w:color w:val="000000" w:themeColor="text1"/>
          <w:sz w:val="24"/>
        </w:rPr>
        <w:t>ych systemów</w:t>
      </w:r>
      <w:r w:rsidR="00A33B9F" w:rsidRPr="00A33B9F">
        <w:rPr>
          <w:rFonts w:ascii="Times New Roman" w:hAnsi="Times New Roman"/>
          <w:noProof/>
          <w:color w:val="000000" w:themeColor="text1"/>
          <w:sz w:val="24"/>
        </w:rPr>
        <w:t xml:space="preserve"> w 5</w:t>
      </w:r>
      <w:r w:rsidRPr="00A33B9F">
        <w:rPr>
          <w:rFonts w:ascii="Times New Roman" w:hAnsi="Times New Roman"/>
          <w:noProof/>
          <w:color w:val="000000" w:themeColor="text1"/>
          <w:sz w:val="24"/>
        </w:rPr>
        <w:t>5 lokalizacjach – do dnia 31 marca 2025</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10AD3B2E" w14:textId="77777777" w:rsidR="00387C8F" w:rsidRPr="00A33B9F" w:rsidRDefault="00387C8F">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sectPr w:rsidR="00387C8F" w:rsidRPr="00A33B9F">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sectPr>
      </w:pPr>
    </w:p>
    <w:p w14:paraId="4A990D24" w14:textId="35FD0390" w:rsidR="00212550" w:rsidRPr="00A33B9F" w:rsidRDefault="00387C8F">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33B9F">
        <w:rPr>
          <w:rFonts w:ascii="Times New Roman" w:hAnsi="Times New Roman"/>
          <w:b/>
          <w:noProof/>
          <w:color w:val="000000"/>
          <w:sz w:val="24"/>
        </w:rPr>
        <w:t xml:space="preserve">E.2.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na potrzeby bezzwrotnego wsparcia finansowego</w:t>
      </w:r>
    </w:p>
    <w:p w14:paraId="128A8B0E" w14:textId="1326CAD4" w:rsidR="00387C8F" w:rsidRPr="00A33B9F" w:rsidRDefault="00387C8F">
      <w:pPr>
        <w:pStyle w:val="Normal0"/>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tbl>
      <w:tblPr>
        <w:tblW w:w="154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655"/>
        <w:gridCol w:w="1280"/>
        <w:gridCol w:w="1027"/>
        <w:gridCol w:w="2029"/>
        <w:gridCol w:w="1279"/>
        <w:gridCol w:w="1221"/>
        <w:gridCol w:w="1016"/>
        <w:gridCol w:w="1416"/>
        <w:gridCol w:w="992"/>
        <w:gridCol w:w="851"/>
        <w:gridCol w:w="3685"/>
      </w:tblGrid>
      <w:tr w:rsidR="008C116B" w:rsidRPr="00A33B9F" w14:paraId="3AECB42C" w14:textId="77777777" w:rsidTr="4BF78996">
        <w:trPr>
          <w:trHeight w:val="927"/>
          <w:tblHeader/>
        </w:trPr>
        <w:tc>
          <w:tcPr>
            <w:tcW w:w="655" w:type="dxa"/>
            <w:vMerge w:val="restart"/>
            <w:shd w:val="clear" w:color="auto" w:fill="BDD7EE"/>
            <w:vAlign w:val="center"/>
          </w:tcPr>
          <w:p w14:paraId="082BC4BA" w14:textId="75C6C4A7" w:rsidR="00C47F77" w:rsidRPr="00A33B9F" w:rsidRDefault="00C47F77"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280" w:type="dxa"/>
            <w:vMerge w:val="restart"/>
            <w:shd w:val="clear" w:color="auto" w:fill="BDD7EE"/>
            <w:vAlign w:val="center"/>
          </w:tcPr>
          <w:p w14:paraId="170A6B5D" w14:textId="77777777" w:rsidR="00C47F77" w:rsidRPr="00A33B9F"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027" w:type="dxa"/>
            <w:vMerge w:val="restart"/>
            <w:shd w:val="clear" w:color="auto" w:fill="BDD7EE"/>
            <w:vAlign w:val="center"/>
          </w:tcPr>
          <w:p w14:paraId="31F2519E" w14:textId="77777777" w:rsidR="00C47F77" w:rsidRPr="00A33B9F"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2029" w:type="dxa"/>
            <w:vMerge w:val="restart"/>
            <w:shd w:val="clear" w:color="auto" w:fill="BDD7EE"/>
            <w:vAlign w:val="center"/>
          </w:tcPr>
          <w:p w14:paraId="5EDE3703" w14:textId="77777777" w:rsidR="00C47F77" w:rsidRPr="00A33B9F"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279" w:type="dxa"/>
            <w:vMerge w:val="restart"/>
            <w:shd w:val="clear" w:color="auto" w:fill="BDD7EE"/>
            <w:vAlign w:val="center"/>
          </w:tcPr>
          <w:p w14:paraId="5C11EE00" w14:textId="77777777" w:rsidR="00C47F77" w:rsidRPr="00A33B9F" w:rsidRDefault="00C47F77" w:rsidP="3954470C">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 xml:space="preserve">Wskaźniki jakościowe </w:t>
            </w:r>
            <w:r w:rsidRPr="00A33B9F">
              <w:rPr>
                <w:rFonts w:ascii="Times New Roman" w:hAnsi="Times New Roman"/>
                <w:b/>
                <w:noProof/>
                <w:color w:val="000000" w:themeColor="text1"/>
                <w:sz w:val="18"/>
              </w:rPr>
              <w:br/>
              <w:t>(dla kamieni milowych)</w:t>
            </w:r>
          </w:p>
        </w:tc>
        <w:tc>
          <w:tcPr>
            <w:tcW w:w="3653" w:type="dxa"/>
            <w:gridSpan w:val="3"/>
            <w:shd w:val="clear" w:color="auto" w:fill="BDD7EE"/>
            <w:vAlign w:val="center"/>
          </w:tcPr>
          <w:p w14:paraId="1B96B1E6" w14:textId="77777777" w:rsidR="00C47F77" w:rsidRPr="00A33B9F" w:rsidRDefault="00C47F77" w:rsidP="3954470C">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sz w:val="18"/>
                <w:szCs w:val="18"/>
              </w:rPr>
            </w:pPr>
            <w:r w:rsidRPr="00A33B9F">
              <w:rPr>
                <w:rFonts w:ascii="Times New Roman" w:hAnsi="Times New Roman"/>
                <w:b/>
                <w:noProof/>
                <w:color w:val="000000" w:themeColor="text1"/>
                <w:sz w:val="18"/>
              </w:rPr>
              <w:t>Wskaźniki ilościowe</w:t>
            </w:r>
            <w:r w:rsidRPr="00A33B9F">
              <w:rPr>
                <w:noProof/>
              </w:rPr>
              <w:t xml:space="preserve"> </w:t>
            </w:r>
            <w:r w:rsidRPr="00A33B9F">
              <w:rPr>
                <w:noProof/>
              </w:rPr>
              <w:br/>
            </w:r>
            <w:r w:rsidRPr="00A33B9F">
              <w:rPr>
                <w:rFonts w:ascii="Times New Roman" w:hAnsi="Times New Roman"/>
                <w:b/>
                <w:noProof/>
                <w:color w:val="000000" w:themeColor="text1"/>
                <w:sz w:val="18"/>
              </w:rPr>
              <w:t>(dla wartości docelowych)</w:t>
            </w:r>
          </w:p>
        </w:tc>
        <w:tc>
          <w:tcPr>
            <w:tcW w:w="1843" w:type="dxa"/>
            <w:gridSpan w:val="2"/>
            <w:shd w:val="clear" w:color="auto" w:fill="BDD7EE"/>
            <w:vAlign w:val="center"/>
          </w:tcPr>
          <w:p w14:paraId="79F0030E" w14:textId="77777777" w:rsidR="00C47F77" w:rsidRPr="00A33B9F"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Orientacyjny harmonogram zakończenia działania</w:t>
            </w:r>
          </w:p>
        </w:tc>
        <w:tc>
          <w:tcPr>
            <w:tcW w:w="3685" w:type="dxa"/>
            <w:vMerge w:val="restart"/>
            <w:shd w:val="clear" w:color="auto" w:fill="BDD7EE"/>
            <w:vAlign w:val="center"/>
          </w:tcPr>
          <w:p w14:paraId="370146CB" w14:textId="626E64B3" w:rsidR="00C47F77" w:rsidRPr="00A33B9F" w:rsidRDefault="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p w14:paraId="4DAC6CA9" w14:textId="02775A9A" w:rsidR="00C47F77" w:rsidRPr="00A33B9F" w:rsidRDefault="00C47F77" w:rsidP="00574ADA">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r>
      <w:tr w:rsidR="00CA5542" w:rsidRPr="00A33B9F" w14:paraId="154BEFBD" w14:textId="77777777" w:rsidTr="4BF78996">
        <w:trPr>
          <w:trHeight w:val="927"/>
        </w:trPr>
        <w:tc>
          <w:tcPr>
            <w:tcW w:w="655" w:type="dxa"/>
            <w:vMerge/>
            <w:vAlign w:val="center"/>
          </w:tcPr>
          <w:p w14:paraId="3859399C"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1280" w:type="dxa"/>
            <w:vMerge/>
            <w:vAlign w:val="center"/>
          </w:tcPr>
          <w:p w14:paraId="5203E758"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1027" w:type="dxa"/>
            <w:vMerge/>
            <w:vAlign w:val="center"/>
          </w:tcPr>
          <w:p w14:paraId="7ACEF45B"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2029" w:type="dxa"/>
            <w:vMerge/>
            <w:vAlign w:val="center"/>
          </w:tcPr>
          <w:p w14:paraId="70813BA5"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c>
          <w:tcPr>
            <w:tcW w:w="1279" w:type="dxa"/>
            <w:vMerge/>
            <w:vAlign w:val="center"/>
          </w:tcPr>
          <w:p w14:paraId="28DA1B0F"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p>
        </w:tc>
        <w:tc>
          <w:tcPr>
            <w:tcW w:w="1221" w:type="dxa"/>
            <w:shd w:val="clear" w:color="auto" w:fill="BDD7EE"/>
            <w:vAlign w:val="center"/>
          </w:tcPr>
          <w:p w14:paraId="50150F9F" w14:textId="16795758"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sidRPr="00A33B9F">
              <w:rPr>
                <w:rFonts w:ascii="Times New Roman" w:hAnsi="Times New Roman"/>
                <w:b/>
                <w:noProof/>
                <w:color w:val="000000"/>
                <w:sz w:val="18"/>
              </w:rPr>
              <w:t>Jednostka miary</w:t>
            </w:r>
          </w:p>
        </w:tc>
        <w:tc>
          <w:tcPr>
            <w:tcW w:w="1016" w:type="dxa"/>
            <w:shd w:val="clear" w:color="auto" w:fill="BDD7EE"/>
            <w:vAlign w:val="center"/>
          </w:tcPr>
          <w:p w14:paraId="53052DDD" w14:textId="48E4D7DC"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sidRPr="00A33B9F">
              <w:rPr>
                <w:rFonts w:ascii="Times New Roman" w:hAnsi="Times New Roman"/>
                <w:b/>
                <w:noProof/>
                <w:color w:val="000000"/>
                <w:sz w:val="18"/>
              </w:rPr>
              <w:t xml:space="preserve">Poziom bazowy </w:t>
            </w:r>
          </w:p>
        </w:tc>
        <w:tc>
          <w:tcPr>
            <w:tcW w:w="1416" w:type="dxa"/>
            <w:shd w:val="clear" w:color="auto" w:fill="BDD7EE"/>
            <w:vAlign w:val="center"/>
          </w:tcPr>
          <w:p w14:paraId="524CDA80" w14:textId="0E39E486"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bCs/>
                <w:noProof/>
                <w:color w:val="000000" w:themeColor="text1"/>
                <w:sz w:val="18"/>
                <w:szCs w:val="18"/>
              </w:rPr>
            </w:pPr>
            <w:r w:rsidRPr="00A33B9F">
              <w:rPr>
                <w:rFonts w:ascii="Times New Roman" w:hAnsi="Times New Roman"/>
                <w:b/>
                <w:noProof/>
                <w:color w:val="000000"/>
                <w:sz w:val="18"/>
              </w:rPr>
              <w:t xml:space="preserve">Cel </w:t>
            </w:r>
          </w:p>
        </w:tc>
        <w:tc>
          <w:tcPr>
            <w:tcW w:w="992" w:type="dxa"/>
            <w:shd w:val="clear" w:color="auto" w:fill="BDD7EE"/>
            <w:vAlign w:val="center"/>
          </w:tcPr>
          <w:p w14:paraId="69674859" w14:textId="5C01C69A"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851" w:type="dxa"/>
            <w:shd w:val="clear" w:color="auto" w:fill="BDD7EE"/>
            <w:vAlign w:val="center"/>
          </w:tcPr>
          <w:p w14:paraId="49A964DC" w14:textId="5397BA66"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685" w:type="dxa"/>
            <w:vMerge/>
            <w:vAlign w:val="center"/>
          </w:tcPr>
          <w:p w14:paraId="3A4F7518" w14:textId="02EC98AA"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p>
        </w:tc>
      </w:tr>
      <w:tr w:rsidR="008C116B" w:rsidRPr="00A33B9F" w14:paraId="2FEBB4B5" w14:textId="77777777" w:rsidTr="4BF78996">
        <w:tc>
          <w:tcPr>
            <w:tcW w:w="655" w:type="dxa"/>
            <w:shd w:val="clear" w:color="auto" w:fill="C6EFCE"/>
          </w:tcPr>
          <w:p w14:paraId="5970A88E" w14:textId="300DE05E" w:rsidR="00C47F77" w:rsidRPr="00A33B9F" w:rsidRDefault="2046AA13" w:rsidP="6F625753">
            <w:pPr>
              <w:pStyle w:val="Normal0"/>
              <w:spacing w:after="0" w:line="240" w:lineRule="auto"/>
              <w:jc w:val="center"/>
              <w:rPr>
                <w:rFonts w:ascii="Times New Roman" w:hAnsi="Times New Roman" w:cs="Times New Roman"/>
                <w:noProof/>
                <w:sz w:val="18"/>
                <w:szCs w:val="18"/>
              </w:rPr>
            </w:pPr>
            <w:r w:rsidRPr="00A33B9F">
              <w:rPr>
                <w:rFonts w:ascii="Times New Roman" w:hAnsi="Times New Roman"/>
                <w:noProof/>
                <w:sz w:val="18"/>
              </w:rPr>
              <w:t>E1G</w:t>
            </w:r>
          </w:p>
        </w:tc>
        <w:tc>
          <w:tcPr>
            <w:tcW w:w="1280" w:type="dxa"/>
            <w:shd w:val="clear" w:color="auto" w:fill="C6EFCE"/>
          </w:tcPr>
          <w:p w14:paraId="74207730" w14:textId="77777777" w:rsidR="00C47F77" w:rsidRPr="00A33B9F" w:rsidRDefault="2046AA13"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E1.1 Wzrost wykorzystania transportu przyjaznego dla środowiska</w:t>
            </w:r>
          </w:p>
        </w:tc>
        <w:tc>
          <w:tcPr>
            <w:tcW w:w="1027" w:type="dxa"/>
            <w:shd w:val="clear" w:color="auto" w:fill="C6EFCE"/>
          </w:tcPr>
          <w:p w14:paraId="71803CD3" w14:textId="77777777" w:rsidR="00C47F77" w:rsidRPr="00A33B9F" w:rsidRDefault="2046AA13"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Kamień milowy</w:t>
            </w:r>
          </w:p>
        </w:tc>
        <w:tc>
          <w:tcPr>
            <w:tcW w:w="2029" w:type="dxa"/>
            <w:shd w:val="clear" w:color="auto" w:fill="C6EFCE"/>
          </w:tcPr>
          <w:p w14:paraId="0C76425A" w14:textId="25E941E3" w:rsidR="00C47F77" w:rsidRPr="00A33B9F" w:rsidRDefault="069D298D"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 wprowadzającej obowiązek zakupu tylko niskoemisyjnych</w:t>
            </w:r>
            <w:r w:rsidR="00A33B9F" w:rsidRPr="00A33B9F">
              <w:rPr>
                <w:rFonts w:ascii="Times New Roman" w:hAnsi="Times New Roman"/>
                <w:noProof/>
                <w:color w:val="000000" w:themeColor="text1"/>
                <w:sz w:val="18"/>
              </w:rPr>
              <w:t xml:space="preserve"> i zer</w:t>
            </w:r>
            <w:r w:rsidRPr="00A33B9F">
              <w:rPr>
                <w:rFonts w:ascii="Times New Roman" w:hAnsi="Times New Roman"/>
                <w:noProof/>
                <w:color w:val="000000" w:themeColor="text1"/>
                <w:sz w:val="18"/>
              </w:rPr>
              <w:t>oemisyjnych autobusów</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 powyżej 100 000 mieszkańców począwszy od</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p>
        </w:tc>
        <w:tc>
          <w:tcPr>
            <w:tcW w:w="1279" w:type="dxa"/>
            <w:shd w:val="clear" w:color="auto" w:fill="C6EFCE"/>
          </w:tcPr>
          <w:p w14:paraId="6661B5CF" w14:textId="57CA831A" w:rsidR="00C47F77" w:rsidRPr="00A33B9F" w:rsidRDefault="2300A274"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21" w:type="dxa"/>
            <w:shd w:val="clear" w:color="auto" w:fill="C6EFCE"/>
          </w:tcPr>
          <w:p w14:paraId="2DA5FC37" w14:textId="77777777" w:rsidR="00C47F77" w:rsidRPr="00A33B9F" w:rsidRDefault="2046AA13"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1016" w:type="dxa"/>
            <w:shd w:val="clear" w:color="auto" w:fill="C6EFCE"/>
          </w:tcPr>
          <w:p w14:paraId="43EC8E6B" w14:textId="77777777" w:rsidR="00C47F77" w:rsidRPr="00A33B9F" w:rsidRDefault="2046AA13"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1416" w:type="dxa"/>
            <w:shd w:val="clear" w:color="auto" w:fill="C6EFCE"/>
          </w:tcPr>
          <w:p w14:paraId="09BF9065" w14:textId="77777777" w:rsidR="00C47F77" w:rsidRPr="00A33B9F" w:rsidRDefault="2046AA13"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92" w:type="dxa"/>
            <w:shd w:val="clear" w:color="auto" w:fill="C6EFCE"/>
          </w:tcPr>
          <w:p w14:paraId="046AE39D" w14:textId="0458A474" w:rsidR="00C47F77" w:rsidRPr="00A33B9F" w:rsidRDefault="5662F470"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851" w:type="dxa"/>
            <w:shd w:val="clear" w:color="auto" w:fill="C6EFCE"/>
          </w:tcPr>
          <w:p w14:paraId="0B3299D8" w14:textId="77777777" w:rsidR="00C47F77" w:rsidRPr="00A33B9F" w:rsidRDefault="2046AA13"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2022</w:t>
            </w:r>
          </w:p>
        </w:tc>
        <w:tc>
          <w:tcPr>
            <w:tcW w:w="3685" w:type="dxa"/>
            <w:shd w:val="clear" w:color="auto" w:fill="C6EFCE"/>
          </w:tcPr>
          <w:p w14:paraId="4D754A46" w14:textId="3246DCD6" w:rsidR="00C47F77" w:rsidRPr="00A33B9F" w:rsidRDefault="78F32A0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 ustawie zostanie ustanowiony obowiązek dla prowadzonych przetargów, związany</w:t>
            </w:r>
            <w:r w:rsidR="00A33B9F" w:rsidRPr="00A33B9F">
              <w:rPr>
                <w:rFonts w:ascii="Times New Roman" w:hAnsi="Times New Roman"/>
                <w:noProof/>
                <w:color w:val="000000" w:themeColor="text1"/>
                <w:sz w:val="18"/>
              </w:rPr>
              <w:t xml:space="preserve"> z osi</w:t>
            </w:r>
            <w:r w:rsidRPr="00A33B9F">
              <w:rPr>
                <w:rFonts w:ascii="Times New Roman" w:hAnsi="Times New Roman"/>
                <w:noProof/>
                <w:color w:val="000000" w:themeColor="text1"/>
                <w:sz w:val="18"/>
              </w:rPr>
              <w:t>ągnięciem progu dotyczącego autobusów niskoemisyjnych</w:t>
            </w:r>
            <w:r w:rsidR="00A33B9F" w:rsidRPr="00A33B9F">
              <w:rPr>
                <w:rFonts w:ascii="Times New Roman" w:hAnsi="Times New Roman"/>
                <w:noProof/>
                <w:color w:val="000000" w:themeColor="text1"/>
                <w:sz w:val="18"/>
              </w:rPr>
              <w:t xml:space="preserve"> i zer</w:t>
            </w:r>
            <w:r w:rsidRPr="00A33B9F">
              <w:rPr>
                <w:rFonts w:ascii="Times New Roman" w:hAnsi="Times New Roman"/>
                <w:noProof/>
                <w:color w:val="000000" w:themeColor="text1"/>
                <w:sz w:val="18"/>
              </w:rPr>
              <w:t>oemisyjnych;</w:t>
            </w:r>
            <w:r w:rsidR="00A33B9F" w:rsidRPr="00A33B9F">
              <w:rPr>
                <w:rFonts w:ascii="Times New Roman" w:hAnsi="Times New Roman"/>
                <w:noProof/>
                <w:color w:val="000000" w:themeColor="text1"/>
                <w:sz w:val="18"/>
              </w:rPr>
              <w:t xml:space="preserve"> w okr</w:t>
            </w:r>
            <w:r w:rsidRPr="00A33B9F">
              <w:rPr>
                <w:rFonts w:ascii="Times New Roman" w:hAnsi="Times New Roman"/>
                <w:noProof/>
                <w:color w:val="000000" w:themeColor="text1"/>
                <w:sz w:val="18"/>
              </w:rPr>
              <w:t>eślonych przypadkach dopuszczalne będzie zamawianie tylko tego typu pojazdów. Na mocy ustawy miasta powyżej 100 000 mieszkańców zobowiązuje się też od</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do zawierania umów przewozu tylko</w:t>
            </w:r>
            <w:r w:rsidR="00A33B9F" w:rsidRPr="00A33B9F">
              <w:rPr>
                <w:rFonts w:ascii="Times New Roman" w:hAnsi="Times New Roman"/>
                <w:noProof/>
                <w:color w:val="000000" w:themeColor="text1"/>
                <w:sz w:val="18"/>
              </w:rPr>
              <w:t xml:space="preserve"> z pod</w:t>
            </w:r>
            <w:r w:rsidRPr="00A33B9F">
              <w:rPr>
                <w:rFonts w:ascii="Times New Roman" w:hAnsi="Times New Roman"/>
                <w:noProof/>
                <w:color w:val="000000" w:themeColor="text1"/>
                <w:sz w:val="18"/>
              </w:rPr>
              <w:t>miotami korzystającymi</w:t>
            </w:r>
            <w:r w:rsidR="00A33B9F" w:rsidRPr="00A33B9F">
              <w:rPr>
                <w:rFonts w:ascii="Times New Roman" w:hAnsi="Times New Roman"/>
                <w:noProof/>
                <w:color w:val="000000" w:themeColor="text1"/>
                <w:sz w:val="18"/>
              </w:rPr>
              <w:t xml:space="preserve"> z aut</w:t>
            </w:r>
            <w:r w:rsidRPr="00A33B9F">
              <w:rPr>
                <w:rFonts w:ascii="Times New Roman" w:hAnsi="Times New Roman"/>
                <w:noProof/>
                <w:color w:val="000000" w:themeColor="text1"/>
                <w:sz w:val="18"/>
              </w:rPr>
              <w:t>obusów zeroemisyjnych</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koemisyjnych (o napędzie elektrycznym</w:t>
            </w:r>
            <w:r w:rsidR="00A33B9F" w:rsidRPr="00A33B9F">
              <w:rPr>
                <w:rFonts w:ascii="Times New Roman" w:hAnsi="Times New Roman"/>
                <w:noProof/>
                <w:color w:val="000000" w:themeColor="text1"/>
                <w:sz w:val="18"/>
              </w:rPr>
              <w:t xml:space="preserve"> i wod</w:t>
            </w:r>
            <w:r w:rsidRPr="00A33B9F">
              <w:rPr>
                <w:rFonts w:ascii="Times New Roman" w:hAnsi="Times New Roman"/>
                <w:noProof/>
                <w:color w:val="000000" w:themeColor="text1"/>
                <w:sz w:val="18"/>
              </w:rPr>
              <w:t>orowym.)</w:t>
            </w:r>
          </w:p>
        </w:tc>
      </w:tr>
      <w:tr w:rsidR="008C116B" w:rsidRPr="00A33B9F" w14:paraId="301AE423" w14:textId="77777777" w:rsidTr="4BF78996">
        <w:tc>
          <w:tcPr>
            <w:tcW w:w="655" w:type="dxa"/>
            <w:shd w:val="clear" w:color="auto" w:fill="C6EFCE"/>
          </w:tcPr>
          <w:p w14:paraId="3A8D7CCB" w14:textId="636B49D8"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noProof/>
                <w:sz w:val="18"/>
              </w:rPr>
              <w:t>E2G</w:t>
            </w:r>
          </w:p>
        </w:tc>
        <w:tc>
          <w:tcPr>
            <w:tcW w:w="1280" w:type="dxa"/>
            <w:shd w:val="clear" w:color="auto" w:fill="C6EFCE"/>
          </w:tcPr>
          <w:p w14:paraId="53101CCD"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E1.1 Wzrost wykorzystania transportu przyjaznego dla środowiska</w:t>
            </w:r>
          </w:p>
        </w:tc>
        <w:tc>
          <w:tcPr>
            <w:tcW w:w="1027" w:type="dxa"/>
            <w:shd w:val="clear" w:color="auto" w:fill="C6EFCE"/>
          </w:tcPr>
          <w:p w14:paraId="5D4BBE0E"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029" w:type="dxa"/>
            <w:shd w:val="clear" w:color="auto" w:fill="C6EFCE"/>
          </w:tcPr>
          <w:p w14:paraId="06B0DDF8" w14:textId="3C50B5D6" w:rsidR="00C47F77" w:rsidRPr="00A33B9F" w:rsidRDefault="366DDB7A"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Działania wspierające rozwój planów zrównoważonej mobilności miejskiej (SUMP) oraz przyjęcie przez Ministerstwo Infrastruktury zachęt do ich wdrażania</w:t>
            </w:r>
            <w:r w:rsidR="00A33B9F" w:rsidRPr="00A33B9F">
              <w:rPr>
                <w:rFonts w:ascii="Times New Roman" w:hAnsi="Times New Roman"/>
                <w:noProof/>
                <w:color w:val="000000" w:themeColor="text1"/>
                <w:sz w:val="18"/>
              </w:rPr>
              <w:t xml:space="preserve"> z zap</w:t>
            </w:r>
            <w:r w:rsidRPr="00A33B9F">
              <w:rPr>
                <w:rFonts w:ascii="Times New Roman" w:hAnsi="Times New Roman"/>
                <w:noProof/>
                <w:color w:val="000000" w:themeColor="text1"/>
                <w:sz w:val="18"/>
              </w:rPr>
              <w:t>ewnieniem wsparcia technicznego</w:t>
            </w:r>
            <w:r w:rsidR="00A33B9F" w:rsidRPr="00A33B9F">
              <w:rPr>
                <w:rFonts w:ascii="Times New Roman" w:hAnsi="Times New Roman"/>
                <w:noProof/>
                <w:color w:val="000000" w:themeColor="text1"/>
                <w:sz w:val="18"/>
              </w:rPr>
              <w:t xml:space="preserve"> i fin</w:t>
            </w:r>
            <w:r w:rsidRPr="00A33B9F">
              <w:rPr>
                <w:rFonts w:ascii="Times New Roman" w:hAnsi="Times New Roman"/>
                <w:noProof/>
                <w:color w:val="000000" w:themeColor="text1"/>
                <w:sz w:val="18"/>
              </w:rPr>
              <w:t>ansowego dla wszystkich funkcjonalnych obszarów miejskich</w:t>
            </w:r>
          </w:p>
        </w:tc>
        <w:tc>
          <w:tcPr>
            <w:tcW w:w="1279" w:type="dxa"/>
            <w:shd w:val="clear" w:color="auto" w:fill="C6EFCE"/>
          </w:tcPr>
          <w:p w14:paraId="140229D3" w14:textId="407DB45C" w:rsidR="00C47F77" w:rsidRPr="00A33B9F" w:rsidRDefault="455ED2A3"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Przepis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21" w:type="dxa"/>
            <w:shd w:val="clear" w:color="auto" w:fill="C6EFCE"/>
          </w:tcPr>
          <w:p w14:paraId="6DD623CD"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016" w:type="dxa"/>
            <w:shd w:val="clear" w:color="auto" w:fill="C6EFCE"/>
          </w:tcPr>
          <w:p w14:paraId="7EBE26A0"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416" w:type="dxa"/>
            <w:shd w:val="clear" w:color="auto" w:fill="C6EFCE"/>
          </w:tcPr>
          <w:p w14:paraId="58821F00"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08601BD2"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 kw.</w:t>
            </w:r>
          </w:p>
        </w:tc>
        <w:tc>
          <w:tcPr>
            <w:tcW w:w="851" w:type="dxa"/>
            <w:shd w:val="clear" w:color="auto" w:fill="C6EFCE"/>
          </w:tcPr>
          <w:p w14:paraId="57AA7494"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2023</w:t>
            </w:r>
          </w:p>
        </w:tc>
        <w:tc>
          <w:tcPr>
            <w:tcW w:w="3685" w:type="dxa"/>
            <w:shd w:val="clear" w:color="auto" w:fill="C6EFCE"/>
          </w:tcPr>
          <w:p w14:paraId="6E4FDF8D" w14:textId="3D354AF9"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Wprowadzenie działań wspierających rozwój</w:t>
            </w:r>
            <w:r w:rsidR="00A33B9F" w:rsidRPr="00A33B9F">
              <w:rPr>
                <w:rFonts w:ascii="Times New Roman" w:hAnsi="Times New Roman"/>
                <w:noProof/>
                <w:color w:val="000000" w:themeColor="text1"/>
                <w:sz w:val="18"/>
              </w:rPr>
              <w:t xml:space="preserve"> i wdr</w:t>
            </w:r>
            <w:r w:rsidRPr="00A33B9F">
              <w:rPr>
                <w:rFonts w:ascii="Times New Roman" w:hAnsi="Times New Roman"/>
                <w:noProof/>
                <w:color w:val="000000" w:themeColor="text1"/>
                <w:sz w:val="18"/>
              </w:rPr>
              <w:t xml:space="preserve">ażanie planów zrównoważonej mobilności miejskiej (SUMP). </w:t>
            </w:r>
          </w:p>
          <w:p w14:paraId="06332424" w14:textId="1DD2C949" w:rsidR="00C47F77" w:rsidRPr="00A33B9F" w:rsidRDefault="00C47F77" w:rsidP="00F07CEA">
            <w:pPr>
              <w:pStyle w:val="Normal0"/>
              <w:pBdr>
                <w:top w:val="nil"/>
                <w:left w:val="nil"/>
                <w:bottom w:val="nil"/>
                <w:right w:val="nil"/>
                <w:between w:val="nil"/>
              </w:pBdr>
              <w:spacing w:after="120" w:line="240" w:lineRule="auto"/>
              <w:rPr>
                <w:rFonts w:ascii="Times New Roman" w:hAnsi="Times New Roman" w:cs="Times New Roman"/>
                <w:noProof/>
                <w:sz w:val="18"/>
                <w:szCs w:val="18"/>
              </w:rPr>
            </w:pPr>
            <w:r w:rsidRPr="00A33B9F">
              <w:rPr>
                <w:rFonts w:ascii="Times New Roman" w:hAnsi="Times New Roman"/>
                <w:noProof/>
                <w:color w:val="000000" w:themeColor="text1"/>
                <w:sz w:val="18"/>
              </w:rPr>
              <w:t>Działania te obejmują:</w:t>
            </w:r>
          </w:p>
          <w:p w14:paraId="05531A12" w14:textId="5275D8FC" w:rsidR="00C47F77" w:rsidRPr="00A33B9F" w:rsidRDefault="00C47F77" w:rsidP="00394B30">
            <w:pPr>
              <w:pStyle w:val="Normal0"/>
              <w:numPr>
                <w:ilvl w:val="0"/>
                <w:numId w:val="12"/>
              </w:numPr>
              <w:pBdr>
                <w:top w:val="nil"/>
                <w:left w:val="nil"/>
                <w:bottom w:val="nil"/>
                <w:right w:val="nil"/>
                <w:between w:val="nil"/>
              </w:pBdr>
              <w:spacing w:after="120" w:line="240" w:lineRule="auto"/>
              <w:ind w:left="357" w:hanging="357"/>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nową strukturę wsparcia</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wdrażania SUMP</w:t>
            </w:r>
            <w:r w:rsidR="00A33B9F" w:rsidRPr="00A33B9F">
              <w:rPr>
                <w:rFonts w:ascii="Times New Roman" w:hAnsi="Times New Roman"/>
                <w:noProof/>
                <w:color w:val="000000" w:themeColor="text1"/>
                <w:sz w:val="18"/>
              </w:rPr>
              <w:t xml:space="preserve"> w pos</w:t>
            </w:r>
            <w:r w:rsidRPr="00A33B9F">
              <w:rPr>
                <w:rFonts w:ascii="Times New Roman" w:hAnsi="Times New Roman"/>
                <w:noProof/>
                <w:color w:val="000000" w:themeColor="text1"/>
                <w:sz w:val="18"/>
              </w:rPr>
              <w:t>taci Komitetu Sterującego SUMP, którego zadaniem będzie stymulowanie opracowywania</w:t>
            </w:r>
            <w:r w:rsidR="00A33B9F" w:rsidRPr="00A33B9F">
              <w:rPr>
                <w:rFonts w:ascii="Times New Roman" w:hAnsi="Times New Roman"/>
                <w:noProof/>
                <w:color w:val="000000" w:themeColor="text1"/>
                <w:sz w:val="18"/>
              </w:rPr>
              <w:t xml:space="preserve"> i rea</w:t>
            </w:r>
            <w:r w:rsidRPr="00A33B9F">
              <w:rPr>
                <w:rFonts w:ascii="Times New Roman" w:hAnsi="Times New Roman"/>
                <w:noProof/>
                <w:color w:val="000000" w:themeColor="text1"/>
                <w:sz w:val="18"/>
              </w:rPr>
              <w:t xml:space="preserve">lizacji SUMP; </w:t>
            </w:r>
          </w:p>
          <w:p w14:paraId="5399DAF6" w14:textId="3769F88B" w:rsidR="00C47F77" w:rsidRPr="00A33B9F" w:rsidRDefault="00C47F77" w:rsidP="00394B30">
            <w:pPr>
              <w:pStyle w:val="Normal0"/>
              <w:numPr>
                <w:ilvl w:val="0"/>
                <w:numId w:val="12"/>
              </w:numPr>
              <w:pBdr>
                <w:top w:val="nil"/>
                <w:left w:val="nil"/>
                <w:bottom w:val="nil"/>
                <w:right w:val="nil"/>
                <w:between w:val="nil"/>
              </w:pBdr>
              <w:spacing w:after="120" w:line="240" w:lineRule="auto"/>
              <w:ind w:left="357" w:hanging="357"/>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centrum kompetencji SUMP</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Ministerstwa Infrastruktury, które zapewni wsparcie doradcze</w:t>
            </w:r>
            <w:r w:rsidR="00A33B9F" w:rsidRPr="00A33B9F">
              <w:rPr>
                <w:rFonts w:ascii="Times New Roman" w:hAnsi="Times New Roman"/>
                <w:noProof/>
                <w:color w:val="000000" w:themeColor="text1"/>
                <w:sz w:val="18"/>
              </w:rPr>
              <w:t xml:space="preserve"> i fin</w:t>
            </w:r>
            <w:r w:rsidRPr="00A33B9F">
              <w:rPr>
                <w:rFonts w:ascii="Times New Roman" w:hAnsi="Times New Roman"/>
                <w:noProof/>
                <w:color w:val="000000" w:themeColor="text1"/>
                <w:sz w:val="18"/>
              </w:rPr>
              <w:t xml:space="preserve">ansowe jednostkom samorządu terytorialnego; </w:t>
            </w:r>
          </w:p>
          <w:p w14:paraId="6EF33324" w14:textId="5D249258" w:rsidR="00C47F77" w:rsidRPr="00A33B9F" w:rsidRDefault="00C47F77" w:rsidP="00394B30">
            <w:pPr>
              <w:pStyle w:val="Normal0"/>
              <w:numPr>
                <w:ilvl w:val="0"/>
                <w:numId w:val="12"/>
              </w:numPr>
              <w:spacing w:after="120" w:line="240" w:lineRule="auto"/>
              <w:ind w:left="357" w:hanging="357"/>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powołanie pełnomocnika ds. SUMP</w:t>
            </w:r>
            <w:r w:rsidR="00A33B9F" w:rsidRPr="00A33B9F">
              <w:rPr>
                <w:rFonts w:ascii="Times New Roman" w:hAnsi="Times New Roman"/>
                <w:noProof/>
                <w:color w:val="000000" w:themeColor="text1"/>
                <w:sz w:val="18"/>
              </w:rPr>
              <w:t xml:space="preserve"> w Min</w:t>
            </w:r>
            <w:r w:rsidRPr="00A33B9F">
              <w:rPr>
                <w:rFonts w:ascii="Times New Roman" w:hAnsi="Times New Roman"/>
                <w:noProof/>
                <w:color w:val="000000" w:themeColor="text1"/>
                <w:sz w:val="18"/>
              </w:rPr>
              <w:t xml:space="preserve">isterstwie Infrastruktury. </w:t>
            </w:r>
          </w:p>
          <w:p w14:paraId="45046772" w14:textId="4EED3945"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Nowe ramy pozwolą na zapewnienie odpowiedniego wsparcia technicznego</w:t>
            </w:r>
            <w:r w:rsidR="00A33B9F" w:rsidRPr="00A33B9F">
              <w:rPr>
                <w:rFonts w:ascii="Times New Roman" w:hAnsi="Times New Roman"/>
                <w:noProof/>
                <w:color w:val="000000" w:themeColor="text1"/>
                <w:sz w:val="18"/>
              </w:rPr>
              <w:t xml:space="preserve"> i fin</w:t>
            </w:r>
            <w:r w:rsidRPr="00A33B9F">
              <w:rPr>
                <w:rFonts w:ascii="Times New Roman" w:hAnsi="Times New Roman"/>
                <w:noProof/>
                <w:color w:val="000000" w:themeColor="text1"/>
                <w:sz w:val="18"/>
              </w:rPr>
              <w:t>ansowego podmiotom zainteresowanym przygotowaniem SUMP oraz usprawnią działania podejmowane</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zakresie przez administrację centralną.</w:t>
            </w:r>
          </w:p>
        </w:tc>
      </w:tr>
      <w:tr w:rsidR="008C116B" w:rsidRPr="00A33B9F" w14:paraId="3A7B49F2" w14:textId="77777777" w:rsidTr="4BF78996">
        <w:tc>
          <w:tcPr>
            <w:tcW w:w="655" w:type="dxa"/>
            <w:shd w:val="clear" w:color="auto" w:fill="C6EFCE"/>
          </w:tcPr>
          <w:p w14:paraId="719026AC" w14:textId="1B5BCA9C"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E3G</w:t>
            </w:r>
          </w:p>
        </w:tc>
        <w:tc>
          <w:tcPr>
            <w:tcW w:w="1280" w:type="dxa"/>
            <w:shd w:val="clear" w:color="auto" w:fill="C6EFCE"/>
          </w:tcPr>
          <w:p w14:paraId="01F40B37"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E1.1 Wzrost wykorzystania transportu przyjaznego dla środowiska</w:t>
            </w:r>
          </w:p>
        </w:tc>
        <w:tc>
          <w:tcPr>
            <w:tcW w:w="1027" w:type="dxa"/>
            <w:shd w:val="clear" w:color="auto" w:fill="C6EFCE"/>
          </w:tcPr>
          <w:p w14:paraId="11D0FCF9"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Kamień milowy</w:t>
            </w:r>
          </w:p>
        </w:tc>
        <w:tc>
          <w:tcPr>
            <w:tcW w:w="2029" w:type="dxa"/>
            <w:shd w:val="clear" w:color="auto" w:fill="C6EFCE"/>
          </w:tcPr>
          <w:p w14:paraId="3768E220" w14:textId="7315B45D" w:rsidR="00C47F77" w:rsidRPr="00A33B9F" w:rsidRDefault="366DDB7A"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prawnego wprowadzającego opłatę rejestracyjną od posiadania pojazdów związanych</w:t>
            </w:r>
            <w:r w:rsidR="00A33B9F" w:rsidRPr="00A33B9F">
              <w:rPr>
                <w:rFonts w:ascii="Times New Roman" w:hAnsi="Times New Roman"/>
                <w:noProof/>
                <w:color w:val="000000" w:themeColor="text1"/>
                <w:sz w:val="18"/>
              </w:rPr>
              <w:t xml:space="preserve"> z emi</w:t>
            </w:r>
            <w:r w:rsidRPr="00A33B9F">
              <w:rPr>
                <w:rFonts w:ascii="Times New Roman" w:hAnsi="Times New Roman"/>
                <w:noProof/>
                <w:color w:val="000000" w:themeColor="text1"/>
                <w:sz w:val="18"/>
              </w:rPr>
              <w:t>sjami zgodne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adą „zanieczyszczający płaci”</w:t>
            </w:r>
          </w:p>
        </w:tc>
        <w:tc>
          <w:tcPr>
            <w:tcW w:w="1279" w:type="dxa"/>
            <w:shd w:val="clear" w:color="auto" w:fill="C6EFCE"/>
          </w:tcPr>
          <w:p w14:paraId="20B73554" w14:textId="0D2C80D6" w:rsidR="00C47F77" w:rsidRPr="00A33B9F" w:rsidRDefault="73B82D93"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21" w:type="dxa"/>
            <w:shd w:val="clear" w:color="auto" w:fill="C6EFCE"/>
          </w:tcPr>
          <w:p w14:paraId="42428921"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1016" w:type="dxa"/>
            <w:shd w:val="clear" w:color="auto" w:fill="C6EFCE"/>
          </w:tcPr>
          <w:p w14:paraId="07F3DC03"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1416" w:type="dxa"/>
            <w:shd w:val="clear" w:color="auto" w:fill="C6EFCE"/>
          </w:tcPr>
          <w:p w14:paraId="2AF4030D"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92" w:type="dxa"/>
            <w:shd w:val="clear" w:color="auto" w:fill="C6EFCE"/>
          </w:tcPr>
          <w:p w14:paraId="27D0EB88"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851" w:type="dxa"/>
            <w:shd w:val="clear" w:color="auto" w:fill="C6EFCE"/>
          </w:tcPr>
          <w:p w14:paraId="158CB8CB"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2024</w:t>
            </w:r>
          </w:p>
        </w:tc>
        <w:tc>
          <w:tcPr>
            <w:tcW w:w="3685" w:type="dxa"/>
            <w:shd w:val="clear" w:color="auto" w:fill="C6EFCE"/>
          </w:tcPr>
          <w:p w14:paraId="0074C99A" w14:textId="24F2A91D" w:rsidR="00C47F77" w:rsidRPr="00A33B9F" w:rsidRDefault="366DDB7A"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akcie prawnym wprowadzone zostaną środki finansowe</w:t>
            </w:r>
            <w:r w:rsidR="00A33B9F" w:rsidRPr="00A33B9F">
              <w:rPr>
                <w:rFonts w:ascii="Times New Roman" w:hAnsi="Times New Roman"/>
                <w:noProof/>
                <w:color w:val="000000" w:themeColor="text1"/>
                <w:sz w:val="18"/>
              </w:rPr>
              <w:t xml:space="preserve"> i fis</w:t>
            </w:r>
            <w:r w:rsidRPr="00A33B9F">
              <w:rPr>
                <w:rFonts w:ascii="Times New Roman" w:hAnsi="Times New Roman"/>
                <w:noProof/>
                <w:color w:val="000000" w:themeColor="text1"/>
                <w:sz w:val="18"/>
              </w:rPr>
              <w:t>kalne stymulujące popyt na czystsze pojazdy,</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wyższe opłaty rejestracyjne za pojazdy spalinowe, oraz środki wspierające dotyczące przyspieszonej amortyzacji pojazdów elektrycznych. Opłata zależy od emisji CO</w:t>
            </w:r>
            <w:r w:rsidRPr="00A33B9F">
              <w:rPr>
                <w:rFonts w:ascii="Times New Roman" w:hAnsi="Times New Roman"/>
                <w:noProof/>
                <w:color w:val="000000" w:themeColor="text1"/>
                <w:sz w:val="18"/>
                <w:vertAlign w:val="subscript"/>
              </w:rPr>
              <w:t>2</w:t>
            </w:r>
            <w:r w:rsidRPr="00A33B9F">
              <w:rPr>
                <w:rFonts w:ascii="Times New Roman" w:hAnsi="Times New Roman"/>
                <w:noProof/>
                <w:color w:val="000000" w:themeColor="text1"/>
                <w:sz w:val="18"/>
              </w:rPr>
              <w:t xml:space="preserve"> lub NO</w:t>
            </w:r>
            <w:r w:rsidRPr="00A33B9F">
              <w:rPr>
                <w:rFonts w:ascii="Times New Roman" w:hAnsi="Times New Roman"/>
                <w:noProof/>
                <w:color w:val="000000" w:themeColor="text1"/>
                <w:sz w:val="18"/>
                <w:vertAlign w:val="subscript"/>
              </w:rPr>
              <w:t>x</w:t>
            </w:r>
            <w:r w:rsidRPr="00A33B9F">
              <w:rPr>
                <w:rFonts w:ascii="Times New Roman" w:hAnsi="Times New Roman"/>
                <w:noProof/>
                <w:color w:val="000000" w:themeColor="text1"/>
                <w:sz w:val="18"/>
              </w:rPr>
              <w:t>. Dochody</w:t>
            </w:r>
            <w:r w:rsidR="00A33B9F" w:rsidRPr="00A33B9F">
              <w:rPr>
                <w:rFonts w:ascii="Times New Roman" w:hAnsi="Times New Roman"/>
                <w:noProof/>
                <w:color w:val="000000" w:themeColor="text1"/>
                <w:sz w:val="18"/>
              </w:rPr>
              <w:t xml:space="preserve"> z opł</w:t>
            </w:r>
            <w:r w:rsidRPr="00A33B9F">
              <w:rPr>
                <w:rFonts w:ascii="Times New Roman" w:hAnsi="Times New Roman"/>
                <w:noProof/>
                <w:color w:val="000000" w:themeColor="text1"/>
                <w:sz w:val="18"/>
              </w:rPr>
              <w:t>at zostaną przeznaczone na ograniczenie negatywnych efektów zewnętrznych transportu</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wój niskoemisyjnego transportu publicznego zarówno na obszarach miejskich, jak</w:t>
            </w:r>
            <w:r w:rsidR="00A33B9F" w:rsidRPr="00A33B9F">
              <w:rPr>
                <w:rFonts w:ascii="Times New Roman" w:hAnsi="Times New Roman"/>
                <w:noProof/>
                <w:color w:val="000000" w:themeColor="text1"/>
                <w:sz w:val="18"/>
              </w:rPr>
              <w:t xml:space="preserve"> i wie</w:t>
            </w:r>
            <w:r w:rsidRPr="00A33B9F">
              <w:rPr>
                <w:rFonts w:ascii="Times New Roman" w:hAnsi="Times New Roman"/>
                <w:noProof/>
                <w:color w:val="000000" w:themeColor="text1"/>
                <w:sz w:val="18"/>
              </w:rPr>
              <w:t xml:space="preserve">jskich. </w:t>
            </w:r>
          </w:p>
        </w:tc>
      </w:tr>
      <w:tr w:rsidR="008C116B" w:rsidRPr="00A33B9F" w14:paraId="118F0ABD" w14:textId="77777777" w:rsidTr="4BF78996">
        <w:trPr>
          <w:trHeight w:val="1430"/>
        </w:trPr>
        <w:tc>
          <w:tcPr>
            <w:tcW w:w="655" w:type="dxa"/>
            <w:shd w:val="clear" w:color="auto" w:fill="C6EFCE"/>
          </w:tcPr>
          <w:p w14:paraId="079D9DBF" w14:textId="2B787BFE" w:rsidR="00C47F77" w:rsidRPr="00A33B9F" w:rsidRDefault="00C47F77" w:rsidP="00C47F77">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E4G</w:t>
            </w:r>
          </w:p>
        </w:tc>
        <w:tc>
          <w:tcPr>
            <w:tcW w:w="1280" w:type="dxa"/>
            <w:shd w:val="clear" w:color="auto" w:fill="C6EFCE"/>
          </w:tcPr>
          <w:p w14:paraId="3C186A2B" w14:textId="77777777" w:rsidR="00C47F77" w:rsidRPr="00A33B9F" w:rsidRDefault="00C47F77" w:rsidP="00C47F77">
            <w:pPr>
              <w:pStyle w:val="Normal0"/>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E1.1 Wzrost wykorzystania transportu przyjaznego dla środowiska</w:t>
            </w:r>
          </w:p>
          <w:p w14:paraId="3FD9042A" w14:textId="77777777" w:rsidR="00C47F77" w:rsidRPr="00A33B9F"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1027" w:type="dxa"/>
            <w:shd w:val="clear" w:color="auto" w:fill="C6EFCE"/>
          </w:tcPr>
          <w:p w14:paraId="168773B0" w14:textId="77777777" w:rsidR="00C47F77" w:rsidRPr="00A33B9F" w:rsidRDefault="00C47F77" w:rsidP="00C47F77">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Kamień milowy</w:t>
            </w:r>
          </w:p>
        </w:tc>
        <w:tc>
          <w:tcPr>
            <w:tcW w:w="2029" w:type="dxa"/>
            <w:shd w:val="clear" w:color="auto" w:fill="C6EFCE"/>
          </w:tcPr>
          <w:p w14:paraId="79707620" w14:textId="34BDCD0C" w:rsidR="00C47F77" w:rsidRPr="00A33B9F" w:rsidRDefault="366DDB7A" w:rsidP="00C47F77">
            <w:pPr>
              <w:pStyle w:val="Normal0"/>
              <w:spacing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prawnego wprowadzającego podatek od posiadania pojazdów związanych</w:t>
            </w:r>
            <w:r w:rsidR="00A33B9F" w:rsidRPr="00A33B9F">
              <w:rPr>
                <w:rFonts w:ascii="Times New Roman" w:hAnsi="Times New Roman"/>
                <w:noProof/>
                <w:color w:val="000000" w:themeColor="text1"/>
                <w:sz w:val="18"/>
              </w:rPr>
              <w:t xml:space="preserve"> z emi</w:t>
            </w:r>
            <w:r w:rsidRPr="00A33B9F">
              <w:rPr>
                <w:rFonts w:ascii="Times New Roman" w:hAnsi="Times New Roman"/>
                <w:noProof/>
                <w:color w:val="000000" w:themeColor="text1"/>
                <w:sz w:val="18"/>
              </w:rPr>
              <w:t>sjami zgodne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adą „zanieczyszczający płaci”</w:t>
            </w:r>
          </w:p>
        </w:tc>
        <w:tc>
          <w:tcPr>
            <w:tcW w:w="1279" w:type="dxa"/>
            <w:shd w:val="clear" w:color="auto" w:fill="C6EFCE"/>
          </w:tcPr>
          <w:p w14:paraId="7E3E625C" w14:textId="46C84138" w:rsidR="00C47F77" w:rsidRPr="00A33B9F" w:rsidRDefault="73B82D93" w:rsidP="00C47F77">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21" w:type="dxa"/>
            <w:shd w:val="clear" w:color="auto" w:fill="C6EFCE"/>
          </w:tcPr>
          <w:p w14:paraId="052D4810" w14:textId="77777777" w:rsidR="00C47F77" w:rsidRPr="00A33B9F"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1016" w:type="dxa"/>
            <w:shd w:val="clear" w:color="auto" w:fill="C6EFCE"/>
          </w:tcPr>
          <w:p w14:paraId="62D3F89E" w14:textId="77777777" w:rsidR="00C47F77" w:rsidRPr="00A33B9F"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1416" w:type="dxa"/>
            <w:shd w:val="clear" w:color="auto" w:fill="C6EFCE"/>
          </w:tcPr>
          <w:p w14:paraId="2780AF0D" w14:textId="77777777" w:rsidR="00C47F77" w:rsidRPr="00A33B9F" w:rsidRDefault="00C47F77" w:rsidP="00C47F77">
            <w:pPr>
              <w:pStyle w:val="Normal0"/>
              <w:spacing w:line="240" w:lineRule="auto"/>
              <w:rPr>
                <w:rFonts w:ascii="Times New Roman" w:eastAsia="Times New Roman" w:hAnsi="Times New Roman" w:cs="Times New Roman"/>
                <w:noProof/>
                <w:color w:val="000000" w:themeColor="text1"/>
                <w:sz w:val="18"/>
                <w:szCs w:val="18"/>
              </w:rPr>
            </w:pPr>
          </w:p>
        </w:tc>
        <w:tc>
          <w:tcPr>
            <w:tcW w:w="992" w:type="dxa"/>
            <w:shd w:val="clear" w:color="auto" w:fill="C6EFCE"/>
          </w:tcPr>
          <w:p w14:paraId="24397BE4" w14:textId="77777777" w:rsidR="00C47F77" w:rsidRPr="00A33B9F" w:rsidRDefault="00C47F77" w:rsidP="00C47F77">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51" w:type="dxa"/>
            <w:shd w:val="clear" w:color="auto" w:fill="C6EFCE"/>
          </w:tcPr>
          <w:p w14:paraId="3DD47E7B" w14:textId="77777777" w:rsidR="00C47F77" w:rsidRPr="00A33B9F" w:rsidRDefault="00C47F77" w:rsidP="00C47F77">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2026</w:t>
            </w:r>
          </w:p>
        </w:tc>
        <w:tc>
          <w:tcPr>
            <w:tcW w:w="3685" w:type="dxa"/>
            <w:shd w:val="clear" w:color="auto" w:fill="C6EFCE"/>
          </w:tcPr>
          <w:p w14:paraId="46FC4A0D" w14:textId="4458912E" w:rsidR="00C47F77" w:rsidRPr="00A33B9F" w:rsidRDefault="00C47F77" w:rsidP="00F07CEA">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Wprowadzony zostanie podatek od posiadania pojazdów spalinowych, który jest skorelowany</w:t>
            </w:r>
            <w:r w:rsidR="00A33B9F" w:rsidRPr="00A33B9F">
              <w:rPr>
                <w:rFonts w:ascii="Times New Roman" w:hAnsi="Times New Roman"/>
                <w:noProof/>
                <w:color w:val="000000" w:themeColor="text1"/>
                <w:sz w:val="18"/>
              </w:rPr>
              <w:t xml:space="preserve"> z emi</w:t>
            </w:r>
            <w:r w:rsidRPr="00A33B9F">
              <w:rPr>
                <w:rFonts w:ascii="Times New Roman" w:hAnsi="Times New Roman"/>
                <w:noProof/>
                <w:color w:val="000000" w:themeColor="text1"/>
                <w:sz w:val="18"/>
              </w:rPr>
              <w:t>sjami CO</w:t>
            </w:r>
            <w:r w:rsidRPr="00A33B9F">
              <w:rPr>
                <w:rFonts w:ascii="Times New Roman" w:hAnsi="Times New Roman"/>
                <w:noProof/>
                <w:color w:val="000000" w:themeColor="text1"/>
                <w:sz w:val="18"/>
                <w:vertAlign w:val="subscript"/>
              </w:rPr>
              <w:t>2</w:t>
            </w:r>
            <w:r w:rsidRPr="00A33B9F">
              <w:rPr>
                <w:rFonts w:ascii="Times New Roman" w:hAnsi="Times New Roman"/>
                <w:noProof/>
                <w:color w:val="000000" w:themeColor="text1"/>
                <w:sz w:val="18"/>
              </w:rPr>
              <w:t xml:space="preserve"> i NO</w:t>
            </w:r>
            <w:r w:rsidRPr="00A33B9F">
              <w:rPr>
                <w:rFonts w:ascii="Times New Roman" w:hAnsi="Times New Roman"/>
                <w:noProof/>
                <w:color w:val="000000" w:themeColor="text1"/>
                <w:sz w:val="18"/>
                <w:vertAlign w:val="subscript"/>
              </w:rPr>
              <w:t>x</w:t>
            </w:r>
            <w:r w:rsidRPr="00A33B9F">
              <w:rPr>
                <w:rFonts w:ascii="Times New Roman" w:hAnsi="Times New Roman"/>
                <w:noProof/>
                <w:color w:val="000000" w:themeColor="text1"/>
                <w:sz w:val="18"/>
              </w:rPr>
              <w:t xml:space="preserve"> pojazdu. Dochód</w:t>
            </w:r>
            <w:r w:rsidR="00A33B9F" w:rsidRPr="00A33B9F">
              <w:rPr>
                <w:rFonts w:ascii="Times New Roman" w:hAnsi="Times New Roman"/>
                <w:noProof/>
                <w:color w:val="000000" w:themeColor="text1"/>
                <w:sz w:val="18"/>
              </w:rPr>
              <w:t xml:space="preserve"> z teg</w:t>
            </w:r>
            <w:r w:rsidRPr="00A33B9F">
              <w:rPr>
                <w:rFonts w:ascii="Times New Roman" w:hAnsi="Times New Roman"/>
                <w:noProof/>
                <w:color w:val="000000" w:themeColor="text1"/>
                <w:sz w:val="18"/>
              </w:rPr>
              <w:t>o podatku zostanie przeznaczony na ograniczenie negatywnych efektów zewnętrznych transportu</w:t>
            </w:r>
            <w:r w:rsidR="00A33B9F" w:rsidRPr="00A33B9F">
              <w:rPr>
                <w:rFonts w:ascii="Times New Roman" w:hAnsi="Times New Roman"/>
                <w:noProof/>
                <w:color w:val="000000" w:themeColor="text1"/>
                <w:sz w:val="18"/>
              </w:rPr>
              <w:t xml:space="preserve"> i roz</w:t>
            </w:r>
            <w:r w:rsidRPr="00A33B9F">
              <w:rPr>
                <w:rFonts w:ascii="Times New Roman" w:hAnsi="Times New Roman"/>
                <w:noProof/>
                <w:color w:val="000000" w:themeColor="text1"/>
                <w:sz w:val="18"/>
              </w:rPr>
              <w:t>wój niskoemisyjnego transportu publicznego zarówno na obszarach miejskich, jak</w:t>
            </w:r>
            <w:r w:rsidR="00A33B9F" w:rsidRPr="00A33B9F">
              <w:rPr>
                <w:rFonts w:ascii="Times New Roman" w:hAnsi="Times New Roman"/>
                <w:noProof/>
                <w:color w:val="000000" w:themeColor="text1"/>
                <w:sz w:val="18"/>
              </w:rPr>
              <w:t xml:space="preserve"> i wie</w:t>
            </w:r>
            <w:r w:rsidRPr="00A33B9F">
              <w:rPr>
                <w:rFonts w:ascii="Times New Roman" w:hAnsi="Times New Roman"/>
                <w:noProof/>
                <w:color w:val="000000" w:themeColor="text1"/>
                <w:sz w:val="18"/>
              </w:rPr>
              <w:t>jskich.</w:t>
            </w:r>
          </w:p>
        </w:tc>
      </w:tr>
      <w:tr w:rsidR="008C116B" w:rsidRPr="00A33B9F" w14:paraId="1436708A" w14:textId="77777777" w:rsidTr="4BF78996">
        <w:tc>
          <w:tcPr>
            <w:tcW w:w="655" w:type="dxa"/>
            <w:shd w:val="clear" w:color="auto" w:fill="C6EFCE"/>
          </w:tcPr>
          <w:p w14:paraId="735021F9" w14:textId="6471A22E"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E5G</w:t>
            </w:r>
          </w:p>
        </w:tc>
        <w:tc>
          <w:tcPr>
            <w:tcW w:w="1280" w:type="dxa"/>
            <w:shd w:val="clear" w:color="auto" w:fill="C6EFCE"/>
          </w:tcPr>
          <w:p w14:paraId="2CBFB1C4"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 Wzrost wykorzystania transportu przyjaznego dla środowiska</w:t>
            </w:r>
          </w:p>
        </w:tc>
        <w:tc>
          <w:tcPr>
            <w:tcW w:w="1027" w:type="dxa"/>
            <w:shd w:val="clear" w:color="auto" w:fill="C6EFCE"/>
          </w:tcPr>
          <w:p w14:paraId="50BB12E4"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334DF1F6" w14:textId="4D53E445"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Miasta,</w:t>
            </w:r>
            <w:r w:rsidR="00A33B9F" w:rsidRPr="00A33B9F">
              <w:rPr>
                <w:rFonts w:ascii="Times New Roman" w:hAnsi="Times New Roman"/>
                <w:noProof/>
                <w:color w:val="000000"/>
                <w:sz w:val="18"/>
              </w:rPr>
              <w:t xml:space="preserve"> w któ</w:t>
            </w:r>
            <w:r w:rsidRPr="00A33B9F">
              <w:rPr>
                <w:rFonts w:ascii="Times New Roman" w:hAnsi="Times New Roman"/>
                <w:noProof/>
                <w:color w:val="000000"/>
                <w:sz w:val="18"/>
              </w:rPr>
              <w:t>rych przyjęto nowe SUMP</w:t>
            </w:r>
          </w:p>
        </w:tc>
        <w:tc>
          <w:tcPr>
            <w:tcW w:w="1279" w:type="dxa"/>
            <w:shd w:val="clear" w:color="auto" w:fill="C6EFCE"/>
          </w:tcPr>
          <w:p w14:paraId="2BCF74AB"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51D37CAC"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5589E8F7"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2E98577D"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30</w:t>
            </w:r>
          </w:p>
        </w:tc>
        <w:tc>
          <w:tcPr>
            <w:tcW w:w="992" w:type="dxa"/>
            <w:shd w:val="clear" w:color="auto" w:fill="C6EFCE"/>
          </w:tcPr>
          <w:p w14:paraId="26F42D03"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55C1A902"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685" w:type="dxa"/>
            <w:shd w:val="clear" w:color="auto" w:fill="C6EFCE"/>
          </w:tcPr>
          <w:p w14:paraId="4BDAD4AD" w14:textId="4FF5BD33"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Ilościowa wartość docelowa odnosi się do liczby miast, które przyjmą nowy SUMP zgodnie</w:t>
            </w:r>
            <w:r w:rsidR="00A33B9F" w:rsidRPr="00A33B9F">
              <w:rPr>
                <w:rFonts w:ascii="Times New Roman" w:hAnsi="Times New Roman"/>
                <w:noProof/>
                <w:color w:val="000000" w:themeColor="text1"/>
                <w:sz w:val="18"/>
              </w:rPr>
              <w:t xml:space="preserve"> z kon</w:t>
            </w:r>
            <w:r w:rsidRPr="00A33B9F">
              <w:rPr>
                <w:rFonts w:ascii="Times New Roman" w:hAnsi="Times New Roman"/>
                <w:noProof/>
                <w:color w:val="000000" w:themeColor="text1"/>
                <w:sz w:val="18"/>
              </w:rPr>
              <w:t>cepcją SUMP zawartą</w:t>
            </w:r>
            <w:r w:rsidR="00A33B9F" w:rsidRPr="00A33B9F">
              <w:rPr>
                <w:rFonts w:ascii="Times New Roman" w:hAnsi="Times New Roman"/>
                <w:noProof/>
                <w:color w:val="000000" w:themeColor="text1"/>
                <w:sz w:val="18"/>
              </w:rPr>
              <w:t xml:space="preserve"> w kom</w:t>
            </w:r>
            <w:r w:rsidRPr="00A33B9F">
              <w:rPr>
                <w:rFonts w:ascii="Times New Roman" w:hAnsi="Times New Roman"/>
                <w:noProof/>
                <w:color w:val="000000" w:themeColor="text1"/>
                <w:sz w:val="18"/>
              </w:rPr>
              <w:t>unikacie</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nowych unijnych ram mobilności miejskiej</w:t>
            </w:r>
            <w:r w:rsidR="00A33B9F" w:rsidRPr="00A33B9F">
              <w:rPr>
                <w:rFonts w:ascii="Times New Roman" w:hAnsi="Times New Roman"/>
                <w:noProof/>
                <w:color w:val="000000" w:themeColor="text1"/>
                <w:sz w:val="18"/>
              </w:rPr>
              <w:t xml:space="preserve"> z 2</w:t>
            </w:r>
            <w:r w:rsidRPr="00A33B9F">
              <w:rPr>
                <w:rFonts w:ascii="Times New Roman" w:hAnsi="Times New Roman"/>
                <w:noProof/>
                <w:color w:val="000000" w:themeColor="text1"/>
                <w:sz w:val="18"/>
              </w:rPr>
              <w:t>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xml:space="preserve">r. </w:t>
            </w:r>
          </w:p>
        </w:tc>
      </w:tr>
      <w:tr w:rsidR="008C116B" w:rsidRPr="00A33B9F" w14:paraId="20C80965" w14:textId="77777777" w:rsidTr="4BF78996">
        <w:tc>
          <w:tcPr>
            <w:tcW w:w="655" w:type="dxa"/>
            <w:shd w:val="clear" w:color="auto" w:fill="C6EFCE"/>
          </w:tcPr>
          <w:p w14:paraId="4E8DAD35" w14:textId="74A8DDE0"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E6G</w:t>
            </w:r>
          </w:p>
        </w:tc>
        <w:tc>
          <w:tcPr>
            <w:tcW w:w="1280" w:type="dxa"/>
            <w:shd w:val="clear" w:color="auto" w:fill="C6EFCE"/>
          </w:tcPr>
          <w:p w14:paraId="03BABFF0"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 Wzrost wykorzystania transportu przyjaznego dla środowiska</w:t>
            </w:r>
          </w:p>
        </w:tc>
        <w:tc>
          <w:tcPr>
            <w:tcW w:w="1027" w:type="dxa"/>
            <w:shd w:val="clear" w:color="auto" w:fill="C6EFCE"/>
          </w:tcPr>
          <w:p w14:paraId="1DF7FC32"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6311C8BC" w14:textId="1557152F"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Linie autobusowe wspierane</w:t>
            </w:r>
            <w:r w:rsidR="00A33B9F" w:rsidRPr="00A33B9F">
              <w:rPr>
                <w:rFonts w:ascii="Times New Roman" w:hAnsi="Times New Roman"/>
                <w:noProof/>
                <w:color w:val="000000"/>
                <w:sz w:val="18"/>
              </w:rPr>
              <w:t xml:space="preserve"> z Fun</w:t>
            </w:r>
            <w:r w:rsidRPr="00A33B9F">
              <w:rPr>
                <w:rFonts w:ascii="Times New Roman" w:hAnsi="Times New Roman"/>
                <w:noProof/>
                <w:color w:val="000000"/>
                <w:sz w:val="18"/>
              </w:rPr>
              <w:t>duszu rozwoju przewozów autobusowych</w:t>
            </w:r>
            <w:r w:rsidR="00A33B9F" w:rsidRPr="00A33B9F">
              <w:rPr>
                <w:rFonts w:ascii="Times New Roman" w:hAnsi="Times New Roman"/>
                <w:noProof/>
                <w:color w:val="000000"/>
                <w:sz w:val="18"/>
              </w:rPr>
              <w:t xml:space="preserve"> o cha</w:t>
            </w:r>
            <w:r w:rsidRPr="00A33B9F">
              <w:rPr>
                <w:rFonts w:ascii="Times New Roman" w:hAnsi="Times New Roman"/>
                <w:noProof/>
                <w:color w:val="000000"/>
                <w:sz w:val="18"/>
              </w:rPr>
              <w:t>rakterze użyteczności publicznej</w:t>
            </w:r>
          </w:p>
        </w:tc>
        <w:tc>
          <w:tcPr>
            <w:tcW w:w="1279" w:type="dxa"/>
            <w:shd w:val="clear" w:color="auto" w:fill="C6EFCE"/>
          </w:tcPr>
          <w:p w14:paraId="57BA78F1"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799A0606"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2B7B82DE"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6D59599C" w14:textId="7BACF71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4 500</w:t>
            </w:r>
          </w:p>
        </w:tc>
        <w:tc>
          <w:tcPr>
            <w:tcW w:w="992" w:type="dxa"/>
            <w:shd w:val="clear" w:color="auto" w:fill="C6EFCE"/>
          </w:tcPr>
          <w:p w14:paraId="71E3E68E"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1" w:type="dxa"/>
            <w:shd w:val="clear" w:color="auto" w:fill="C6EFCE"/>
          </w:tcPr>
          <w:p w14:paraId="28FC7A3A"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3685" w:type="dxa"/>
            <w:shd w:val="clear" w:color="auto" w:fill="C6EFCE"/>
          </w:tcPr>
          <w:p w14:paraId="224FD06B" w14:textId="1CE7871D" w:rsidR="00C47F77" w:rsidRPr="00A33B9F" w:rsidRDefault="16934E7B"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Wartość docelowa odnosi się do liczby linii autobusowych wspieranych</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duszu rozwoju przewozów autobusowych</w:t>
            </w:r>
            <w:r w:rsidR="00A33B9F" w:rsidRPr="00A33B9F">
              <w:rPr>
                <w:rFonts w:ascii="Times New Roman" w:hAnsi="Times New Roman"/>
                <w:noProof/>
                <w:color w:val="000000" w:themeColor="text1"/>
                <w:sz w:val="18"/>
              </w:rPr>
              <w:t xml:space="preserve"> o cha</w:t>
            </w:r>
            <w:r w:rsidRPr="00A33B9F">
              <w:rPr>
                <w:rFonts w:ascii="Times New Roman" w:hAnsi="Times New Roman"/>
                <w:noProof/>
                <w:color w:val="000000" w:themeColor="text1"/>
                <w:sz w:val="18"/>
              </w:rPr>
              <w:t>rakterze użyteczności publicznej</w:t>
            </w:r>
            <w:r w:rsidR="00A33B9F" w:rsidRPr="00A33B9F">
              <w:rPr>
                <w:rFonts w:ascii="Times New Roman" w:hAnsi="Times New Roman"/>
                <w:noProof/>
                <w:color w:val="000000" w:themeColor="text1"/>
                <w:sz w:val="18"/>
              </w:rPr>
              <w:t>. W ram</w:t>
            </w:r>
            <w:r w:rsidRPr="00A33B9F">
              <w:rPr>
                <w:rFonts w:ascii="Times New Roman" w:hAnsi="Times New Roman"/>
                <w:noProof/>
                <w:color w:val="000000" w:themeColor="text1"/>
                <w:sz w:val="18"/>
              </w:rPr>
              <w:t>ach funduszu wspiera się transport publiczny, który przyczynia się do ograniczenia transportu indywidualnego,</w:t>
            </w:r>
            <w:r w:rsidR="00A33B9F" w:rsidRPr="00A33B9F">
              <w:rPr>
                <w:rFonts w:ascii="Times New Roman" w:hAnsi="Times New Roman"/>
                <w:noProof/>
                <w:color w:val="000000" w:themeColor="text1"/>
                <w:sz w:val="18"/>
              </w:rPr>
              <w:t xml:space="preserve"> a tym</w:t>
            </w:r>
            <w:r w:rsidRPr="00A33B9F">
              <w:rPr>
                <w:rFonts w:ascii="Times New Roman" w:hAnsi="Times New Roman"/>
                <w:noProof/>
                <w:color w:val="000000" w:themeColor="text1"/>
                <w:sz w:val="18"/>
              </w:rPr>
              <w:t xml:space="preserve"> samym zmniejszenia negatywnego wpływu transportu na środowisko. Jednocześnie</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zaproszenia do składania wniosków</w:t>
            </w:r>
            <w:r w:rsidR="00A33B9F" w:rsidRPr="00A33B9F">
              <w:rPr>
                <w:rFonts w:ascii="Times New Roman" w:hAnsi="Times New Roman"/>
                <w:noProof/>
                <w:color w:val="000000" w:themeColor="text1"/>
                <w:sz w:val="18"/>
              </w:rPr>
              <w:t xml:space="preserve"> w czę</w:t>
            </w:r>
            <w:r w:rsidRPr="00A33B9F">
              <w:rPr>
                <w:rFonts w:ascii="Times New Roman" w:hAnsi="Times New Roman"/>
                <w:noProof/>
                <w:color w:val="000000" w:themeColor="text1"/>
                <w:sz w:val="18"/>
              </w:rPr>
              <w:t>ści inwestycyjnej zaproszenie do składania wniosków będzie prowadzone</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autobusów zeroemisyjnych</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koemisyjnych zgodnie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adą „nie czyń poważnych szkód”.</w:t>
            </w:r>
          </w:p>
        </w:tc>
      </w:tr>
      <w:tr w:rsidR="008C116B" w:rsidRPr="00A33B9F" w14:paraId="687168AA" w14:textId="77777777" w:rsidTr="4BF78996">
        <w:tc>
          <w:tcPr>
            <w:tcW w:w="655" w:type="dxa"/>
            <w:shd w:val="clear" w:color="auto" w:fill="C6EFCE"/>
          </w:tcPr>
          <w:p w14:paraId="5803CAFC" w14:textId="0D54C96C"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E7G</w:t>
            </w:r>
          </w:p>
        </w:tc>
        <w:tc>
          <w:tcPr>
            <w:tcW w:w="1280" w:type="dxa"/>
            <w:shd w:val="clear" w:color="auto" w:fill="C6EFCE"/>
          </w:tcPr>
          <w:p w14:paraId="30A3253B"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 Wzrost wykorzystania transportu przyjaznego dla środowiska</w:t>
            </w:r>
          </w:p>
        </w:tc>
        <w:tc>
          <w:tcPr>
            <w:tcW w:w="1027" w:type="dxa"/>
            <w:shd w:val="clear" w:color="auto" w:fill="C6EFCE"/>
          </w:tcPr>
          <w:p w14:paraId="36745092"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6CFC3D1D"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Nowe pojazdy zeroemisyjne</w:t>
            </w:r>
          </w:p>
        </w:tc>
        <w:tc>
          <w:tcPr>
            <w:tcW w:w="1279" w:type="dxa"/>
            <w:shd w:val="clear" w:color="auto" w:fill="C6EFCE"/>
          </w:tcPr>
          <w:p w14:paraId="723D716D"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173F8A4C"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(procent)</w:t>
            </w:r>
          </w:p>
        </w:tc>
        <w:tc>
          <w:tcPr>
            <w:tcW w:w="1016" w:type="dxa"/>
            <w:shd w:val="clear" w:color="auto" w:fill="C6EFCE"/>
          </w:tcPr>
          <w:p w14:paraId="05AF4EEF"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60525613"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100</w:t>
            </w:r>
          </w:p>
        </w:tc>
        <w:tc>
          <w:tcPr>
            <w:tcW w:w="992" w:type="dxa"/>
            <w:shd w:val="clear" w:color="auto" w:fill="C6EFCE"/>
          </w:tcPr>
          <w:p w14:paraId="051C146A"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51B05968"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017E8E55" w14:textId="54352716"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Celem jest zwiększenie udziału nowych pojazdów zeroemisyjnych na rynku (samochody/autobusy</w:t>
            </w:r>
            <w:r w:rsidR="00A33B9F" w:rsidRPr="00A33B9F">
              <w:rPr>
                <w:rFonts w:ascii="Times New Roman" w:hAnsi="Times New Roman"/>
                <w:noProof/>
                <w:color w:val="000000" w:themeColor="text1"/>
                <w:sz w:val="18"/>
              </w:rPr>
              <w:t xml:space="preserve"> i poj</w:t>
            </w:r>
            <w:r w:rsidRPr="00A33B9F">
              <w:rPr>
                <w:rFonts w:ascii="Times New Roman" w:hAnsi="Times New Roman"/>
                <w:noProof/>
                <w:color w:val="000000" w:themeColor="text1"/>
                <w:sz w:val="18"/>
              </w:rPr>
              <w:t>azdy ciężkie) o co najmniej 100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p>
          <w:p w14:paraId="65B11663" w14:textId="03046AE4" w:rsidR="00E94669" w:rsidRPr="00A33B9F" w:rsidRDefault="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Na koniec 2020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liczba zarejestrowanych</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 xml:space="preserve">sce pojazdów elektrycznych wynosiła 10 041. </w:t>
            </w:r>
          </w:p>
          <w:p w14:paraId="2C4A422A" w14:textId="3275A645"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Przy powyższym założeniu liczba pojazdów elektrycznych na koniec II kw.</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2026</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powinna wynosić co najmniej 20 082.</w:t>
            </w:r>
          </w:p>
        </w:tc>
      </w:tr>
      <w:tr w:rsidR="008C116B" w:rsidRPr="00A33B9F" w14:paraId="49ABCA20" w14:textId="77777777" w:rsidTr="4BF78996">
        <w:tc>
          <w:tcPr>
            <w:tcW w:w="655" w:type="dxa"/>
            <w:shd w:val="clear" w:color="auto" w:fill="C6EFCE"/>
          </w:tcPr>
          <w:p w14:paraId="61407E9D" w14:textId="08BFEF35"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E8G</w:t>
            </w:r>
          </w:p>
        </w:tc>
        <w:tc>
          <w:tcPr>
            <w:tcW w:w="1280" w:type="dxa"/>
            <w:shd w:val="clear" w:color="auto" w:fill="C6EFCE"/>
          </w:tcPr>
          <w:p w14:paraId="4D07DE7C"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E1.1.1 Wsparcie dla gospodarki niskoemisyjnej</w:t>
            </w:r>
          </w:p>
        </w:tc>
        <w:tc>
          <w:tcPr>
            <w:tcW w:w="1027" w:type="dxa"/>
            <w:shd w:val="clear" w:color="auto" w:fill="C6EFCE"/>
          </w:tcPr>
          <w:p w14:paraId="0E6D5DE3"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029" w:type="dxa"/>
            <w:shd w:val="clear" w:color="auto" w:fill="C6EFCE"/>
          </w:tcPr>
          <w:p w14:paraId="50CAAB55" w14:textId="045612E4"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Ustanowienie instrumentu finansowego (Fundusz) na rzecz mobilności zeroemisyjnej/niskoemisyjnej</w:t>
            </w:r>
            <w:r w:rsidR="00A33B9F" w:rsidRPr="00A33B9F">
              <w:rPr>
                <w:rFonts w:ascii="Times New Roman" w:hAnsi="Times New Roman"/>
                <w:noProof/>
                <w:color w:val="000000" w:themeColor="text1"/>
                <w:sz w:val="18"/>
              </w:rPr>
              <w:t xml:space="preserve"> i ene</w:t>
            </w:r>
            <w:r w:rsidRPr="00A33B9F">
              <w:rPr>
                <w:rFonts w:ascii="Times New Roman" w:hAnsi="Times New Roman"/>
                <w:noProof/>
                <w:color w:val="000000" w:themeColor="text1"/>
                <w:sz w:val="18"/>
              </w:rPr>
              <w:t>rgii</w:t>
            </w:r>
          </w:p>
        </w:tc>
        <w:tc>
          <w:tcPr>
            <w:tcW w:w="1279" w:type="dxa"/>
            <w:shd w:val="clear" w:color="auto" w:fill="C6EFCE"/>
          </w:tcPr>
          <w:p w14:paraId="703438A4" w14:textId="6E5C021D"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Przyjęcie</w:t>
            </w:r>
            <w:r w:rsidR="00A33B9F" w:rsidRPr="00A33B9F">
              <w:rPr>
                <w:rFonts w:ascii="Times New Roman" w:hAnsi="Times New Roman"/>
                <w:noProof/>
                <w:color w:val="000000" w:themeColor="text1"/>
                <w:sz w:val="18"/>
              </w:rPr>
              <w:t xml:space="preserve"> i rej</w:t>
            </w:r>
            <w:r w:rsidRPr="00A33B9F">
              <w:rPr>
                <w:rFonts w:ascii="Times New Roman" w:hAnsi="Times New Roman"/>
                <w:noProof/>
                <w:color w:val="000000" w:themeColor="text1"/>
                <w:sz w:val="18"/>
              </w:rPr>
              <w:t>estracja Funduszu, zatwierdzenie strategii inwestycyjnej przez instytucje zarządzające Funduszem</w:t>
            </w:r>
          </w:p>
        </w:tc>
        <w:tc>
          <w:tcPr>
            <w:tcW w:w="1221" w:type="dxa"/>
            <w:shd w:val="clear" w:color="auto" w:fill="C6EFCE"/>
          </w:tcPr>
          <w:p w14:paraId="7CB19870"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016" w:type="dxa"/>
            <w:shd w:val="clear" w:color="auto" w:fill="C6EFCE"/>
          </w:tcPr>
          <w:p w14:paraId="33215A22"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416" w:type="dxa"/>
            <w:shd w:val="clear" w:color="auto" w:fill="C6EFCE"/>
          </w:tcPr>
          <w:p w14:paraId="4542BD0F"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3A8966E0" w14:textId="64C2FCF9"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851" w:type="dxa"/>
            <w:shd w:val="clear" w:color="auto" w:fill="C6EFCE"/>
          </w:tcPr>
          <w:p w14:paraId="0054E802" w14:textId="276FD518"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2022</w:t>
            </w:r>
          </w:p>
        </w:tc>
        <w:tc>
          <w:tcPr>
            <w:tcW w:w="3685" w:type="dxa"/>
            <w:shd w:val="clear" w:color="auto" w:fill="C6EFCE"/>
          </w:tcPr>
          <w:p w14:paraId="01366D99" w14:textId="467F20AD" w:rsidR="00C47F77" w:rsidRPr="00A33B9F" w:rsidRDefault="1B798171" w:rsidP="00F07CEA">
            <w:pPr>
              <w:spacing w:after="0" w:line="240" w:lineRule="auto"/>
              <w:rPr>
                <w:noProof/>
                <w:sz w:val="18"/>
                <w:szCs w:val="18"/>
              </w:rPr>
            </w:pPr>
            <w:r w:rsidRPr="00A33B9F">
              <w:rPr>
                <w:rFonts w:ascii="Times New Roman" w:hAnsi="Times New Roman"/>
                <w:noProof/>
                <w:color w:val="000000" w:themeColor="text1"/>
                <w:sz w:val="18"/>
              </w:rPr>
              <w:t>Ustanowienie instrumentu finansowego („Fundusz”) na rzecz wsparcia gospodarki niskoemisyjnej</w:t>
            </w:r>
            <w:r w:rsidR="00A33B9F" w:rsidRPr="00A33B9F">
              <w:rPr>
                <w:rFonts w:ascii="Times New Roman" w:hAnsi="Times New Roman"/>
                <w:noProof/>
                <w:color w:val="000000" w:themeColor="text1"/>
                <w:sz w:val="18"/>
              </w:rPr>
              <w:t xml:space="preserve"> w Pol</w:t>
            </w:r>
            <w:r w:rsidRPr="00A33B9F">
              <w:rPr>
                <w:rFonts w:ascii="Times New Roman" w:hAnsi="Times New Roman"/>
                <w:noProof/>
                <w:color w:val="000000" w:themeColor="text1"/>
                <w:sz w:val="18"/>
              </w:rPr>
              <w:t>sce,</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związanej</w:t>
            </w:r>
            <w:r w:rsidR="00A33B9F" w:rsidRPr="00A33B9F">
              <w:rPr>
                <w:rFonts w:ascii="Times New Roman" w:hAnsi="Times New Roman"/>
                <w:noProof/>
                <w:color w:val="000000" w:themeColor="text1"/>
                <w:sz w:val="18"/>
              </w:rPr>
              <w:t xml:space="preserve"> z nim</w:t>
            </w:r>
            <w:r w:rsidRPr="00A33B9F">
              <w:rPr>
                <w:rFonts w:ascii="Times New Roman" w:hAnsi="Times New Roman"/>
                <w:noProof/>
                <w:color w:val="000000" w:themeColor="text1"/>
                <w:sz w:val="18"/>
              </w:rPr>
              <w:t xml:space="preserve"> strategii/polityki inwestycyjnej. Ta ostatnia zostanie przyjęta przez instytucje zarządzające Funduszem, będzie zgodna</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Komisji</w:t>
            </w:r>
            <w:r w:rsidR="00A33B9F" w:rsidRPr="00A33B9F">
              <w:rPr>
                <w:rFonts w:ascii="Times New Roman" w:hAnsi="Times New Roman"/>
                <w:noProof/>
                <w:color w:val="000000" w:themeColor="text1"/>
                <w:sz w:val="18"/>
              </w:rPr>
              <w:t xml:space="preserve"> z dni</w:t>
            </w:r>
            <w:r w:rsidRPr="00A33B9F">
              <w:rPr>
                <w:rFonts w:ascii="Times New Roman" w:hAnsi="Times New Roman"/>
                <w:noProof/>
                <w:color w:val="000000" w:themeColor="text1"/>
                <w:sz w:val="18"/>
              </w:rPr>
              <w:t>a 22 stycznia 2021</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dotyczącymi instrumentów finansowych</w:t>
            </w:r>
            <w:r w:rsidR="00A33B9F" w:rsidRPr="00A33B9F">
              <w:rPr>
                <w:rFonts w:ascii="Times New Roman" w:hAnsi="Times New Roman"/>
                <w:noProof/>
                <w:color w:val="000000" w:themeColor="text1"/>
                <w:sz w:val="18"/>
              </w:rPr>
              <w:t xml:space="preserve"> i zaw</w:t>
            </w:r>
            <w:r w:rsidRPr="00A33B9F">
              <w:rPr>
                <w:rFonts w:ascii="Times New Roman" w:hAnsi="Times New Roman"/>
                <w:noProof/>
                <w:color w:val="000000" w:themeColor="text1"/>
                <w:sz w:val="18"/>
              </w:rPr>
              <w:t>ierającymi kryteria kwalifikacji</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zgodności</w:t>
            </w:r>
            <w:r w:rsidR="00A33B9F" w:rsidRPr="00A33B9F">
              <w:rPr>
                <w:rFonts w:ascii="Times New Roman" w:hAnsi="Times New Roman"/>
                <w:noProof/>
                <w:color w:val="000000" w:themeColor="text1"/>
                <w:sz w:val="18"/>
              </w:rPr>
              <w:t xml:space="preserve"> z wyt</w:t>
            </w:r>
            <w:r w:rsidRPr="00A33B9F">
              <w:rPr>
                <w:rFonts w:ascii="Times New Roman" w:hAnsi="Times New Roman"/>
                <w:noProof/>
                <w:color w:val="000000" w:themeColor="text1"/>
                <w:sz w:val="18"/>
              </w:rPr>
              <w:t>ycznymi technicznymi dotyczącymi stosowania zasady „nie czyń poważnych szkód” (2021/C 58/01)</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transakcji objętych wsparciem</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tego działania poprzez zastosowanie kontroli zrównoważonego charakteru projektów, wykazu wyłączeń oraz wymogu zgodności</w:t>
            </w:r>
            <w:r w:rsidR="00A33B9F" w:rsidRPr="00A33B9F">
              <w:rPr>
                <w:rFonts w:ascii="Times New Roman" w:hAnsi="Times New Roman"/>
                <w:noProof/>
                <w:color w:val="000000" w:themeColor="text1"/>
                <w:sz w:val="18"/>
              </w:rPr>
              <w:t xml:space="preserve"> z odp</w:t>
            </w:r>
            <w:r w:rsidRPr="00A33B9F">
              <w:rPr>
                <w:rFonts w:ascii="Times New Roman" w:hAnsi="Times New Roman"/>
                <w:noProof/>
                <w:color w:val="000000" w:themeColor="text1"/>
                <w:sz w:val="18"/>
              </w:rPr>
              <w:t>owiednimi unijnymi</w:t>
            </w:r>
            <w:r w:rsidR="00A33B9F" w:rsidRPr="00A33B9F">
              <w:rPr>
                <w:rFonts w:ascii="Times New Roman" w:hAnsi="Times New Roman"/>
                <w:noProof/>
                <w:color w:val="000000" w:themeColor="text1"/>
                <w:sz w:val="18"/>
              </w:rPr>
              <w:t xml:space="preserve"> i kra</w:t>
            </w:r>
            <w:r w:rsidRPr="00A33B9F">
              <w:rPr>
                <w:rFonts w:ascii="Times New Roman" w:hAnsi="Times New Roman"/>
                <w:noProof/>
                <w:color w:val="000000" w:themeColor="text1"/>
                <w:sz w:val="18"/>
              </w:rPr>
              <w:t>jowymi przepisami dotyczącymi ochrony środowiska</w:t>
            </w:r>
            <w:r w:rsidR="00A33B9F" w:rsidRPr="00A33B9F">
              <w:rPr>
                <w:rFonts w:ascii="Times New Roman" w:hAnsi="Times New Roman"/>
                <w:noProof/>
                <w:color w:val="000000" w:themeColor="text1"/>
                <w:sz w:val="18"/>
              </w:rPr>
              <w:t>. W szc</w:t>
            </w:r>
            <w:r w:rsidRPr="00A33B9F">
              <w:rPr>
                <w:rFonts w:ascii="Times New Roman" w:hAnsi="Times New Roman"/>
                <w:noProof/>
                <w:color w:val="000000" w:themeColor="text1"/>
                <w:sz w:val="18"/>
              </w:rPr>
              <w:t>zególności należy zapewnić zgodność wspieranych inwestycji</w:t>
            </w:r>
            <w:r w:rsidR="00A33B9F" w:rsidRPr="00A33B9F">
              <w:rPr>
                <w:rFonts w:ascii="Times New Roman" w:hAnsi="Times New Roman"/>
                <w:noProof/>
                <w:color w:val="000000" w:themeColor="text1"/>
                <w:sz w:val="18"/>
              </w:rPr>
              <w:t xml:space="preserve"> z art</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6 ust.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w:t>
            </w:r>
            <w:r w:rsidR="00A33B9F" w:rsidRPr="00A33B9F">
              <w:rPr>
                <w:rFonts w:ascii="Times New Roman" w:hAnsi="Times New Roman"/>
                <w:noProof/>
                <w:color w:val="000000" w:themeColor="text1"/>
                <w:sz w:val="18"/>
              </w:rPr>
              <w:t xml:space="preserve"> i art</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12 dyrektywy siedliskowej oraz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5 dyrektywy ptasiej,</w:t>
            </w:r>
            <w:r w:rsidR="00A33B9F" w:rsidRPr="00A33B9F">
              <w:rPr>
                <w:rFonts w:ascii="Times New Roman" w:hAnsi="Times New Roman"/>
                <w:noProof/>
                <w:color w:val="000000" w:themeColor="text1"/>
                <w:sz w:val="18"/>
              </w:rPr>
              <w:t xml:space="preserve"> a w raz</w:t>
            </w:r>
            <w:r w:rsidRPr="00A33B9F">
              <w:rPr>
                <w:rFonts w:ascii="Times New Roman" w:hAnsi="Times New Roman"/>
                <w:noProof/>
                <w:color w:val="000000" w:themeColor="text1"/>
                <w:sz w:val="18"/>
              </w:rPr>
              <w:t>ie potrzeby należy przeprowadzić ocenę oddziaływania na środowisko (OOŚ) lub kontrolę, zgodnie</w:t>
            </w:r>
            <w:r w:rsidR="00A33B9F" w:rsidRPr="00A33B9F">
              <w:rPr>
                <w:rFonts w:ascii="Times New Roman" w:hAnsi="Times New Roman"/>
                <w:noProof/>
                <w:color w:val="000000" w:themeColor="text1"/>
                <w:sz w:val="18"/>
              </w:rPr>
              <w:t xml:space="preserve"> z dyr</w:t>
            </w:r>
            <w:r w:rsidRPr="00A33B9F">
              <w:rPr>
                <w:rFonts w:ascii="Times New Roman" w:hAnsi="Times New Roman"/>
                <w:noProof/>
                <w:color w:val="000000" w:themeColor="text1"/>
                <w:sz w:val="18"/>
              </w:rPr>
              <w:t>ektywą</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oceny skutków wywieranych na środowisko. Fundusz zapewni instrumenty finansowe (kapitałowe lub dłużne) na wsparcie projektów inwestycyjnych związanych</w:t>
            </w:r>
            <w:r w:rsidR="00A33B9F" w:rsidRPr="00A33B9F">
              <w:rPr>
                <w:rFonts w:ascii="Times New Roman" w:hAnsi="Times New Roman"/>
                <w:noProof/>
                <w:color w:val="000000" w:themeColor="text1"/>
                <w:sz w:val="18"/>
              </w:rPr>
              <w:t xml:space="preserve"> z pro</w:t>
            </w:r>
            <w:r w:rsidRPr="00A33B9F">
              <w:rPr>
                <w:rFonts w:ascii="Times New Roman" w:hAnsi="Times New Roman"/>
                <w:noProof/>
                <w:color w:val="000000" w:themeColor="text1"/>
                <w:sz w:val="18"/>
              </w:rPr>
              <w:t>cesami badawczymi</w:t>
            </w:r>
            <w:r w:rsidR="00A33B9F" w:rsidRPr="00A33B9F">
              <w:rPr>
                <w:rFonts w:ascii="Times New Roman" w:hAnsi="Times New Roman"/>
                <w:noProof/>
                <w:color w:val="000000" w:themeColor="text1"/>
                <w:sz w:val="18"/>
              </w:rPr>
              <w:t xml:space="preserve"> i inn</w:t>
            </w:r>
            <w:r w:rsidRPr="00A33B9F">
              <w:rPr>
                <w:rFonts w:ascii="Times New Roman" w:hAnsi="Times New Roman"/>
                <w:noProof/>
                <w:color w:val="000000" w:themeColor="text1"/>
                <w:sz w:val="18"/>
              </w:rPr>
              <w:t>owacyjnymi, transferem technologii</w:t>
            </w:r>
            <w:r w:rsidR="00A33B9F" w:rsidRPr="00A33B9F">
              <w:rPr>
                <w:rFonts w:ascii="Times New Roman" w:hAnsi="Times New Roman"/>
                <w:noProof/>
                <w:color w:val="000000" w:themeColor="text1"/>
                <w:sz w:val="18"/>
              </w:rPr>
              <w:t xml:space="preserve"> i wsp</w:t>
            </w:r>
            <w:r w:rsidRPr="00A33B9F">
              <w:rPr>
                <w:rFonts w:ascii="Times New Roman" w:hAnsi="Times New Roman"/>
                <w:noProof/>
                <w:color w:val="000000" w:themeColor="text1"/>
                <w:sz w:val="18"/>
              </w:rPr>
              <w:t>ółpracą między przedsiębiorstwami koncentrującymi się na gospodarce niskoemisyjnej, odporności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ystosowaniu się do zmiany klimatu, ze szczególnym uwzględnieniem nisko-</w:t>
            </w:r>
            <w:r w:rsidR="00A33B9F" w:rsidRPr="00A33B9F">
              <w:rPr>
                <w:rFonts w:ascii="Times New Roman" w:hAnsi="Times New Roman"/>
                <w:noProof/>
                <w:color w:val="000000" w:themeColor="text1"/>
                <w:sz w:val="18"/>
              </w:rPr>
              <w:t xml:space="preserve"> i zer</w:t>
            </w:r>
            <w:r w:rsidRPr="00A33B9F">
              <w:rPr>
                <w:rFonts w:ascii="Times New Roman" w:hAnsi="Times New Roman"/>
                <w:noProof/>
                <w:color w:val="000000" w:themeColor="text1"/>
                <w:sz w:val="18"/>
              </w:rPr>
              <w:t>oemisyjnych rozwiązań innowacyjnych</w:t>
            </w:r>
            <w:r w:rsidR="00A33B9F" w:rsidRPr="00A33B9F">
              <w:rPr>
                <w:rFonts w:ascii="Times New Roman" w:hAnsi="Times New Roman"/>
                <w:noProof/>
                <w:color w:val="000000" w:themeColor="text1"/>
                <w:sz w:val="18"/>
              </w:rPr>
              <w:t xml:space="preserve"> w dzi</w:t>
            </w:r>
            <w:r w:rsidRPr="00A33B9F">
              <w:rPr>
                <w:rFonts w:ascii="Times New Roman" w:hAnsi="Times New Roman"/>
                <w:noProof/>
                <w:color w:val="000000" w:themeColor="text1"/>
                <w:sz w:val="18"/>
              </w:rPr>
              <w:t>edzinie zrównoważonej mobilności</w:t>
            </w:r>
            <w:r w:rsidR="00A33B9F" w:rsidRPr="00A33B9F">
              <w:rPr>
                <w:rFonts w:ascii="Times New Roman" w:hAnsi="Times New Roman"/>
                <w:noProof/>
                <w:color w:val="000000" w:themeColor="text1"/>
                <w:sz w:val="18"/>
              </w:rPr>
              <w:t xml:space="preserve"> i zer</w:t>
            </w:r>
            <w:r w:rsidRPr="00A33B9F">
              <w:rPr>
                <w:rFonts w:ascii="Times New Roman" w:hAnsi="Times New Roman"/>
                <w:noProof/>
                <w:color w:val="000000" w:themeColor="text1"/>
                <w:sz w:val="18"/>
              </w:rPr>
              <w:t>oemisyjnych/niskoemisyjnych źródeł energii (z wyłączeniem sprężonego gazu ziemnego</w:t>
            </w:r>
            <w:r w:rsidR="00A33B9F" w:rsidRPr="00A33B9F">
              <w:rPr>
                <w:rFonts w:ascii="Times New Roman" w:hAnsi="Times New Roman"/>
                <w:noProof/>
                <w:color w:val="000000" w:themeColor="text1"/>
                <w:sz w:val="18"/>
              </w:rPr>
              <w:t xml:space="preserve"> i skr</w:t>
            </w:r>
            <w:r w:rsidRPr="00A33B9F">
              <w:rPr>
                <w:rFonts w:ascii="Times New Roman" w:hAnsi="Times New Roman"/>
                <w:noProof/>
                <w:color w:val="000000" w:themeColor="text1"/>
                <w:sz w:val="18"/>
              </w:rPr>
              <w:t>oplonego gazu ziemnego), wdrażanych przede wszystkim przez MŚP</w:t>
            </w:r>
            <w:r w:rsidR="00A33B9F" w:rsidRPr="00A33B9F">
              <w:rPr>
                <w:rFonts w:ascii="Times New Roman" w:hAnsi="Times New Roman"/>
                <w:noProof/>
                <w:color w:val="000000" w:themeColor="text1"/>
                <w:sz w:val="18"/>
              </w:rPr>
              <w:t xml:space="preserve"> i spó</w:t>
            </w:r>
            <w:r w:rsidRPr="00A33B9F">
              <w:rPr>
                <w:rFonts w:ascii="Times New Roman" w:hAnsi="Times New Roman"/>
                <w:noProof/>
                <w:color w:val="000000" w:themeColor="text1"/>
                <w:sz w:val="18"/>
              </w:rPr>
              <w:t>łki</w:t>
            </w:r>
            <w:r w:rsidR="00A33B9F" w:rsidRPr="00A33B9F">
              <w:rPr>
                <w:rFonts w:ascii="Times New Roman" w:hAnsi="Times New Roman"/>
                <w:noProof/>
                <w:color w:val="000000" w:themeColor="text1"/>
                <w:sz w:val="18"/>
              </w:rPr>
              <w:t xml:space="preserve"> o śre</w:t>
            </w:r>
            <w:r w:rsidRPr="00A33B9F">
              <w:rPr>
                <w:rFonts w:ascii="Times New Roman" w:hAnsi="Times New Roman"/>
                <w:noProof/>
                <w:color w:val="000000" w:themeColor="text1"/>
                <w:sz w:val="18"/>
              </w:rPr>
              <w:t>dniej kapitalizacji. Zarządzanie Funduszem zostanie powierzone zarządcy Funduszu wybranemu</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procedury otwartej. Powołany zostanie Komitet Inwestycyjny Funduszu, który będzie odpowiedzialny za zatwierdzanie projektów ostatecznych odbiorców (spółek,</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dokonano inwestycji) proponowanych przez zarządcę Funduszu na podstawie zapotrzebowania na rynku</w:t>
            </w:r>
            <w:r w:rsidR="00A33B9F" w:rsidRPr="00A33B9F">
              <w:rPr>
                <w:rFonts w:ascii="Times New Roman" w:hAnsi="Times New Roman"/>
                <w:noProof/>
                <w:color w:val="000000" w:themeColor="text1"/>
                <w:sz w:val="18"/>
              </w:rPr>
              <w:t xml:space="preserve"> i zgo</w:t>
            </w:r>
            <w:r w:rsidRPr="00A33B9F">
              <w:rPr>
                <w:rFonts w:ascii="Times New Roman" w:hAnsi="Times New Roman"/>
                <w:noProof/>
                <w:color w:val="000000" w:themeColor="text1"/>
                <w:sz w:val="18"/>
              </w:rPr>
              <w:t>dnie</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rynkowymi. Struktura Funduszu musi umożliwiać pozyskiwanie środków prywatnych. Podstawowe akty prawne zagwarantują, aby wszelkie środki powracające (tj. odsetki od pożyczek, stopa zwrotu</w:t>
            </w:r>
            <w:r w:rsidR="00A33B9F" w:rsidRPr="00A33B9F">
              <w:rPr>
                <w:rFonts w:ascii="Times New Roman" w:hAnsi="Times New Roman"/>
                <w:noProof/>
                <w:color w:val="000000" w:themeColor="text1"/>
                <w:sz w:val="18"/>
              </w:rPr>
              <w:t xml:space="preserve"> z kap</w:t>
            </w:r>
            <w:r w:rsidRPr="00A33B9F">
              <w:rPr>
                <w:rFonts w:ascii="Times New Roman" w:hAnsi="Times New Roman"/>
                <w:noProof/>
                <w:color w:val="000000" w:themeColor="text1"/>
                <w:sz w:val="18"/>
              </w:rPr>
              <w:t>itału własnego lub spłacona kwota główna, pomniejszone</w:t>
            </w:r>
            <w:r w:rsidR="00A33B9F" w:rsidRPr="00A33B9F">
              <w:rPr>
                <w:rFonts w:ascii="Times New Roman" w:hAnsi="Times New Roman"/>
                <w:noProof/>
                <w:color w:val="000000" w:themeColor="text1"/>
                <w:sz w:val="18"/>
              </w:rPr>
              <w:t xml:space="preserve"> o kwo</w:t>
            </w:r>
            <w:r w:rsidRPr="00A33B9F">
              <w:rPr>
                <w:rFonts w:ascii="Times New Roman" w:hAnsi="Times New Roman"/>
                <w:noProof/>
                <w:color w:val="000000" w:themeColor="text1"/>
                <w:sz w:val="18"/>
              </w:rPr>
              <w:t>tę towarzyszących im kosztów) powiązane</w:t>
            </w:r>
            <w:r w:rsidR="00A33B9F" w:rsidRPr="00A33B9F">
              <w:rPr>
                <w:rFonts w:ascii="Times New Roman" w:hAnsi="Times New Roman"/>
                <w:noProof/>
                <w:color w:val="000000" w:themeColor="text1"/>
                <w:sz w:val="18"/>
              </w:rPr>
              <w:t xml:space="preserve"> z tym</w:t>
            </w:r>
            <w:r w:rsidRPr="00A33B9F">
              <w:rPr>
                <w:rFonts w:ascii="Times New Roman" w:hAnsi="Times New Roman"/>
                <w:noProof/>
                <w:color w:val="000000" w:themeColor="text1"/>
                <w:sz w:val="18"/>
              </w:rPr>
              <w:t>i instrumentami były wykorzystywane do realizacji tych samych celów polityki,</w:t>
            </w:r>
            <w:r w:rsidR="00A33B9F" w:rsidRPr="00A33B9F">
              <w:rPr>
                <w:rFonts w:ascii="Times New Roman" w:hAnsi="Times New Roman"/>
                <w:noProof/>
                <w:color w:val="000000" w:themeColor="text1"/>
                <w:sz w:val="18"/>
              </w:rPr>
              <w:t xml:space="preserve"> w tym</w:t>
            </w:r>
            <w:r w:rsidRPr="00A33B9F">
              <w:rPr>
                <w:rFonts w:ascii="Times New Roman" w:hAnsi="Times New Roman"/>
                <w:noProof/>
                <w:color w:val="000000" w:themeColor="text1"/>
                <w:sz w:val="18"/>
              </w:rPr>
              <w:t xml:space="preserve"> po roku 2026, lub do spłaty pożyczek z RRF.</w:t>
            </w:r>
          </w:p>
        </w:tc>
      </w:tr>
      <w:tr w:rsidR="008C116B" w:rsidRPr="00A33B9F" w14:paraId="07165A72" w14:textId="77777777" w:rsidTr="4BF78996">
        <w:tc>
          <w:tcPr>
            <w:tcW w:w="655" w:type="dxa"/>
            <w:shd w:val="clear" w:color="auto" w:fill="C6EFCE"/>
          </w:tcPr>
          <w:p w14:paraId="26162648" w14:textId="60D54324" w:rsidR="00C47F77" w:rsidRPr="00A33B9F" w:rsidRDefault="2046AA13" w:rsidP="0EC6469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E9G</w:t>
            </w:r>
          </w:p>
        </w:tc>
        <w:tc>
          <w:tcPr>
            <w:tcW w:w="1280" w:type="dxa"/>
            <w:shd w:val="clear" w:color="auto" w:fill="C6EFCE"/>
          </w:tcPr>
          <w:p w14:paraId="3FCCFA26" w14:textId="77777777" w:rsidR="00C47F77" w:rsidRPr="00A33B9F" w:rsidRDefault="2046AA13" w:rsidP="0EC6469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E1.1.1 Wsparcie dla gospodarki niskoemisyjnej</w:t>
            </w:r>
          </w:p>
        </w:tc>
        <w:tc>
          <w:tcPr>
            <w:tcW w:w="1027" w:type="dxa"/>
            <w:shd w:val="clear" w:color="auto" w:fill="C6EFCE"/>
          </w:tcPr>
          <w:p w14:paraId="7A9B8151" w14:textId="77777777" w:rsidR="00C47F77" w:rsidRPr="00A33B9F" w:rsidRDefault="2046AA13" w:rsidP="0EC6469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Kamień milowy</w:t>
            </w:r>
          </w:p>
        </w:tc>
        <w:tc>
          <w:tcPr>
            <w:tcW w:w="2029" w:type="dxa"/>
            <w:shd w:val="clear" w:color="auto" w:fill="C6EFCE"/>
          </w:tcPr>
          <w:p w14:paraId="29684354" w14:textId="77777777" w:rsidR="00C47F77" w:rsidRPr="00A33B9F" w:rsidRDefault="2046AA13" w:rsidP="0EC6469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Wybór pośredników finansowych</w:t>
            </w:r>
          </w:p>
        </w:tc>
        <w:tc>
          <w:tcPr>
            <w:tcW w:w="1279" w:type="dxa"/>
            <w:shd w:val="clear" w:color="auto" w:fill="C6EFCE"/>
          </w:tcPr>
          <w:p w14:paraId="7F6B2E6E" w14:textId="77777777" w:rsidR="00C47F77" w:rsidRPr="00A33B9F" w:rsidRDefault="2046AA13" w:rsidP="0EC6469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Decyzja instytucji zarządzających Funduszem</w:t>
            </w:r>
          </w:p>
        </w:tc>
        <w:tc>
          <w:tcPr>
            <w:tcW w:w="1221" w:type="dxa"/>
            <w:shd w:val="clear" w:color="auto" w:fill="C6EFCE"/>
          </w:tcPr>
          <w:p w14:paraId="1CAC39B6" w14:textId="77777777" w:rsidR="00C47F77" w:rsidRPr="00A33B9F" w:rsidRDefault="2046AA13" w:rsidP="0EC6469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1016" w:type="dxa"/>
            <w:shd w:val="clear" w:color="auto" w:fill="C6EFCE"/>
          </w:tcPr>
          <w:p w14:paraId="3830DC7F" w14:textId="77777777" w:rsidR="00C47F77" w:rsidRPr="00A33B9F" w:rsidRDefault="2046AA13" w:rsidP="0EC6469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1416" w:type="dxa"/>
            <w:shd w:val="clear" w:color="auto" w:fill="C6EFCE"/>
          </w:tcPr>
          <w:p w14:paraId="6A8D15C9" w14:textId="77777777" w:rsidR="00C47F77" w:rsidRPr="00A33B9F" w:rsidRDefault="2046AA13" w:rsidP="0EC6469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92" w:type="dxa"/>
            <w:shd w:val="clear" w:color="auto" w:fill="C6EFCE"/>
          </w:tcPr>
          <w:p w14:paraId="46D010F5" w14:textId="0D356B30" w:rsidR="00C47F77" w:rsidRPr="00A33B9F" w:rsidRDefault="2046AA13" w:rsidP="0EC6469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III kw.</w:t>
            </w:r>
          </w:p>
        </w:tc>
        <w:tc>
          <w:tcPr>
            <w:tcW w:w="851" w:type="dxa"/>
            <w:shd w:val="clear" w:color="auto" w:fill="C6EFCE"/>
          </w:tcPr>
          <w:p w14:paraId="3FAC3971" w14:textId="77777777" w:rsidR="00C47F77" w:rsidRPr="00A33B9F" w:rsidRDefault="2046AA13" w:rsidP="0EC6469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2022</w:t>
            </w:r>
          </w:p>
        </w:tc>
        <w:tc>
          <w:tcPr>
            <w:tcW w:w="3685" w:type="dxa"/>
            <w:shd w:val="clear" w:color="auto" w:fill="C6EFCE"/>
          </w:tcPr>
          <w:p w14:paraId="640B78C4" w14:textId="10C6CF8B"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Wybór przez zarządcę Funduszu pośredników finansowych, którzy są uprawnieni do udzielania wsparcia finansowego</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duszu. Proces wyboru będzie przebiegał zgodnie</w:t>
            </w:r>
            <w:r w:rsidR="00A33B9F" w:rsidRPr="00A33B9F">
              <w:rPr>
                <w:rFonts w:ascii="Times New Roman" w:hAnsi="Times New Roman"/>
                <w:noProof/>
                <w:color w:val="000000" w:themeColor="text1"/>
                <w:sz w:val="18"/>
              </w:rPr>
              <w:t xml:space="preserve"> z otw</w:t>
            </w:r>
            <w:r w:rsidRPr="00A33B9F">
              <w:rPr>
                <w:rFonts w:ascii="Times New Roman" w:hAnsi="Times New Roman"/>
                <w:noProof/>
                <w:color w:val="000000" w:themeColor="text1"/>
                <w:sz w:val="18"/>
              </w:rPr>
              <w:t>artą</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kurencyjną procedurą</w:t>
            </w:r>
            <w:r w:rsidR="00A33B9F" w:rsidRPr="00A33B9F">
              <w:rPr>
                <w:rFonts w:ascii="Times New Roman" w:hAnsi="Times New Roman"/>
                <w:noProof/>
                <w:color w:val="000000" w:themeColor="text1"/>
                <w:sz w:val="18"/>
              </w:rPr>
              <w:t xml:space="preserve"> i zak</w:t>
            </w:r>
            <w:r w:rsidRPr="00A33B9F">
              <w:rPr>
                <w:rFonts w:ascii="Times New Roman" w:hAnsi="Times New Roman"/>
                <w:noProof/>
                <w:color w:val="000000" w:themeColor="text1"/>
                <w:sz w:val="18"/>
              </w:rPr>
              <w:t>ończy się podpisaniem umów</w:t>
            </w:r>
            <w:r w:rsidR="00A33B9F" w:rsidRPr="00A33B9F">
              <w:rPr>
                <w:rFonts w:ascii="Times New Roman" w:hAnsi="Times New Roman"/>
                <w:noProof/>
                <w:color w:val="000000" w:themeColor="text1"/>
                <w:sz w:val="18"/>
              </w:rPr>
              <w:t xml:space="preserve"> z poś</w:t>
            </w:r>
            <w:r w:rsidRPr="00A33B9F">
              <w:rPr>
                <w:rFonts w:ascii="Times New Roman" w:hAnsi="Times New Roman"/>
                <w:noProof/>
                <w:color w:val="000000" w:themeColor="text1"/>
                <w:sz w:val="18"/>
              </w:rPr>
              <w:t>rednikami finansowymi</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wsparcia określonych zdolności innowacyjnych</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dukcyjnych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mobilności zeroemisyjnej/niskoemisyjnej</w:t>
            </w:r>
            <w:r w:rsidR="00A33B9F" w:rsidRPr="00A33B9F">
              <w:rPr>
                <w:rFonts w:ascii="Times New Roman" w:hAnsi="Times New Roman"/>
                <w:noProof/>
                <w:color w:val="000000" w:themeColor="text1"/>
                <w:sz w:val="18"/>
              </w:rPr>
              <w:t xml:space="preserve"> i źró</w:t>
            </w:r>
            <w:r w:rsidRPr="00A33B9F">
              <w:rPr>
                <w:rFonts w:ascii="Times New Roman" w:hAnsi="Times New Roman"/>
                <w:noProof/>
                <w:color w:val="000000" w:themeColor="text1"/>
                <w:sz w:val="18"/>
              </w:rPr>
              <w:t>deł energii (z wyłączeniem sprężonego gazu ziemnego</w:t>
            </w:r>
            <w:r w:rsidR="00A33B9F" w:rsidRPr="00A33B9F">
              <w:rPr>
                <w:rFonts w:ascii="Times New Roman" w:hAnsi="Times New Roman"/>
                <w:noProof/>
                <w:color w:val="000000" w:themeColor="text1"/>
                <w:sz w:val="18"/>
              </w:rPr>
              <w:t xml:space="preserve"> i skr</w:t>
            </w:r>
            <w:r w:rsidRPr="00A33B9F">
              <w:rPr>
                <w:rFonts w:ascii="Times New Roman" w:hAnsi="Times New Roman"/>
                <w:noProof/>
                <w:color w:val="000000" w:themeColor="text1"/>
                <w:sz w:val="18"/>
              </w:rPr>
              <w:t>oplonego gazu ziemnego), dostępnych dla wszystkich rodzajów przedsiębiorstw, ze szczególnym uwzględnieniem MŚP</w:t>
            </w:r>
            <w:r w:rsidR="00A33B9F" w:rsidRPr="00A33B9F">
              <w:rPr>
                <w:rFonts w:ascii="Times New Roman" w:hAnsi="Times New Roman"/>
                <w:noProof/>
                <w:color w:val="000000" w:themeColor="text1"/>
                <w:sz w:val="18"/>
              </w:rPr>
              <w:t xml:space="preserve"> i spó</w:t>
            </w:r>
            <w:r w:rsidRPr="00A33B9F">
              <w:rPr>
                <w:rFonts w:ascii="Times New Roman" w:hAnsi="Times New Roman"/>
                <w:noProof/>
                <w:color w:val="000000" w:themeColor="text1"/>
                <w:sz w:val="18"/>
              </w:rPr>
              <w:t>łek</w:t>
            </w:r>
            <w:r w:rsidR="00A33B9F" w:rsidRPr="00A33B9F">
              <w:rPr>
                <w:rFonts w:ascii="Times New Roman" w:hAnsi="Times New Roman"/>
                <w:noProof/>
                <w:color w:val="000000" w:themeColor="text1"/>
                <w:sz w:val="18"/>
              </w:rPr>
              <w:t xml:space="preserve"> o śre</w:t>
            </w:r>
            <w:r w:rsidRPr="00A33B9F">
              <w:rPr>
                <w:rFonts w:ascii="Times New Roman" w:hAnsi="Times New Roman"/>
                <w:noProof/>
                <w:color w:val="000000" w:themeColor="text1"/>
                <w:sz w:val="18"/>
              </w:rPr>
              <w:t>dniej kapitalizacji. Umowy zawarte</w:t>
            </w:r>
            <w:r w:rsidR="00A33B9F" w:rsidRPr="00A33B9F">
              <w:rPr>
                <w:rFonts w:ascii="Times New Roman" w:hAnsi="Times New Roman"/>
                <w:noProof/>
                <w:color w:val="000000" w:themeColor="text1"/>
                <w:sz w:val="18"/>
              </w:rPr>
              <w:t xml:space="preserve"> z poś</w:t>
            </w:r>
            <w:r w:rsidRPr="00A33B9F">
              <w:rPr>
                <w:rFonts w:ascii="Times New Roman" w:hAnsi="Times New Roman"/>
                <w:noProof/>
                <w:color w:val="000000" w:themeColor="text1"/>
                <w:sz w:val="18"/>
              </w:rPr>
              <w:t>rednikami finansowymi określają kryteria kwalifikowalności projektu zapewniające przestrzeganie zasady „nie czyń poważnych szkód” oraz zgodność</w:t>
            </w:r>
            <w:r w:rsidR="00A33B9F" w:rsidRPr="00A33B9F">
              <w:rPr>
                <w:rFonts w:ascii="Times New Roman" w:hAnsi="Times New Roman"/>
                <w:noProof/>
                <w:color w:val="000000" w:themeColor="text1"/>
                <w:sz w:val="18"/>
              </w:rPr>
              <w:t xml:space="preserve"> z obo</w:t>
            </w:r>
            <w:r w:rsidRPr="00A33B9F">
              <w:rPr>
                <w:rFonts w:ascii="Times New Roman" w:hAnsi="Times New Roman"/>
                <w:noProof/>
                <w:color w:val="000000" w:themeColor="text1"/>
                <w:sz w:val="18"/>
              </w:rPr>
              <w:t>wiązującymi kryteriami dotyczącymi klimatu</w:t>
            </w:r>
            <w:r w:rsidR="00A33B9F" w:rsidRPr="00A33B9F">
              <w:rPr>
                <w:rFonts w:ascii="Times New Roman" w:hAnsi="Times New Roman"/>
                <w:noProof/>
                <w:color w:val="000000" w:themeColor="text1"/>
                <w:sz w:val="18"/>
              </w:rPr>
              <w:t xml:space="preserve"> i zna</w:t>
            </w:r>
            <w:r w:rsidRPr="00A33B9F">
              <w:rPr>
                <w:rFonts w:ascii="Times New Roman" w:hAnsi="Times New Roman"/>
                <w:noProof/>
                <w:color w:val="000000" w:themeColor="text1"/>
                <w:sz w:val="18"/>
              </w:rPr>
              <w:t>kowania cyfrowego przewidzianymi</w:t>
            </w:r>
            <w:r w:rsidR="00A33B9F" w:rsidRPr="00A33B9F">
              <w:rPr>
                <w:rFonts w:ascii="Times New Roman" w:hAnsi="Times New Roman"/>
                <w:noProof/>
                <w:color w:val="000000" w:themeColor="text1"/>
                <w:sz w:val="18"/>
              </w:rPr>
              <w:t xml:space="preserve"> w zał</w:t>
            </w:r>
            <w:r w:rsidRPr="00A33B9F">
              <w:rPr>
                <w:rFonts w:ascii="Times New Roman" w:hAnsi="Times New Roman"/>
                <w:noProof/>
                <w:color w:val="000000" w:themeColor="text1"/>
                <w:sz w:val="18"/>
              </w:rPr>
              <w:t>ączniku VI do rozporządzenia ustanawiającego RRF.</w:t>
            </w:r>
          </w:p>
        </w:tc>
      </w:tr>
      <w:tr w:rsidR="008C116B" w:rsidRPr="00A33B9F" w14:paraId="170D4582" w14:textId="77777777" w:rsidTr="4BF78996">
        <w:trPr>
          <w:trHeight w:val="643"/>
        </w:trPr>
        <w:tc>
          <w:tcPr>
            <w:tcW w:w="655" w:type="dxa"/>
            <w:shd w:val="clear" w:color="auto" w:fill="C6EFCE"/>
          </w:tcPr>
          <w:p w14:paraId="61297EE0" w14:textId="1D54A564"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E10G</w:t>
            </w:r>
          </w:p>
        </w:tc>
        <w:tc>
          <w:tcPr>
            <w:tcW w:w="1280" w:type="dxa"/>
            <w:shd w:val="clear" w:color="auto" w:fill="C6EFCE"/>
          </w:tcPr>
          <w:p w14:paraId="57C426AA"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E1.1.1 Wsparcie dla gospodarki niskoemisyjnej</w:t>
            </w:r>
          </w:p>
        </w:tc>
        <w:tc>
          <w:tcPr>
            <w:tcW w:w="1027" w:type="dxa"/>
            <w:shd w:val="clear" w:color="auto" w:fill="C6EFCE"/>
          </w:tcPr>
          <w:p w14:paraId="59C30A51"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6B1A9BB2" w14:textId="4E53FD60"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Zainstalowana moc produkcyjna</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nowych pojazdów zeroemisyjnych</w:t>
            </w:r>
          </w:p>
        </w:tc>
        <w:tc>
          <w:tcPr>
            <w:tcW w:w="1279" w:type="dxa"/>
            <w:shd w:val="clear" w:color="auto" w:fill="C6EFCE"/>
          </w:tcPr>
          <w:p w14:paraId="22B9D3B6"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1B16A6B9"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41EC5F74"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6C8C77F6" w14:textId="7FFB96A9" w:rsidR="00C47F77" w:rsidRPr="00A33B9F" w:rsidRDefault="00C3621A"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w:t>
            </w:r>
            <w:r w:rsidR="5F747709" w:rsidRPr="00A33B9F">
              <w:rPr>
                <w:rFonts w:ascii="Times New Roman" w:hAnsi="Times New Roman"/>
                <w:noProof/>
                <w:color w:val="000000" w:themeColor="text1"/>
                <w:sz w:val="18"/>
              </w:rPr>
              <w:t>83 768</w:t>
            </w:r>
          </w:p>
        </w:tc>
        <w:tc>
          <w:tcPr>
            <w:tcW w:w="992" w:type="dxa"/>
            <w:shd w:val="clear" w:color="auto" w:fill="C6EFCE"/>
          </w:tcPr>
          <w:p w14:paraId="52BB9447"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1DCADF6D"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75E85438" w14:textId="5480DDE6"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Wartość docelowa odnosi się do rocznej mocy produkcyjnej</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nowych pojazdów zeroemisyjnych dzięki inwestycjom wspieranym</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duszu.</w:t>
            </w:r>
          </w:p>
        </w:tc>
      </w:tr>
      <w:tr w:rsidR="008C116B" w:rsidRPr="00A33B9F" w14:paraId="23354C1D" w14:textId="77777777" w:rsidTr="4BF78996">
        <w:trPr>
          <w:trHeight w:val="1247"/>
        </w:trPr>
        <w:tc>
          <w:tcPr>
            <w:tcW w:w="655" w:type="dxa"/>
            <w:shd w:val="clear" w:color="auto" w:fill="C6EFCE"/>
          </w:tcPr>
          <w:p w14:paraId="51EDC13C" w14:textId="5359A599"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E11G</w:t>
            </w:r>
          </w:p>
        </w:tc>
        <w:tc>
          <w:tcPr>
            <w:tcW w:w="1280" w:type="dxa"/>
            <w:shd w:val="clear" w:color="auto" w:fill="C6EFCE"/>
          </w:tcPr>
          <w:p w14:paraId="0AC12D9C"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E1.1.1 Wsparcie dla gospodarki niskoemisyjnej</w:t>
            </w:r>
          </w:p>
        </w:tc>
        <w:tc>
          <w:tcPr>
            <w:tcW w:w="1027" w:type="dxa"/>
            <w:shd w:val="clear" w:color="auto" w:fill="C6EFCE"/>
          </w:tcPr>
          <w:p w14:paraId="66BF63B3"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31B35212" w14:textId="1547FB23" w:rsidR="00C47F77" w:rsidRPr="00A33B9F" w:rsidRDefault="1B798171"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Zainstalowana moc produkcyjna</w:t>
            </w:r>
            <w:r w:rsidR="00A33B9F" w:rsidRPr="00A33B9F">
              <w:rPr>
                <w:rFonts w:ascii="Times New Roman" w:hAnsi="Times New Roman"/>
                <w:noProof/>
                <w:color w:val="000000" w:themeColor="text1"/>
                <w:sz w:val="18"/>
              </w:rPr>
              <w:t xml:space="preserve"> i zdo</w:t>
            </w:r>
            <w:r w:rsidRPr="00A33B9F">
              <w:rPr>
                <w:rFonts w:ascii="Times New Roman" w:hAnsi="Times New Roman"/>
                <w:noProof/>
                <w:color w:val="000000" w:themeColor="text1"/>
                <w:sz w:val="18"/>
              </w:rPr>
              <w:t>lność magazynowania paliw/energii alternatywnych zeroemisyjnych/niskoemisyjnych</w:t>
            </w:r>
          </w:p>
        </w:tc>
        <w:tc>
          <w:tcPr>
            <w:tcW w:w="1279" w:type="dxa"/>
            <w:shd w:val="clear" w:color="auto" w:fill="C6EFCE"/>
          </w:tcPr>
          <w:p w14:paraId="3EB59910"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0659AA68"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3FF82132"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501703E0" w14:textId="586606BB" w:rsidR="00C47F77" w:rsidRPr="00A33B9F" w:rsidRDefault="1EF2A3FC"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838</w:t>
            </w:r>
          </w:p>
        </w:tc>
        <w:tc>
          <w:tcPr>
            <w:tcW w:w="992" w:type="dxa"/>
            <w:shd w:val="clear" w:color="auto" w:fill="C6EFCE"/>
          </w:tcPr>
          <w:p w14:paraId="54129160"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16F78DC1"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646604C2" w14:textId="52567F12" w:rsidR="00C47F77" w:rsidRPr="00A33B9F" w:rsidRDefault="3CAC838A" w:rsidP="347D622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 odnosi się do mocy produkcyjnej</w:t>
            </w:r>
            <w:r w:rsidR="00A33B9F" w:rsidRPr="00A33B9F">
              <w:rPr>
                <w:rFonts w:ascii="Times New Roman" w:hAnsi="Times New Roman"/>
                <w:noProof/>
                <w:color w:val="000000" w:themeColor="text1"/>
                <w:sz w:val="18"/>
              </w:rPr>
              <w:t xml:space="preserve"> i zai</w:t>
            </w:r>
            <w:r w:rsidRPr="00A33B9F">
              <w:rPr>
                <w:rFonts w:ascii="Times New Roman" w:hAnsi="Times New Roman"/>
                <w:noProof/>
                <w:color w:val="000000" w:themeColor="text1"/>
                <w:sz w:val="18"/>
              </w:rPr>
              <w:t>nstalowanej (akumulatorów) (w MW) zeroemisyjnych źródeł energii produkowanych rocznie (z wyłączeniem sprężonego gazu ziemnego</w:t>
            </w:r>
            <w:r w:rsidR="00A33B9F" w:rsidRPr="00A33B9F">
              <w:rPr>
                <w:rFonts w:ascii="Times New Roman" w:hAnsi="Times New Roman"/>
                <w:noProof/>
                <w:color w:val="000000" w:themeColor="text1"/>
                <w:sz w:val="18"/>
              </w:rPr>
              <w:t xml:space="preserve"> i skr</w:t>
            </w:r>
            <w:r w:rsidRPr="00A33B9F">
              <w:rPr>
                <w:rFonts w:ascii="Times New Roman" w:hAnsi="Times New Roman"/>
                <w:noProof/>
                <w:color w:val="000000" w:themeColor="text1"/>
                <w:sz w:val="18"/>
              </w:rPr>
              <w:t>oplonego gazu ziemnego) dzięki inwestycjom wspieranym</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duszu.</w:t>
            </w:r>
          </w:p>
        </w:tc>
      </w:tr>
      <w:tr w:rsidR="008C116B" w:rsidRPr="00A33B9F" w14:paraId="5729CDC8" w14:textId="77777777" w:rsidTr="4BF78996">
        <w:tc>
          <w:tcPr>
            <w:tcW w:w="655" w:type="dxa"/>
            <w:shd w:val="clear" w:color="auto" w:fill="C6EFCE"/>
          </w:tcPr>
          <w:p w14:paraId="752B3F2C" w14:textId="04385D9F"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E12G</w:t>
            </w:r>
          </w:p>
        </w:tc>
        <w:tc>
          <w:tcPr>
            <w:tcW w:w="1280" w:type="dxa"/>
            <w:shd w:val="clear" w:color="auto" w:fill="C6EFCE"/>
          </w:tcPr>
          <w:p w14:paraId="54372701"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E1.1.1 Wsparcie dla gospodarki niskoemisyjnej</w:t>
            </w:r>
          </w:p>
        </w:tc>
        <w:tc>
          <w:tcPr>
            <w:tcW w:w="1027" w:type="dxa"/>
            <w:shd w:val="clear" w:color="auto" w:fill="C6EFCE"/>
          </w:tcPr>
          <w:p w14:paraId="3AADA4B2"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731D6F79" w14:textId="4D0648A0"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MŚP</w:t>
            </w:r>
            <w:r w:rsidR="00A33B9F" w:rsidRPr="00A33B9F">
              <w:rPr>
                <w:rFonts w:ascii="Times New Roman" w:hAnsi="Times New Roman"/>
                <w:noProof/>
                <w:color w:val="000000"/>
                <w:sz w:val="18"/>
              </w:rPr>
              <w:t xml:space="preserve"> i spó</w:t>
            </w:r>
            <w:r w:rsidRPr="00A33B9F">
              <w:rPr>
                <w:rFonts w:ascii="Times New Roman" w:hAnsi="Times New Roman"/>
                <w:noProof/>
                <w:color w:val="000000"/>
                <w:sz w:val="18"/>
              </w:rPr>
              <w:t>łki</w:t>
            </w:r>
            <w:r w:rsidR="00A33B9F" w:rsidRPr="00A33B9F">
              <w:rPr>
                <w:rFonts w:ascii="Times New Roman" w:hAnsi="Times New Roman"/>
                <w:noProof/>
                <w:color w:val="000000"/>
                <w:sz w:val="18"/>
              </w:rPr>
              <w:t xml:space="preserve"> o śre</w:t>
            </w:r>
            <w:r w:rsidRPr="00A33B9F">
              <w:rPr>
                <w:rFonts w:ascii="Times New Roman" w:hAnsi="Times New Roman"/>
                <w:noProof/>
                <w:color w:val="000000"/>
                <w:sz w:val="18"/>
              </w:rPr>
              <w:t>dniej kapitalizacji wspierane</w:t>
            </w:r>
            <w:r w:rsidR="00A33B9F" w:rsidRPr="00A33B9F">
              <w:rPr>
                <w:rFonts w:ascii="Times New Roman" w:hAnsi="Times New Roman"/>
                <w:noProof/>
                <w:color w:val="000000"/>
                <w:sz w:val="18"/>
              </w:rPr>
              <w:t xml:space="preserve"> w ram</w:t>
            </w:r>
            <w:r w:rsidRPr="00A33B9F">
              <w:rPr>
                <w:rFonts w:ascii="Times New Roman" w:hAnsi="Times New Roman"/>
                <w:noProof/>
                <w:color w:val="000000"/>
                <w:sz w:val="18"/>
              </w:rPr>
              <w:t>ach konkretnych inwestycji objętych Funduszem</w:t>
            </w:r>
          </w:p>
        </w:tc>
        <w:tc>
          <w:tcPr>
            <w:tcW w:w="1279" w:type="dxa"/>
            <w:shd w:val="clear" w:color="auto" w:fill="C6EFCE"/>
          </w:tcPr>
          <w:p w14:paraId="0785E903"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6DD4F01D" w14:textId="77777777" w:rsidR="00C47F77" w:rsidRPr="00A33B9F" w:rsidRDefault="00C47F77" w:rsidP="00C47F77">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0A2B7E28" w14:textId="77777777" w:rsidR="00C47F77" w:rsidRPr="00A33B9F" w:rsidRDefault="00C47F77" w:rsidP="00C47F77">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739EFCF0" w14:textId="5D1D2513" w:rsidR="00C47F77" w:rsidRPr="00A33B9F" w:rsidRDefault="5C8F63CE"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126</w:t>
            </w:r>
          </w:p>
        </w:tc>
        <w:tc>
          <w:tcPr>
            <w:tcW w:w="992" w:type="dxa"/>
            <w:shd w:val="clear" w:color="auto" w:fill="C6EFCE"/>
          </w:tcPr>
          <w:p w14:paraId="3045EC2C"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1" w:type="dxa"/>
            <w:shd w:val="clear" w:color="auto" w:fill="C6EFCE"/>
          </w:tcPr>
          <w:p w14:paraId="69DAEA61" w14:textId="77777777" w:rsidR="00C47F77" w:rsidRPr="00A33B9F" w:rsidRDefault="00C47F77" w:rsidP="00C47F77">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2025</w:t>
            </w:r>
          </w:p>
        </w:tc>
        <w:tc>
          <w:tcPr>
            <w:tcW w:w="3685" w:type="dxa"/>
            <w:shd w:val="clear" w:color="auto" w:fill="C6EFCE"/>
          </w:tcPr>
          <w:p w14:paraId="1C7B72E7" w14:textId="58C49734" w:rsidR="00C47F77" w:rsidRPr="00A33B9F" w:rsidRDefault="4C21ACD5" w:rsidP="347D6228">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 odnosi się do liczby MŚP</w:t>
            </w:r>
            <w:r w:rsidR="00A33B9F" w:rsidRPr="00A33B9F">
              <w:rPr>
                <w:rFonts w:ascii="Times New Roman" w:hAnsi="Times New Roman"/>
                <w:noProof/>
                <w:color w:val="000000" w:themeColor="text1"/>
                <w:sz w:val="18"/>
              </w:rPr>
              <w:t xml:space="preserve"> i spó</w:t>
            </w:r>
            <w:r w:rsidRPr="00A33B9F">
              <w:rPr>
                <w:rFonts w:ascii="Times New Roman" w:hAnsi="Times New Roman"/>
                <w:noProof/>
                <w:color w:val="000000" w:themeColor="text1"/>
                <w:sz w:val="18"/>
              </w:rPr>
              <w:t>łek</w:t>
            </w:r>
            <w:r w:rsidR="00A33B9F" w:rsidRPr="00A33B9F">
              <w:rPr>
                <w:rFonts w:ascii="Times New Roman" w:hAnsi="Times New Roman"/>
                <w:noProof/>
                <w:color w:val="000000" w:themeColor="text1"/>
                <w:sz w:val="18"/>
              </w:rPr>
              <w:t xml:space="preserve"> o śre</w:t>
            </w:r>
            <w:r w:rsidRPr="00A33B9F">
              <w:rPr>
                <w:rFonts w:ascii="Times New Roman" w:hAnsi="Times New Roman"/>
                <w:noProof/>
                <w:color w:val="000000" w:themeColor="text1"/>
                <w:sz w:val="18"/>
              </w:rPr>
              <w:t>dniej kapitalizacji wspieranych</w:t>
            </w:r>
            <w:r w:rsidR="00A33B9F" w:rsidRPr="00A33B9F">
              <w:rPr>
                <w:rFonts w:ascii="Times New Roman" w:hAnsi="Times New Roman"/>
                <w:noProof/>
                <w:color w:val="000000" w:themeColor="text1"/>
                <w:sz w:val="18"/>
              </w:rPr>
              <w:t xml:space="preserve"> z Fun</w:t>
            </w:r>
            <w:r w:rsidRPr="00A33B9F">
              <w:rPr>
                <w:rFonts w:ascii="Times New Roman" w:hAnsi="Times New Roman"/>
                <w:noProof/>
                <w:color w:val="000000" w:themeColor="text1"/>
                <w:sz w:val="18"/>
              </w:rPr>
              <w:t>duszu</w:t>
            </w:r>
            <w:r w:rsidR="00A33B9F" w:rsidRPr="00A33B9F">
              <w:rPr>
                <w:rFonts w:ascii="Times New Roman" w:hAnsi="Times New Roman"/>
                <w:noProof/>
                <w:color w:val="000000" w:themeColor="text1"/>
                <w:sz w:val="18"/>
              </w:rPr>
              <w:t xml:space="preserve"> i ofe</w:t>
            </w:r>
            <w:r w:rsidRPr="00A33B9F">
              <w:rPr>
                <w:rFonts w:ascii="Times New Roman" w:hAnsi="Times New Roman"/>
                <w:noProof/>
                <w:color w:val="000000" w:themeColor="text1"/>
                <w:sz w:val="18"/>
              </w:rPr>
              <w:t>rujących produkty</w:t>
            </w:r>
            <w:r w:rsidR="00A33B9F" w:rsidRPr="00A33B9F">
              <w:rPr>
                <w:rFonts w:ascii="Times New Roman" w:hAnsi="Times New Roman"/>
                <w:noProof/>
                <w:color w:val="000000" w:themeColor="text1"/>
                <w:sz w:val="18"/>
              </w:rPr>
              <w:t xml:space="preserve"> i usł</w:t>
            </w:r>
            <w:r w:rsidRPr="00A33B9F">
              <w:rPr>
                <w:rFonts w:ascii="Times New Roman" w:hAnsi="Times New Roman"/>
                <w:noProof/>
                <w:color w:val="000000" w:themeColor="text1"/>
                <w:sz w:val="18"/>
              </w:rPr>
              <w:t>ugi</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zrównoważonej mobilności niskoemisyjnej/zeroemisyjnej oraz energii zeroemisyjnej.</w:t>
            </w:r>
          </w:p>
        </w:tc>
      </w:tr>
      <w:tr w:rsidR="008C116B" w:rsidRPr="00A33B9F" w14:paraId="0556F8AB" w14:textId="77777777" w:rsidTr="4BF78996">
        <w:tc>
          <w:tcPr>
            <w:tcW w:w="655" w:type="dxa"/>
            <w:shd w:val="clear" w:color="auto" w:fill="C6EFCE"/>
          </w:tcPr>
          <w:p w14:paraId="02F50A30" w14:textId="7A2E299D" w:rsidR="008B327F" w:rsidRPr="00A33B9F" w:rsidRDefault="008B327F" w:rsidP="008B327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E13G</w:t>
            </w:r>
          </w:p>
        </w:tc>
        <w:tc>
          <w:tcPr>
            <w:tcW w:w="1280" w:type="dxa"/>
            <w:shd w:val="clear" w:color="auto" w:fill="C6EFCE"/>
          </w:tcPr>
          <w:p w14:paraId="0D947742" w14:textId="2298B5A4"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E1.1.2 Zeroemisyjny</w:t>
            </w:r>
            <w:r w:rsidR="00A33B9F" w:rsidRPr="00A33B9F">
              <w:rPr>
                <w:rFonts w:ascii="Times New Roman" w:hAnsi="Times New Roman"/>
                <w:noProof/>
                <w:color w:val="000000"/>
                <w:sz w:val="18"/>
              </w:rPr>
              <w:t xml:space="preserve"> i nis</w:t>
            </w:r>
            <w:r w:rsidRPr="00A33B9F">
              <w:rPr>
                <w:rFonts w:ascii="Times New Roman" w:hAnsi="Times New Roman"/>
                <w:noProof/>
                <w:color w:val="000000"/>
                <w:sz w:val="18"/>
              </w:rPr>
              <w:t>koemisyjny transport zbiorowy (autobusy)</w:t>
            </w:r>
          </w:p>
        </w:tc>
        <w:tc>
          <w:tcPr>
            <w:tcW w:w="1027" w:type="dxa"/>
            <w:shd w:val="clear" w:color="auto" w:fill="C6EFCE"/>
          </w:tcPr>
          <w:p w14:paraId="13AFCBB7" w14:textId="31920D96"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Kamień milowy</w:t>
            </w:r>
          </w:p>
        </w:tc>
        <w:tc>
          <w:tcPr>
            <w:tcW w:w="2029" w:type="dxa"/>
            <w:shd w:val="clear" w:color="auto" w:fill="C6EFCE"/>
          </w:tcPr>
          <w:p w14:paraId="5A26E074" w14:textId="52491940"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Pojazdy zeroemisyjne</w:t>
            </w:r>
            <w:r w:rsidR="00A33B9F" w:rsidRPr="00A33B9F">
              <w:rPr>
                <w:rFonts w:ascii="Times New Roman" w:hAnsi="Times New Roman"/>
                <w:noProof/>
                <w:color w:val="000000"/>
                <w:sz w:val="18"/>
              </w:rPr>
              <w:t xml:space="preserve"> i nis</w:t>
            </w:r>
            <w:r w:rsidRPr="00A33B9F">
              <w:rPr>
                <w:rFonts w:ascii="Times New Roman" w:hAnsi="Times New Roman"/>
                <w:noProof/>
                <w:color w:val="000000"/>
                <w:sz w:val="18"/>
              </w:rPr>
              <w:t>koemisyjne: wybór beneficjentów</w:t>
            </w:r>
          </w:p>
        </w:tc>
        <w:tc>
          <w:tcPr>
            <w:tcW w:w="1279" w:type="dxa"/>
            <w:shd w:val="clear" w:color="auto" w:fill="C6EFCE"/>
          </w:tcPr>
          <w:p w14:paraId="207DAC17" w14:textId="5754189E" w:rsidR="008B327F" w:rsidRPr="00A33B9F" w:rsidRDefault="4664DC11" w:rsidP="37A38DFE">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Podpisane umowy </w:t>
            </w:r>
          </w:p>
        </w:tc>
        <w:tc>
          <w:tcPr>
            <w:tcW w:w="1221" w:type="dxa"/>
            <w:shd w:val="clear" w:color="auto" w:fill="C6EFCE"/>
          </w:tcPr>
          <w:p w14:paraId="103FC20E"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016" w:type="dxa"/>
            <w:shd w:val="clear" w:color="auto" w:fill="C6EFCE"/>
          </w:tcPr>
          <w:p w14:paraId="79044270"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1416" w:type="dxa"/>
            <w:shd w:val="clear" w:color="auto" w:fill="C6EFCE"/>
          </w:tcPr>
          <w:p w14:paraId="3375BB19"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92" w:type="dxa"/>
            <w:shd w:val="clear" w:color="auto" w:fill="C6EFCE"/>
          </w:tcPr>
          <w:p w14:paraId="46978406" w14:textId="504137F8" w:rsidR="008B327F" w:rsidRPr="00A33B9F" w:rsidRDefault="16EBA752"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III kw.</w:t>
            </w:r>
          </w:p>
        </w:tc>
        <w:tc>
          <w:tcPr>
            <w:tcW w:w="851" w:type="dxa"/>
            <w:shd w:val="clear" w:color="auto" w:fill="C6EFCE"/>
          </w:tcPr>
          <w:p w14:paraId="3DB0C122" w14:textId="710D0560" w:rsidR="008B327F" w:rsidRPr="00A33B9F" w:rsidRDefault="16EBA752"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2024</w:t>
            </w:r>
          </w:p>
        </w:tc>
        <w:tc>
          <w:tcPr>
            <w:tcW w:w="3685" w:type="dxa"/>
            <w:shd w:val="clear" w:color="auto" w:fill="C6EFCE"/>
          </w:tcPr>
          <w:p w14:paraId="78441E4D" w14:textId="30AA381B" w:rsidR="008B327F" w:rsidRPr="00A33B9F" w:rsidRDefault="7601EA88" w:rsidP="008B327F">
            <w:pP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Podpisane zostaną umowy</w:t>
            </w:r>
            <w:r w:rsidR="00A33B9F" w:rsidRPr="00A33B9F">
              <w:rPr>
                <w:rFonts w:ascii="Times New Roman" w:hAnsi="Times New Roman"/>
                <w:noProof/>
                <w:color w:val="000000" w:themeColor="text1"/>
                <w:sz w:val="18"/>
              </w:rPr>
              <w:t xml:space="preserve"> z wyb</w:t>
            </w:r>
            <w:r w:rsidRPr="00A33B9F">
              <w:rPr>
                <w:rFonts w:ascii="Times New Roman" w:hAnsi="Times New Roman"/>
                <w:noProof/>
                <w:color w:val="000000" w:themeColor="text1"/>
                <w:sz w:val="18"/>
              </w:rPr>
              <w:t>ranymi podmiotami będącymi beneficjentami (władzami lokalnymi lub podmiotami świadczącymi usługi publiczne) dotyczące nowych 579 autobusów zeroemisyjnych</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koemisyjnych.</w:t>
            </w:r>
          </w:p>
          <w:p w14:paraId="684B6AC7" w14:textId="269E5394" w:rsidR="008B327F" w:rsidRPr="00A33B9F" w:rsidRDefault="008B327F" w:rsidP="008B327F">
            <w:pP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Podmioty będące beneficjentami są wybierane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przejrzystego</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kurencyjnego zaproszenia do składania wniosków otwartego dla wszystkich władz lokalnych</w:t>
            </w:r>
            <w:r w:rsidR="00A33B9F" w:rsidRPr="00A33B9F">
              <w:rPr>
                <w:rFonts w:ascii="Times New Roman" w:hAnsi="Times New Roman"/>
                <w:noProof/>
                <w:color w:val="000000" w:themeColor="text1"/>
                <w:sz w:val="18"/>
              </w:rPr>
              <w:t xml:space="preserve"> i pod</w:t>
            </w:r>
            <w:r w:rsidRPr="00A33B9F">
              <w:rPr>
                <w:rFonts w:ascii="Times New Roman" w:hAnsi="Times New Roman"/>
                <w:noProof/>
                <w:color w:val="000000" w:themeColor="text1"/>
                <w:sz w:val="18"/>
              </w:rPr>
              <w:t>miotów świadczących usługi publiczne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transportu</w:t>
            </w:r>
            <w:r w:rsidR="00A33B9F" w:rsidRPr="00A33B9F">
              <w:rPr>
                <w:rFonts w:ascii="Times New Roman" w:hAnsi="Times New Roman"/>
                <w:noProof/>
                <w:color w:val="000000" w:themeColor="text1"/>
                <w:sz w:val="18"/>
              </w:rPr>
              <w:t xml:space="preserve"> o zer</w:t>
            </w:r>
            <w:r w:rsidRPr="00A33B9F">
              <w:rPr>
                <w:rFonts w:ascii="Times New Roman" w:hAnsi="Times New Roman"/>
                <w:noProof/>
                <w:color w:val="000000" w:themeColor="text1"/>
                <w:sz w:val="18"/>
              </w:rPr>
              <w:t xml:space="preserve">owej lub niskiej emisji na obszarach pozamiejskich. </w:t>
            </w:r>
          </w:p>
          <w:p w14:paraId="40EDFEDB" w14:textId="16954360" w:rsidR="008B327F" w:rsidRPr="00A33B9F" w:rsidRDefault="5F2B0BA7" w:rsidP="008B327F">
            <w:pPr>
              <w:pStyle w:val="Normal0"/>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Kryteria wyboru podmiotów będących beneficjentami odzwierciedlą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potrzeby</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czystego transportu publicznego oraz wpływ na zmniejszenie emisji (w szczególności</w:t>
            </w:r>
            <w:r w:rsidR="00A33B9F" w:rsidRPr="00A33B9F">
              <w:rPr>
                <w:rFonts w:ascii="Times New Roman" w:hAnsi="Times New Roman"/>
                <w:noProof/>
                <w:color w:val="000000" w:themeColor="text1"/>
                <w:sz w:val="18"/>
              </w:rPr>
              <w:t xml:space="preserve"> w prz</w:t>
            </w:r>
            <w:r w:rsidRPr="00A33B9F">
              <w:rPr>
                <w:rFonts w:ascii="Times New Roman" w:hAnsi="Times New Roman"/>
                <w:noProof/>
                <w:color w:val="000000" w:themeColor="text1"/>
                <w:sz w:val="18"/>
              </w:rPr>
              <w:t>ypadku zeroemisyjnego transportu miejskiego)</w:t>
            </w:r>
            <w:r w:rsidR="00A33B9F" w:rsidRPr="00A33B9F">
              <w:rPr>
                <w:rFonts w:ascii="Times New Roman" w:hAnsi="Times New Roman"/>
                <w:noProof/>
                <w:color w:val="000000" w:themeColor="text1"/>
                <w:sz w:val="18"/>
              </w:rPr>
              <w:t xml:space="preserve"> i zat</w:t>
            </w:r>
            <w:r w:rsidRPr="00A33B9F">
              <w:rPr>
                <w:rFonts w:ascii="Times New Roman" w:hAnsi="Times New Roman"/>
                <w:noProof/>
                <w:color w:val="000000" w:themeColor="text1"/>
                <w:sz w:val="18"/>
              </w:rPr>
              <w:t>orów komunikacyjnych, wsparcie dla wyłączonych obszarów transportowych, projekty wspierające/zapewniające integrację transportu (kolejowego, miejskiego, podmiejskiego). Otwarte zaproszenia do składania wniosków,</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każdy kwalifikujący się organ będzie mógł przedstawić swoją ofertę, będą sprzyjały zrównoważonemu podziałowi pojazdów na terytorium całego kraju.</w:t>
            </w:r>
          </w:p>
        </w:tc>
      </w:tr>
      <w:tr w:rsidR="008C116B" w:rsidRPr="00A33B9F" w14:paraId="3FFA96FA" w14:textId="77777777" w:rsidTr="4BF78996">
        <w:trPr>
          <w:trHeight w:val="2269"/>
        </w:trPr>
        <w:tc>
          <w:tcPr>
            <w:tcW w:w="655" w:type="dxa"/>
            <w:shd w:val="clear" w:color="auto" w:fill="C6EFCE"/>
          </w:tcPr>
          <w:p w14:paraId="7389E98A" w14:textId="038E6789"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E14G</w:t>
            </w:r>
          </w:p>
        </w:tc>
        <w:tc>
          <w:tcPr>
            <w:tcW w:w="1280" w:type="dxa"/>
            <w:shd w:val="clear" w:color="auto" w:fill="C6EFCE"/>
          </w:tcPr>
          <w:p w14:paraId="5B53C09C" w14:textId="54552B0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E1.1.2 Zeroemisyjny</w:t>
            </w:r>
            <w:r w:rsidR="00A33B9F" w:rsidRPr="00A33B9F">
              <w:rPr>
                <w:rFonts w:ascii="Times New Roman" w:hAnsi="Times New Roman"/>
                <w:noProof/>
                <w:color w:val="000000"/>
                <w:sz w:val="18"/>
              </w:rPr>
              <w:t xml:space="preserve"> i nis</w:t>
            </w:r>
            <w:r w:rsidRPr="00A33B9F">
              <w:rPr>
                <w:rFonts w:ascii="Times New Roman" w:hAnsi="Times New Roman"/>
                <w:noProof/>
                <w:color w:val="000000"/>
                <w:sz w:val="18"/>
              </w:rPr>
              <w:t>koemisyjny transport zbiorowy (autobusy)</w:t>
            </w:r>
          </w:p>
        </w:tc>
        <w:tc>
          <w:tcPr>
            <w:tcW w:w="1027" w:type="dxa"/>
            <w:shd w:val="clear" w:color="auto" w:fill="C6EFCE"/>
          </w:tcPr>
          <w:p w14:paraId="7ED67963"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667798B0" w14:textId="36FA6E21"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Nowe pojazdy zeroemisyjne</w:t>
            </w:r>
            <w:r w:rsidR="00A33B9F" w:rsidRPr="00A33B9F">
              <w:rPr>
                <w:rFonts w:ascii="Times New Roman" w:hAnsi="Times New Roman"/>
                <w:noProof/>
                <w:color w:val="000000"/>
                <w:sz w:val="18"/>
              </w:rPr>
              <w:t xml:space="preserve"> i nis</w:t>
            </w:r>
            <w:r w:rsidRPr="00A33B9F">
              <w:rPr>
                <w:rFonts w:ascii="Times New Roman" w:hAnsi="Times New Roman"/>
                <w:noProof/>
                <w:color w:val="000000"/>
                <w:sz w:val="18"/>
              </w:rPr>
              <w:t>koemisyjne</w:t>
            </w:r>
            <w:r w:rsidR="00A33B9F" w:rsidRPr="00A33B9F">
              <w:rPr>
                <w:rFonts w:ascii="Times New Roman" w:hAnsi="Times New Roman"/>
                <w:noProof/>
                <w:color w:val="000000"/>
                <w:sz w:val="18"/>
              </w:rPr>
              <w:t xml:space="preserve"> w eks</w:t>
            </w:r>
            <w:r w:rsidRPr="00A33B9F">
              <w:rPr>
                <w:rFonts w:ascii="Times New Roman" w:hAnsi="Times New Roman"/>
                <w:noProof/>
                <w:color w:val="000000"/>
                <w:sz w:val="18"/>
              </w:rPr>
              <w:t>ploatacji</w:t>
            </w:r>
          </w:p>
        </w:tc>
        <w:tc>
          <w:tcPr>
            <w:tcW w:w="1279" w:type="dxa"/>
            <w:shd w:val="clear" w:color="auto" w:fill="C6EFCE"/>
          </w:tcPr>
          <w:p w14:paraId="3C7A12C3"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highlight w:val="yellow"/>
              </w:rPr>
            </w:pPr>
            <w:r w:rsidRPr="00A33B9F">
              <w:rPr>
                <w:rFonts w:ascii="Times New Roman" w:hAnsi="Times New Roman"/>
                <w:noProof/>
                <w:color w:val="000000" w:themeColor="text1"/>
                <w:sz w:val="18"/>
              </w:rPr>
              <w:t xml:space="preserve"> </w:t>
            </w:r>
          </w:p>
        </w:tc>
        <w:tc>
          <w:tcPr>
            <w:tcW w:w="1221" w:type="dxa"/>
            <w:shd w:val="clear" w:color="auto" w:fill="C6EFCE"/>
          </w:tcPr>
          <w:p w14:paraId="7AABAAB2"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3DEAE328"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609BEE78" w14:textId="5BB11510" w:rsidR="008B327F" w:rsidRPr="00A33B9F" w:rsidRDefault="2E5ACECD"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 579</w:t>
            </w:r>
          </w:p>
        </w:tc>
        <w:tc>
          <w:tcPr>
            <w:tcW w:w="992" w:type="dxa"/>
            <w:shd w:val="clear" w:color="auto" w:fill="C6EFCE"/>
          </w:tcPr>
          <w:p w14:paraId="2FB3EB5E" w14:textId="3381F974" w:rsidR="008B327F" w:rsidRPr="00A33B9F" w:rsidRDefault="27EAD90E" w:rsidP="7A2BD23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851" w:type="dxa"/>
            <w:shd w:val="clear" w:color="auto" w:fill="C6EFCE"/>
          </w:tcPr>
          <w:p w14:paraId="404CF87C"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34CCE194" w14:textId="7AE9DB37" w:rsidR="008B327F" w:rsidRPr="00A33B9F" w:rsidRDefault="16EBA752" w:rsidP="008B327F">
            <w:pP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Dostarczenie nowych zeroemisyjnych</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koemisyjnych autobusów zdefiniowanych</w:t>
            </w:r>
            <w:r w:rsidR="00A33B9F" w:rsidRPr="00A33B9F">
              <w:rPr>
                <w:rFonts w:ascii="Times New Roman" w:hAnsi="Times New Roman"/>
                <w:noProof/>
                <w:color w:val="000000" w:themeColor="text1"/>
                <w:sz w:val="18"/>
              </w:rPr>
              <w:t xml:space="preserve"> w opi</w:t>
            </w:r>
            <w:r w:rsidRPr="00A33B9F">
              <w:rPr>
                <w:rFonts w:ascii="Times New Roman" w:hAnsi="Times New Roman"/>
                <w:noProof/>
                <w:color w:val="000000" w:themeColor="text1"/>
                <w:sz w:val="18"/>
              </w:rPr>
              <w:t>sie działania na podstawie umów finansowanych</w:t>
            </w:r>
            <w:r w:rsidR="00A33B9F" w:rsidRPr="00A33B9F">
              <w:rPr>
                <w:rFonts w:ascii="Times New Roman" w:hAnsi="Times New Roman"/>
                <w:noProof/>
                <w:color w:val="000000" w:themeColor="text1"/>
                <w:sz w:val="18"/>
              </w:rPr>
              <w:t xml:space="preserve"> w ram</w:t>
            </w:r>
            <w:r w:rsidRPr="00A33B9F">
              <w:rPr>
                <w:rFonts w:ascii="Times New Roman" w:hAnsi="Times New Roman"/>
                <w:noProof/>
                <w:color w:val="000000" w:themeColor="text1"/>
                <w:sz w:val="18"/>
              </w:rPr>
              <w:t>ach tej inwestycji na potrzeby podmiejskiego transportu publicznego/transportu publicznego na obszarach wiejskich.</w:t>
            </w:r>
          </w:p>
          <w:p w14:paraId="630EE0A3" w14:textId="4B37639F" w:rsidR="008B327F" w:rsidRPr="00A33B9F" w:rsidRDefault="008B327F" w:rsidP="004702A5">
            <w:pPr>
              <w:spacing w:after="120" w:line="240" w:lineRule="auto"/>
              <w:rPr>
                <w:rFonts w:ascii="Times New Roman" w:eastAsia="Times New Roman" w:hAnsi="Times New Roman" w:cs="Times New Roman"/>
                <w:noProof/>
              </w:rPr>
            </w:pPr>
            <w:r w:rsidRPr="00A33B9F">
              <w:rPr>
                <w:rFonts w:ascii="Times New Roman" w:hAnsi="Times New Roman"/>
                <w:noProof/>
                <w:color w:val="000000" w:themeColor="text1"/>
                <w:sz w:val="18"/>
              </w:rPr>
              <w:t>Zamówienia na autobusy będą udzielane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przetargów otwartych</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kurencyjnych.</w:t>
            </w:r>
          </w:p>
          <w:p w14:paraId="77B86680" w14:textId="765C1403" w:rsidR="008B327F" w:rsidRPr="00A33B9F" w:rsidRDefault="5F2B0BA7" w:rsidP="008B327F">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 autobusów niskoemisyjnych nie może przekraczać 363 szt.</w:t>
            </w:r>
          </w:p>
        </w:tc>
      </w:tr>
      <w:tr w:rsidR="008C116B" w:rsidRPr="00A33B9F" w14:paraId="63AD4AE5" w14:textId="77777777" w:rsidTr="4BF78996">
        <w:tc>
          <w:tcPr>
            <w:tcW w:w="655" w:type="dxa"/>
            <w:shd w:val="clear" w:color="auto" w:fill="C6EFCE"/>
          </w:tcPr>
          <w:p w14:paraId="4BDA9431" w14:textId="2AEB5ED0"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E15G</w:t>
            </w:r>
          </w:p>
        </w:tc>
        <w:tc>
          <w:tcPr>
            <w:tcW w:w="1280" w:type="dxa"/>
            <w:shd w:val="clear" w:color="auto" w:fill="C6EFCE"/>
          </w:tcPr>
          <w:p w14:paraId="160E0470" w14:textId="29ABD4F8"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E2.1 Zwiększenie konkurencyjności sektora kolejowego</w:t>
            </w:r>
          </w:p>
        </w:tc>
        <w:tc>
          <w:tcPr>
            <w:tcW w:w="1027" w:type="dxa"/>
            <w:shd w:val="clear" w:color="auto" w:fill="C6EFCE"/>
          </w:tcPr>
          <w:p w14:paraId="1BAB73CA"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029" w:type="dxa"/>
            <w:shd w:val="clear" w:color="auto" w:fill="C6EFCE"/>
          </w:tcPr>
          <w:p w14:paraId="68C50A65" w14:textId="1305CE5D"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ustawy</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tra</w:t>
            </w:r>
            <w:r w:rsidRPr="00A33B9F">
              <w:rPr>
                <w:rFonts w:ascii="Times New Roman" w:hAnsi="Times New Roman"/>
                <w:noProof/>
                <w:color w:val="000000" w:themeColor="text1"/>
                <w:sz w:val="18"/>
              </w:rPr>
              <w:t>nsporcie kolejowym zapewniającej odporność przewoźników kolejowych. Decyzja ministerialna</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ustalenia priorytetów dla transportu intermodalnego oraz usunięcia wąskich gardeł</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zwiększenia przepustowości kolei.</w:t>
            </w:r>
          </w:p>
        </w:tc>
        <w:tc>
          <w:tcPr>
            <w:tcW w:w="1279" w:type="dxa"/>
            <w:shd w:val="clear" w:color="auto" w:fill="C6EFCE"/>
          </w:tcPr>
          <w:p w14:paraId="68F33769" w14:textId="66F50479"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Przepis</w:t>
            </w:r>
            <w:r w:rsidR="00A33B9F" w:rsidRPr="00A33B9F">
              <w:rPr>
                <w:rFonts w:ascii="Times New Roman" w:hAnsi="Times New Roman"/>
                <w:noProof/>
                <w:color w:val="000000" w:themeColor="text1"/>
                <w:sz w:val="18"/>
              </w:rPr>
              <w:t xml:space="preserve"> w ust</w:t>
            </w:r>
            <w:r w:rsidRPr="00A33B9F">
              <w:rPr>
                <w:rFonts w:ascii="Times New Roman" w:hAnsi="Times New Roman"/>
                <w:noProof/>
                <w:color w:val="000000" w:themeColor="text1"/>
                <w:sz w:val="18"/>
              </w:rPr>
              <w:t>awie</w:t>
            </w:r>
            <w:r w:rsidR="00A33B9F" w:rsidRPr="00A33B9F">
              <w:rPr>
                <w:rFonts w:ascii="Times New Roman" w:hAnsi="Times New Roman"/>
                <w:noProof/>
                <w:color w:val="000000" w:themeColor="text1"/>
                <w:sz w:val="18"/>
              </w:rPr>
              <w:t xml:space="preserve"> o zmi</w:t>
            </w:r>
            <w:r w:rsidRPr="00A33B9F">
              <w:rPr>
                <w:rFonts w:ascii="Times New Roman" w:hAnsi="Times New Roman"/>
                <w:noProof/>
                <w:color w:val="000000" w:themeColor="text1"/>
                <w:sz w:val="18"/>
              </w:rPr>
              <w:t>anie ustawy</w:t>
            </w:r>
            <w:r w:rsidR="00A33B9F" w:rsidRPr="00A33B9F">
              <w:rPr>
                <w:rFonts w:ascii="Times New Roman" w:hAnsi="Times New Roman"/>
                <w:noProof/>
                <w:color w:val="000000" w:themeColor="text1"/>
                <w:sz w:val="18"/>
              </w:rPr>
              <w:t xml:space="preserve"> o tra</w:t>
            </w:r>
            <w:r w:rsidRPr="00A33B9F">
              <w:rPr>
                <w:rFonts w:ascii="Times New Roman" w:hAnsi="Times New Roman"/>
                <w:noProof/>
                <w:color w:val="000000" w:themeColor="text1"/>
                <w:sz w:val="18"/>
              </w:rPr>
              <w:t>nsporcie kolejowym wskazujący na jej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oraz przyjęcie decyzji Ministra Infrastruktury</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 wąskich gardeł.</w:t>
            </w:r>
          </w:p>
        </w:tc>
        <w:tc>
          <w:tcPr>
            <w:tcW w:w="1221" w:type="dxa"/>
            <w:shd w:val="clear" w:color="auto" w:fill="C6EFCE"/>
          </w:tcPr>
          <w:p w14:paraId="556E7CAA"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016" w:type="dxa"/>
            <w:shd w:val="clear" w:color="auto" w:fill="C6EFCE"/>
          </w:tcPr>
          <w:p w14:paraId="316F37B8"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416" w:type="dxa"/>
            <w:shd w:val="clear" w:color="auto" w:fill="C6EFCE"/>
          </w:tcPr>
          <w:p w14:paraId="4045EC78"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02278CDB"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IV kw.</w:t>
            </w:r>
          </w:p>
        </w:tc>
        <w:tc>
          <w:tcPr>
            <w:tcW w:w="851" w:type="dxa"/>
            <w:shd w:val="clear" w:color="auto" w:fill="C6EFCE"/>
          </w:tcPr>
          <w:p w14:paraId="51843498"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2022</w:t>
            </w:r>
          </w:p>
        </w:tc>
        <w:tc>
          <w:tcPr>
            <w:tcW w:w="3685" w:type="dxa"/>
            <w:shd w:val="clear" w:color="auto" w:fill="C6EFCE"/>
          </w:tcPr>
          <w:p w14:paraId="07107456" w14:textId="1D46E6E5"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Akt ustawodawczy zmieniający ustawę</w:t>
            </w:r>
            <w:r w:rsidR="00A33B9F" w:rsidRPr="00A33B9F">
              <w:rPr>
                <w:rFonts w:ascii="Times New Roman" w:hAnsi="Times New Roman"/>
                <w:noProof/>
                <w:color w:val="000000" w:themeColor="text1"/>
                <w:sz w:val="18"/>
              </w:rPr>
              <w:t xml:space="preserve"> o tra</w:t>
            </w:r>
            <w:r w:rsidRPr="00A33B9F">
              <w:rPr>
                <w:rFonts w:ascii="Times New Roman" w:hAnsi="Times New Roman"/>
                <w:noProof/>
                <w:color w:val="000000" w:themeColor="text1"/>
                <w:sz w:val="18"/>
              </w:rPr>
              <w:t>nsporcie kolejowym pozwoli zarządcom infrastruktury na obniżenie opłat za dostęp do infrastruktury</w:t>
            </w:r>
            <w:r w:rsidR="00A33B9F" w:rsidRPr="00A33B9F">
              <w:rPr>
                <w:rFonts w:ascii="Times New Roman" w:hAnsi="Times New Roman"/>
                <w:noProof/>
                <w:color w:val="000000" w:themeColor="text1"/>
                <w:sz w:val="18"/>
              </w:rPr>
              <w:t xml:space="preserve"> i zre</w:t>
            </w:r>
            <w:r w:rsidRPr="00A33B9F">
              <w:rPr>
                <w:rFonts w:ascii="Times New Roman" w:hAnsi="Times New Roman"/>
                <w:noProof/>
                <w:color w:val="000000" w:themeColor="text1"/>
                <w:sz w:val="18"/>
              </w:rPr>
              <w:t>kompensuje im obniżenie opłat. Rozwój transportu intermodalnego będzie wspierany za pomocą następujących działań: planowanie, koordynacja programów, innowacje</w:t>
            </w:r>
            <w:r w:rsidR="00A33B9F" w:rsidRPr="00A33B9F">
              <w:rPr>
                <w:rFonts w:ascii="Times New Roman" w:hAnsi="Times New Roman"/>
                <w:noProof/>
                <w:color w:val="000000" w:themeColor="text1"/>
                <w:sz w:val="18"/>
              </w:rPr>
              <w:t xml:space="preserve"> i inw</w:t>
            </w:r>
            <w:r w:rsidRPr="00A33B9F">
              <w:rPr>
                <w:rFonts w:ascii="Times New Roman" w:hAnsi="Times New Roman"/>
                <w:noProof/>
                <w:color w:val="000000" w:themeColor="text1"/>
                <w:sz w:val="18"/>
              </w:rPr>
              <w:t>estycje prowadzące do zwiększenia przepustowości transportu intermodalnego,</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utworzenie komórki ds. transportu intermodalnego</w:t>
            </w:r>
            <w:r w:rsidR="00A33B9F" w:rsidRPr="00A33B9F">
              <w:rPr>
                <w:rFonts w:ascii="Times New Roman" w:hAnsi="Times New Roman"/>
                <w:noProof/>
                <w:color w:val="000000" w:themeColor="text1"/>
                <w:sz w:val="18"/>
              </w:rPr>
              <w:t xml:space="preserve"> w Min</w:t>
            </w:r>
            <w:r w:rsidRPr="00A33B9F">
              <w:rPr>
                <w:rFonts w:ascii="Times New Roman" w:hAnsi="Times New Roman"/>
                <w:noProof/>
                <w:color w:val="000000" w:themeColor="text1"/>
                <w:sz w:val="18"/>
              </w:rPr>
              <w:t>isterstwie Infrastruktury. Stan sieci zostanie poddany analizie ze szczególnym uwzględnieniem wąskich gardeł,</w:t>
            </w:r>
            <w:r w:rsidR="00A33B9F" w:rsidRPr="00A33B9F">
              <w:rPr>
                <w:rFonts w:ascii="Times New Roman" w:hAnsi="Times New Roman"/>
                <w:noProof/>
                <w:color w:val="000000" w:themeColor="text1"/>
                <w:sz w:val="18"/>
              </w:rPr>
              <w:t xml:space="preserve"> a Min</w:t>
            </w:r>
            <w:r w:rsidRPr="00A33B9F">
              <w:rPr>
                <w:rFonts w:ascii="Times New Roman" w:hAnsi="Times New Roman"/>
                <w:noProof/>
                <w:color w:val="000000" w:themeColor="text1"/>
                <w:sz w:val="18"/>
              </w:rPr>
              <w:t>ister Infrastruktury podejmie decyzję</w:t>
            </w:r>
            <w:r w:rsidR="00A33B9F" w:rsidRPr="00A33B9F">
              <w:rPr>
                <w:rFonts w:ascii="Times New Roman" w:hAnsi="Times New Roman"/>
                <w:noProof/>
                <w:color w:val="000000" w:themeColor="text1"/>
                <w:sz w:val="18"/>
              </w:rPr>
              <w:t xml:space="preserve"> o pri</w:t>
            </w:r>
            <w:r w:rsidRPr="00A33B9F">
              <w:rPr>
                <w:rFonts w:ascii="Times New Roman" w:hAnsi="Times New Roman"/>
                <w:noProof/>
                <w:color w:val="000000" w:themeColor="text1"/>
                <w:sz w:val="18"/>
              </w:rPr>
              <w:t>orytetach</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usuwania wąskich gardeł, co doprowadzi do zwiększenia przepustowości kolei.</w:t>
            </w:r>
          </w:p>
        </w:tc>
      </w:tr>
      <w:tr w:rsidR="008C116B" w:rsidRPr="00A33B9F" w14:paraId="713DE6F4" w14:textId="77777777" w:rsidTr="4BF78996">
        <w:tc>
          <w:tcPr>
            <w:tcW w:w="655" w:type="dxa"/>
            <w:shd w:val="clear" w:color="auto" w:fill="C6EFCE"/>
          </w:tcPr>
          <w:p w14:paraId="66A632B1" w14:textId="22A12CDD" w:rsidR="008B327F" w:rsidRPr="00A33B9F" w:rsidRDefault="16EBA752"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E16G</w:t>
            </w:r>
          </w:p>
        </w:tc>
        <w:tc>
          <w:tcPr>
            <w:tcW w:w="1280" w:type="dxa"/>
            <w:shd w:val="clear" w:color="auto" w:fill="C6EFCE"/>
          </w:tcPr>
          <w:p w14:paraId="16E0AFE9" w14:textId="238C836D"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E2.1 Zwiększenie konkurencyjności sektora kolejowego</w:t>
            </w:r>
          </w:p>
        </w:tc>
        <w:tc>
          <w:tcPr>
            <w:tcW w:w="1027" w:type="dxa"/>
            <w:shd w:val="clear" w:color="auto" w:fill="C6EFCE"/>
          </w:tcPr>
          <w:p w14:paraId="693219DD" w14:textId="77777777"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Wartość docelowa</w:t>
            </w:r>
          </w:p>
        </w:tc>
        <w:tc>
          <w:tcPr>
            <w:tcW w:w="2029" w:type="dxa"/>
            <w:shd w:val="clear" w:color="auto" w:fill="C6EFCE"/>
          </w:tcPr>
          <w:p w14:paraId="63DDC601" w14:textId="77777777"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Ustanowienie systemu opłat za przejazd na nowych drogach </w:t>
            </w:r>
          </w:p>
        </w:tc>
        <w:tc>
          <w:tcPr>
            <w:tcW w:w="1279" w:type="dxa"/>
            <w:shd w:val="clear" w:color="auto" w:fill="C6EFCE"/>
          </w:tcPr>
          <w:p w14:paraId="0343352F" w14:textId="77777777"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1221" w:type="dxa"/>
            <w:shd w:val="clear" w:color="auto" w:fill="C6EFCE"/>
          </w:tcPr>
          <w:p w14:paraId="29ACEA36" w14:textId="77777777"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km</w:t>
            </w:r>
          </w:p>
        </w:tc>
        <w:tc>
          <w:tcPr>
            <w:tcW w:w="1016" w:type="dxa"/>
            <w:shd w:val="clear" w:color="auto" w:fill="C6EFCE"/>
          </w:tcPr>
          <w:p w14:paraId="6CED564F" w14:textId="77777777" w:rsidR="008B327F" w:rsidRPr="00A33B9F" w:rsidRDefault="16EBA752"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0</w:t>
            </w:r>
          </w:p>
        </w:tc>
        <w:tc>
          <w:tcPr>
            <w:tcW w:w="1416" w:type="dxa"/>
            <w:shd w:val="clear" w:color="auto" w:fill="C6EFCE"/>
          </w:tcPr>
          <w:p w14:paraId="6BF47E81" w14:textId="674A92BF" w:rsidR="008B327F" w:rsidRPr="00A33B9F" w:rsidRDefault="16EBA752"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1 400</w:t>
            </w:r>
          </w:p>
        </w:tc>
        <w:tc>
          <w:tcPr>
            <w:tcW w:w="992" w:type="dxa"/>
            <w:shd w:val="clear" w:color="auto" w:fill="C6EFCE"/>
          </w:tcPr>
          <w:p w14:paraId="5477E878" w14:textId="7C167DB0" w:rsidR="008B327F" w:rsidRPr="00A33B9F" w:rsidRDefault="7002AD37" w:rsidP="4BF7899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851" w:type="dxa"/>
            <w:shd w:val="clear" w:color="auto" w:fill="C6EFCE"/>
          </w:tcPr>
          <w:p w14:paraId="1762CA94" w14:textId="2B7C76B7" w:rsidR="008B327F" w:rsidRPr="00A33B9F" w:rsidRDefault="7002AD37" w:rsidP="4BF7899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2023</w:t>
            </w:r>
          </w:p>
        </w:tc>
        <w:tc>
          <w:tcPr>
            <w:tcW w:w="3685" w:type="dxa"/>
            <w:shd w:val="clear" w:color="auto" w:fill="C6EFCE"/>
          </w:tcPr>
          <w:p w14:paraId="7BE00AE0" w14:textId="7807E40D"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Długość nowych dróg podlegających systemowi opłat za przejazd, obejmujących zarówno autostrady, jak</w:t>
            </w:r>
            <w:r w:rsidR="00A33B9F" w:rsidRPr="00A33B9F">
              <w:rPr>
                <w:rFonts w:ascii="Times New Roman" w:hAnsi="Times New Roman"/>
                <w:noProof/>
                <w:color w:val="000000" w:themeColor="text1"/>
                <w:sz w:val="18"/>
              </w:rPr>
              <w:t xml:space="preserve"> i dro</w:t>
            </w:r>
            <w:r w:rsidRPr="00A33B9F">
              <w:rPr>
                <w:rFonts w:ascii="Times New Roman" w:hAnsi="Times New Roman"/>
                <w:noProof/>
                <w:color w:val="000000" w:themeColor="text1"/>
                <w:sz w:val="18"/>
              </w:rPr>
              <w:t>gi ekspresowe.</w:t>
            </w:r>
          </w:p>
        </w:tc>
      </w:tr>
      <w:tr w:rsidR="008C116B" w:rsidRPr="00A33B9F" w14:paraId="0BC780DC" w14:textId="77777777" w:rsidTr="4BF78996">
        <w:tc>
          <w:tcPr>
            <w:tcW w:w="655" w:type="dxa"/>
            <w:shd w:val="clear" w:color="auto" w:fill="C6EFCE"/>
          </w:tcPr>
          <w:p w14:paraId="0D5B2726" w14:textId="1C42ED92"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E17G</w:t>
            </w:r>
          </w:p>
        </w:tc>
        <w:tc>
          <w:tcPr>
            <w:tcW w:w="1280" w:type="dxa"/>
            <w:shd w:val="clear" w:color="auto" w:fill="C6EFCE"/>
          </w:tcPr>
          <w:p w14:paraId="077D9E10" w14:textId="7ADEEE9D"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E2.1.1 Linie kolejowe</w:t>
            </w:r>
          </w:p>
        </w:tc>
        <w:tc>
          <w:tcPr>
            <w:tcW w:w="1027" w:type="dxa"/>
            <w:shd w:val="clear" w:color="auto" w:fill="C6EFCE"/>
          </w:tcPr>
          <w:p w14:paraId="49181850"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029" w:type="dxa"/>
            <w:shd w:val="clear" w:color="auto" w:fill="C6EFCE"/>
          </w:tcPr>
          <w:p w14:paraId="6632026D" w14:textId="72B18B3C"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Podpisywanie umów</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otwartych</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kurencyjnych przetargów</w:t>
            </w:r>
          </w:p>
        </w:tc>
        <w:tc>
          <w:tcPr>
            <w:tcW w:w="1279" w:type="dxa"/>
            <w:shd w:val="clear" w:color="auto" w:fill="C6EFCE"/>
          </w:tcPr>
          <w:p w14:paraId="43A1D4BA" w14:textId="5CC73F10"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Podpisane umowy </w:t>
            </w:r>
          </w:p>
        </w:tc>
        <w:tc>
          <w:tcPr>
            <w:tcW w:w="1221" w:type="dxa"/>
            <w:shd w:val="clear" w:color="auto" w:fill="C6EFCE"/>
          </w:tcPr>
          <w:p w14:paraId="3777E238"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016" w:type="dxa"/>
            <w:shd w:val="clear" w:color="auto" w:fill="C6EFCE"/>
          </w:tcPr>
          <w:p w14:paraId="5CD0C122"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416" w:type="dxa"/>
            <w:shd w:val="clear" w:color="auto" w:fill="C6EFCE"/>
          </w:tcPr>
          <w:p w14:paraId="76CC0FB2"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3F0C8C6B" w14:textId="6E64B62A"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851" w:type="dxa"/>
            <w:shd w:val="clear" w:color="auto" w:fill="C6EFCE"/>
          </w:tcPr>
          <w:p w14:paraId="2641C54D"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2024</w:t>
            </w:r>
          </w:p>
        </w:tc>
        <w:tc>
          <w:tcPr>
            <w:tcW w:w="3685" w:type="dxa"/>
            <w:shd w:val="clear" w:color="auto" w:fill="C6EFCE"/>
          </w:tcPr>
          <w:p w14:paraId="11C56FDA" w14:textId="3EC61CBE"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Podpisanie umów na modernizację 478 km linii kolejowych zgodnie ze standardami TEN-T oraz elektryfikację. Wykonawcy przeprowadzający modernizację infrastruktury kolejowej zostaną wyłonieni na podstawie przepisów Prawa Zamówień Publicznych</w:t>
            </w:r>
            <w:r w:rsidR="00A33B9F" w:rsidRPr="00A33B9F">
              <w:rPr>
                <w:rFonts w:ascii="Times New Roman" w:hAnsi="Times New Roman"/>
                <w:noProof/>
                <w:color w:val="000000" w:themeColor="text1"/>
                <w:sz w:val="18"/>
              </w:rPr>
              <w:t xml:space="preserve"> w mod</w:t>
            </w:r>
            <w:r w:rsidRPr="00A33B9F">
              <w:rPr>
                <w:rFonts w:ascii="Times New Roman" w:hAnsi="Times New Roman"/>
                <w:noProof/>
                <w:color w:val="000000" w:themeColor="text1"/>
                <w:sz w:val="18"/>
              </w:rPr>
              <w:t>elu konkurencyjnym. Zamówienia będą dotyczyć głównych robót na liniach.</w:t>
            </w:r>
          </w:p>
        </w:tc>
      </w:tr>
      <w:tr w:rsidR="008C116B" w:rsidRPr="00A33B9F" w14:paraId="761B0A68" w14:textId="77777777" w:rsidTr="4BF78996">
        <w:tc>
          <w:tcPr>
            <w:tcW w:w="655" w:type="dxa"/>
            <w:shd w:val="clear" w:color="auto" w:fill="C6EFCE"/>
          </w:tcPr>
          <w:p w14:paraId="252A9252" w14:textId="4EA0BC9D"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E18G</w:t>
            </w:r>
          </w:p>
        </w:tc>
        <w:tc>
          <w:tcPr>
            <w:tcW w:w="1280" w:type="dxa"/>
            <w:shd w:val="clear" w:color="auto" w:fill="C6EFCE"/>
          </w:tcPr>
          <w:p w14:paraId="5BFAEB5D" w14:textId="4125D1C1"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E2.1.1 Linie kolejowe</w:t>
            </w:r>
          </w:p>
        </w:tc>
        <w:tc>
          <w:tcPr>
            <w:tcW w:w="1027" w:type="dxa"/>
            <w:shd w:val="clear" w:color="auto" w:fill="C6EFCE"/>
          </w:tcPr>
          <w:p w14:paraId="2003C657"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7EB1F2AE" w14:textId="186810D8"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Modernizacja 478 km linii kolejowych,</w:t>
            </w:r>
            <w:r w:rsidR="00A33B9F" w:rsidRPr="00A33B9F">
              <w:rPr>
                <w:rFonts w:ascii="Times New Roman" w:hAnsi="Times New Roman"/>
                <w:noProof/>
                <w:color w:val="000000" w:themeColor="text1"/>
                <w:sz w:val="18"/>
              </w:rPr>
              <w:t xml:space="preserve"> w tym </w:t>
            </w:r>
            <w:r w:rsidRPr="00A33B9F">
              <w:rPr>
                <w:rFonts w:ascii="Times New Roman" w:hAnsi="Times New Roman"/>
                <w:noProof/>
                <w:color w:val="000000" w:themeColor="text1"/>
                <w:sz w:val="18"/>
              </w:rPr>
              <w:t xml:space="preserve">300 km zgodnie ze standardami TEN-T </w:t>
            </w:r>
          </w:p>
        </w:tc>
        <w:tc>
          <w:tcPr>
            <w:tcW w:w="1279" w:type="dxa"/>
            <w:shd w:val="clear" w:color="auto" w:fill="C6EFCE"/>
          </w:tcPr>
          <w:p w14:paraId="78BD2404"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4ADA8BF7"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55059D96"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526CA199" w14:textId="18C12762"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478</w:t>
            </w:r>
          </w:p>
        </w:tc>
        <w:tc>
          <w:tcPr>
            <w:tcW w:w="992" w:type="dxa"/>
            <w:shd w:val="clear" w:color="auto" w:fill="C6EFCE"/>
          </w:tcPr>
          <w:p w14:paraId="15D07981"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76C682F1"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6AE87DB1" w14:textId="0EC8F69A" w:rsidR="008B327F" w:rsidRPr="00A33B9F" w:rsidRDefault="11326EA2" w:rsidP="079DCE0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Zakończenie prac unowocześniających na</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478 km linii kolejowych, polegających na dostosowaniu 300 km do wymogów sieci TEN-T (z czego 200 km na sieci bazowej TEN-T); 180 km linii zostanie przystosowanych do wprowadzenia prędkości 250 km/h dla pociągów pasażerskich, na</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245 km możliwa będzie jazda pociągami towarowymi</w:t>
            </w:r>
            <w:r w:rsidR="00A33B9F" w:rsidRPr="00A33B9F">
              <w:rPr>
                <w:rFonts w:ascii="Times New Roman" w:hAnsi="Times New Roman"/>
                <w:noProof/>
                <w:color w:val="000000" w:themeColor="text1"/>
                <w:sz w:val="18"/>
              </w:rPr>
              <w:t xml:space="preserve"> z prę</w:t>
            </w:r>
            <w:r w:rsidRPr="00A33B9F">
              <w:rPr>
                <w:rFonts w:ascii="Times New Roman" w:hAnsi="Times New Roman"/>
                <w:noProof/>
                <w:color w:val="000000" w:themeColor="text1"/>
                <w:sz w:val="18"/>
              </w:rPr>
              <w:t>dkością 100 km/h, 120 km linii zostanie zelektryfikowanych, 70 km zostanie zmodernizowanych na potrzeby osiągania prędkości 160 km/h.</w:t>
            </w:r>
          </w:p>
        </w:tc>
      </w:tr>
      <w:tr w:rsidR="008C116B" w:rsidRPr="00A33B9F" w14:paraId="3E963BA6" w14:textId="77777777" w:rsidTr="4BF78996">
        <w:tc>
          <w:tcPr>
            <w:tcW w:w="655" w:type="dxa"/>
            <w:shd w:val="clear" w:color="auto" w:fill="C6EFCE"/>
          </w:tcPr>
          <w:p w14:paraId="3E4741B9" w14:textId="0770A892"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E19G</w:t>
            </w:r>
          </w:p>
        </w:tc>
        <w:tc>
          <w:tcPr>
            <w:tcW w:w="1280" w:type="dxa"/>
            <w:shd w:val="clear" w:color="auto" w:fill="C6EFCE"/>
          </w:tcPr>
          <w:p w14:paraId="332B5D37"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E2.1.2 Pasażerski tabor kolejowy</w:t>
            </w:r>
          </w:p>
        </w:tc>
        <w:tc>
          <w:tcPr>
            <w:tcW w:w="1027" w:type="dxa"/>
            <w:shd w:val="clear" w:color="auto" w:fill="C6EFCE"/>
          </w:tcPr>
          <w:p w14:paraId="26B9D3C9"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029" w:type="dxa"/>
            <w:shd w:val="clear" w:color="auto" w:fill="C6EFCE"/>
          </w:tcPr>
          <w:p w14:paraId="22058B5A" w14:textId="5D1BAF9D"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Podpisanie umów dotyczących pasażerskiego taboru kolejowego</w:t>
            </w:r>
          </w:p>
        </w:tc>
        <w:tc>
          <w:tcPr>
            <w:tcW w:w="1279" w:type="dxa"/>
            <w:shd w:val="clear" w:color="auto" w:fill="C6EFCE"/>
          </w:tcPr>
          <w:p w14:paraId="11040A48" w14:textId="4EB5B692"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Podpisane umowy</w:t>
            </w:r>
          </w:p>
        </w:tc>
        <w:tc>
          <w:tcPr>
            <w:tcW w:w="1221" w:type="dxa"/>
            <w:shd w:val="clear" w:color="auto" w:fill="C6EFCE"/>
          </w:tcPr>
          <w:p w14:paraId="6E15FBF9"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016" w:type="dxa"/>
            <w:shd w:val="clear" w:color="auto" w:fill="C6EFCE"/>
          </w:tcPr>
          <w:p w14:paraId="0AC27F05"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416" w:type="dxa"/>
            <w:shd w:val="clear" w:color="auto" w:fill="C6EFCE"/>
          </w:tcPr>
          <w:p w14:paraId="055F0112"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41B561BE" w14:textId="5901723E" w:rsidR="008B327F" w:rsidRPr="00A33B9F" w:rsidRDefault="16EBA752"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 kw.</w:t>
            </w:r>
          </w:p>
        </w:tc>
        <w:tc>
          <w:tcPr>
            <w:tcW w:w="851" w:type="dxa"/>
            <w:shd w:val="clear" w:color="auto" w:fill="C6EFCE"/>
          </w:tcPr>
          <w:p w14:paraId="53ECD6F9" w14:textId="27888E11" w:rsidR="008B327F" w:rsidRPr="00A33B9F" w:rsidRDefault="16EBA752"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2024</w:t>
            </w:r>
          </w:p>
        </w:tc>
        <w:tc>
          <w:tcPr>
            <w:tcW w:w="3685" w:type="dxa"/>
            <w:shd w:val="clear" w:color="auto" w:fill="C6EFCE"/>
          </w:tcPr>
          <w:p w14:paraId="5CDD8882" w14:textId="29DF45C2"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Projekty zostaną wybrane na podstawie konkurencyjnego</w:t>
            </w:r>
            <w:r w:rsidR="00A33B9F" w:rsidRPr="00A33B9F">
              <w:rPr>
                <w:rFonts w:ascii="Times New Roman" w:hAnsi="Times New Roman"/>
                <w:noProof/>
                <w:color w:val="000000" w:themeColor="text1"/>
                <w:sz w:val="18"/>
              </w:rPr>
              <w:t xml:space="preserve"> i otw</w:t>
            </w:r>
            <w:r w:rsidRPr="00A33B9F">
              <w:rPr>
                <w:rFonts w:ascii="Times New Roman" w:hAnsi="Times New Roman"/>
                <w:noProof/>
                <w:color w:val="000000" w:themeColor="text1"/>
                <w:sz w:val="18"/>
              </w:rPr>
              <w:t>artego zaproszenia do składania wniosków. Po przeprowadzeniu konkursu</w:t>
            </w:r>
            <w:r w:rsidR="00A33B9F" w:rsidRPr="00A33B9F">
              <w:rPr>
                <w:rFonts w:ascii="Times New Roman" w:hAnsi="Times New Roman"/>
                <w:noProof/>
                <w:color w:val="000000" w:themeColor="text1"/>
                <w:sz w:val="18"/>
              </w:rPr>
              <w:t xml:space="preserve"> z wyb</w:t>
            </w:r>
            <w:r w:rsidRPr="00A33B9F">
              <w:rPr>
                <w:rFonts w:ascii="Times New Roman" w:hAnsi="Times New Roman"/>
                <w:noProof/>
                <w:color w:val="000000" w:themeColor="text1"/>
                <w:sz w:val="18"/>
              </w:rPr>
              <w:t xml:space="preserve">ranymi beneficjentami podpisane zostaną umowy na dostawę 71 jednostek zeroemisyjnego/elektrycznego taboru wyposażonych w ERTMS dla regionalnych kolejowych przewozów pasażerskich. Dodatkowo </w:t>
            </w:r>
            <w:r w:rsidRPr="00A33B9F">
              <w:rPr>
                <w:rFonts w:ascii="Times New Roman" w:hAnsi="Times New Roman"/>
                <w:noProof/>
                <w:sz w:val="18"/>
              </w:rPr>
              <w:t>przedmiotem umów zawartych z PKP IC – operatorem pociągów dalekobieżnych –</w:t>
            </w:r>
            <w:r w:rsidRPr="00A33B9F">
              <w:rPr>
                <w:rFonts w:ascii="Times New Roman" w:hAnsi="Times New Roman"/>
                <w:noProof/>
                <w:color w:val="000000" w:themeColor="text1"/>
                <w:sz w:val="18"/>
              </w:rPr>
              <w:t xml:space="preserve"> będzie 304 jednostek elektrycznego taboru kolejowego (56 nowych lokomotyw</w:t>
            </w:r>
            <w:r w:rsidR="00A33B9F" w:rsidRPr="00A33B9F">
              <w:rPr>
                <w:rFonts w:ascii="Times New Roman" w:hAnsi="Times New Roman"/>
                <w:noProof/>
                <w:color w:val="000000" w:themeColor="text1"/>
                <w:sz w:val="18"/>
              </w:rPr>
              <w:t xml:space="preserve"> i 2</w:t>
            </w:r>
            <w:r w:rsidRPr="00A33B9F">
              <w:rPr>
                <w:rFonts w:ascii="Times New Roman" w:hAnsi="Times New Roman"/>
                <w:noProof/>
                <w:color w:val="000000" w:themeColor="text1"/>
                <w:sz w:val="18"/>
              </w:rPr>
              <w:t>48 zmodernizowanych wagonów).</w:t>
            </w:r>
          </w:p>
        </w:tc>
      </w:tr>
      <w:tr w:rsidR="008C116B" w:rsidRPr="00A33B9F" w14:paraId="516B4C97" w14:textId="77777777" w:rsidTr="4BF78996">
        <w:trPr>
          <w:trHeight w:val="300"/>
        </w:trPr>
        <w:tc>
          <w:tcPr>
            <w:tcW w:w="655" w:type="dxa"/>
            <w:shd w:val="clear" w:color="auto" w:fill="C6EFCE"/>
          </w:tcPr>
          <w:p w14:paraId="049C487D" w14:textId="79419392" w:rsidR="56F0C37D" w:rsidRPr="00A33B9F" w:rsidRDefault="56F0C37D" w:rsidP="006A29EA">
            <w:pPr>
              <w:pStyle w:val="Normal0"/>
              <w:spacing w:line="240" w:lineRule="auto"/>
              <w:jc w:val="center"/>
              <w:rPr>
                <w:rFonts w:ascii="Times New Roman" w:hAnsi="Times New Roman" w:cs="Times New Roman"/>
                <w:noProof/>
                <w:sz w:val="18"/>
                <w:szCs w:val="18"/>
              </w:rPr>
            </w:pPr>
            <w:r w:rsidRPr="00A33B9F">
              <w:rPr>
                <w:rFonts w:ascii="Times New Roman" w:hAnsi="Times New Roman"/>
                <w:noProof/>
                <w:sz w:val="18"/>
              </w:rPr>
              <w:t>E19aG</w:t>
            </w:r>
          </w:p>
        </w:tc>
        <w:tc>
          <w:tcPr>
            <w:tcW w:w="1280" w:type="dxa"/>
            <w:shd w:val="clear" w:color="auto" w:fill="C6EFCE"/>
          </w:tcPr>
          <w:p w14:paraId="44707C78" w14:textId="77777777" w:rsidR="56F0C37D" w:rsidRPr="00A33B9F" w:rsidRDefault="56F0C37D" w:rsidP="4BF78996">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E2.1.2 Pasażerski tabor kolejowy</w:t>
            </w:r>
          </w:p>
          <w:p w14:paraId="76B94BFC" w14:textId="5891C99E" w:rsidR="4BF78996" w:rsidRPr="00A33B9F" w:rsidRDefault="4BF78996" w:rsidP="4BF78996">
            <w:pPr>
              <w:pStyle w:val="Normal0"/>
              <w:spacing w:line="240" w:lineRule="auto"/>
              <w:rPr>
                <w:rFonts w:ascii="Times New Roman" w:eastAsia="Times New Roman" w:hAnsi="Times New Roman" w:cs="Times New Roman"/>
                <w:noProof/>
                <w:color w:val="000000" w:themeColor="text1"/>
                <w:sz w:val="18"/>
                <w:szCs w:val="18"/>
              </w:rPr>
            </w:pPr>
          </w:p>
        </w:tc>
        <w:tc>
          <w:tcPr>
            <w:tcW w:w="1027" w:type="dxa"/>
            <w:shd w:val="clear" w:color="auto" w:fill="C6EFCE"/>
          </w:tcPr>
          <w:p w14:paraId="372DA257" w14:textId="10938C43" w:rsidR="56F0C37D" w:rsidRPr="00A33B9F" w:rsidRDefault="56F0C37D" w:rsidP="006A29EA">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Wartość docelowa</w:t>
            </w:r>
          </w:p>
        </w:tc>
        <w:tc>
          <w:tcPr>
            <w:tcW w:w="2029" w:type="dxa"/>
            <w:shd w:val="clear" w:color="auto" w:fill="C6EFCE"/>
          </w:tcPr>
          <w:p w14:paraId="1276ED8F" w14:textId="17FB822B" w:rsidR="56F0C37D" w:rsidRPr="00A33B9F" w:rsidRDefault="56F0C37D" w:rsidP="4BF78996">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Elektryczny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osażony w ERTMS tabor dostarczony do wykorzystania na długodystansowych liniach kolejowych</w:t>
            </w:r>
          </w:p>
          <w:p w14:paraId="66255581" w14:textId="1AD9DCB3" w:rsidR="4BF78996" w:rsidRPr="00A33B9F" w:rsidRDefault="4BF78996" w:rsidP="4BF78996">
            <w:pPr>
              <w:pStyle w:val="Normal0"/>
              <w:spacing w:line="240" w:lineRule="auto"/>
              <w:rPr>
                <w:rFonts w:ascii="Times New Roman" w:eastAsia="Times New Roman" w:hAnsi="Times New Roman" w:cs="Times New Roman"/>
                <w:noProof/>
                <w:color w:val="000000" w:themeColor="text1"/>
                <w:sz w:val="18"/>
                <w:szCs w:val="18"/>
              </w:rPr>
            </w:pPr>
          </w:p>
        </w:tc>
        <w:tc>
          <w:tcPr>
            <w:tcW w:w="1279" w:type="dxa"/>
            <w:shd w:val="clear" w:color="auto" w:fill="C6EFCE"/>
          </w:tcPr>
          <w:p w14:paraId="5BB04A8D" w14:textId="0EB2274C" w:rsidR="4BF78996" w:rsidRPr="00A33B9F" w:rsidRDefault="4BF78996" w:rsidP="006A29EA">
            <w:pPr>
              <w:pStyle w:val="Normal0"/>
              <w:spacing w:line="240" w:lineRule="auto"/>
              <w:rPr>
                <w:rFonts w:ascii="Times New Roman" w:eastAsia="Times New Roman" w:hAnsi="Times New Roman" w:cs="Times New Roman"/>
                <w:noProof/>
                <w:color w:val="000000" w:themeColor="text1"/>
                <w:sz w:val="18"/>
                <w:szCs w:val="18"/>
              </w:rPr>
            </w:pPr>
          </w:p>
        </w:tc>
        <w:tc>
          <w:tcPr>
            <w:tcW w:w="1221" w:type="dxa"/>
            <w:shd w:val="clear" w:color="auto" w:fill="C6EFCE"/>
          </w:tcPr>
          <w:p w14:paraId="4E2F6858" w14:textId="493FD407" w:rsidR="56F0C37D" w:rsidRPr="00A33B9F" w:rsidRDefault="56F0C37D" w:rsidP="006A29EA">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Liczba</w:t>
            </w:r>
          </w:p>
        </w:tc>
        <w:tc>
          <w:tcPr>
            <w:tcW w:w="1016" w:type="dxa"/>
            <w:shd w:val="clear" w:color="auto" w:fill="C6EFCE"/>
          </w:tcPr>
          <w:p w14:paraId="36408533" w14:textId="1BB1202E" w:rsidR="56F0C37D" w:rsidRPr="00A33B9F" w:rsidRDefault="56F0C37D" w:rsidP="006A29EA">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0</w:t>
            </w:r>
          </w:p>
        </w:tc>
        <w:tc>
          <w:tcPr>
            <w:tcW w:w="1416" w:type="dxa"/>
            <w:shd w:val="clear" w:color="auto" w:fill="C6EFCE"/>
          </w:tcPr>
          <w:p w14:paraId="59407743" w14:textId="425E42AE" w:rsidR="56F0C37D" w:rsidRPr="00A33B9F" w:rsidRDefault="56F0C37D" w:rsidP="006A29EA">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199</w:t>
            </w:r>
          </w:p>
        </w:tc>
        <w:tc>
          <w:tcPr>
            <w:tcW w:w="992" w:type="dxa"/>
            <w:shd w:val="clear" w:color="auto" w:fill="C6EFCE"/>
          </w:tcPr>
          <w:p w14:paraId="2F4409D5" w14:textId="2AF2BADE" w:rsidR="24FB8F8C" w:rsidRPr="00A33B9F" w:rsidRDefault="24FB8F8C" w:rsidP="006A29EA">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51" w:type="dxa"/>
            <w:shd w:val="clear" w:color="auto" w:fill="C6EFCE"/>
          </w:tcPr>
          <w:p w14:paraId="47715760" w14:textId="2E15CA1C" w:rsidR="24FB8F8C" w:rsidRPr="00A33B9F" w:rsidRDefault="24FB8F8C" w:rsidP="006A29EA">
            <w:pPr>
              <w:pStyle w:val="Normal0"/>
              <w:spacing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2025</w:t>
            </w:r>
          </w:p>
        </w:tc>
        <w:tc>
          <w:tcPr>
            <w:tcW w:w="3685" w:type="dxa"/>
            <w:shd w:val="clear" w:color="auto" w:fill="C6EFCE"/>
          </w:tcPr>
          <w:p w14:paraId="78A573D5" w14:textId="2043ED71" w:rsidR="24FB8F8C" w:rsidRPr="00A33B9F" w:rsidRDefault="24FB8F8C" w:rsidP="4BF78996">
            <w:pPr>
              <w:pStyle w:val="Normal0"/>
              <w:spacing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Dostawa 16 nowych lokomotyw</w:t>
            </w:r>
            <w:r w:rsidR="00A33B9F" w:rsidRPr="00A33B9F">
              <w:rPr>
                <w:rFonts w:ascii="Times New Roman" w:hAnsi="Times New Roman"/>
                <w:noProof/>
                <w:color w:val="000000" w:themeColor="text1"/>
                <w:sz w:val="18"/>
              </w:rPr>
              <w:t xml:space="preserve"> i 1</w:t>
            </w:r>
            <w:r w:rsidRPr="00A33B9F">
              <w:rPr>
                <w:rFonts w:ascii="Times New Roman" w:hAnsi="Times New Roman"/>
                <w:noProof/>
                <w:color w:val="000000" w:themeColor="text1"/>
                <w:sz w:val="18"/>
              </w:rPr>
              <w:t>83 zmodernizowanych wagonów przeznaczonych na linie długodystansowe.</w:t>
            </w:r>
          </w:p>
          <w:p w14:paraId="119F1387" w14:textId="3318A171" w:rsidR="4BF78996" w:rsidRPr="00A33B9F" w:rsidRDefault="4BF78996" w:rsidP="4BF78996">
            <w:pPr>
              <w:pStyle w:val="Normal0"/>
              <w:spacing w:line="240" w:lineRule="auto"/>
              <w:rPr>
                <w:rFonts w:ascii="Times New Roman" w:eastAsia="Times New Roman" w:hAnsi="Times New Roman" w:cs="Times New Roman"/>
                <w:noProof/>
                <w:color w:val="000000" w:themeColor="text1"/>
                <w:sz w:val="18"/>
                <w:szCs w:val="18"/>
              </w:rPr>
            </w:pPr>
          </w:p>
        </w:tc>
      </w:tr>
      <w:tr w:rsidR="008C116B" w:rsidRPr="00A33B9F" w14:paraId="06565939" w14:textId="77777777" w:rsidTr="4BF78996">
        <w:tc>
          <w:tcPr>
            <w:tcW w:w="655" w:type="dxa"/>
            <w:shd w:val="clear" w:color="auto" w:fill="C6EFCE"/>
          </w:tcPr>
          <w:p w14:paraId="5C8738AC" w14:textId="07FF9673"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E20G</w:t>
            </w:r>
          </w:p>
        </w:tc>
        <w:tc>
          <w:tcPr>
            <w:tcW w:w="1280" w:type="dxa"/>
            <w:shd w:val="clear" w:color="auto" w:fill="C6EFCE"/>
          </w:tcPr>
          <w:p w14:paraId="6C8075A9"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E2.1.2 Pasażerski tabor kolejowy</w:t>
            </w:r>
          </w:p>
        </w:tc>
        <w:tc>
          <w:tcPr>
            <w:tcW w:w="1027" w:type="dxa"/>
            <w:shd w:val="clear" w:color="auto" w:fill="C6EFCE"/>
          </w:tcPr>
          <w:p w14:paraId="570E7F9F"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7432032B" w14:textId="39AAB4E6"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Elektryczny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osażony w ERTMS tabor dostarczony do wykorzystania na regionalnych</w:t>
            </w:r>
            <w:r w:rsidR="00A33B9F" w:rsidRPr="00A33B9F">
              <w:rPr>
                <w:rFonts w:ascii="Times New Roman" w:hAnsi="Times New Roman"/>
                <w:noProof/>
                <w:color w:val="000000" w:themeColor="text1"/>
                <w:sz w:val="18"/>
              </w:rPr>
              <w:t xml:space="preserve"> i dłu</w:t>
            </w:r>
            <w:r w:rsidRPr="00A33B9F">
              <w:rPr>
                <w:rFonts w:ascii="Times New Roman" w:hAnsi="Times New Roman"/>
                <w:noProof/>
                <w:color w:val="000000" w:themeColor="text1"/>
                <w:sz w:val="18"/>
              </w:rPr>
              <w:t>godystansowych liniach kolejowych</w:t>
            </w:r>
          </w:p>
        </w:tc>
        <w:tc>
          <w:tcPr>
            <w:tcW w:w="1279" w:type="dxa"/>
            <w:shd w:val="clear" w:color="auto" w:fill="C6EFCE"/>
          </w:tcPr>
          <w:p w14:paraId="17681678"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7C769DF6"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55B3BC3C" w14:textId="541B0931" w:rsidR="008B327F" w:rsidRPr="00A33B9F" w:rsidRDefault="479FD80E" w:rsidP="4BF78996">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199</w:t>
            </w:r>
          </w:p>
        </w:tc>
        <w:tc>
          <w:tcPr>
            <w:tcW w:w="1416" w:type="dxa"/>
            <w:shd w:val="clear" w:color="auto" w:fill="C6EFCE"/>
          </w:tcPr>
          <w:p w14:paraId="0898F794" w14:textId="62B43515" w:rsidR="008B327F" w:rsidRPr="00A33B9F" w:rsidRDefault="2CD3EC05"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381</w:t>
            </w:r>
          </w:p>
        </w:tc>
        <w:tc>
          <w:tcPr>
            <w:tcW w:w="992" w:type="dxa"/>
            <w:shd w:val="clear" w:color="auto" w:fill="C6EFCE"/>
          </w:tcPr>
          <w:p w14:paraId="16176451"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46FD8213"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798A05FB" w14:textId="3FA8994A" w:rsidR="008B327F" w:rsidRPr="00A33B9F" w:rsidRDefault="7D09C28A" w:rsidP="4220C766">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Liczba dostarczonych nowych jednostek taboru kolejowego dla przewozów długodystansowych</w:t>
            </w:r>
            <w:r w:rsidR="00A33B9F" w:rsidRPr="00A33B9F">
              <w:rPr>
                <w:rFonts w:ascii="Times New Roman" w:hAnsi="Times New Roman"/>
                <w:noProof/>
                <w:color w:val="000000" w:themeColor="text1"/>
                <w:sz w:val="18"/>
              </w:rPr>
              <w:t xml:space="preserve"> i reg</w:t>
            </w:r>
            <w:r w:rsidRPr="00A33B9F">
              <w:rPr>
                <w:rFonts w:ascii="Times New Roman" w:hAnsi="Times New Roman"/>
                <w:noProof/>
                <w:color w:val="000000" w:themeColor="text1"/>
                <w:sz w:val="18"/>
              </w:rPr>
              <w:t>ionalnych. Tabor musi być zeroemisyjny/elektryczny, zgodny</w:t>
            </w:r>
            <w:r w:rsidR="00A33B9F" w:rsidRPr="00A33B9F">
              <w:rPr>
                <w:rFonts w:ascii="Times New Roman" w:hAnsi="Times New Roman"/>
                <w:noProof/>
                <w:color w:val="000000" w:themeColor="text1"/>
                <w:sz w:val="18"/>
              </w:rPr>
              <w:t xml:space="preserve"> z zas</w:t>
            </w:r>
            <w:r w:rsidRPr="00A33B9F">
              <w:rPr>
                <w:rFonts w:ascii="Times New Roman" w:hAnsi="Times New Roman"/>
                <w:noProof/>
                <w:color w:val="000000" w:themeColor="text1"/>
                <w:sz w:val="18"/>
              </w:rPr>
              <w:t>adami „nie czyń poważnych szkód” (np. zeroemisyjny)</w:t>
            </w:r>
            <w:r w:rsidR="00A33B9F" w:rsidRPr="00A33B9F">
              <w:rPr>
                <w:rFonts w:ascii="Times New Roman" w:hAnsi="Times New Roman"/>
                <w:noProof/>
                <w:color w:val="000000" w:themeColor="text1"/>
                <w:sz w:val="18"/>
              </w:rPr>
              <w:t xml:space="preserve"> i wyp</w:t>
            </w:r>
            <w:r w:rsidRPr="00A33B9F">
              <w:rPr>
                <w:rFonts w:ascii="Times New Roman" w:hAnsi="Times New Roman"/>
                <w:noProof/>
                <w:color w:val="000000" w:themeColor="text1"/>
                <w:sz w:val="18"/>
              </w:rPr>
              <w:t>osażony w ERTMS: 77 jednostek dla linii regionalnych</w:t>
            </w:r>
            <w:r w:rsidR="00A33B9F" w:rsidRPr="00A33B9F">
              <w:rPr>
                <w:rFonts w:ascii="Times New Roman" w:hAnsi="Times New Roman"/>
                <w:noProof/>
                <w:color w:val="000000" w:themeColor="text1"/>
                <w:sz w:val="18"/>
              </w:rPr>
              <w:t xml:space="preserve"> i 3</w:t>
            </w:r>
            <w:r w:rsidRPr="00A33B9F">
              <w:rPr>
                <w:rFonts w:ascii="Times New Roman" w:hAnsi="Times New Roman"/>
                <w:noProof/>
                <w:color w:val="000000" w:themeColor="text1"/>
                <w:sz w:val="18"/>
              </w:rPr>
              <w:t>04 jednostki (56 nowych lokomotyw</w:t>
            </w:r>
            <w:r w:rsidR="00A33B9F" w:rsidRPr="00A33B9F">
              <w:rPr>
                <w:rFonts w:ascii="Times New Roman" w:hAnsi="Times New Roman"/>
                <w:noProof/>
                <w:color w:val="000000" w:themeColor="text1"/>
                <w:sz w:val="18"/>
              </w:rPr>
              <w:t xml:space="preserve"> i 2</w:t>
            </w:r>
            <w:r w:rsidRPr="00A33B9F">
              <w:rPr>
                <w:rFonts w:ascii="Times New Roman" w:hAnsi="Times New Roman"/>
                <w:noProof/>
                <w:color w:val="000000" w:themeColor="text1"/>
                <w:sz w:val="18"/>
              </w:rPr>
              <w:t>48 zmodernizowanych wagonów) dla linii długodystansowych (w ramach zamówień publicznych na usługi). Tabor będzie przekazywany właściwemu organowi lub kolejnemu operatorowi (po cenie rynkowej bez uwzględnienia pomocy) po wygaśnięciu zamówienia publicznego na usługi.</w:t>
            </w:r>
          </w:p>
        </w:tc>
      </w:tr>
      <w:tr w:rsidR="008C116B" w:rsidRPr="00A33B9F" w14:paraId="408782DD" w14:textId="77777777" w:rsidTr="4BF78996">
        <w:tc>
          <w:tcPr>
            <w:tcW w:w="655" w:type="dxa"/>
            <w:shd w:val="clear" w:color="auto" w:fill="C6EFCE"/>
          </w:tcPr>
          <w:p w14:paraId="7AE99E28" w14:textId="733B7019"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E21G</w:t>
            </w:r>
          </w:p>
        </w:tc>
        <w:tc>
          <w:tcPr>
            <w:tcW w:w="1280" w:type="dxa"/>
            <w:shd w:val="clear" w:color="auto" w:fill="C6EFCE"/>
          </w:tcPr>
          <w:p w14:paraId="3F7BF6DE"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E2.1.3 Projekty intermodalne</w:t>
            </w:r>
          </w:p>
        </w:tc>
        <w:tc>
          <w:tcPr>
            <w:tcW w:w="1027" w:type="dxa"/>
            <w:shd w:val="clear" w:color="auto" w:fill="C6EFCE"/>
          </w:tcPr>
          <w:p w14:paraId="06625BBA"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029" w:type="dxa"/>
            <w:shd w:val="clear" w:color="auto" w:fill="C6EFCE"/>
          </w:tcPr>
          <w:p w14:paraId="627A33FF" w14:textId="38E6C108"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Podpisanie zamówień na projekty dotyczące transportu intermodalnego</w:t>
            </w:r>
          </w:p>
        </w:tc>
        <w:tc>
          <w:tcPr>
            <w:tcW w:w="1279" w:type="dxa"/>
            <w:shd w:val="clear" w:color="auto" w:fill="C6EFCE"/>
          </w:tcPr>
          <w:p w14:paraId="28F6E653" w14:textId="4958505D"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xml:space="preserve"> Podpisane umowy</w:t>
            </w:r>
          </w:p>
        </w:tc>
        <w:tc>
          <w:tcPr>
            <w:tcW w:w="1221" w:type="dxa"/>
            <w:shd w:val="clear" w:color="auto" w:fill="C6EFCE"/>
          </w:tcPr>
          <w:p w14:paraId="3BB54FD9"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016" w:type="dxa"/>
            <w:shd w:val="clear" w:color="auto" w:fill="C6EFCE"/>
          </w:tcPr>
          <w:p w14:paraId="50835483"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1416" w:type="dxa"/>
            <w:shd w:val="clear" w:color="auto" w:fill="C6EFCE"/>
          </w:tcPr>
          <w:p w14:paraId="415990F0"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 xml:space="preserve"> </w:t>
            </w:r>
          </w:p>
        </w:tc>
        <w:tc>
          <w:tcPr>
            <w:tcW w:w="992" w:type="dxa"/>
            <w:shd w:val="clear" w:color="auto" w:fill="C6EFCE"/>
          </w:tcPr>
          <w:p w14:paraId="0239B9F7" w14:textId="6072DF11"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IV kw.</w:t>
            </w:r>
          </w:p>
        </w:tc>
        <w:tc>
          <w:tcPr>
            <w:tcW w:w="851" w:type="dxa"/>
            <w:shd w:val="clear" w:color="auto" w:fill="C6EFCE"/>
          </w:tcPr>
          <w:p w14:paraId="761C5FC8" w14:textId="6FAE78D0" w:rsidR="008B327F" w:rsidRPr="00A33B9F" w:rsidRDefault="11326EA2" w:rsidP="079DCE09">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2024</w:t>
            </w:r>
          </w:p>
        </w:tc>
        <w:tc>
          <w:tcPr>
            <w:tcW w:w="3685" w:type="dxa"/>
            <w:shd w:val="clear" w:color="auto" w:fill="C6EFCE"/>
          </w:tcPr>
          <w:p w14:paraId="213BE7EE" w14:textId="787589A0" w:rsidR="008B327F" w:rsidRPr="00A33B9F" w:rsidRDefault="11326EA2" w:rsidP="079DCE0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Projekty zostaną wybrane na podstawie konkurencyjnego</w:t>
            </w:r>
            <w:r w:rsidR="00A33B9F" w:rsidRPr="00A33B9F">
              <w:rPr>
                <w:rFonts w:ascii="Times New Roman" w:hAnsi="Times New Roman"/>
                <w:noProof/>
                <w:color w:val="000000" w:themeColor="text1"/>
                <w:sz w:val="18"/>
              </w:rPr>
              <w:t xml:space="preserve"> i otw</w:t>
            </w:r>
            <w:r w:rsidRPr="00A33B9F">
              <w:rPr>
                <w:rFonts w:ascii="Times New Roman" w:hAnsi="Times New Roman"/>
                <w:noProof/>
                <w:color w:val="000000" w:themeColor="text1"/>
                <w:sz w:val="18"/>
              </w:rPr>
              <w:t>artego zaproszenia do składania wniosków. Po zaproszeniu</w:t>
            </w:r>
            <w:r w:rsidR="00A33B9F" w:rsidRPr="00A33B9F">
              <w:rPr>
                <w:rFonts w:ascii="Times New Roman" w:hAnsi="Times New Roman"/>
                <w:noProof/>
                <w:color w:val="000000" w:themeColor="text1"/>
                <w:sz w:val="18"/>
              </w:rPr>
              <w:t xml:space="preserve"> z wyb</w:t>
            </w:r>
            <w:r w:rsidRPr="00A33B9F">
              <w:rPr>
                <w:rFonts w:ascii="Times New Roman" w:hAnsi="Times New Roman"/>
                <w:noProof/>
                <w:color w:val="000000" w:themeColor="text1"/>
                <w:sz w:val="18"/>
              </w:rPr>
              <w:t>ranymi beneficjentami zostaną podpisane umowy na wsparcie 8 terminali intermodalnych</w:t>
            </w:r>
            <w:r w:rsidR="00A33B9F" w:rsidRPr="00A33B9F">
              <w:rPr>
                <w:rFonts w:ascii="Times New Roman" w:hAnsi="Times New Roman"/>
                <w:noProof/>
                <w:color w:val="000000" w:themeColor="text1"/>
                <w:sz w:val="18"/>
              </w:rPr>
              <w:t xml:space="preserve"> i dos</w:t>
            </w:r>
            <w:r w:rsidRPr="00A33B9F">
              <w:rPr>
                <w:rFonts w:ascii="Times New Roman" w:hAnsi="Times New Roman"/>
                <w:noProof/>
                <w:color w:val="000000" w:themeColor="text1"/>
                <w:sz w:val="18"/>
              </w:rPr>
              <w:t>tawę 200 jednostek taboru kolejowego zgodnych ze specyfikacjami technicznymi</w:t>
            </w:r>
            <w:r w:rsidR="00A33B9F" w:rsidRPr="00A33B9F">
              <w:rPr>
                <w:rFonts w:ascii="Times New Roman" w:hAnsi="Times New Roman"/>
                <w:noProof/>
                <w:color w:val="000000" w:themeColor="text1"/>
                <w:sz w:val="18"/>
              </w:rPr>
              <w:t xml:space="preserve"> i zas</w:t>
            </w:r>
            <w:r w:rsidRPr="00A33B9F">
              <w:rPr>
                <w:rFonts w:ascii="Times New Roman" w:hAnsi="Times New Roman"/>
                <w:noProof/>
                <w:color w:val="000000" w:themeColor="text1"/>
                <w:sz w:val="18"/>
              </w:rPr>
              <w:t>adami „nie czyń poważnych szkód” (np. hamulce ciche, zeroemisyjne) oraz</w:t>
            </w:r>
            <w:r w:rsidR="00A33B9F" w:rsidRPr="00A33B9F">
              <w:rPr>
                <w:rFonts w:ascii="Times New Roman" w:hAnsi="Times New Roman"/>
                <w:noProof/>
                <w:color w:val="000000" w:themeColor="text1"/>
                <w:sz w:val="18"/>
              </w:rPr>
              <w:t xml:space="preserve"> z glo</w:t>
            </w:r>
            <w:r w:rsidRPr="00A33B9F">
              <w:rPr>
                <w:rFonts w:ascii="Times New Roman" w:hAnsi="Times New Roman"/>
                <w:noProof/>
                <w:color w:val="000000" w:themeColor="text1"/>
                <w:sz w:val="18"/>
              </w:rPr>
              <w:t>balnym systemem łączności ruchomej (dla lokomotyw).</w:t>
            </w:r>
          </w:p>
        </w:tc>
      </w:tr>
      <w:tr w:rsidR="008C116B" w:rsidRPr="00A33B9F" w14:paraId="70B65430" w14:textId="77777777" w:rsidTr="4BF78996">
        <w:trPr>
          <w:trHeight w:val="1615"/>
        </w:trPr>
        <w:tc>
          <w:tcPr>
            <w:tcW w:w="655" w:type="dxa"/>
            <w:shd w:val="clear" w:color="auto" w:fill="C6EFCE"/>
          </w:tcPr>
          <w:p w14:paraId="1C9AB277" w14:textId="4A48635F"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E22G</w:t>
            </w:r>
          </w:p>
        </w:tc>
        <w:tc>
          <w:tcPr>
            <w:tcW w:w="1280" w:type="dxa"/>
            <w:shd w:val="clear" w:color="auto" w:fill="C6EFCE"/>
          </w:tcPr>
          <w:p w14:paraId="2F0780E5"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E2.1.3 Projekty intermodalne</w:t>
            </w:r>
          </w:p>
        </w:tc>
        <w:tc>
          <w:tcPr>
            <w:tcW w:w="1027" w:type="dxa"/>
            <w:shd w:val="clear" w:color="auto" w:fill="C6EFCE"/>
          </w:tcPr>
          <w:p w14:paraId="31A1D58F"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05BA90D8"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Zwiększenie zdolności przeładunkowej</w:t>
            </w:r>
          </w:p>
        </w:tc>
        <w:tc>
          <w:tcPr>
            <w:tcW w:w="1279" w:type="dxa"/>
            <w:shd w:val="clear" w:color="auto" w:fill="C6EFCE"/>
          </w:tcPr>
          <w:p w14:paraId="7E19E8D3"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24CA8A07"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(procent)</w:t>
            </w:r>
          </w:p>
        </w:tc>
        <w:tc>
          <w:tcPr>
            <w:tcW w:w="1016" w:type="dxa"/>
            <w:shd w:val="clear" w:color="auto" w:fill="C6EFCE"/>
          </w:tcPr>
          <w:p w14:paraId="223C8E7D" w14:textId="5F454B26" w:rsidR="008B327F" w:rsidRPr="00A33B9F" w:rsidRDefault="008B327F" w:rsidP="002E2DB9">
            <w:pPr>
              <w:pStyle w:val="Normal0"/>
              <w:pBdr>
                <w:top w:val="nil"/>
                <w:left w:val="nil"/>
                <w:bottom w:val="nil"/>
                <w:right w:val="nil"/>
                <w:between w:val="nil"/>
              </w:pBdr>
              <w:spacing w:after="0"/>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Poziom bazowy 9,1 mln TEU/r. zainstalowanej zdolności (poziom referencyjny – 2020</w:t>
            </w:r>
            <w:r w:rsidR="00A33B9F" w:rsidRPr="00A33B9F">
              <w:rPr>
                <w:rFonts w:ascii="Times New Roman" w:hAnsi="Times New Roman"/>
                <w:noProof/>
                <w:color w:val="000000"/>
                <w:sz w:val="18"/>
              </w:rPr>
              <w:t> </w:t>
            </w:r>
            <w:r w:rsidRPr="00A33B9F">
              <w:rPr>
                <w:rFonts w:ascii="Times New Roman" w:hAnsi="Times New Roman"/>
                <w:noProof/>
                <w:color w:val="000000"/>
                <w:sz w:val="18"/>
              </w:rPr>
              <w:t>r.) dla wszystkich terminali</w:t>
            </w:r>
            <w:r w:rsidR="00A33B9F" w:rsidRPr="00A33B9F">
              <w:rPr>
                <w:rFonts w:ascii="Times New Roman" w:hAnsi="Times New Roman"/>
                <w:noProof/>
                <w:color w:val="000000"/>
                <w:sz w:val="18"/>
              </w:rPr>
              <w:t xml:space="preserve"> w Pol</w:t>
            </w:r>
            <w:r w:rsidRPr="00A33B9F">
              <w:rPr>
                <w:rFonts w:ascii="Times New Roman" w:hAnsi="Times New Roman"/>
                <w:noProof/>
                <w:color w:val="000000"/>
                <w:sz w:val="18"/>
              </w:rPr>
              <w:t>sce</w:t>
            </w:r>
          </w:p>
        </w:tc>
        <w:tc>
          <w:tcPr>
            <w:tcW w:w="1416" w:type="dxa"/>
            <w:shd w:val="clear" w:color="auto" w:fill="C6EFCE"/>
          </w:tcPr>
          <w:p w14:paraId="1D0ADF7A"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5</w:t>
            </w:r>
          </w:p>
        </w:tc>
        <w:tc>
          <w:tcPr>
            <w:tcW w:w="992" w:type="dxa"/>
            <w:shd w:val="clear" w:color="auto" w:fill="C6EFCE"/>
          </w:tcPr>
          <w:p w14:paraId="26574F7D"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II kw.</w:t>
            </w:r>
          </w:p>
        </w:tc>
        <w:tc>
          <w:tcPr>
            <w:tcW w:w="851" w:type="dxa"/>
            <w:shd w:val="clear" w:color="auto" w:fill="C6EFCE"/>
          </w:tcPr>
          <w:p w14:paraId="04A1BF75"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sz w:val="18"/>
              </w:rPr>
              <w:t>2026</w:t>
            </w:r>
          </w:p>
        </w:tc>
        <w:tc>
          <w:tcPr>
            <w:tcW w:w="3685" w:type="dxa"/>
            <w:shd w:val="clear" w:color="auto" w:fill="C6EFCE"/>
          </w:tcPr>
          <w:p w14:paraId="5FCB4135" w14:textId="3611E398"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Zwiększenie zdolności przeładunkowej terminali objętych wsparciem z RRF o co najmniej 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w:t>
            </w:r>
            <w:r w:rsidR="00A33B9F" w:rsidRPr="00A33B9F">
              <w:rPr>
                <w:rFonts w:ascii="Times New Roman" w:hAnsi="Times New Roman"/>
                <w:noProof/>
                <w:color w:val="000000" w:themeColor="text1"/>
                <w:sz w:val="18"/>
              </w:rPr>
              <w:t xml:space="preserve"> w sto</w:t>
            </w:r>
            <w:r w:rsidRPr="00A33B9F">
              <w:rPr>
                <w:rFonts w:ascii="Times New Roman" w:hAnsi="Times New Roman"/>
                <w:noProof/>
                <w:color w:val="000000" w:themeColor="text1"/>
                <w:sz w:val="18"/>
              </w:rPr>
              <w:t>sunku do poziomu bazowego (2020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p>
        </w:tc>
      </w:tr>
      <w:tr w:rsidR="008C116B" w:rsidRPr="00A33B9F" w14:paraId="6A4403AA" w14:textId="77777777" w:rsidTr="4BF78996">
        <w:tc>
          <w:tcPr>
            <w:tcW w:w="655" w:type="dxa"/>
            <w:shd w:val="clear" w:color="auto" w:fill="C6EFCE"/>
          </w:tcPr>
          <w:p w14:paraId="43BC5005" w14:textId="561909C1"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E23G</w:t>
            </w:r>
          </w:p>
        </w:tc>
        <w:tc>
          <w:tcPr>
            <w:tcW w:w="1280" w:type="dxa"/>
            <w:shd w:val="clear" w:color="auto" w:fill="C6EFCE"/>
          </w:tcPr>
          <w:p w14:paraId="7AF4CF70"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E2.2 Zwiększenie bezpieczeństwa transportu</w:t>
            </w:r>
          </w:p>
        </w:tc>
        <w:tc>
          <w:tcPr>
            <w:tcW w:w="1027" w:type="dxa"/>
            <w:shd w:val="clear" w:color="auto" w:fill="C6EFCE"/>
          </w:tcPr>
          <w:p w14:paraId="099FAECC"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2029" w:type="dxa"/>
            <w:shd w:val="clear" w:color="auto" w:fill="C6EFCE"/>
          </w:tcPr>
          <w:p w14:paraId="3AEE1799" w14:textId="30986163"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aktów prawnych wprowadzających: pierwszeństwo pieszych na przejściach, jednakową prędkość na obszarach zabudowanych, minimalny odstęp pomiędzy pojazdami, cele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bezpieczeństwa ruchu drogowego do</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2030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(-50</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 ofiar śmiertelnych</w:t>
            </w:r>
            <w:r w:rsidR="00A33B9F" w:rsidRPr="00A33B9F">
              <w:rPr>
                <w:rFonts w:ascii="Times New Roman" w:hAnsi="Times New Roman"/>
                <w:noProof/>
                <w:color w:val="000000" w:themeColor="text1"/>
                <w:sz w:val="18"/>
              </w:rPr>
              <w:t xml:space="preserve"> w wyp</w:t>
            </w:r>
            <w:r w:rsidRPr="00A33B9F">
              <w:rPr>
                <w:rFonts w:ascii="Times New Roman" w:hAnsi="Times New Roman"/>
                <w:noProof/>
                <w:color w:val="000000" w:themeColor="text1"/>
                <w:sz w:val="18"/>
              </w:rPr>
              <w:t>adkach)</w:t>
            </w:r>
          </w:p>
        </w:tc>
        <w:tc>
          <w:tcPr>
            <w:tcW w:w="1279" w:type="dxa"/>
            <w:shd w:val="clear" w:color="auto" w:fill="C6EFCE"/>
          </w:tcPr>
          <w:p w14:paraId="4035E194" w14:textId="25DD1DA6"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Przepisy</w:t>
            </w:r>
            <w:r w:rsidR="00A33B9F" w:rsidRPr="00A33B9F">
              <w:rPr>
                <w:rFonts w:ascii="Times New Roman" w:hAnsi="Times New Roman"/>
                <w:noProof/>
                <w:color w:val="000000" w:themeColor="text1"/>
                <w:sz w:val="18"/>
              </w:rPr>
              <w:t xml:space="preserve"> w akt</w:t>
            </w:r>
            <w:r w:rsidRPr="00A33B9F">
              <w:rPr>
                <w:rFonts w:ascii="Times New Roman" w:hAnsi="Times New Roman"/>
                <w:noProof/>
                <w:color w:val="000000" w:themeColor="text1"/>
                <w:sz w:val="18"/>
              </w:rPr>
              <w:t>ach prawnych wskazujące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1221" w:type="dxa"/>
            <w:shd w:val="clear" w:color="auto" w:fill="C6EFCE"/>
          </w:tcPr>
          <w:p w14:paraId="7BD4DE0D"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016" w:type="dxa"/>
            <w:shd w:val="clear" w:color="auto" w:fill="C6EFCE"/>
          </w:tcPr>
          <w:p w14:paraId="3000EAAB"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416" w:type="dxa"/>
            <w:shd w:val="clear" w:color="auto" w:fill="C6EFCE"/>
          </w:tcPr>
          <w:p w14:paraId="50042928"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2C95D6BB" w14:textId="77777777" w:rsidR="008B327F" w:rsidRPr="00A33B9F" w:rsidRDefault="008B327F" w:rsidP="008B327F">
            <w:pPr>
              <w:pStyle w:val="Normal0"/>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IV kw.</w:t>
            </w:r>
          </w:p>
        </w:tc>
        <w:tc>
          <w:tcPr>
            <w:tcW w:w="851" w:type="dxa"/>
            <w:shd w:val="clear" w:color="auto" w:fill="C6EFCE"/>
          </w:tcPr>
          <w:p w14:paraId="025EA925"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2021</w:t>
            </w:r>
          </w:p>
        </w:tc>
        <w:tc>
          <w:tcPr>
            <w:tcW w:w="3685" w:type="dxa"/>
            <w:shd w:val="clear" w:color="auto" w:fill="C6EFCE"/>
          </w:tcPr>
          <w:p w14:paraId="54EEB6C8" w14:textId="5C833AE1"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Wprowadzone zostaną następujące zmiany legislacyjne wspierające bezpieczeństwo ruchu drogowego: pierwszeństwo pieszych na przejściach, wprowadzenie jednolitego ograniczenia prędkości na obszarach miejskich (50 km/h) oraz minimalnego odstępu pomiędzy pojazdami na autostradach</w:t>
            </w:r>
            <w:r w:rsidR="00A33B9F" w:rsidRPr="00A33B9F">
              <w:rPr>
                <w:rFonts w:ascii="Times New Roman" w:hAnsi="Times New Roman"/>
                <w:noProof/>
                <w:color w:val="000000"/>
                <w:sz w:val="18"/>
              </w:rPr>
              <w:t xml:space="preserve"> i dro</w:t>
            </w:r>
            <w:r w:rsidRPr="00A33B9F">
              <w:rPr>
                <w:rFonts w:ascii="Times New Roman" w:hAnsi="Times New Roman"/>
                <w:noProof/>
                <w:color w:val="000000"/>
                <w:sz w:val="18"/>
              </w:rPr>
              <w:t>gach ekspresowych (połowa prędkości wyrażona</w:t>
            </w:r>
            <w:r w:rsidR="00A33B9F" w:rsidRPr="00A33B9F">
              <w:rPr>
                <w:rFonts w:ascii="Times New Roman" w:hAnsi="Times New Roman"/>
                <w:noProof/>
                <w:color w:val="000000"/>
                <w:sz w:val="18"/>
              </w:rPr>
              <w:t xml:space="preserve"> w met</w:t>
            </w:r>
            <w:r w:rsidRPr="00A33B9F">
              <w:rPr>
                <w:rFonts w:ascii="Times New Roman" w:hAnsi="Times New Roman"/>
                <w:noProof/>
                <w:color w:val="000000"/>
                <w:sz w:val="18"/>
              </w:rPr>
              <w:t>rach). Nadrzędny cel</w:t>
            </w:r>
            <w:r w:rsidR="00A33B9F" w:rsidRPr="00A33B9F">
              <w:rPr>
                <w:rFonts w:ascii="Times New Roman" w:hAnsi="Times New Roman"/>
                <w:noProof/>
                <w:color w:val="000000"/>
                <w:sz w:val="18"/>
              </w:rPr>
              <w:t xml:space="preserve"> w zak</w:t>
            </w:r>
            <w:r w:rsidRPr="00A33B9F">
              <w:rPr>
                <w:rFonts w:ascii="Times New Roman" w:hAnsi="Times New Roman"/>
                <w:noProof/>
                <w:color w:val="000000"/>
                <w:sz w:val="18"/>
              </w:rPr>
              <w:t>resie bezpieczeństwa ruchu drogowego zostanie określony</w:t>
            </w:r>
            <w:r w:rsidR="00A33B9F" w:rsidRPr="00A33B9F">
              <w:rPr>
                <w:rFonts w:ascii="Times New Roman" w:hAnsi="Times New Roman"/>
                <w:noProof/>
                <w:color w:val="000000"/>
                <w:sz w:val="18"/>
              </w:rPr>
              <w:t xml:space="preserve"> w Nar</w:t>
            </w:r>
            <w:r w:rsidRPr="00A33B9F">
              <w:rPr>
                <w:rFonts w:ascii="Times New Roman" w:hAnsi="Times New Roman"/>
                <w:noProof/>
                <w:color w:val="000000"/>
                <w:sz w:val="18"/>
              </w:rPr>
              <w:t>odowym Programie Bezpieczeństwa Ruchu Drogowego</w:t>
            </w:r>
            <w:r w:rsidR="00A33B9F" w:rsidRPr="00A33B9F">
              <w:rPr>
                <w:rFonts w:ascii="Times New Roman" w:hAnsi="Times New Roman"/>
                <w:noProof/>
                <w:color w:val="000000"/>
                <w:sz w:val="18"/>
              </w:rPr>
              <w:t xml:space="preserve"> i pol</w:t>
            </w:r>
            <w:r w:rsidRPr="00A33B9F">
              <w:rPr>
                <w:rFonts w:ascii="Times New Roman" w:hAnsi="Times New Roman"/>
                <w:noProof/>
                <w:color w:val="000000"/>
                <w:sz w:val="18"/>
              </w:rPr>
              <w:t>ega na dążeniu do zmniejszenia</w:t>
            </w:r>
            <w:r w:rsidR="00A33B9F" w:rsidRPr="00A33B9F">
              <w:rPr>
                <w:rFonts w:ascii="Times New Roman" w:hAnsi="Times New Roman"/>
                <w:noProof/>
                <w:color w:val="000000"/>
                <w:sz w:val="18"/>
              </w:rPr>
              <w:t xml:space="preserve"> o 5</w:t>
            </w:r>
            <w:r w:rsidRPr="00A33B9F">
              <w:rPr>
                <w:rFonts w:ascii="Times New Roman" w:hAnsi="Times New Roman"/>
                <w:noProof/>
                <w:color w:val="000000"/>
                <w:sz w:val="18"/>
              </w:rPr>
              <w:t>0</w:t>
            </w:r>
            <w:r w:rsidR="00A33B9F" w:rsidRPr="00A33B9F">
              <w:rPr>
                <w:rFonts w:ascii="Times New Roman" w:hAnsi="Times New Roman"/>
                <w:noProof/>
                <w:color w:val="000000"/>
                <w:sz w:val="18"/>
              </w:rPr>
              <w:t> </w:t>
            </w:r>
            <w:r w:rsidRPr="00A33B9F">
              <w:rPr>
                <w:rFonts w:ascii="Times New Roman" w:hAnsi="Times New Roman"/>
                <w:noProof/>
                <w:color w:val="000000"/>
                <w:sz w:val="18"/>
              </w:rPr>
              <w:t>% liczby ofiar śmiertelnych</w:t>
            </w:r>
            <w:r w:rsidR="00A33B9F" w:rsidRPr="00A33B9F">
              <w:rPr>
                <w:rFonts w:ascii="Times New Roman" w:hAnsi="Times New Roman"/>
                <w:noProof/>
                <w:color w:val="000000"/>
                <w:sz w:val="18"/>
              </w:rPr>
              <w:t xml:space="preserve"> w wyp</w:t>
            </w:r>
            <w:r w:rsidRPr="00A33B9F">
              <w:rPr>
                <w:rFonts w:ascii="Times New Roman" w:hAnsi="Times New Roman"/>
                <w:noProof/>
                <w:color w:val="000000"/>
                <w:sz w:val="18"/>
              </w:rPr>
              <w:t>adkach drogowych do roku 2030</w:t>
            </w:r>
            <w:r w:rsidR="00A33B9F" w:rsidRPr="00A33B9F">
              <w:rPr>
                <w:rFonts w:ascii="Times New Roman" w:hAnsi="Times New Roman"/>
                <w:noProof/>
                <w:color w:val="000000"/>
                <w:sz w:val="18"/>
              </w:rPr>
              <w:t xml:space="preserve"> w por</w:t>
            </w:r>
            <w:r w:rsidRPr="00A33B9F">
              <w:rPr>
                <w:rFonts w:ascii="Times New Roman" w:hAnsi="Times New Roman"/>
                <w:noProof/>
                <w:color w:val="000000"/>
                <w:sz w:val="18"/>
              </w:rPr>
              <w:t>ównaniu</w:t>
            </w:r>
            <w:r w:rsidR="00A33B9F" w:rsidRPr="00A33B9F">
              <w:rPr>
                <w:rFonts w:ascii="Times New Roman" w:hAnsi="Times New Roman"/>
                <w:noProof/>
                <w:color w:val="000000"/>
                <w:sz w:val="18"/>
              </w:rPr>
              <w:t xml:space="preserve"> z rok</w:t>
            </w:r>
            <w:r w:rsidRPr="00A33B9F">
              <w:rPr>
                <w:rFonts w:ascii="Times New Roman" w:hAnsi="Times New Roman"/>
                <w:noProof/>
                <w:color w:val="000000"/>
                <w:sz w:val="18"/>
              </w:rPr>
              <w:t>iem 2019, zgodnie</w:t>
            </w:r>
            <w:r w:rsidR="00A33B9F" w:rsidRPr="00A33B9F">
              <w:rPr>
                <w:rFonts w:ascii="Times New Roman" w:hAnsi="Times New Roman"/>
                <w:noProof/>
                <w:color w:val="000000"/>
                <w:sz w:val="18"/>
              </w:rPr>
              <w:t xml:space="preserve"> z zob</w:t>
            </w:r>
            <w:r w:rsidRPr="00A33B9F">
              <w:rPr>
                <w:rFonts w:ascii="Times New Roman" w:hAnsi="Times New Roman"/>
                <w:noProof/>
                <w:color w:val="000000"/>
                <w:sz w:val="18"/>
              </w:rPr>
              <w:t>owiązaniami UE.</w:t>
            </w:r>
          </w:p>
        </w:tc>
      </w:tr>
      <w:tr w:rsidR="008C116B" w:rsidRPr="00A33B9F" w14:paraId="3A4C7C6D" w14:textId="77777777" w:rsidTr="4BF78996">
        <w:tc>
          <w:tcPr>
            <w:tcW w:w="655" w:type="dxa"/>
            <w:shd w:val="clear" w:color="auto" w:fill="C6EFCE"/>
          </w:tcPr>
          <w:p w14:paraId="7BE8521C" w14:textId="19980D94"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E24G</w:t>
            </w:r>
          </w:p>
        </w:tc>
        <w:tc>
          <w:tcPr>
            <w:tcW w:w="1280" w:type="dxa"/>
            <w:shd w:val="clear" w:color="auto" w:fill="C6EFCE"/>
          </w:tcPr>
          <w:p w14:paraId="677C7641" w14:textId="758FFD7E"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E2.2.1 Inwestycje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bezpieczeństwa transportu</w:t>
            </w:r>
          </w:p>
        </w:tc>
        <w:tc>
          <w:tcPr>
            <w:tcW w:w="1027" w:type="dxa"/>
            <w:shd w:val="clear" w:color="auto" w:fill="C6EFCE"/>
          </w:tcPr>
          <w:p w14:paraId="1F22A6DB"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7778A959" w14:textId="55EFAA9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Zakończenie budowy obwodnic</w:t>
            </w:r>
            <w:r w:rsidR="00A33B9F" w:rsidRPr="00A33B9F">
              <w:rPr>
                <w:rFonts w:ascii="Times New Roman" w:hAnsi="Times New Roman"/>
                <w:noProof/>
                <w:color w:val="000000" w:themeColor="text1"/>
                <w:sz w:val="18"/>
              </w:rPr>
              <w:t xml:space="preserve"> i usu</w:t>
            </w:r>
            <w:r w:rsidRPr="00A33B9F">
              <w:rPr>
                <w:rFonts w:ascii="Times New Roman" w:hAnsi="Times New Roman"/>
                <w:noProof/>
                <w:color w:val="000000" w:themeColor="text1"/>
                <w:sz w:val="18"/>
              </w:rPr>
              <w:t>nięcie czarnych punktów/hotspotów bezpieczeństwa ruchu drogowego</w:t>
            </w:r>
          </w:p>
        </w:tc>
        <w:tc>
          <w:tcPr>
            <w:tcW w:w="1279" w:type="dxa"/>
            <w:shd w:val="clear" w:color="auto" w:fill="C6EFCE"/>
          </w:tcPr>
          <w:p w14:paraId="75051A5F"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7B20D2CD"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52D73B1F"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558CF923" w14:textId="44C08EA7" w:rsidR="008B327F" w:rsidRPr="00A33B9F"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10 km, 125 czarnych punktów/hotspotów</w:t>
            </w:r>
          </w:p>
        </w:tc>
        <w:tc>
          <w:tcPr>
            <w:tcW w:w="992" w:type="dxa"/>
            <w:shd w:val="clear" w:color="auto" w:fill="C6EFCE"/>
          </w:tcPr>
          <w:p w14:paraId="71AF3573" w14:textId="2A2D6773"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851" w:type="dxa"/>
            <w:shd w:val="clear" w:color="auto" w:fill="C6EFCE"/>
          </w:tcPr>
          <w:p w14:paraId="32553CA6"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2023</w:t>
            </w:r>
          </w:p>
        </w:tc>
        <w:tc>
          <w:tcPr>
            <w:tcW w:w="3685" w:type="dxa"/>
            <w:shd w:val="clear" w:color="auto" w:fill="C6EFCE"/>
          </w:tcPr>
          <w:p w14:paraId="7E7146EB" w14:textId="08F53B5D"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Ukończone inwestycje w: przebudowę 125 niebezpiecznych czarnych punktów/hotspotów, budowę 10 km obwodnic</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 xml:space="preserve">u usunięcia czarnych punktów/hotspotów bezpieczeństwa ruchu drogowego. </w:t>
            </w:r>
          </w:p>
        </w:tc>
      </w:tr>
      <w:tr w:rsidR="008C116B" w:rsidRPr="00A33B9F" w14:paraId="051D5172" w14:textId="77777777" w:rsidTr="4BF78996">
        <w:tc>
          <w:tcPr>
            <w:tcW w:w="655" w:type="dxa"/>
            <w:shd w:val="clear" w:color="auto" w:fill="C6EFCE"/>
          </w:tcPr>
          <w:p w14:paraId="6A720608" w14:textId="794D9FC8"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E25G</w:t>
            </w:r>
          </w:p>
        </w:tc>
        <w:tc>
          <w:tcPr>
            <w:tcW w:w="1280" w:type="dxa"/>
            <w:shd w:val="clear" w:color="auto" w:fill="C6EFCE"/>
          </w:tcPr>
          <w:p w14:paraId="0B3FFFC2" w14:textId="2949F795"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E2.2.1 Inwestycje</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bezpieczeństwa transportu</w:t>
            </w:r>
          </w:p>
        </w:tc>
        <w:tc>
          <w:tcPr>
            <w:tcW w:w="1027" w:type="dxa"/>
            <w:shd w:val="clear" w:color="auto" w:fill="C6EFCE"/>
          </w:tcPr>
          <w:p w14:paraId="7B2F7030"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2A0BDA3C" w14:textId="28B97C45"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Zakończenie budowy obwodnic, usunięcie czarnych punktów/hotspotów bezpieczeństwa ruchu drogowego oraz instalacja urządzeń automatycznego nadzoru nad ruchem drogowym</w:t>
            </w:r>
          </w:p>
        </w:tc>
        <w:tc>
          <w:tcPr>
            <w:tcW w:w="1279" w:type="dxa"/>
            <w:shd w:val="clear" w:color="auto" w:fill="C6EFCE"/>
          </w:tcPr>
          <w:p w14:paraId="0409B13F"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7C68D043"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1CB4E61E"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596FFA68" w14:textId="671743A9" w:rsidR="008B327F" w:rsidRPr="00A33B9F"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90 km, 305 czarnych punktów/hotspotów, 128 urządzeń</w:t>
            </w:r>
          </w:p>
        </w:tc>
        <w:tc>
          <w:tcPr>
            <w:tcW w:w="992" w:type="dxa"/>
            <w:shd w:val="clear" w:color="auto" w:fill="C6EFCE"/>
          </w:tcPr>
          <w:p w14:paraId="45DE5968"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41066C47"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200E3AA1" w14:textId="5E903ADE"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Ukończone inwestycje w: przebudowę 305 niebezpiecznych czarnych punktów/hotspotów, budowę 90 km obwodnic</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usunięcia czarnych punktów/hotspotów, instalację 128 nowych urządzeń automatycznego nadzoru nad ruchem drogowym.</w:t>
            </w:r>
          </w:p>
        </w:tc>
      </w:tr>
      <w:tr w:rsidR="008C116B" w:rsidRPr="00A33B9F" w14:paraId="7D9C917C" w14:textId="77777777" w:rsidTr="4BF78996">
        <w:tc>
          <w:tcPr>
            <w:tcW w:w="655" w:type="dxa"/>
            <w:shd w:val="clear" w:color="auto" w:fill="C6EFCE"/>
          </w:tcPr>
          <w:p w14:paraId="45621186" w14:textId="093F09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sidRPr="00A33B9F">
              <w:rPr>
                <w:rFonts w:ascii="Times New Roman" w:hAnsi="Times New Roman"/>
                <w:noProof/>
                <w:sz w:val="18"/>
              </w:rPr>
              <w:t>E27G</w:t>
            </w:r>
          </w:p>
        </w:tc>
        <w:tc>
          <w:tcPr>
            <w:tcW w:w="1280" w:type="dxa"/>
            <w:shd w:val="clear" w:color="auto" w:fill="C6EFCE"/>
          </w:tcPr>
          <w:p w14:paraId="2BE40067"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E2.2.2 Cyfryzacja transportu</w:t>
            </w:r>
          </w:p>
        </w:tc>
        <w:tc>
          <w:tcPr>
            <w:tcW w:w="1027" w:type="dxa"/>
            <w:shd w:val="clear" w:color="auto" w:fill="C6EFCE"/>
          </w:tcPr>
          <w:p w14:paraId="002D1DFB"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61467961" w14:textId="280DB786"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Instalacja: Systemów Dynamicznej Informacji Pasażerskiej (SDIP), systemów kontroli</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ejazdów kolejowych</w:t>
            </w:r>
            <w:r w:rsidR="00A33B9F" w:rsidRPr="00A33B9F">
              <w:rPr>
                <w:rFonts w:ascii="Times New Roman" w:hAnsi="Times New Roman"/>
                <w:noProof/>
                <w:color w:val="000000" w:themeColor="text1"/>
                <w:sz w:val="18"/>
              </w:rPr>
              <w:t xml:space="preserve"> w 5</w:t>
            </w:r>
            <w:r w:rsidRPr="00A33B9F">
              <w:rPr>
                <w:rFonts w:ascii="Times New Roman" w:hAnsi="Times New Roman"/>
                <w:noProof/>
                <w:color w:val="000000" w:themeColor="text1"/>
                <w:sz w:val="18"/>
              </w:rPr>
              <w:t>5 obszarach</w:t>
            </w:r>
          </w:p>
        </w:tc>
        <w:tc>
          <w:tcPr>
            <w:tcW w:w="1279" w:type="dxa"/>
            <w:shd w:val="clear" w:color="auto" w:fill="C6EFCE"/>
          </w:tcPr>
          <w:p w14:paraId="10BA626A"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28476136"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2F23614B"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0F02C20D" w14:textId="77777777" w:rsidR="008B327F" w:rsidRPr="00A33B9F"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SDIP: 10 lokalizacji, sterowanie: 15 lokalizacji, przejazdy kolejowe: 30 lokalizacji</w:t>
            </w:r>
          </w:p>
        </w:tc>
        <w:tc>
          <w:tcPr>
            <w:tcW w:w="992" w:type="dxa"/>
            <w:shd w:val="clear" w:color="auto" w:fill="C6EFCE"/>
          </w:tcPr>
          <w:p w14:paraId="7ACCAC4B"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 kw.</w:t>
            </w:r>
          </w:p>
        </w:tc>
        <w:tc>
          <w:tcPr>
            <w:tcW w:w="851" w:type="dxa"/>
            <w:shd w:val="clear" w:color="auto" w:fill="C6EFCE"/>
          </w:tcPr>
          <w:p w14:paraId="5C6F9E64" w14:textId="33086A4B" w:rsidR="008B327F" w:rsidRPr="00A33B9F" w:rsidRDefault="16EBA752"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2025</w:t>
            </w:r>
          </w:p>
        </w:tc>
        <w:tc>
          <w:tcPr>
            <w:tcW w:w="3685" w:type="dxa"/>
            <w:shd w:val="clear" w:color="auto" w:fill="C6EFCE"/>
          </w:tcPr>
          <w:p w14:paraId="19A501AF" w14:textId="5EC010F8"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Instalacja Systemów Dynamicznej Informacji Pasażerskiej (SDIP)</w:t>
            </w:r>
            <w:r w:rsidR="00A33B9F" w:rsidRPr="00A33B9F">
              <w:rPr>
                <w:rFonts w:ascii="Times New Roman" w:hAnsi="Times New Roman"/>
                <w:noProof/>
                <w:color w:val="000000" w:themeColor="text1"/>
                <w:sz w:val="18"/>
              </w:rPr>
              <w:t xml:space="preserve"> w 1</w:t>
            </w:r>
            <w:r w:rsidRPr="00A33B9F">
              <w:rPr>
                <w:rFonts w:ascii="Times New Roman" w:hAnsi="Times New Roman"/>
                <w:noProof/>
                <w:color w:val="000000" w:themeColor="text1"/>
                <w:sz w:val="18"/>
              </w:rPr>
              <w:t>0 lokalizacjach</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dostarczania pasażerom informacji</w:t>
            </w:r>
            <w:r w:rsidR="00A33B9F" w:rsidRPr="00A33B9F">
              <w:rPr>
                <w:rFonts w:ascii="Times New Roman" w:hAnsi="Times New Roman"/>
                <w:noProof/>
                <w:color w:val="000000" w:themeColor="text1"/>
                <w:sz w:val="18"/>
              </w:rPr>
              <w:t xml:space="preserve"> o ruc</w:t>
            </w:r>
            <w:r w:rsidRPr="00A33B9F">
              <w:rPr>
                <w:rFonts w:ascii="Times New Roman" w:hAnsi="Times New Roman"/>
                <w:noProof/>
                <w:color w:val="000000" w:themeColor="text1"/>
                <w:sz w:val="18"/>
              </w:rPr>
              <w:t>hu kolejowym</w:t>
            </w:r>
            <w:r w:rsidR="00A33B9F" w:rsidRPr="00A33B9F">
              <w:rPr>
                <w:rFonts w:ascii="Times New Roman" w:hAnsi="Times New Roman"/>
                <w:noProof/>
                <w:color w:val="000000" w:themeColor="text1"/>
                <w:sz w:val="18"/>
              </w:rPr>
              <w:t xml:space="preserve"> w cza</w:t>
            </w:r>
            <w:r w:rsidRPr="00A33B9F">
              <w:rPr>
                <w:rFonts w:ascii="Times New Roman" w:hAnsi="Times New Roman"/>
                <w:noProof/>
                <w:color w:val="000000" w:themeColor="text1"/>
                <w:sz w:val="18"/>
              </w:rPr>
              <w:t>sie rzeczywistym, systemów automatycznego sterowania</w:t>
            </w:r>
            <w:r w:rsidR="00A33B9F" w:rsidRPr="00A33B9F">
              <w:rPr>
                <w:rFonts w:ascii="Times New Roman" w:hAnsi="Times New Roman"/>
                <w:noProof/>
                <w:color w:val="000000" w:themeColor="text1"/>
                <w:sz w:val="18"/>
              </w:rPr>
              <w:t xml:space="preserve"> w 1</w:t>
            </w:r>
            <w:r w:rsidRPr="00A33B9F">
              <w:rPr>
                <w:rFonts w:ascii="Times New Roman" w:hAnsi="Times New Roman"/>
                <w:noProof/>
                <w:color w:val="000000" w:themeColor="text1"/>
                <w:sz w:val="18"/>
              </w:rPr>
              <w:t>5 lokalizacjach</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umożliwienia zarządzania danym obszarem kolejowym</w:t>
            </w:r>
            <w:r w:rsidR="00A33B9F" w:rsidRPr="00A33B9F">
              <w:rPr>
                <w:rFonts w:ascii="Times New Roman" w:hAnsi="Times New Roman"/>
                <w:noProof/>
                <w:color w:val="000000" w:themeColor="text1"/>
                <w:sz w:val="18"/>
              </w:rPr>
              <w:t xml:space="preserve"> z lok</w:t>
            </w:r>
            <w:r w:rsidRPr="00A33B9F">
              <w:rPr>
                <w:rFonts w:ascii="Times New Roman" w:hAnsi="Times New Roman"/>
                <w:noProof/>
                <w:color w:val="000000" w:themeColor="text1"/>
                <w:sz w:val="18"/>
              </w:rPr>
              <w:t>alnego centrum zarządzania ruchem, sterowanych automatycznie urządzeń bezpieczeństwa na</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30 przejazdach kolejowych (rogatki, systemy sygnalizacji dźwiękowej</w:t>
            </w:r>
            <w:r w:rsidR="00A33B9F" w:rsidRPr="00A33B9F">
              <w:rPr>
                <w:rFonts w:ascii="Times New Roman" w:hAnsi="Times New Roman"/>
                <w:noProof/>
                <w:color w:val="000000" w:themeColor="text1"/>
                <w:sz w:val="18"/>
              </w:rPr>
              <w:t xml:space="preserve"> i świ</w:t>
            </w:r>
            <w:r w:rsidRPr="00A33B9F">
              <w:rPr>
                <w:rFonts w:ascii="Times New Roman" w:hAnsi="Times New Roman"/>
                <w:noProof/>
                <w:color w:val="000000" w:themeColor="text1"/>
                <w:sz w:val="18"/>
              </w:rPr>
              <w:t xml:space="preserve">etlnej) </w:t>
            </w:r>
          </w:p>
        </w:tc>
      </w:tr>
      <w:tr w:rsidR="008C116B" w:rsidRPr="00A33B9F" w14:paraId="1236DFBD" w14:textId="77777777" w:rsidTr="4BF78996">
        <w:tc>
          <w:tcPr>
            <w:tcW w:w="655" w:type="dxa"/>
            <w:shd w:val="clear" w:color="auto" w:fill="C6EFCE"/>
          </w:tcPr>
          <w:p w14:paraId="6185078C" w14:textId="525ADDD1"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themeColor="text1"/>
                <w:sz w:val="18"/>
                <w:szCs w:val="18"/>
              </w:rPr>
            </w:pPr>
            <w:r w:rsidRPr="00A33B9F">
              <w:rPr>
                <w:rFonts w:ascii="Times New Roman" w:hAnsi="Times New Roman"/>
                <w:noProof/>
                <w:sz w:val="18"/>
              </w:rPr>
              <w:t>E28G</w:t>
            </w:r>
          </w:p>
        </w:tc>
        <w:tc>
          <w:tcPr>
            <w:tcW w:w="1280" w:type="dxa"/>
            <w:shd w:val="clear" w:color="auto" w:fill="C6EFCE"/>
          </w:tcPr>
          <w:p w14:paraId="57683C22"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E2.2.2 Cyfryzacja transportu</w:t>
            </w:r>
          </w:p>
        </w:tc>
        <w:tc>
          <w:tcPr>
            <w:tcW w:w="1027" w:type="dxa"/>
            <w:shd w:val="clear" w:color="auto" w:fill="C6EFCE"/>
          </w:tcPr>
          <w:p w14:paraId="2DA2DB7C"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2029" w:type="dxa"/>
            <w:shd w:val="clear" w:color="auto" w:fill="C6EFCE"/>
          </w:tcPr>
          <w:p w14:paraId="3A75C397" w14:textId="4449B368"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Instalacja systemów automatycznego sterowania, przejazdy kolejowe, 160 urządzeń pokładowych ERTMS</w:t>
            </w:r>
            <w:r w:rsidR="00A33B9F" w:rsidRPr="00A33B9F">
              <w:rPr>
                <w:rFonts w:ascii="Times New Roman" w:hAnsi="Times New Roman"/>
                <w:noProof/>
                <w:color w:val="000000" w:themeColor="text1"/>
                <w:sz w:val="18"/>
              </w:rPr>
              <w:t xml:space="preserve"> i zwi</w:t>
            </w:r>
            <w:r w:rsidRPr="00A33B9F">
              <w:rPr>
                <w:rFonts w:ascii="Times New Roman" w:hAnsi="Times New Roman"/>
                <w:noProof/>
                <w:color w:val="000000" w:themeColor="text1"/>
                <w:sz w:val="18"/>
              </w:rPr>
              <w:t>ązane</w:t>
            </w:r>
            <w:r w:rsidR="00A33B9F" w:rsidRPr="00A33B9F">
              <w:rPr>
                <w:rFonts w:ascii="Times New Roman" w:hAnsi="Times New Roman"/>
                <w:noProof/>
                <w:color w:val="000000" w:themeColor="text1"/>
                <w:sz w:val="18"/>
              </w:rPr>
              <w:t xml:space="preserve"> z tym</w:t>
            </w:r>
            <w:r w:rsidRPr="00A33B9F">
              <w:rPr>
                <w:rFonts w:ascii="Times New Roman" w:hAnsi="Times New Roman"/>
                <w:noProof/>
                <w:color w:val="000000" w:themeColor="text1"/>
                <w:sz w:val="18"/>
              </w:rPr>
              <w:t xml:space="preserve"> wejście do użytku</w:t>
            </w:r>
          </w:p>
        </w:tc>
        <w:tc>
          <w:tcPr>
            <w:tcW w:w="1279" w:type="dxa"/>
            <w:shd w:val="clear" w:color="auto" w:fill="C6EFCE"/>
          </w:tcPr>
          <w:p w14:paraId="57FC3616"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1221" w:type="dxa"/>
            <w:shd w:val="clear" w:color="auto" w:fill="C6EFCE"/>
          </w:tcPr>
          <w:p w14:paraId="31A0E888" w14:textId="77777777" w:rsidR="008B327F" w:rsidRPr="00A33B9F" w:rsidRDefault="008B327F" w:rsidP="008B327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1016" w:type="dxa"/>
            <w:shd w:val="clear" w:color="auto" w:fill="C6EFCE"/>
          </w:tcPr>
          <w:p w14:paraId="7D6C811B" w14:textId="77777777" w:rsidR="008B327F" w:rsidRPr="00A33B9F" w:rsidRDefault="008B327F" w:rsidP="008B327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1416" w:type="dxa"/>
            <w:shd w:val="clear" w:color="auto" w:fill="C6EFCE"/>
          </w:tcPr>
          <w:p w14:paraId="7F40DA6F" w14:textId="29438DCA"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160 urządzeń pokładowych ERTMS;</w:t>
            </w:r>
          </w:p>
          <w:p w14:paraId="51E63D0D" w14:textId="5825096A" w:rsidR="008B327F" w:rsidRPr="00A33B9F"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 przejazdy kolejowe</w:t>
            </w:r>
            <w:r w:rsidR="00A33B9F" w:rsidRPr="00A33B9F">
              <w:rPr>
                <w:rFonts w:ascii="Times New Roman" w:hAnsi="Times New Roman"/>
                <w:noProof/>
                <w:color w:val="000000" w:themeColor="text1"/>
                <w:sz w:val="18"/>
              </w:rPr>
              <w:t xml:space="preserve"> w 4</w:t>
            </w:r>
            <w:r w:rsidRPr="00A33B9F">
              <w:rPr>
                <w:rFonts w:ascii="Times New Roman" w:hAnsi="Times New Roman"/>
                <w:noProof/>
                <w:color w:val="000000" w:themeColor="text1"/>
                <w:sz w:val="18"/>
              </w:rPr>
              <w:t xml:space="preserve">5 lokalizacjach; </w:t>
            </w:r>
          </w:p>
          <w:p w14:paraId="3AED0841" w14:textId="3E44FC08" w:rsidR="008B327F" w:rsidRPr="00A33B9F" w:rsidRDefault="008B327F" w:rsidP="002E2DB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automatyczne sterowanie</w:t>
            </w:r>
            <w:r w:rsidR="00A33B9F" w:rsidRPr="00A33B9F">
              <w:rPr>
                <w:rFonts w:ascii="Times New Roman" w:hAnsi="Times New Roman"/>
                <w:noProof/>
                <w:color w:val="000000" w:themeColor="text1"/>
                <w:sz w:val="18"/>
              </w:rPr>
              <w:t xml:space="preserve"> w 3</w:t>
            </w:r>
            <w:r w:rsidRPr="00A33B9F">
              <w:rPr>
                <w:rFonts w:ascii="Times New Roman" w:hAnsi="Times New Roman"/>
                <w:noProof/>
                <w:color w:val="000000" w:themeColor="text1"/>
                <w:sz w:val="18"/>
              </w:rPr>
              <w:t>5 lokalizacjach</w:t>
            </w:r>
          </w:p>
        </w:tc>
        <w:tc>
          <w:tcPr>
            <w:tcW w:w="992" w:type="dxa"/>
            <w:shd w:val="clear" w:color="auto" w:fill="C6EFCE"/>
          </w:tcPr>
          <w:p w14:paraId="23B6473E"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4CE95A15" w14:textId="77777777" w:rsidR="008B327F" w:rsidRPr="00A33B9F" w:rsidRDefault="008B327F" w:rsidP="008B327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685" w:type="dxa"/>
            <w:shd w:val="clear" w:color="auto" w:fill="C6EFCE"/>
          </w:tcPr>
          <w:p w14:paraId="341EB148" w14:textId="7FA69E78" w:rsidR="008B327F" w:rsidRPr="00A33B9F" w:rsidRDefault="16EBA7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Zakończenie prac związanych z: instalacją 160 urządzeń pokładowych ERTMS (oferta zostanie wybrana</w:t>
            </w:r>
            <w:r w:rsidR="00A33B9F" w:rsidRPr="00A33B9F">
              <w:rPr>
                <w:rFonts w:ascii="Times New Roman" w:hAnsi="Times New Roman"/>
                <w:noProof/>
                <w:color w:val="000000" w:themeColor="text1"/>
                <w:sz w:val="18"/>
              </w:rPr>
              <w:t xml:space="preserve"> w try</w:t>
            </w:r>
            <w:r w:rsidRPr="00A33B9F">
              <w:rPr>
                <w:rFonts w:ascii="Times New Roman" w:hAnsi="Times New Roman"/>
                <w:noProof/>
                <w:color w:val="000000" w:themeColor="text1"/>
                <w:sz w:val="18"/>
              </w:rPr>
              <w:t>bie konkurencyjnego zaproszenia do składania wniosków), modernizacją systemów na przejazdach kolejowych</w:t>
            </w:r>
            <w:r w:rsidR="00A33B9F" w:rsidRPr="00A33B9F">
              <w:rPr>
                <w:rFonts w:ascii="Times New Roman" w:hAnsi="Times New Roman"/>
                <w:noProof/>
                <w:color w:val="000000" w:themeColor="text1"/>
                <w:sz w:val="18"/>
              </w:rPr>
              <w:t xml:space="preserve"> w 4</w:t>
            </w:r>
            <w:r w:rsidRPr="00A33B9F">
              <w:rPr>
                <w:rFonts w:ascii="Times New Roman" w:hAnsi="Times New Roman"/>
                <w:noProof/>
                <w:color w:val="000000" w:themeColor="text1"/>
                <w:sz w:val="18"/>
              </w:rPr>
              <w:t>5 lokalizacjach (w tym rogatek, dźwiękowych</w:t>
            </w:r>
            <w:r w:rsidR="00A33B9F" w:rsidRPr="00A33B9F">
              <w:rPr>
                <w:rFonts w:ascii="Times New Roman" w:hAnsi="Times New Roman"/>
                <w:noProof/>
                <w:color w:val="000000" w:themeColor="text1"/>
                <w:sz w:val="18"/>
              </w:rPr>
              <w:t xml:space="preserve"> i świ</w:t>
            </w:r>
            <w:r w:rsidRPr="00A33B9F">
              <w:rPr>
                <w:rFonts w:ascii="Times New Roman" w:hAnsi="Times New Roman"/>
                <w:noProof/>
                <w:color w:val="000000" w:themeColor="text1"/>
                <w:sz w:val="18"/>
              </w:rPr>
              <w:t>etlnych systemów bezpieczeństwa) oraz wprowadzeniem zdalnego sterowania posterunkami ruchu</w:t>
            </w:r>
            <w:r w:rsidR="00A33B9F" w:rsidRPr="00A33B9F">
              <w:rPr>
                <w:rFonts w:ascii="Times New Roman" w:hAnsi="Times New Roman"/>
                <w:noProof/>
                <w:color w:val="000000" w:themeColor="text1"/>
                <w:sz w:val="18"/>
              </w:rPr>
              <w:t xml:space="preserve"> w 3</w:t>
            </w:r>
            <w:r w:rsidRPr="00A33B9F">
              <w:rPr>
                <w:rFonts w:ascii="Times New Roman" w:hAnsi="Times New Roman"/>
                <w:noProof/>
                <w:color w:val="000000" w:themeColor="text1"/>
                <w:sz w:val="18"/>
              </w:rPr>
              <w:t xml:space="preserve">5 lokalizacjach. </w:t>
            </w:r>
          </w:p>
        </w:tc>
      </w:tr>
    </w:tbl>
    <w:p w14:paraId="048740F3" w14:textId="77777777" w:rsidR="007C4506" w:rsidRPr="00A33B9F" w:rsidRDefault="007C4506">
      <w:pPr>
        <w:pStyle w:val="Normal0"/>
        <w:pBdr>
          <w:top w:val="nil"/>
          <w:left w:val="nil"/>
          <w:bottom w:val="nil"/>
          <w:right w:val="nil"/>
          <w:between w:val="nil"/>
        </w:pBdr>
        <w:spacing w:before="120" w:after="120" w:line="240" w:lineRule="auto"/>
        <w:ind w:left="709"/>
        <w:jc w:val="both"/>
        <w:rPr>
          <w:rFonts w:ascii="Times New Roman" w:eastAsia="Times New Roman" w:hAnsi="Times New Roman" w:cs="Times New Roman"/>
          <w:i/>
          <w:noProof/>
          <w:color w:val="4F81BD"/>
          <w:sz w:val="24"/>
          <w:szCs w:val="24"/>
        </w:rPr>
        <w:sectPr w:rsidR="007C4506" w:rsidRPr="00A33B9F" w:rsidSect="009B6BB9">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720" w:right="720" w:bottom="720" w:left="720" w:header="709" w:footer="709" w:gutter="0"/>
          <w:cols w:space="720"/>
          <w:docGrid w:linePitch="299"/>
        </w:sectPr>
      </w:pPr>
    </w:p>
    <w:p w14:paraId="11251D46" w14:textId="120F26E8" w:rsidR="007C4506" w:rsidRPr="00A33B9F" w:rsidRDefault="00B31839">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noProof/>
          <w:color w:val="000000"/>
          <w:sz w:val="24"/>
          <w:szCs w:val="24"/>
        </w:rPr>
      </w:pPr>
      <w:r w:rsidRPr="00A33B9F">
        <w:rPr>
          <w:rFonts w:ascii="Times New Roman" w:hAnsi="Times New Roman"/>
          <w:b/>
          <w:noProof/>
          <w:color w:val="000000"/>
          <w:sz w:val="24"/>
        </w:rPr>
        <w:t xml:space="preserve">E.3. </w:t>
      </w:r>
      <w:r w:rsidRPr="00A33B9F">
        <w:rPr>
          <w:noProof/>
        </w:rPr>
        <w:tab/>
      </w:r>
      <w:r w:rsidRPr="00A33B9F">
        <w:rPr>
          <w:rFonts w:ascii="Times New Roman" w:hAnsi="Times New Roman"/>
          <w:b/>
          <w:noProof/>
          <w:color w:val="000000"/>
          <w:sz w:val="24"/>
        </w:rPr>
        <w:t>Opis reform</w:t>
      </w:r>
      <w:r w:rsidR="00A33B9F" w:rsidRPr="00A33B9F">
        <w:rPr>
          <w:rFonts w:ascii="Times New Roman" w:hAnsi="Times New Roman"/>
          <w:b/>
          <w:noProof/>
          <w:color w:val="000000"/>
          <w:sz w:val="24"/>
        </w:rPr>
        <w:t xml:space="preserve"> i inw</w:t>
      </w:r>
      <w:r w:rsidRPr="00A33B9F">
        <w:rPr>
          <w:rFonts w:ascii="Times New Roman" w:hAnsi="Times New Roman"/>
          <w:b/>
          <w:noProof/>
          <w:color w:val="000000"/>
          <w:sz w:val="24"/>
        </w:rPr>
        <w:t>estycji, które mają być finansowane</w:t>
      </w:r>
      <w:r w:rsidR="00A33B9F" w:rsidRPr="00A33B9F">
        <w:rPr>
          <w:rFonts w:ascii="Times New Roman" w:hAnsi="Times New Roman"/>
          <w:b/>
          <w:noProof/>
          <w:color w:val="000000"/>
          <w:sz w:val="24"/>
        </w:rPr>
        <w:t xml:space="preserve"> z poż</w:t>
      </w:r>
      <w:r w:rsidRPr="00A33B9F">
        <w:rPr>
          <w:rFonts w:ascii="Times New Roman" w:hAnsi="Times New Roman"/>
          <w:b/>
          <w:noProof/>
          <w:color w:val="000000"/>
          <w:sz w:val="24"/>
        </w:rPr>
        <w:t>yczki</w:t>
      </w:r>
    </w:p>
    <w:p w14:paraId="72626263" w14:textId="77777777" w:rsidR="00A003EE" w:rsidRPr="00A33B9F" w:rsidRDefault="00A003EE">
      <w:pPr>
        <w:pStyle w:val="Normal0"/>
        <w:pBdr>
          <w:top w:val="nil"/>
          <w:left w:val="nil"/>
          <w:bottom w:val="nil"/>
          <w:right w:val="nil"/>
          <w:between w:val="nil"/>
        </w:pBdr>
        <w:spacing w:before="120" w:after="120" w:line="240" w:lineRule="auto"/>
        <w:jc w:val="both"/>
        <w:rPr>
          <w:rFonts w:ascii="Times New Roman" w:eastAsia="Times New Roman" w:hAnsi="Times New Roman" w:cs="Times New Roman"/>
          <w:b/>
          <w:i/>
          <w:noProof/>
          <w:color w:val="000000"/>
          <w:sz w:val="24"/>
          <w:szCs w:val="24"/>
        </w:rPr>
      </w:pPr>
    </w:p>
    <w:p w14:paraId="6E24122F" w14:textId="2D8F3AD1" w:rsidR="007C4506" w:rsidRPr="00A33B9F" w:rsidRDefault="00B31839" w:rsidP="7EFEC9F5">
      <w:pPr>
        <w:pStyle w:val="Normal0"/>
        <w:spacing w:before="120" w:after="120" w:line="240" w:lineRule="auto"/>
        <w:jc w:val="both"/>
        <w:rPr>
          <w:rFonts w:ascii="Times New Roman" w:eastAsia="Times New Roman" w:hAnsi="Times New Roman" w:cs="Times New Roman"/>
          <w:b/>
          <w:bCs/>
          <w:noProof/>
          <w:sz w:val="24"/>
          <w:szCs w:val="24"/>
        </w:rPr>
      </w:pPr>
      <w:r w:rsidRPr="00A33B9F">
        <w:rPr>
          <w:rFonts w:ascii="Times New Roman" w:hAnsi="Times New Roman"/>
          <w:b/>
          <w:noProof/>
          <w:sz w:val="24"/>
          <w:u w:val="single"/>
        </w:rPr>
        <w:t>E1.2 Zwiększenie udziału transportu zeroemisyjnego</w:t>
      </w:r>
      <w:r w:rsidR="00A33B9F" w:rsidRPr="00A33B9F">
        <w:rPr>
          <w:rFonts w:ascii="Times New Roman" w:hAnsi="Times New Roman"/>
          <w:b/>
          <w:noProof/>
          <w:sz w:val="24"/>
          <w:u w:val="single"/>
        </w:rPr>
        <w:t xml:space="preserve"> i nis</w:t>
      </w:r>
      <w:r w:rsidRPr="00A33B9F">
        <w:rPr>
          <w:rFonts w:ascii="Times New Roman" w:hAnsi="Times New Roman"/>
          <w:b/>
          <w:noProof/>
          <w:sz w:val="24"/>
          <w:u w:val="single"/>
        </w:rPr>
        <w:t>koemisyjnego, zapobieganie problemowi negatywnego wpływu transportu na środowisko</w:t>
      </w:r>
      <w:r w:rsidR="00A33B9F" w:rsidRPr="00A33B9F">
        <w:rPr>
          <w:rFonts w:ascii="Times New Roman" w:hAnsi="Times New Roman"/>
          <w:b/>
          <w:noProof/>
          <w:sz w:val="24"/>
          <w:u w:val="single"/>
        </w:rPr>
        <w:t xml:space="preserve"> i jeg</w:t>
      </w:r>
      <w:r w:rsidRPr="00A33B9F">
        <w:rPr>
          <w:rFonts w:ascii="Times New Roman" w:hAnsi="Times New Roman"/>
          <w:b/>
          <w:noProof/>
          <w:sz w:val="24"/>
          <w:u w:val="single"/>
        </w:rPr>
        <w:t>o ograniczenie</w:t>
      </w:r>
    </w:p>
    <w:p w14:paraId="6EBAFA68" w14:textId="57A4AC7F" w:rsidR="007C4506" w:rsidRPr="00A33B9F" w:rsidRDefault="00B31839">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Celem reformy jest zmniejszenie wpływu transportu na środowisko</w:t>
      </w:r>
      <w:r w:rsidR="00A33B9F" w:rsidRPr="00A33B9F">
        <w:rPr>
          <w:rFonts w:ascii="Times New Roman" w:hAnsi="Times New Roman"/>
          <w:noProof/>
          <w:sz w:val="24"/>
        </w:rPr>
        <w:t xml:space="preserve"> i zdr</w:t>
      </w:r>
      <w:r w:rsidRPr="00A33B9F">
        <w:rPr>
          <w:rFonts w:ascii="Times New Roman" w:hAnsi="Times New Roman"/>
          <w:noProof/>
          <w:sz w:val="24"/>
        </w:rPr>
        <w:t xml:space="preserve">owie. </w:t>
      </w:r>
    </w:p>
    <w:p w14:paraId="0D35834A" w14:textId="4408BBEE" w:rsidR="007C4506" w:rsidRPr="00A33B9F" w:rsidRDefault="7CDE990A">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Reforma polega na ustanowieniu obowiązku tworzenia stref transportu niskoemisyjnego</w:t>
      </w:r>
      <w:r w:rsidR="00A33B9F" w:rsidRPr="00A33B9F">
        <w:rPr>
          <w:rFonts w:ascii="Times New Roman" w:hAnsi="Times New Roman"/>
          <w:noProof/>
          <w:sz w:val="24"/>
        </w:rPr>
        <w:t xml:space="preserve"> w mia</w:t>
      </w:r>
      <w:r w:rsidRPr="00A33B9F">
        <w:rPr>
          <w:rFonts w:ascii="Times New Roman" w:hAnsi="Times New Roman"/>
          <w:noProof/>
          <w:sz w:val="24"/>
        </w:rPr>
        <w:t>stach liczących ponad 100 000 mieszkańców,</w:t>
      </w:r>
      <w:r w:rsidR="00A33B9F" w:rsidRPr="00A33B9F">
        <w:rPr>
          <w:rFonts w:ascii="Times New Roman" w:hAnsi="Times New Roman"/>
          <w:noProof/>
          <w:sz w:val="24"/>
        </w:rPr>
        <w:t xml:space="preserve"> w któ</w:t>
      </w:r>
      <w:r w:rsidRPr="00A33B9F">
        <w:rPr>
          <w:rFonts w:ascii="Times New Roman" w:hAnsi="Times New Roman"/>
          <w:noProof/>
          <w:sz w:val="24"/>
        </w:rPr>
        <w:t>rych przekroczono określone progi zanieczyszczenia powietrza. Jednostki samorządu terytorialnego będą miały 9 miesięcy na wprowadzenie takich stref od momentu stwierdzenia przekroczenia poziomu zanieczyszczenia przez Inspektorat Ochrony Środowiska.</w:t>
      </w:r>
    </w:p>
    <w:p w14:paraId="6C5A6D0D" w14:textId="4A7A11DF" w:rsidR="007C4506" w:rsidRPr="00A33B9F" w:rsidRDefault="68E1984B">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Reforma wejdzie</w:t>
      </w:r>
      <w:r w:rsidR="00A33B9F" w:rsidRPr="00A33B9F">
        <w:rPr>
          <w:rFonts w:ascii="Times New Roman" w:hAnsi="Times New Roman"/>
          <w:noProof/>
          <w:sz w:val="24"/>
        </w:rPr>
        <w:t xml:space="preserve"> w życ</w:t>
      </w:r>
      <w:r w:rsidRPr="00A33B9F">
        <w:rPr>
          <w:rFonts w:ascii="Times New Roman" w:hAnsi="Times New Roman"/>
          <w:noProof/>
          <w:sz w:val="24"/>
        </w:rPr>
        <w:t>ie do dnia 30 czerwca 2024</w:t>
      </w:r>
      <w:r w:rsidR="00A33B9F" w:rsidRPr="00A33B9F">
        <w:rPr>
          <w:rFonts w:ascii="Times New Roman" w:hAnsi="Times New Roman"/>
          <w:noProof/>
          <w:sz w:val="24"/>
        </w:rPr>
        <w:t> </w:t>
      </w:r>
      <w:r w:rsidRPr="00A33B9F">
        <w:rPr>
          <w:rFonts w:ascii="Times New Roman" w:hAnsi="Times New Roman"/>
          <w:noProof/>
          <w:sz w:val="24"/>
        </w:rPr>
        <w:t>r.,</w:t>
      </w:r>
      <w:r w:rsidR="00A33B9F" w:rsidRPr="00A33B9F">
        <w:rPr>
          <w:rFonts w:ascii="Times New Roman" w:hAnsi="Times New Roman"/>
          <w:noProof/>
          <w:sz w:val="24"/>
        </w:rPr>
        <w:t xml:space="preserve"> a odp</w:t>
      </w:r>
      <w:r w:rsidRPr="00A33B9F">
        <w:rPr>
          <w:rFonts w:ascii="Times New Roman" w:hAnsi="Times New Roman"/>
          <w:noProof/>
          <w:sz w:val="24"/>
        </w:rPr>
        <w:t>owiednie miasta wprowadzą strefy niskiej emisji do dnia 31 marca 2025</w:t>
      </w:r>
      <w:r w:rsidR="00A33B9F" w:rsidRPr="00A33B9F">
        <w:rPr>
          <w:rFonts w:ascii="Times New Roman" w:hAnsi="Times New Roman"/>
          <w:noProof/>
          <w:sz w:val="24"/>
        </w:rPr>
        <w:t> </w:t>
      </w:r>
      <w:r w:rsidRPr="00A33B9F">
        <w:rPr>
          <w:rFonts w:ascii="Times New Roman" w:hAnsi="Times New Roman"/>
          <w:noProof/>
          <w:sz w:val="24"/>
        </w:rPr>
        <w:t>r.</w:t>
      </w:r>
    </w:p>
    <w:p w14:paraId="51371A77" w14:textId="77777777" w:rsidR="007C4506" w:rsidRPr="00A33B9F" w:rsidRDefault="007C4506">
      <w:pPr>
        <w:pStyle w:val="Normal0"/>
        <w:spacing w:before="120" w:after="120" w:line="240" w:lineRule="auto"/>
        <w:jc w:val="both"/>
        <w:rPr>
          <w:rFonts w:ascii="Times New Roman" w:eastAsia="Times New Roman" w:hAnsi="Times New Roman" w:cs="Times New Roman"/>
          <w:noProof/>
          <w:sz w:val="24"/>
          <w:szCs w:val="24"/>
        </w:rPr>
      </w:pPr>
    </w:p>
    <w:p w14:paraId="32AC85CD" w14:textId="038E3D04" w:rsidR="007C4506" w:rsidRPr="00A33B9F" w:rsidRDefault="00B31839" w:rsidP="7EFEC9F5">
      <w:pPr>
        <w:pStyle w:val="Normal0"/>
        <w:spacing w:before="120" w:after="120" w:line="240" w:lineRule="auto"/>
        <w:jc w:val="both"/>
        <w:rPr>
          <w:rFonts w:ascii="Times New Roman" w:eastAsia="Times New Roman" w:hAnsi="Times New Roman" w:cs="Times New Roman"/>
          <w:b/>
          <w:bCs/>
          <w:noProof/>
          <w:sz w:val="24"/>
          <w:szCs w:val="24"/>
        </w:rPr>
      </w:pPr>
      <w:r w:rsidRPr="00A33B9F">
        <w:rPr>
          <w:rFonts w:ascii="Times New Roman" w:hAnsi="Times New Roman"/>
          <w:b/>
          <w:noProof/>
          <w:sz w:val="24"/>
          <w:u w:val="single"/>
        </w:rPr>
        <w:t>E1.2.1 Zeroemisyjny transport publiczny</w:t>
      </w:r>
      <w:r w:rsidR="00A33B9F" w:rsidRPr="00A33B9F">
        <w:rPr>
          <w:rFonts w:ascii="Times New Roman" w:hAnsi="Times New Roman"/>
          <w:b/>
          <w:noProof/>
          <w:sz w:val="24"/>
          <w:u w:val="single"/>
        </w:rPr>
        <w:t xml:space="preserve"> w mia</w:t>
      </w:r>
      <w:r w:rsidRPr="00A33B9F">
        <w:rPr>
          <w:rFonts w:ascii="Times New Roman" w:hAnsi="Times New Roman"/>
          <w:b/>
          <w:noProof/>
          <w:sz w:val="24"/>
          <w:u w:val="single"/>
        </w:rPr>
        <w:t>stach (tramwaje)</w:t>
      </w:r>
    </w:p>
    <w:p w14:paraId="2B26556F" w14:textId="10E69E68" w:rsidR="00A003EE" w:rsidRPr="00A33B9F" w:rsidRDefault="00B31839">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Celem inwestycji jest zwiększenie oferty czystego transportu publicznego</w:t>
      </w:r>
      <w:r w:rsidR="00A33B9F" w:rsidRPr="00A33B9F">
        <w:rPr>
          <w:rFonts w:ascii="Times New Roman" w:hAnsi="Times New Roman"/>
          <w:noProof/>
          <w:sz w:val="24"/>
        </w:rPr>
        <w:t xml:space="preserve"> w mia</w:t>
      </w:r>
      <w:r w:rsidRPr="00A33B9F">
        <w:rPr>
          <w:rFonts w:ascii="Times New Roman" w:hAnsi="Times New Roman"/>
          <w:noProof/>
          <w:sz w:val="24"/>
        </w:rPr>
        <w:t xml:space="preserve">stach. </w:t>
      </w:r>
    </w:p>
    <w:p w14:paraId="0F6202B1" w14:textId="6A7A5BC7" w:rsidR="007C4506" w:rsidRPr="00A33B9F" w:rsidRDefault="00A003EE">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Wsparcie zostanie udzielone</w:t>
      </w:r>
      <w:r w:rsidR="00A33B9F" w:rsidRPr="00A33B9F">
        <w:rPr>
          <w:rFonts w:ascii="Times New Roman" w:hAnsi="Times New Roman"/>
          <w:noProof/>
          <w:sz w:val="24"/>
        </w:rPr>
        <w:t xml:space="preserve"> w pie</w:t>
      </w:r>
      <w:r w:rsidRPr="00A33B9F">
        <w:rPr>
          <w:rFonts w:ascii="Times New Roman" w:hAnsi="Times New Roman"/>
          <w:noProof/>
          <w:sz w:val="24"/>
        </w:rPr>
        <w:t>rwszej kolejności obszarom,</w:t>
      </w:r>
      <w:r w:rsidR="00A33B9F" w:rsidRPr="00A33B9F">
        <w:rPr>
          <w:rFonts w:ascii="Times New Roman" w:hAnsi="Times New Roman"/>
          <w:noProof/>
          <w:sz w:val="24"/>
        </w:rPr>
        <w:t xml:space="preserve"> w któ</w:t>
      </w:r>
      <w:r w:rsidRPr="00A33B9F">
        <w:rPr>
          <w:rFonts w:ascii="Times New Roman" w:hAnsi="Times New Roman"/>
          <w:noProof/>
          <w:sz w:val="24"/>
        </w:rPr>
        <w:t>rych wprowadzono lub planuje się wprowadzenie stref czystego transportu.</w:t>
      </w:r>
    </w:p>
    <w:p w14:paraId="598A99C3" w14:textId="09CCC397" w:rsidR="007C4506" w:rsidRPr="00A33B9F" w:rsidRDefault="522DEB2C">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Inwestycja polega na zakupie 88 jednostek zeroemisyjnego taboru kolejowego (tramwajów) na potrzeby transportu publicznego</w:t>
      </w:r>
      <w:r w:rsidR="00A33B9F" w:rsidRPr="00A33B9F">
        <w:rPr>
          <w:rFonts w:ascii="Times New Roman" w:hAnsi="Times New Roman"/>
          <w:noProof/>
          <w:sz w:val="24"/>
        </w:rPr>
        <w:t xml:space="preserve"> w mia</w:t>
      </w:r>
      <w:r w:rsidRPr="00A33B9F">
        <w:rPr>
          <w:rFonts w:ascii="Times New Roman" w:hAnsi="Times New Roman"/>
          <w:noProof/>
          <w:sz w:val="24"/>
        </w:rPr>
        <w:t>stach. Tramwaje zostaną dostarczone do dnia 30 czerwca 2026</w:t>
      </w:r>
      <w:r w:rsidR="00A33B9F" w:rsidRPr="00A33B9F">
        <w:rPr>
          <w:rFonts w:ascii="Times New Roman" w:hAnsi="Times New Roman"/>
          <w:noProof/>
          <w:sz w:val="24"/>
        </w:rPr>
        <w:t> </w:t>
      </w:r>
      <w:r w:rsidRPr="00A33B9F">
        <w:rPr>
          <w:rFonts w:ascii="Times New Roman" w:hAnsi="Times New Roman"/>
          <w:noProof/>
          <w:sz w:val="24"/>
        </w:rPr>
        <w:t>r.</w:t>
      </w:r>
    </w:p>
    <w:p w14:paraId="732434A0" w14:textId="77777777" w:rsidR="007C4506" w:rsidRPr="00A33B9F" w:rsidRDefault="007C4506">
      <w:pPr>
        <w:pStyle w:val="Normal0"/>
        <w:spacing w:before="120" w:after="120" w:line="240" w:lineRule="auto"/>
        <w:jc w:val="both"/>
        <w:rPr>
          <w:rFonts w:ascii="Times New Roman" w:eastAsia="Times New Roman" w:hAnsi="Times New Roman" w:cs="Times New Roman"/>
          <w:noProof/>
          <w:sz w:val="24"/>
          <w:szCs w:val="24"/>
          <w:u w:val="single"/>
        </w:rPr>
      </w:pPr>
    </w:p>
    <w:p w14:paraId="54F33E7B" w14:textId="0363E0DD" w:rsidR="007C4506" w:rsidRPr="00A33B9F" w:rsidRDefault="522DEB2C" w:rsidP="6F625753">
      <w:pPr>
        <w:pStyle w:val="Normal0"/>
        <w:spacing w:before="120" w:after="120" w:line="240" w:lineRule="auto"/>
        <w:jc w:val="both"/>
        <w:rPr>
          <w:rFonts w:ascii="Times New Roman" w:eastAsia="Times New Roman" w:hAnsi="Times New Roman" w:cs="Times New Roman"/>
          <w:b/>
          <w:noProof/>
          <w:sz w:val="24"/>
          <w:szCs w:val="24"/>
        </w:rPr>
      </w:pPr>
      <w:r w:rsidRPr="00A33B9F">
        <w:rPr>
          <w:rFonts w:ascii="Times New Roman" w:hAnsi="Times New Roman"/>
          <w:b/>
          <w:noProof/>
          <w:sz w:val="24"/>
          <w:u w:val="single"/>
        </w:rPr>
        <w:t>E2.3 Poprawa dostępności</w:t>
      </w:r>
      <w:r w:rsidR="00A33B9F" w:rsidRPr="00A33B9F">
        <w:rPr>
          <w:rFonts w:ascii="Times New Roman" w:hAnsi="Times New Roman"/>
          <w:b/>
          <w:noProof/>
          <w:sz w:val="24"/>
          <w:u w:val="single"/>
        </w:rPr>
        <w:t xml:space="preserve"> i bez</w:t>
      </w:r>
      <w:r w:rsidRPr="00A33B9F">
        <w:rPr>
          <w:rFonts w:ascii="Times New Roman" w:hAnsi="Times New Roman"/>
          <w:b/>
          <w:noProof/>
          <w:sz w:val="24"/>
          <w:u w:val="single"/>
        </w:rPr>
        <w:t>pieczeństwa transportu oraz usprawnienie rozwiązań cyfrowych</w:t>
      </w:r>
    </w:p>
    <w:p w14:paraId="428A23C9" w14:textId="77777777" w:rsidR="007C4506" w:rsidRPr="00A33B9F" w:rsidRDefault="522DEB2C" w:rsidP="6F625753">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Reforma ma na celu zwiększenie dostępności transportu.</w:t>
      </w:r>
    </w:p>
    <w:p w14:paraId="17440558" w14:textId="5435BE6A" w:rsidR="007C4506" w:rsidRPr="00A33B9F" w:rsidRDefault="67E85A30" w:rsidP="6F625753">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Będzie ona polegała na przyspieszonym wdrożeniu rozporządzenia nr</w:t>
      </w:r>
      <w:r w:rsidR="00A33B9F" w:rsidRPr="00A33B9F">
        <w:rPr>
          <w:rFonts w:ascii="Times New Roman" w:hAnsi="Times New Roman"/>
          <w:noProof/>
          <w:sz w:val="24"/>
        </w:rPr>
        <w:t> </w:t>
      </w:r>
      <w:r w:rsidRPr="00A33B9F">
        <w:rPr>
          <w:rFonts w:ascii="Times New Roman" w:hAnsi="Times New Roman"/>
          <w:noProof/>
          <w:sz w:val="24"/>
        </w:rPr>
        <w:t>1371/2007 dotyczącego praw pasażerów</w:t>
      </w:r>
      <w:r w:rsidR="00A33B9F" w:rsidRPr="00A33B9F">
        <w:rPr>
          <w:rFonts w:ascii="Times New Roman" w:hAnsi="Times New Roman"/>
          <w:noProof/>
          <w:sz w:val="24"/>
        </w:rPr>
        <w:t xml:space="preserve"> w ruc</w:t>
      </w:r>
      <w:r w:rsidRPr="00A33B9F">
        <w:rPr>
          <w:rFonts w:ascii="Times New Roman" w:hAnsi="Times New Roman"/>
          <w:noProof/>
          <w:sz w:val="24"/>
        </w:rPr>
        <w:t>hu kolejowym oraz dostosowania taboru kolejowego do potrzeb pasażerów</w:t>
      </w:r>
      <w:r w:rsidR="00A33B9F" w:rsidRPr="00A33B9F">
        <w:rPr>
          <w:rFonts w:ascii="Times New Roman" w:hAnsi="Times New Roman"/>
          <w:noProof/>
          <w:sz w:val="24"/>
        </w:rPr>
        <w:t xml:space="preserve"> o ogr</w:t>
      </w:r>
      <w:r w:rsidRPr="00A33B9F">
        <w:rPr>
          <w:rFonts w:ascii="Times New Roman" w:hAnsi="Times New Roman"/>
          <w:noProof/>
          <w:sz w:val="24"/>
        </w:rPr>
        <w:t>aniczonej możliwości poruszania się. Reforma wejdzie</w:t>
      </w:r>
      <w:r w:rsidR="00A33B9F" w:rsidRPr="00A33B9F">
        <w:rPr>
          <w:rFonts w:ascii="Times New Roman" w:hAnsi="Times New Roman"/>
          <w:noProof/>
          <w:sz w:val="24"/>
        </w:rPr>
        <w:t xml:space="preserve"> w życ</w:t>
      </w:r>
      <w:r w:rsidRPr="00A33B9F">
        <w:rPr>
          <w:rFonts w:ascii="Times New Roman" w:hAnsi="Times New Roman"/>
          <w:noProof/>
          <w:sz w:val="24"/>
        </w:rPr>
        <w:t>ie do dnia 31 grudnia 2022</w:t>
      </w:r>
      <w:r w:rsidR="00A33B9F" w:rsidRPr="00A33B9F">
        <w:rPr>
          <w:rFonts w:ascii="Times New Roman" w:hAnsi="Times New Roman"/>
          <w:noProof/>
          <w:sz w:val="24"/>
        </w:rPr>
        <w:t> </w:t>
      </w:r>
      <w:r w:rsidRPr="00A33B9F">
        <w:rPr>
          <w:rFonts w:ascii="Times New Roman" w:hAnsi="Times New Roman"/>
          <w:noProof/>
          <w:sz w:val="24"/>
        </w:rPr>
        <w:t>r.</w:t>
      </w:r>
    </w:p>
    <w:p w14:paraId="3C60FD95" w14:textId="61874691" w:rsidR="007C4506" w:rsidRPr="00A33B9F" w:rsidRDefault="48331A44" w:rsidP="6F625753">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Reforma obejmie również właściwe przepisy</w:t>
      </w:r>
      <w:r w:rsidR="00A33B9F" w:rsidRPr="00A33B9F">
        <w:rPr>
          <w:rFonts w:ascii="Times New Roman" w:hAnsi="Times New Roman"/>
          <w:noProof/>
          <w:sz w:val="24"/>
        </w:rPr>
        <w:t xml:space="preserve"> w zak</w:t>
      </w:r>
      <w:r w:rsidRPr="00A33B9F">
        <w:rPr>
          <w:rFonts w:ascii="Times New Roman" w:hAnsi="Times New Roman"/>
          <w:noProof/>
          <w:sz w:val="24"/>
        </w:rPr>
        <w:t>resie modernizacji krajowego, międzynarodowego</w:t>
      </w:r>
      <w:r w:rsidR="00A33B9F" w:rsidRPr="00A33B9F">
        <w:rPr>
          <w:rFonts w:ascii="Times New Roman" w:hAnsi="Times New Roman"/>
          <w:noProof/>
          <w:sz w:val="24"/>
        </w:rPr>
        <w:t xml:space="preserve"> i reg</w:t>
      </w:r>
      <w:r w:rsidRPr="00A33B9F">
        <w:rPr>
          <w:rFonts w:ascii="Times New Roman" w:hAnsi="Times New Roman"/>
          <w:noProof/>
          <w:sz w:val="24"/>
        </w:rPr>
        <w:t>ionalnego taboru kolejowego</w:t>
      </w:r>
      <w:r w:rsidR="00A33B9F" w:rsidRPr="00A33B9F">
        <w:rPr>
          <w:rFonts w:ascii="Times New Roman" w:hAnsi="Times New Roman"/>
          <w:noProof/>
          <w:sz w:val="24"/>
        </w:rPr>
        <w:t xml:space="preserve"> z uwz</w:t>
      </w:r>
      <w:r w:rsidRPr="00A33B9F">
        <w:rPr>
          <w:rFonts w:ascii="Times New Roman" w:hAnsi="Times New Roman"/>
          <w:noProof/>
          <w:sz w:val="24"/>
        </w:rPr>
        <w:t>ględnieniem wymogów dotyczących pasażerów</w:t>
      </w:r>
      <w:r w:rsidR="00A33B9F" w:rsidRPr="00A33B9F">
        <w:rPr>
          <w:rFonts w:ascii="Times New Roman" w:hAnsi="Times New Roman"/>
          <w:noProof/>
          <w:sz w:val="24"/>
        </w:rPr>
        <w:t xml:space="preserve"> z nie</w:t>
      </w:r>
      <w:r w:rsidRPr="00A33B9F">
        <w:rPr>
          <w:rFonts w:ascii="Times New Roman" w:hAnsi="Times New Roman"/>
          <w:noProof/>
          <w:sz w:val="24"/>
        </w:rPr>
        <w:t>pełnosprawnościami. Reforma wejdzie</w:t>
      </w:r>
      <w:r w:rsidR="00A33B9F" w:rsidRPr="00A33B9F">
        <w:rPr>
          <w:rFonts w:ascii="Times New Roman" w:hAnsi="Times New Roman"/>
          <w:noProof/>
          <w:sz w:val="24"/>
        </w:rPr>
        <w:t xml:space="preserve"> w życ</w:t>
      </w:r>
      <w:r w:rsidRPr="00A33B9F">
        <w:rPr>
          <w:rFonts w:ascii="Times New Roman" w:hAnsi="Times New Roman"/>
          <w:noProof/>
          <w:sz w:val="24"/>
        </w:rPr>
        <w:t>ie do dnia 30 czerwca 2024</w:t>
      </w:r>
      <w:r w:rsidR="00A33B9F" w:rsidRPr="00A33B9F">
        <w:rPr>
          <w:rFonts w:ascii="Times New Roman" w:hAnsi="Times New Roman"/>
          <w:noProof/>
          <w:sz w:val="24"/>
        </w:rPr>
        <w:t> </w:t>
      </w:r>
      <w:r w:rsidRPr="00A33B9F">
        <w:rPr>
          <w:rFonts w:ascii="Times New Roman" w:hAnsi="Times New Roman"/>
          <w:noProof/>
          <w:sz w:val="24"/>
        </w:rPr>
        <w:t>r.</w:t>
      </w:r>
    </w:p>
    <w:p w14:paraId="2328BB07" w14:textId="77777777" w:rsidR="007C4506" w:rsidRPr="00A33B9F" w:rsidRDefault="007C4506">
      <w:pPr>
        <w:pStyle w:val="Normal0"/>
        <w:spacing w:before="120" w:after="120" w:line="240" w:lineRule="auto"/>
        <w:jc w:val="both"/>
        <w:rPr>
          <w:rFonts w:ascii="Times New Roman" w:eastAsia="Times New Roman" w:hAnsi="Times New Roman" w:cs="Times New Roman"/>
          <w:noProof/>
          <w:sz w:val="24"/>
          <w:szCs w:val="24"/>
        </w:rPr>
      </w:pPr>
    </w:p>
    <w:p w14:paraId="74333CE4" w14:textId="0E798DE9" w:rsidR="008B072F" w:rsidRPr="00A33B9F" w:rsidRDefault="008B072F" w:rsidP="00FE2799">
      <w:pPr>
        <w:pStyle w:val="Normal0"/>
        <w:spacing w:before="120" w:after="120" w:line="240" w:lineRule="auto"/>
        <w:jc w:val="both"/>
        <w:rPr>
          <w:rFonts w:ascii="Times New Roman" w:eastAsia="Times New Roman" w:hAnsi="Times New Roman" w:cs="Times New Roman"/>
          <w:noProof/>
          <w:sz w:val="24"/>
          <w:szCs w:val="24"/>
        </w:rPr>
        <w:sectPr w:rsidR="008B072F" w:rsidRPr="00A33B9F">
          <w:headerReference w:type="even" r:id="rId139"/>
          <w:headerReference w:type="default" r:id="rId140"/>
          <w:footerReference w:type="even" r:id="rId141"/>
          <w:footerReference w:type="default" r:id="rId142"/>
          <w:headerReference w:type="first" r:id="rId143"/>
          <w:footerReference w:type="first" r:id="rId144"/>
          <w:pgSz w:w="11907" w:h="16839"/>
          <w:pgMar w:top="1134" w:right="1417" w:bottom="1134" w:left="1417" w:header="709" w:footer="709" w:gutter="0"/>
          <w:cols w:space="720"/>
        </w:sectPr>
      </w:pPr>
    </w:p>
    <w:p w14:paraId="256AC6DA" w14:textId="0134B614" w:rsidR="00212550" w:rsidRPr="00A33B9F" w:rsidRDefault="008B072F" w:rsidP="00FE2799">
      <w:pPr>
        <w:pStyle w:val="Normal0"/>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b/>
          <w:noProof/>
          <w:color w:val="000000"/>
          <w:sz w:val="24"/>
        </w:rPr>
        <w:t xml:space="preserve">E.4.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dotyczące pożyczki</w:t>
      </w:r>
    </w:p>
    <w:p w14:paraId="49EBF404" w14:textId="4FE12E96" w:rsidR="008B072F" w:rsidRPr="00A33B9F" w:rsidRDefault="008B072F" w:rsidP="00FE2799">
      <w:pPr>
        <w:pStyle w:val="Normal0"/>
        <w:spacing w:before="120" w:after="120" w:line="240" w:lineRule="auto"/>
        <w:jc w:val="both"/>
        <w:rPr>
          <w:rFonts w:ascii="Times New Roman" w:eastAsia="Times New Roman" w:hAnsi="Times New Roman" w:cs="Times New Roman"/>
          <w:noProof/>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2"/>
        <w:gridCol w:w="1519"/>
        <w:gridCol w:w="1245"/>
        <w:gridCol w:w="1932"/>
        <w:gridCol w:w="1519"/>
        <w:gridCol w:w="969"/>
        <w:gridCol w:w="969"/>
        <w:gridCol w:w="695"/>
        <w:gridCol w:w="942"/>
        <w:gridCol w:w="833"/>
        <w:gridCol w:w="3854"/>
      </w:tblGrid>
      <w:tr w:rsidR="008C116B" w:rsidRPr="00A33B9F" w14:paraId="1F9F141F" w14:textId="77777777" w:rsidTr="079DCE09">
        <w:trPr>
          <w:trHeight w:val="939"/>
          <w:tblHeader/>
        </w:trPr>
        <w:tc>
          <w:tcPr>
            <w:tcW w:w="851" w:type="dxa"/>
            <w:vMerge w:val="restart"/>
            <w:shd w:val="clear" w:color="auto" w:fill="BDD7EE"/>
            <w:vAlign w:val="center"/>
          </w:tcPr>
          <w:p w14:paraId="7A18A131" w14:textId="277A02B8" w:rsidR="007C4506" w:rsidRPr="00A33B9F" w:rsidRDefault="00B31839"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559" w:type="dxa"/>
            <w:vMerge w:val="restart"/>
            <w:shd w:val="clear" w:color="auto" w:fill="BDD7EE"/>
            <w:vAlign w:val="center"/>
          </w:tcPr>
          <w:p w14:paraId="39F6D53D"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276" w:type="dxa"/>
            <w:vMerge w:val="restart"/>
            <w:shd w:val="clear" w:color="auto" w:fill="BDD7EE"/>
            <w:vAlign w:val="center"/>
          </w:tcPr>
          <w:p w14:paraId="5C73F738"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985" w:type="dxa"/>
            <w:vMerge w:val="restart"/>
            <w:shd w:val="clear" w:color="auto" w:fill="BDD7EE"/>
            <w:vAlign w:val="center"/>
          </w:tcPr>
          <w:p w14:paraId="029AF2F2"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559" w:type="dxa"/>
            <w:vMerge w:val="restart"/>
            <w:shd w:val="clear" w:color="auto" w:fill="BDD7EE"/>
            <w:vAlign w:val="center"/>
          </w:tcPr>
          <w:p w14:paraId="46F80E1A"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693" w:type="dxa"/>
            <w:gridSpan w:val="3"/>
            <w:shd w:val="clear" w:color="auto" w:fill="BDD7EE"/>
            <w:vAlign w:val="center"/>
          </w:tcPr>
          <w:p w14:paraId="7ACC2EDB"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418" w:type="dxa"/>
            <w:gridSpan w:val="2"/>
            <w:shd w:val="clear" w:color="auto" w:fill="BDD7EE"/>
            <w:vAlign w:val="center"/>
          </w:tcPr>
          <w:p w14:paraId="1706822F"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3968" w:type="dxa"/>
            <w:vMerge w:val="restart"/>
            <w:shd w:val="clear" w:color="auto" w:fill="BDD7EE"/>
            <w:vAlign w:val="center"/>
          </w:tcPr>
          <w:p w14:paraId="70683260" w14:textId="507749B1"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CA5542" w:rsidRPr="00A33B9F" w14:paraId="6B882257" w14:textId="77777777" w:rsidTr="007914E5">
        <w:trPr>
          <w:trHeight w:val="694"/>
        </w:trPr>
        <w:tc>
          <w:tcPr>
            <w:tcW w:w="851" w:type="dxa"/>
            <w:vMerge/>
            <w:vAlign w:val="center"/>
          </w:tcPr>
          <w:p w14:paraId="38AA98D6"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665A1408"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276" w:type="dxa"/>
            <w:vMerge/>
            <w:vAlign w:val="center"/>
          </w:tcPr>
          <w:p w14:paraId="71049383"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985" w:type="dxa"/>
            <w:vMerge/>
            <w:vAlign w:val="center"/>
          </w:tcPr>
          <w:p w14:paraId="4D16AC41"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559" w:type="dxa"/>
            <w:vMerge/>
            <w:vAlign w:val="center"/>
          </w:tcPr>
          <w:p w14:paraId="12A4EA11"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992" w:type="dxa"/>
            <w:shd w:val="clear" w:color="auto" w:fill="BDD7EE"/>
            <w:vAlign w:val="center"/>
          </w:tcPr>
          <w:p w14:paraId="00970CEC"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992" w:type="dxa"/>
            <w:shd w:val="clear" w:color="auto" w:fill="BDD7EE"/>
            <w:vAlign w:val="center"/>
          </w:tcPr>
          <w:p w14:paraId="38368833"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709" w:type="dxa"/>
            <w:shd w:val="clear" w:color="auto" w:fill="BDD7EE"/>
            <w:vAlign w:val="center"/>
          </w:tcPr>
          <w:p w14:paraId="25D6BABF"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964" w:type="dxa"/>
            <w:shd w:val="clear" w:color="auto" w:fill="BDD7EE"/>
            <w:vAlign w:val="center"/>
          </w:tcPr>
          <w:p w14:paraId="07305A30"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851" w:type="dxa"/>
            <w:shd w:val="clear" w:color="auto" w:fill="BDD7EE"/>
            <w:vAlign w:val="center"/>
          </w:tcPr>
          <w:p w14:paraId="12F5182E" w14:textId="77777777" w:rsidR="007C4506" w:rsidRPr="00A33B9F" w:rsidRDefault="00B31839">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3968" w:type="dxa"/>
            <w:vMerge/>
            <w:vAlign w:val="center"/>
          </w:tcPr>
          <w:p w14:paraId="5A1EA135" w14:textId="77777777" w:rsidR="007C4506" w:rsidRPr="00A33B9F" w:rsidRDefault="007C4506">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5AE8B295" w14:textId="77777777" w:rsidTr="007914E5">
        <w:trPr>
          <w:trHeight w:val="313"/>
        </w:trPr>
        <w:tc>
          <w:tcPr>
            <w:tcW w:w="851" w:type="dxa"/>
            <w:shd w:val="clear" w:color="auto" w:fill="C6EFCE"/>
          </w:tcPr>
          <w:p w14:paraId="1809B131" w14:textId="02FC6EA0"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E1L</w:t>
            </w:r>
          </w:p>
        </w:tc>
        <w:tc>
          <w:tcPr>
            <w:tcW w:w="1559" w:type="dxa"/>
            <w:shd w:val="clear" w:color="auto" w:fill="C6EFCE"/>
          </w:tcPr>
          <w:p w14:paraId="3D7EC61B" w14:textId="30CBED72"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E1.2 Zwiększenie udziału transportu zeroemisyjnego</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koemisyjnego, zapobieganie problemowi negatywnego wpływu transportu na środowisko</w:t>
            </w:r>
            <w:r w:rsidR="00A33B9F" w:rsidRPr="00A33B9F">
              <w:rPr>
                <w:rFonts w:ascii="Times New Roman" w:hAnsi="Times New Roman"/>
                <w:noProof/>
                <w:color w:val="000000" w:themeColor="text1"/>
                <w:sz w:val="18"/>
              </w:rPr>
              <w:t xml:space="preserve"> i jeg</w:t>
            </w:r>
            <w:r w:rsidRPr="00A33B9F">
              <w:rPr>
                <w:rFonts w:ascii="Times New Roman" w:hAnsi="Times New Roman"/>
                <w:noProof/>
                <w:color w:val="000000" w:themeColor="text1"/>
                <w:sz w:val="18"/>
              </w:rPr>
              <w:t>o ograniczenie</w:t>
            </w:r>
          </w:p>
        </w:tc>
        <w:tc>
          <w:tcPr>
            <w:tcW w:w="1276" w:type="dxa"/>
            <w:shd w:val="clear" w:color="auto" w:fill="C6EFCE"/>
          </w:tcPr>
          <w:p w14:paraId="75A6FE2C"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985" w:type="dxa"/>
            <w:shd w:val="clear" w:color="auto" w:fill="C6EFCE"/>
          </w:tcPr>
          <w:p w14:paraId="0395D45A" w14:textId="6BA06C6E" w:rsidR="00736BBF" w:rsidRPr="00A33B9F"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aktu prawnego wprowadzającego obowiązek tworzenia stref niskoemisyjnych dla wybranych, najbardziej zanieczyszczonych miast </w:t>
            </w:r>
          </w:p>
        </w:tc>
        <w:tc>
          <w:tcPr>
            <w:tcW w:w="1559" w:type="dxa"/>
            <w:shd w:val="clear" w:color="auto" w:fill="C6EFCE"/>
          </w:tcPr>
          <w:p w14:paraId="449A821F" w14:textId="45138943" w:rsidR="00736BBF" w:rsidRPr="00A33B9F" w:rsidRDefault="0A308F2A" w:rsidP="3BDD71E6">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jego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 xml:space="preserve">ie </w:t>
            </w:r>
          </w:p>
        </w:tc>
        <w:tc>
          <w:tcPr>
            <w:tcW w:w="992" w:type="dxa"/>
            <w:shd w:val="clear" w:color="auto" w:fill="C6EFCE"/>
          </w:tcPr>
          <w:p w14:paraId="3A7B6998"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45139D63"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709" w:type="dxa"/>
            <w:shd w:val="clear" w:color="auto" w:fill="C6EFCE"/>
          </w:tcPr>
          <w:p w14:paraId="15E26153"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38E7319B"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851" w:type="dxa"/>
            <w:shd w:val="clear" w:color="auto" w:fill="C6EFCE"/>
          </w:tcPr>
          <w:p w14:paraId="2C9391D6"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2024</w:t>
            </w:r>
          </w:p>
        </w:tc>
        <w:tc>
          <w:tcPr>
            <w:tcW w:w="3968" w:type="dxa"/>
            <w:shd w:val="clear" w:color="auto" w:fill="C6EFCE"/>
          </w:tcPr>
          <w:p w14:paraId="762D500B" w14:textId="400D170A" w:rsidR="00736BBF" w:rsidRPr="00A33B9F" w:rsidRDefault="50EF019B"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 akcie prawnym ustanowiony zostanie od I kw.</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2025</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 obowiązek tworzenia stref transportu niskoemisyjnego</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 powyżej 100 000 mieszkańców,</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występuje przekroczenie poziomów szkodliwych substancji</w:t>
            </w:r>
            <w:r w:rsidR="00A33B9F" w:rsidRPr="00A33B9F">
              <w:rPr>
                <w:rFonts w:ascii="Times New Roman" w:hAnsi="Times New Roman"/>
                <w:noProof/>
                <w:color w:val="000000" w:themeColor="text1"/>
                <w:sz w:val="18"/>
              </w:rPr>
              <w:t xml:space="preserve"> w sto</w:t>
            </w:r>
            <w:r w:rsidRPr="00A33B9F">
              <w:rPr>
                <w:rFonts w:ascii="Times New Roman" w:hAnsi="Times New Roman"/>
                <w:noProof/>
                <w:color w:val="000000" w:themeColor="text1"/>
                <w:sz w:val="18"/>
              </w:rPr>
              <w:t xml:space="preserve">sunku do unijnych progów zanieczyszczenia powietrza, </w:t>
            </w:r>
            <w:r w:rsidRPr="00A33B9F">
              <w:rPr>
                <w:rFonts w:ascii="Times New Roman" w:hAnsi="Times New Roman"/>
                <w:noProof/>
                <w:sz w:val="18"/>
              </w:rPr>
              <w:t>oraz przewidziane zostanie rozszerzenie możliwości ich wprowadzania na wszystkie obszary miejskie, niezależnie od liczby mieszkańców.</w:t>
            </w:r>
            <w:r w:rsidRPr="00A33B9F">
              <w:rPr>
                <w:rFonts w:ascii="Times New Roman" w:hAnsi="Times New Roman"/>
                <w:noProof/>
                <w:color w:val="000000" w:themeColor="text1"/>
                <w:sz w:val="18"/>
              </w:rPr>
              <w:t xml:space="preserve"> Do stref będą mogły wjeżdżać wyłącznie „niskoemisyjne” pojazdy osobowe</w:t>
            </w:r>
            <w:r w:rsidR="00A33B9F" w:rsidRPr="00A33B9F">
              <w:rPr>
                <w:rFonts w:ascii="Times New Roman" w:hAnsi="Times New Roman"/>
                <w:noProof/>
                <w:color w:val="000000" w:themeColor="text1"/>
                <w:sz w:val="18"/>
              </w:rPr>
              <w:t>. W cią</w:t>
            </w:r>
            <w:r w:rsidRPr="00A33B9F">
              <w:rPr>
                <w:rFonts w:ascii="Times New Roman" w:hAnsi="Times New Roman"/>
                <w:noProof/>
                <w:color w:val="000000" w:themeColor="text1"/>
                <w:sz w:val="18"/>
              </w:rPr>
              <w:t>gu 9 miesięcy od daty otrzymania informacji</w:t>
            </w:r>
            <w:r w:rsidR="00A33B9F" w:rsidRPr="00A33B9F">
              <w:rPr>
                <w:rFonts w:ascii="Times New Roman" w:hAnsi="Times New Roman"/>
                <w:noProof/>
                <w:color w:val="000000" w:themeColor="text1"/>
                <w:sz w:val="18"/>
              </w:rPr>
              <w:t xml:space="preserve"> o prz</w:t>
            </w:r>
            <w:r w:rsidRPr="00A33B9F">
              <w:rPr>
                <w:rFonts w:ascii="Times New Roman" w:hAnsi="Times New Roman"/>
                <w:noProof/>
                <w:color w:val="000000" w:themeColor="text1"/>
                <w:sz w:val="18"/>
              </w:rPr>
              <w:t>ekroczeniu poziomu stężenia zanieczyszczeń powietrza miasta utworzą na swoim terenie strefy czystego transportu. Okres 9 miesięcy ma umożliwić samorządom terytorialnym przygotowanie terenu, na którym ma być zlokalizowana strefa czystego transportu, pod kątem wprowadzenia planowanych ograniczeń.</w:t>
            </w:r>
          </w:p>
        </w:tc>
      </w:tr>
      <w:tr w:rsidR="008C116B" w:rsidRPr="00A33B9F" w14:paraId="1AF38F0C" w14:textId="77777777" w:rsidTr="007914E5">
        <w:trPr>
          <w:trHeight w:val="313"/>
        </w:trPr>
        <w:tc>
          <w:tcPr>
            <w:tcW w:w="851" w:type="dxa"/>
            <w:shd w:val="clear" w:color="auto" w:fill="C6EFCE"/>
          </w:tcPr>
          <w:p w14:paraId="2EDAD1BA" w14:textId="292C9F7B"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E2L</w:t>
            </w:r>
          </w:p>
        </w:tc>
        <w:tc>
          <w:tcPr>
            <w:tcW w:w="1559" w:type="dxa"/>
            <w:shd w:val="clear" w:color="auto" w:fill="C6EFCE"/>
          </w:tcPr>
          <w:p w14:paraId="13BD009B" w14:textId="153D8C3E"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E1.2 Zwiększenie udziału transportu zeroemisyjnego</w:t>
            </w:r>
            <w:r w:rsidR="00A33B9F" w:rsidRPr="00A33B9F">
              <w:rPr>
                <w:rFonts w:ascii="Times New Roman" w:hAnsi="Times New Roman"/>
                <w:noProof/>
                <w:color w:val="000000" w:themeColor="text1"/>
                <w:sz w:val="18"/>
              </w:rPr>
              <w:t xml:space="preserve"> i nis</w:t>
            </w:r>
            <w:r w:rsidRPr="00A33B9F">
              <w:rPr>
                <w:rFonts w:ascii="Times New Roman" w:hAnsi="Times New Roman"/>
                <w:noProof/>
                <w:color w:val="000000" w:themeColor="text1"/>
                <w:sz w:val="18"/>
              </w:rPr>
              <w:t>koemisyjnego, zapobieganie problemowi negatywnego wpływu transportu na środowisko</w:t>
            </w:r>
            <w:r w:rsidR="00A33B9F" w:rsidRPr="00A33B9F">
              <w:rPr>
                <w:rFonts w:ascii="Times New Roman" w:hAnsi="Times New Roman"/>
                <w:noProof/>
                <w:color w:val="000000" w:themeColor="text1"/>
                <w:sz w:val="18"/>
              </w:rPr>
              <w:t xml:space="preserve"> i jeg</w:t>
            </w:r>
            <w:r w:rsidRPr="00A33B9F">
              <w:rPr>
                <w:rFonts w:ascii="Times New Roman" w:hAnsi="Times New Roman"/>
                <w:noProof/>
                <w:color w:val="000000" w:themeColor="text1"/>
                <w:sz w:val="18"/>
              </w:rPr>
              <w:t>o ograniczenie</w:t>
            </w:r>
          </w:p>
        </w:tc>
        <w:tc>
          <w:tcPr>
            <w:tcW w:w="1276" w:type="dxa"/>
            <w:shd w:val="clear" w:color="auto" w:fill="C6EFCE"/>
          </w:tcPr>
          <w:p w14:paraId="342DB3B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Kamień milowy</w:t>
            </w:r>
          </w:p>
        </w:tc>
        <w:tc>
          <w:tcPr>
            <w:tcW w:w="1985" w:type="dxa"/>
            <w:shd w:val="clear" w:color="auto" w:fill="C6EFCE"/>
          </w:tcPr>
          <w:p w14:paraId="31F4A5A3"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Wprowadzenie stref transportu niskoemisyjnego wdrażane przez właściwe władze miejskie</w:t>
            </w:r>
          </w:p>
        </w:tc>
        <w:tc>
          <w:tcPr>
            <w:tcW w:w="1559" w:type="dxa"/>
            <w:shd w:val="clear" w:color="auto" w:fill="C6EFCE"/>
          </w:tcPr>
          <w:p w14:paraId="0F6C2915"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Wprowadzenie stref transportu niskoemisyjnego</w:t>
            </w:r>
          </w:p>
        </w:tc>
        <w:tc>
          <w:tcPr>
            <w:tcW w:w="992" w:type="dxa"/>
            <w:shd w:val="clear" w:color="auto" w:fill="C6EFCE"/>
          </w:tcPr>
          <w:p w14:paraId="0E1D65A0"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3CE445B1"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709" w:type="dxa"/>
            <w:shd w:val="clear" w:color="auto" w:fill="C6EFCE"/>
          </w:tcPr>
          <w:p w14:paraId="2354EA0E"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64" w:type="dxa"/>
            <w:shd w:val="clear" w:color="auto" w:fill="C6EFCE"/>
          </w:tcPr>
          <w:p w14:paraId="05D26B95" w14:textId="6C05ECD2"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 kw.</w:t>
            </w:r>
          </w:p>
        </w:tc>
        <w:tc>
          <w:tcPr>
            <w:tcW w:w="851" w:type="dxa"/>
            <w:shd w:val="clear" w:color="auto" w:fill="C6EFCE"/>
          </w:tcPr>
          <w:p w14:paraId="586C9D6F" w14:textId="3A5B3265"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2025</w:t>
            </w:r>
          </w:p>
        </w:tc>
        <w:tc>
          <w:tcPr>
            <w:tcW w:w="3968" w:type="dxa"/>
            <w:shd w:val="clear" w:color="auto" w:fill="C6EFCE"/>
          </w:tcPr>
          <w:p w14:paraId="5C2E8B4C" w14:textId="019E5444" w:rsidR="00736BBF" w:rsidRPr="00A33B9F" w:rsidRDefault="25274543"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Strefy transportu niskoemisyjnego będą obowiązkowe</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 powyżej 100 000 mieszkańców,</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przekroczone zostaną progi jakości powietrza. Główny Inspektorat Ochrony Środowiska będzie sporządzał corocznie sprawozdanie na temat jakości powietrza</w:t>
            </w:r>
            <w:r w:rsidR="00A33B9F" w:rsidRPr="00A33B9F">
              <w:rPr>
                <w:rFonts w:ascii="Times New Roman" w:hAnsi="Times New Roman"/>
                <w:noProof/>
                <w:color w:val="000000" w:themeColor="text1"/>
                <w:sz w:val="18"/>
              </w:rPr>
              <w:t xml:space="preserve"> w ter</w:t>
            </w:r>
            <w:r w:rsidRPr="00A33B9F">
              <w:rPr>
                <w:rFonts w:ascii="Times New Roman" w:hAnsi="Times New Roman"/>
                <w:noProof/>
                <w:color w:val="000000" w:themeColor="text1"/>
                <w:sz w:val="18"/>
              </w:rPr>
              <w:t>minie do dnia 30 kwietnia. Miasta,</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przekroczone zostaną limity jakości powietrza – wskazane</w:t>
            </w:r>
            <w:r w:rsidR="00A33B9F" w:rsidRPr="00A33B9F">
              <w:rPr>
                <w:rFonts w:ascii="Times New Roman" w:hAnsi="Times New Roman"/>
                <w:noProof/>
                <w:color w:val="000000" w:themeColor="text1"/>
                <w:sz w:val="18"/>
              </w:rPr>
              <w:t xml:space="preserve"> w pie</w:t>
            </w:r>
            <w:r w:rsidRPr="00A33B9F">
              <w:rPr>
                <w:rFonts w:ascii="Times New Roman" w:hAnsi="Times New Roman"/>
                <w:noProof/>
                <w:color w:val="000000" w:themeColor="text1"/>
                <w:sz w:val="18"/>
              </w:rPr>
              <w:t>rwszym sprawozdaniu opublikowanym po wejściu</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przepisów – będą miały 6 miesięcy na ustanowienie stref transportu niskoemisyjnego.</w:t>
            </w:r>
          </w:p>
        </w:tc>
      </w:tr>
      <w:tr w:rsidR="008C116B" w:rsidRPr="00A33B9F" w14:paraId="1CA18220" w14:textId="77777777" w:rsidTr="007914E5">
        <w:trPr>
          <w:trHeight w:val="3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28181FF" w14:textId="386FAA13" w:rsidR="00736BBF" w:rsidRPr="00A33B9F" w:rsidRDefault="00736BBF" w:rsidP="00736BBF">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E3L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672B883" w14:textId="416A7A02"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E1.2.1 Zeroemisyjny transport publiczny</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 (tramwaje)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FE2644F"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Kamień milowy</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21644F6"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Nowe tramwaje: wybór beneficjentów</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B0EC73A" w14:textId="5C93C0A6" w:rsidR="00736BBF" w:rsidRPr="00A33B9F" w:rsidRDefault="01E13E32"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Umowy</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ielenie zamówienia podpisane</w:t>
            </w:r>
            <w:r w:rsidR="00A33B9F" w:rsidRPr="00A33B9F">
              <w:rPr>
                <w:rFonts w:ascii="Times New Roman" w:hAnsi="Times New Roman"/>
                <w:noProof/>
                <w:color w:val="000000" w:themeColor="text1"/>
                <w:sz w:val="18"/>
              </w:rPr>
              <w:t xml:space="preserve"> z pod</w:t>
            </w:r>
            <w:r w:rsidRPr="00A33B9F">
              <w:rPr>
                <w:rFonts w:ascii="Times New Roman" w:hAnsi="Times New Roman"/>
                <w:noProof/>
                <w:color w:val="000000" w:themeColor="text1"/>
                <w:sz w:val="18"/>
              </w:rPr>
              <w:t>miotami będącymi beneficjentami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717D39"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338A720"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1DAA4D5"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4F88B35" w14:textId="0D8314BD"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I kw.</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32A2B6B" w14:textId="78BF5645"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2025</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AEAF47F" w14:textId="7CDECD97" w:rsidR="00736BBF" w:rsidRPr="00A33B9F" w:rsidRDefault="7AE9F6DF" w:rsidP="00564A81">
            <w:pPr>
              <w:pStyle w:val="Normal0"/>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Umowy</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ielenie zamówienia podpisane</w:t>
            </w:r>
            <w:r w:rsidR="00A33B9F" w:rsidRPr="00A33B9F">
              <w:rPr>
                <w:rFonts w:ascii="Times New Roman" w:hAnsi="Times New Roman"/>
                <w:noProof/>
                <w:color w:val="000000" w:themeColor="text1"/>
                <w:sz w:val="18"/>
              </w:rPr>
              <w:t xml:space="preserve"> z pod</w:t>
            </w:r>
            <w:r w:rsidRPr="00A33B9F">
              <w:rPr>
                <w:rFonts w:ascii="Times New Roman" w:hAnsi="Times New Roman"/>
                <w:noProof/>
                <w:color w:val="000000" w:themeColor="text1"/>
                <w:sz w:val="18"/>
              </w:rPr>
              <w:t>miotami będącymi beneficjentami (gminami lub podmiotami świadczącymi usługi publiczne) na zakup</w:t>
            </w:r>
            <w:r w:rsidR="00A33B9F" w:rsidRPr="00A33B9F">
              <w:rPr>
                <w:rFonts w:ascii="Times New Roman" w:hAnsi="Times New Roman"/>
                <w:noProof/>
                <w:color w:val="000000" w:themeColor="text1"/>
                <w:sz w:val="18"/>
              </w:rPr>
              <w:t xml:space="preserve"> i odd</w:t>
            </w:r>
            <w:r w:rsidRPr="00A33B9F">
              <w:rPr>
                <w:rFonts w:ascii="Times New Roman" w:hAnsi="Times New Roman"/>
                <w:noProof/>
                <w:color w:val="000000" w:themeColor="text1"/>
                <w:sz w:val="18"/>
              </w:rPr>
              <w:t>anie do użytku 88 tramwajów</w:t>
            </w:r>
            <w:r w:rsidR="00A33B9F" w:rsidRPr="00A33B9F">
              <w:rPr>
                <w:rFonts w:ascii="Times New Roman" w:hAnsi="Times New Roman"/>
                <w:noProof/>
                <w:color w:val="000000" w:themeColor="text1"/>
                <w:sz w:val="18"/>
              </w:rPr>
              <w:t xml:space="preserve"> w wyn</w:t>
            </w:r>
            <w:r w:rsidRPr="00A33B9F">
              <w:rPr>
                <w:rFonts w:ascii="Times New Roman" w:hAnsi="Times New Roman"/>
                <w:noProof/>
                <w:color w:val="000000" w:themeColor="text1"/>
                <w:sz w:val="18"/>
              </w:rPr>
              <w:t>iku otwartych, przejrzystych</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kurencyjnych zaproszeń do składania wniosków.</w:t>
            </w:r>
          </w:p>
          <w:p w14:paraId="36027C7C" w14:textId="687B594B" w:rsidR="00736BBF" w:rsidRPr="00A33B9F" w:rsidRDefault="3DCC2FA5" w:rsidP="004D3536">
            <w:pP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Podmioty będące beneficjentami są wybierane</w:t>
            </w:r>
            <w:r w:rsidR="00A33B9F" w:rsidRPr="00A33B9F">
              <w:rPr>
                <w:rFonts w:ascii="Times New Roman" w:hAnsi="Times New Roman"/>
                <w:noProof/>
                <w:color w:val="000000" w:themeColor="text1"/>
                <w:sz w:val="18"/>
              </w:rPr>
              <w:t xml:space="preserve"> w dro</w:t>
            </w:r>
            <w:r w:rsidRPr="00A33B9F">
              <w:rPr>
                <w:rFonts w:ascii="Times New Roman" w:hAnsi="Times New Roman"/>
                <w:noProof/>
                <w:color w:val="000000" w:themeColor="text1"/>
                <w:sz w:val="18"/>
              </w:rPr>
              <w:t>dze przejrzystego</w:t>
            </w:r>
            <w:r w:rsidR="00A33B9F" w:rsidRPr="00A33B9F">
              <w:rPr>
                <w:rFonts w:ascii="Times New Roman" w:hAnsi="Times New Roman"/>
                <w:noProof/>
                <w:color w:val="000000" w:themeColor="text1"/>
                <w:sz w:val="18"/>
              </w:rPr>
              <w:t xml:space="preserve"> i kon</w:t>
            </w:r>
            <w:r w:rsidRPr="00A33B9F">
              <w:rPr>
                <w:rFonts w:ascii="Times New Roman" w:hAnsi="Times New Roman"/>
                <w:noProof/>
                <w:color w:val="000000" w:themeColor="text1"/>
                <w:sz w:val="18"/>
              </w:rPr>
              <w:t>kurencyjnego zaproszenia do składania wniosków otwartego dla wszystkich władz lokalnych</w:t>
            </w:r>
            <w:r w:rsidR="00A33B9F" w:rsidRPr="00A33B9F">
              <w:rPr>
                <w:rFonts w:ascii="Times New Roman" w:hAnsi="Times New Roman"/>
                <w:noProof/>
                <w:color w:val="000000" w:themeColor="text1"/>
                <w:sz w:val="18"/>
              </w:rPr>
              <w:t xml:space="preserve"> i pod</w:t>
            </w:r>
            <w:r w:rsidRPr="00A33B9F">
              <w:rPr>
                <w:rFonts w:ascii="Times New Roman" w:hAnsi="Times New Roman"/>
                <w:noProof/>
                <w:color w:val="000000" w:themeColor="text1"/>
                <w:sz w:val="18"/>
              </w:rPr>
              <w:t xml:space="preserve">miotów świadczących usługi publiczne. </w:t>
            </w:r>
          </w:p>
          <w:p w14:paraId="2273758B" w14:textId="235FB88E" w:rsidR="00736BBF" w:rsidRPr="00A33B9F" w:rsidRDefault="00736BBF" w:rsidP="004D3536">
            <w:pPr>
              <w:spacing w:after="12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Kryteria wyboru podmiotów będących beneficjentami odzwierciedlą</w:t>
            </w:r>
            <w:r w:rsidR="00A33B9F" w:rsidRPr="00A33B9F">
              <w:rPr>
                <w:rFonts w:ascii="Times New Roman" w:hAnsi="Times New Roman"/>
                <w:noProof/>
                <w:color w:val="000000" w:themeColor="text1"/>
                <w:sz w:val="18"/>
              </w:rPr>
              <w:t xml:space="preserve"> w szc</w:t>
            </w:r>
            <w:r w:rsidRPr="00A33B9F">
              <w:rPr>
                <w:rFonts w:ascii="Times New Roman" w:hAnsi="Times New Roman"/>
                <w:noProof/>
                <w:color w:val="000000" w:themeColor="text1"/>
                <w:sz w:val="18"/>
              </w:rPr>
              <w:t>zególności potrzeby</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czystego transportu publicznego oraz wpływ na zmniejszenie emisji</w:t>
            </w:r>
            <w:r w:rsidR="00A33B9F" w:rsidRPr="00A33B9F">
              <w:rPr>
                <w:rFonts w:ascii="Times New Roman" w:hAnsi="Times New Roman"/>
                <w:noProof/>
                <w:color w:val="000000" w:themeColor="text1"/>
                <w:sz w:val="18"/>
              </w:rPr>
              <w:t xml:space="preserve"> i zat</w:t>
            </w:r>
            <w:r w:rsidRPr="00A33B9F">
              <w:rPr>
                <w:rFonts w:ascii="Times New Roman" w:hAnsi="Times New Roman"/>
                <w:noProof/>
                <w:color w:val="000000" w:themeColor="text1"/>
                <w:sz w:val="18"/>
              </w:rPr>
              <w:t>orów komunikacyjnych,</w:t>
            </w:r>
            <w:r w:rsidR="00A33B9F" w:rsidRPr="00A33B9F">
              <w:rPr>
                <w:rFonts w:ascii="Times New Roman" w:hAnsi="Times New Roman"/>
                <w:noProof/>
                <w:color w:val="000000" w:themeColor="text1"/>
                <w:sz w:val="18"/>
              </w:rPr>
              <w:t xml:space="preserve"> a tak</w:t>
            </w:r>
            <w:r w:rsidRPr="00A33B9F">
              <w:rPr>
                <w:rFonts w:ascii="Times New Roman" w:hAnsi="Times New Roman"/>
                <w:noProof/>
                <w:color w:val="000000" w:themeColor="text1"/>
                <w:sz w:val="18"/>
              </w:rPr>
              <w:t>że stopień zaawansowania projektów. Pierwszeństwo przyznaje się obszarom,</w:t>
            </w:r>
            <w:r w:rsidR="00A33B9F" w:rsidRPr="00A33B9F">
              <w:rPr>
                <w:rFonts w:ascii="Times New Roman" w:hAnsi="Times New Roman"/>
                <w:noProof/>
                <w:color w:val="000000" w:themeColor="text1"/>
                <w:sz w:val="18"/>
              </w:rPr>
              <w:t xml:space="preserve"> w któ</w:t>
            </w:r>
            <w:r w:rsidRPr="00A33B9F">
              <w:rPr>
                <w:rFonts w:ascii="Times New Roman" w:hAnsi="Times New Roman"/>
                <w:noProof/>
                <w:color w:val="000000" w:themeColor="text1"/>
                <w:sz w:val="18"/>
              </w:rPr>
              <w:t>rych wprowadzono lub planuje się wprowadzenie stref czystego transportu.</w:t>
            </w:r>
          </w:p>
          <w:p w14:paraId="7CE2BAE5" w14:textId="08FC5458" w:rsidR="00736BBF" w:rsidRPr="00A33B9F" w:rsidRDefault="3D5C71DE" w:rsidP="6F625753">
            <w:p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Środki przyznaje się</w:t>
            </w:r>
            <w:r w:rsidR="00A33B9F" w:rsidRPr="00A33B9F">
              <w:rPr>
                <w:rFonts w:ascii="Times New Roman" w:hAnsi="Times New Roman"/>
                <w:noProof/>
                <w:color w:val="000000" w:themeColor="text1"/>
                <w:sz w:val="18"/>
              </w:rPr>
              <w:t xml:space="preserve"> w spr</w:t>
            </w:r>
            <w:r w:rsidRPr="00A33B9F">
              <w:rPr>
                <w:rFonts w:ascii="Times New Roman" w:hAnsi="Times New Roman"/>
                <w:noProof/>
                <w:color w:val="000000" w:themeColor="text1"/>
                <w:sz w:val="18"/>
              </w:rPr>
              <w:t>awiedliwy</w:t>
            </w:r>
            <w:r w:rsidR="00A33B9F" w:rsidRPr="00A33B9F">
              <w:rPr>
                <w:rFonts w:ascii="Times New Roman" w:hAnsi="Times New Roman"/>
                <w:noProof/>
                <w:color w:val="000000" w:themeColor="text1"/>
                <w:sz w:val="18"/>
              </w:rPr>
              <w:t xml:space="preserve"> i prz</w:t>
            </w:r>
            <w:r w:rsidRPr="00A33B9F">
              <w:rPr>
                <w:rFonts w:ascii="Times New Roman" w:hAnsi="Times New Roman"/>
                <w:noProof/>
                <w:color w:val="000000" w:themeColor="text1"/>
                <w:sz w:val="18"/>
              </w:rPr>
              <w:t>ejrzysty sposób skonsultowany</w:t>
            </w:r>
            <w:r w:rsidR="00A33B9F" w:rsidRPr="00A33B9F">
              <w:rPr>
                <w:rFonts w:ascii="Times New Roman" w:hAnsi="Times New Roman"/>
                <w:noProof/>
                <w:color w:val="000000" w:themeColor="text1"/>
                <w:sz w:val="18"/>
              </w:rPr>
              <w:t xml:space="preserve"> z ins</w:t>
            </w:r>
            <w:r w:rsidRPr="00A33B9F">
              <w:rPr>
                <w:rFonts w:ascii="Times New Roman" w:hAnsi="Times New Roman"/>
                <w:noProof/>
                <w:color w:val="000000" w:themeColor="text1"/>
                <w:sz w:val="18"/>
              </w:rPr>
              <w:t>tytucjami samorządowymi na szczeblu lokalnym</w:t>
            </w:r>
            <w:r w:rsidR="00A33B9F" w:rsidRPr="00A33B9F">
              <w:rPr>
                <w:rFonts w:ascii="Times New Roman" w:hAnsi="Times New Roman"/>
                <w:noProof/>
                <w:color w:val="000000" w:themeColor="text1"/>
                <w:sz w:val="18"/>
              </w:rPr>
              <w:t xml:space="preserve"> i nie</w:t>
            </w:r>
            <w:r w:rsidRPr="00A33B9F">
              <w:rPr>
                <w:rFonts w:ascii="Times New Roman" w:hAnsi="Times New Roman"/>
                <w:noProof/>
                <w:color w:val="000000" w:themeColor="text1"/>
                <w:sz w:val="18"/>
              </w:rPr>
              <w:t xml:space="preserve"> są one zwracane polskiemu rządowi</w:t>
            </w:r>
            <w:r w:rsidR="00A33B9F" w:rsidRPr="00A33B9F">
              <w:rPr>
                <w:rFonts w:ascii="Times New Roman" w:hAnsi="Times New Roman"/>
                <w:noProof/>
                <w:color w:val="000000" w:themeColor="text1"/>
                <w:sz w:val="18"/>
              </w:rPr>
              <w:t xml:space="preserve"> w żad</w:t>
            </w:r>
            <w:r w:rsidRPr="00A33B9F">
              <w:rPr>
                <w:rFonts w:ascii="Times New Roman" w:hAnsi="Times New Roman"/>
                <w:noProof/>
                <w:color w:val="000000" w:themeColor="text1"/>
                <w:sz w:val="18"/>
              </w:rPr>
              <w:t>nej formie przez odbiorców końcowych ani instytucje samorządowe na szczeblu lokalnym.</w:t>
            </w:r>
          </w:p>
        </w:tc>
      </w:tr>
      <w:tr w:rsidR="008C116B" w:rsidRPr="00A33B9F" w14:paraId="73E48C81" w14:textId="77777777" w:rsidTr="007914E5">
        <w:trPr>
          <w:trHeight w:val="313"/>
        </w:trPr>
        <w:tc>
          <w:tcPr>
            <w:tcW w:w="851" w:type="dxa"/>
            <w:shd w:val="clear" w:color="auto" w:fill="C6EFCE"/>
          </w:tcPr>
          <w:p w14:paraId="2434205B" w14:textId="2EDC7352"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E4L</w:t>
            </w:r>
          </w:p>
        </w:tc>
        <w:tc>
          <w:tcPr>
            <w:tcW w:w="1559" w:type="dxa"/>
            <w:shd w:val="clear" w:color="auto" w:fill="C6EFCE"/>
          </w:tcPr>
          <w:p w14:paraId="4DA3FA3F" w14:textId="7F0B57E8"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E1.2.1 Zeroemisyjny transport publiczny</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 (tramwaje)</w:t>
            </w:r>
          </w:p>
        </w:tc>
        <w:tc>
          <w:tcPr>
            <w:tcW w:w="1276" w:type="dxa"/>
            <w:shd w:val="clear" w:color="auto" w:fill="C6EFCE"/>
          </w:tcPr>
          <w:p w14:paraId="03DB49E4"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Wartość docelowa</w:t>
            </w:r>
          </w:p>
        </w:tc>
        <w:tc>
          <w:tcPr>
            <w:tcW w:w="1985" w:type="dxa"/>
            <w:shd w:val="clear" w:color="auto" w:fill="C6EFCE"/>
          </w:tcPr>
          <w:p w14:paraId="1F47F091" w14:textId="7CB25043" w:rsidR="00736BBF" w:rsidRPr="00A33B9F" w:rsidRDefault="6C397DD0"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Dostarczenie nowych tramwajów na potrzeby publicznego transportu miejskiego</w:t>
            </w:r>
          </w:p>
        </w:tc>
        <w:tc>
          <w:tcPr>
            <w:tcW w:w="1559" w:type="dxa"/>
            <w:shd w:val="clear" w:color="auto" w:fill="C6EFCE"/>
          </w:tcPr>
          <w:p w14:paraId="647B35B7"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 xml:space="preserve"> </w:t>
            </w:r>
          </w:p>
        </w:tc>
        <w:tc>
          <w:tcPr>
            <w:tcW w:w="992" w:type="dxa"/>
            <w:shd w:val="clear" w:color="auto" w:fill="C6EFCE"/>
          </w:tcPr>
          <w:p w14:paraId="453118F2" w14:textId="77777777" w:rsidR="00736BBF" w:rsidRPr="00A33B9F" w:rsidRDefault="00736BBF" w:rsidP="00736BBF">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Liczba</w:t>
            </w:r>
          </w:p>
        </w:tc>
        <w:tc>
          <w:tcPr>
            <w:tcW w:w="992" w:type="dxa"/>
            <w:shd w:val="clear" w:color="auto" w:fill="C6EFCE"/>
          </w:tcPr>
          <w:p w14:paraId="6FE745E3" w14:textId="77777777" w:rsidR="00736BBF" w:rsidRPr="00A33B9F" w:rsidRDefault="00736BBF" w:rsidP="00736BBF">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0</w:t>
            </w:r>
          </w:p>
        </w:tc>
        <w:tc>
          <w:tcPr>
            <w:tcW w:w="709" w:type="dxa"/>
            <w:shd w:val="clear" w:color="auto" w:fill="C6EFCE"/>
          </w:tcPr>
          <w:p w14:paraId="344D4C48" w14:textId="5FBE0765" w:rsidR="00736BBF" w:rsidRPr="00A33B9F" w:rsidRDefault="181DB28F" w:rsidP="6F625753">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88</w:t>
            </w:r>
          </w:p>
        </w:tc>
        <w:tc>
          <w:tcPr>
            <w:tcW w:w="964" w:type="dxa"/>
            <w:shd w:val="clear" w:color="auto" w:fill="C6EFCE"/>
          </w:tcPr>
          <w:p w14:paraId="27F4C1DF"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II kw.</w:t>
            </w:r>
          </w:p>
        </w:tc>
        <w:tc>
          <w:tcPr>
            <w:tcW w:w="851" w:type="dxa"/>
            <w:shd w:val="clear" w:color="auto" w:fill="C6EFCE"/>
          </w:tcPr>
          <w:p w14:paraId="438D2E26" w14:textId="77777777" w:rsidR="00736BBF" w:rsidRPr="00A33B9F" w:rsidRDefault="00736BBF" w:rsidP="00736BBF">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sz w:val="18"/>
              </w:rPr>
              <w:t>2026</w:t>
            </w:r>
          </w:p>
        </w:tc>
        <w:tc>
          <w:tcPr>
            <w:tcW w:w="3968" w:type="dxa"/>
            <w:shd w:val="clear" w:color="auto" w:fill="C6EFCE"/>
          </w:tcPr>
          <w:p w14:paraId="1118B209" w14:textId="0A351C81"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color w:val="000000" w:themeColor="text1"/>
                <w:sz w:val="18"/>
              </w:rPr>
              <w:t>Wartość docelowa odnosi się do liczby dostarczonych nowych tramwajów.</w:t>
            </w:r>
          </w:p>
          <w:p w14:paraId="281B37BA" w14:textId="77777777" w:rsidR="00736BBF" w:rsidRPr="00A33B9F" w:rsidRDefault="00736BBF" w:rsidP="00564A81">
            <w:pPr>
              <w:pStyle w:val="Normal0"/>
              <w:spacing w:after="0" w:line="240" w:lineRule="auto"/>
              <w:rPr>
                <w:rFonts w:ascii="Times New Roman" w:eastAsia="Times New Roman" w:hAnsi="Times New Roman" w:cs="Times New Roman"/>
                <w:noProof/>
                <w:color w:val="000000"/>
                <w:sz w:val="18"/>
                <w:szCs w:val="18"/>
              </w:rPr>
            </w:pPr>
          </w:p>
          <w:p w14:paraId="62084DBF" w14:textId="57F1BCA5" w:rsidR="00736BBF" w:rsidRPr="00A33B9F" w:rsidRDefault="00736BBF" w:rsidP="00564A81">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Zamówienia na tramwaje</w:t>
            </w:r>
            <w:r w:rsidRPr="00A33B9F">
              <w:rPr>
                <w:rFonts w:ascii="Times New Roman" w:hAnsi="Times New Roman"/>
                <w:noProof/>
                <w:sz w:val="18"/>
              </w:rPr>
              <w:t xml:space="preserve"> będą udzielane</w:t>
            </w:r>
            <w:r w:rsidR="00A33B9F" w:rsidRPr="00A33B9F">
              <w:rPr>
                <w:rFonts w:ascii="Times New Roman" w:hAnsi="Times New Roman"/>
                <w:noProof/>
                <w:sz w:val="18"/>
              </w:rPr>
              <w:t xml:space="preserve"> w dro</w:t>
            </w:r>
            <w:r w:rsidRPr="00A33B9F">
              <w:rPr>
                <w:rFonts w:ascii="Times New Roman" w:hAnsi="Times New Roman"/>
                <w:noProof/>
                <w:sz w:val="18"/>
              </w:rPr>
              <w:t>dze przetargów otwartych</w:t>
            </w:r>
            <w:r w:rsidR="00A33B9F" w:rsidRPr="00A33B9F">
              <w:rPr>
                <w:rFonts w:ascii="Times New Roman" w:hAnsi="Times New Roman"/>
                <w:noProof/>
                <w:sz w:val="18"/>
              </w:rPr>
              <w:t xml:space="preserve"> i kon</w:t>
            </w:r>
            <w:r w:rsidRPr="00A33B9F">
              <w:rPr>
                <w:rFonts w:ascii="Times New Roman" w:hAnsi="Times New Roman"/>
                <w:noProof/>
                <w:sz w:val="18"/>
              </w:rPr>
              <w:t>kurencyjnych zarządzanych przez Ministerstwo Transportu/podmioty będące beneficjentami.</w:t>
            </w:r>
          </w:p>
          <w:p w14:paraId="2E500C74" w14:textId="77777777" w:rsidR="00736BBF" w:rsidRPr="00A33B9F" w:rsidRDefault="00736BBF" w:rsidP="00564A81">
            <w:pPr>
              <w:spacing w:after="0" w:line="240" w:lineRule="auto"/>
              <w:rPr>
                <w:rFonts w:ascii="Times New Roman" w:eastAsia="Times New Roman" w:hAnsi="Times New Roman" w:cs="Times New Roman"/>
                <w:noProof/>
                <w:color w:val="000000" w:themeColor="text1"/>
                <w:sz w:val="18"/>
                <w:szCs w:val="18"/>
              </w:rPr>
            </w:pPr>
          </w:p>
          <w:p w14:paraId="1C5BEDD8" w14:textId="30B34082" w:rsidR="00736BBF" w:rsidRPr="00A33B9F" w:rsidRDefault="3D5C71DE" w:rsidP="008B19A1">
            <w:pPr>
              <w:pBdr>
                <w:top w:val="nil"/>
                <w:left w:val="nil"/>
                <w:bottom w:val="nil"/>
                <w:right w:val="nil"/>
                <w:between w:val="nil"/>
              </w:pBdr>
              <w:spacing w:after="0" w:line="240" w:lineRule="auto"/>
              <w:rPr>
                <w:rFonts w:ascii="Times New Roman" w:eastAsia="Times New Roman" w:hAnsi="Times New Roman" w:cs="Times New Roman"/>
                <w:b/>
                <w:bCs/>
                <w:i/>
                <w:iCs/>
                <w:noProof/>
                <w:color w:val="000000" w:themeColor="text1"/>
                <w:sz w:val="18"/>
                <w:szCs w:val="18"/>
              </w:rPr>
            </w:pPr>
            <w:r w:rsidRPr="00A33B9F">
              <w:rPr>
                <w:rFonts w:ascii="Times New Roman" w:hAnsi="Times New Roman"/>
                <w:noProof/>
                <w:sz w:val="18"/>
              </w:rPr>
              <w:t>Celem inwestycji jest zwiększenie oferty czystego transportu publicznego</w:t>
            </w:r>
            <w:r w:rsidR="00A33B9F" w:rsidRPr="00A33B9F">
              <w:rPr>
                <w:rFonts w:ascii="Times New Roman" w:hAnsi="Times New Roman"/>
                <w:noProof/>
                <w:sz w:val="18"/>
              </w:rPr>
              <w:t xml:space="preserve"> w mia</w:t>
            </w:r>
            <w:r w:rsidRPr="00A33B9F">
              <w:rPr>
                <w:rFonts w:ascii="Times New Roman" w:hAnsi="Times New Roman"/>
                <w:noProof/>
                <w:sz w:val="18"/>
              </w:rPr>
              <w:t>stach. Wsparcie zostanie udzielone</w:t>
            </w:r>
            <w:r w:rsidR="00A33B9F" w:rsidRPr="00A33B9F">
              <w:rPr>
                <w:rFonts w:ascii="Times New Roman" w:hAnsi="Times New Roman"/>
                <w:noProof/>
                <w:sz w:val="18"/>
              </w:rPr>
              <w:t xml:space="preserve"> w pie</w:t>
            </w:r>
            <w:r w:rsidRPr="00A33B9F">
              <w:rPr>
                <w:rFonts w:ascii="Times New Roman" w:hAnsi="Times New Roman"/>
                <w:noProof/>
                <w:sz w:val="18"/>
              </w:rPr>
              <w:t>rwszej kolejności obszarom,</w:t>
            </w:r>
            <w:r w:rsidR="00A33B9F" w:rsidRPr="00A33B9F">
              <w:rPr>
                <w:rFonts w:ascii="Times New Roman" w:hAnsi="Times New Roman"/>
                <w:noProof/>
                <w:sz w:val="18"/>
              </w:rPr>
              <w:t xml:space="preserve"> w któ</w:t>
            </w:r>
            <w:r w:rsidRPr="00A33B9F">
              <w:rPr>
                <w:rFonts w:ascii="Times New Roman" w:hAnsi="Times New Roman"/>
                <w:noProof/>
                <w:sz w:val="18"/>
              </w:rPr>
              <w:t>rych wprowadzono lub planuje się wprowadzenie stref czystego transportu.</w:t>
            </w:r>
            <w:r w:rsidRPr="00A33B9F">
              <w:rPr>
                <w:rFonts w:ascii="Times New Roman" w:hAnsi="Times New Roman"/>
                <w:noProof/>
                <w:color w:val="000000" w:themeColor="text1"/>
                <w:sz w:val="18"/>
              </w:rPr>
              <w:t xml:space="preserve"> Inwestycja polega na dostawie 88 jednostek zeroemisyjnego taboru kolejowego (tramwajów) na potrzeby transportu publicznego</w:t>
            </w:r>
            <w:r w:rsidR="00A33B9F" w:rsidRPr="00A33B9F">
              <w:rPr>
                <w:rFonts w:ascii="Times New Roman" w:hAnsi="Times New Roman"/>
                <w:noProof/>
                <w:color w:val="000000" w:themeColor="text1"/>
                <w:sz w:val="18"/>
              </w:rPr>
              <w:t xml:space="preserve"> w mia</w:t>
            </w:r>
            <w:r w:rsidRPr="00A33B9F">
              <w:rPr>
                <w:rFonts w:ascii="Times New Roman" w:hAnsi="Times New Roman"/>
                <w:noProof/>
                <w:color w:val="000000" w:themeColor="text1"/>
                <w:sz w:val="18"/>
              </w:rPr>
              <w:t>stach do dnia 30 czerwca 2026</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p>
        </w:tc>
      </w:tr>
      <w:tr w:rsidR="008C116B" w:rsidRPr="00A33B9F" w14:paraId="6B973DBF" w14:textId="77777777" w:rsidTr="007914E5">
        <w:trPr>
          <w:trHeight w:val="313"/>
        </w:trPr>
        <w:tc>
          <w:tcPr>
            <w:tcW w:w="851" w:type="dxa"/>
            <w:shd w:val="clear" w:color="auto" w:fill="C6EFCE"/>
          </w:tcPr>
          <w:p w14:paraId="4089D9A7" w14:textId="5A40D127" w:rsidR="00736BBF" w:rsidRPr="00A33B9F" w:rsidRDefault="3D5C71DE"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E5L</w:t>
            </w:r>
          </w:p>
        </w:tc>
        <w:tc>
          <w:tcPr>
            <w:tcW w:w="1559" w:type="dxa"/>
            <w:shd w:val="clear" w:color="auto" w:fill="C6EFCE"/>
          </w:tcPr>
          <w:p w14:paraId="2E8B9C09" w14:textId="4BC7F828"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E2.3 Poprawa dostępności</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pieczeństwa transportu oraz usprawnienie rozwiązań cyfrowych</w:t>
            </w:r>
          </w:p>
        </w:tc>
        <w:tc>
          <w:tcPr>
            <w:tcW w:w="1276" w:type="dxa"/>
            <w:shd w:val="clear" w:color="auto" w:fill="C6EFCE"/>
          </w:tcPr>
          <w:p w14:paraId="46459295"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Kamień milowy</w:t>
            </w:r>
          </w:p>
        </w:tc>
        <w:tc>
          <w:tcPr>
            <w:tcW w:w="1985" w:type="dxa"/>
            <w:shd w:val="clear" w:color="auto" w:fill="C6EFCE"/>
          </w:tcPr>
          <w:p w14:paraId="463F3072" w14:textId="70B98604" w:rsidR="00736BBF" w:rsidRPr="00A33B9F" w:rsidRDefault="190AD2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aktu prawnego wprowadzającego ulepszenia</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praw pasażerów</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wymogów dotyczących taboru</w:t>
            </w:r>
          </w:p>
        </w:tc>
        <w:tc>
          <w:tcPr>
            <w:tcW w:w="1559" w:type="dxa"/>
            <w:shd w:val="clear" w:color="auto" w:fill="C6EFCE"/>
          </w:tcPr>
          <w:p w14:paraId="3696FF51" w14:textId="40ABFB45" w:rsidR="00736BBF" w:rsidRPr="00A33B9F" w:rsidRDefault="49CB2FE6"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akt</w:t>
            </w:r>
            <w:r w:rsidRPr="00A33B9F">
              <w:rPr>
                <w:rFonts w:ascii="Times New Roman" w:hAnsi="Times New Roman"/>
                <w:noProof/>
                <w:color w:val="000000" w:themeColor="text1"/>
                <w:sz w:val="18"/>
              </w:rPr>
              <w:t>ach prawnych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shd w:val="clear" w:color="auto" w:fill="C6EFCE"/>
          </w:tcPr>
          <w:p w14:paraId="73FB3412"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92" w:type="dxa"/>
            <w:shd w:val="clear" w:color="auto" w:fill="C6EFCE"/>
          </w:tcPr>
          <w:p w14:paraId="71E6F0A4"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709" w:type="dxa"/>
            <w:shd w:val="clear" w:color="auto" w:fill="C6EFCE"/>
          </w:tcPr>
          <w:p w14:paraId="4CB2E8F3"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64" w:type="dxa"/>
            <w:shd w:val="clear" w:color="auto" w:fill="C6EFCE"/>
          </w:tcPr>
          <w:p w14:paraId="1F5AB4D7" w14:textId="3B256E53" w:rsidR="00736BBF" w:rsidRPr="00A33B9F" w:rsidRDefault="3D5C71DE"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IV kw.</w:t>
            </w:r>
          </w:p>
        </w:tc>
        <w:tc>
          <w:tcPr>
            <w:tcW w:w="851" w:type="dxa"/>
            <w:shd w:val="clear" w:color="auto" w:fill="C6EFCE"/>
          </w:tcPr>
          <w:p w14:paraId="171C70B4" w14:textId="77777777" w:rsidR="00736BBF" w:rsidRPr="00A33B9F" w:rsidRDefault="3D5C71DE"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2022</w:t>
            </w:r>
          </w:p>
        </w:tc>
        <w:tc>
          <w:tcPr>
            <w:tcW w:w="3968" w:type="dxa"/>
            <w:shd w:val="clear" w:color="auto" w:fill="C6EFCE"/>
          </w:tcPr>
          <w:p w14:paraId="4AF1946C" w14:textId="0EB8AAAA" w:rsidR="00736BBF" w:rsidRPr="00A33B9F" w:rsidRDefault="5C67802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 drodze aktu prawnego wprowadzone zostaną standardy techniczne</w:t>
            </w:r>
            <w:r w:rsidR="00A33B9F" w:rsidRPr="00A33B9F">
              <w:rPr>
                <w:rFonts w:ascii="Times New Roman" w:hAnsi="Times New Roman"/>
                <w:noProof/>
                <w:color w:val="000000" w:themeColor="text1"/>
                <w:sz w:val="18"/>
              </w:rPr>
              <w:t xml:space="preserve"> i fun</w:t>
            </w:r>
            <w:r w:rsidRPr="00A33B9F">
              <w:rPr>
                <w:rFonts w:ascii="Times New Roman" w:hAnsi="Times New Roman"/>
                <w:noProof/>
                <w:color w:val="000000" w:themeColor="text1"/>
                <w:sz w:val="18"/>
              </w:rPr>
              <w:t>kcjonalne dotyczące inwestycji kolejowych</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odpowiednich rozwiązań infrastrukturalnych spełniających potrzeby pasażerów</w:t>
            </w:r>
            <w:r w:rsidR="00A33B9F" w:rsidRPr="00A33B9F">
              <w:rPr>
                <w:rFonts w:ascii="Times New Roman" w:hAnsi="Times New Roman"/>
                <w:noProof/>
                <w:color w:val="000000" w:themeColor="text1"/>
                <w:sz w:val="18"/>
              </w:rPr>
              <w:t xml:space="preserve"> o ogr</w:t>
            </w:r>
            <w:r w:rsidRPr="00A33B9F">
              <w:rPr>
                <w:rFonts w:ascii="Times New Roman" w:hAnsi="Times New Roman"/>
                <w:noProof/>
                <w:color w:val="000000" w:themeColor="text1"/>
                <w:sz w:val="18"/>
              </w:rPr>
              <w:t>aniczonej możliwości poruszania się</w:t>
            </w:r>
            <w:r w:rsidR="00A33B9F" w:rsidRPr="00A33B9F">
              <w:rPr>
                <w:rFonts w:ascii="Times New Roman" w:hAnsi="Times New Roman"/>
                <w:noProof/>
                <w:color w:val="000000" w:themeColor="text1"/>
                <w:sz w:val="18"/>
              </w:rPr>
              <w:t>. W tym</w:t>
            </w:r>
            <w:r w:rsidRPr="00A33B9F">
              <w:rPr>
                <w:rFonts w:ascii="Times New Roman" w:hAnsi="Times New Roman"/>
                <w:noProof/>
                <w:color w:val="000000" w:themeColor="text1"/>
                <w:sz w:val="18"/>
              </w:rPr>
              <w:t xml:space="preserve"> celu aktem prawnym uchyla się odpowiednie przepisy krajowe stanowiące odstępstwo od rozporządzenia (WE) nr</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1371/2007 dotyczącego praw</w:t>
            </w:r>
            <w:r w:rsidR="00A33B9F" w:rsidRPr="00A33B9F">
              <w:rPr>
                <w:rFonts w:ascii="Times New Roman" w:hAnsi="Times New Roman"/>
                <w:noProof/>
                <w:color w:val="000000" w:themeColor="text1"/>
                <w:sz w:val="18"/>
              </w:rPr>
              <w:t xml:space="preserve"> i obo</w:t>
            </w:r>
            <w:r w:rsidRPr="00A33B9F">
              <w:rPr>
                <w:rFonts w:ascii="Times New Roman" w:hAnsi="Times New Roman"/>
                <w:noProof/>
                <w:color w:val="000000" w:themeColor="text1"/>
                <w:sz w:val="18"/>
              </w:rPr>
              <w:t>wiązków pasażerów</w:t>
            </w:r>
            <w:r w:rsidR="00A33B9F" w:rsidRPr="00A33B9F">
              <w:rPr>
                <w:rFonts w:ascii="Times New Roman" w:hAnsi="Times New Roman"/>
                <w:noProof/>
                <w:color w:val="000000" w:themeColor="text1"/>
                <w:sz w:val="18"/>
              </w:rPr>
              <w:t xml:space="preserve"> w ruc</w:t>
            </w:r>
            <w:r w:rsidRPr="00A33B9F">
              <w:rPr>
                <w:rFonts w:ascii="Times New Roman" w:hAnsi="Times New Roman"/>
                <w:noProof/>
                <w:color w:val="000000" w:themeColor="text1"/>
                <w:sz w:val="18"/>
              </w:rPr>
              <w:t xml:space="preserve">hu kolejowym. </w:t>
            </w:r>
          </w:p>
        </w:tc>
      </w:tr>
      <w:tr w:rsidR="008C116B" w:rsidRPr="00A33B9F" w14:paraId="5EE310F6" w14:textId="77777777" w:rsidTr="007914E5">
        <w:trPr>
          <w:trHeight w:val="313"/>
        </w:trPr>
        <w:tc>
          <w:tcPr>
            <w:tcW w:w="851" w:type="dxa"/>
            <w:shd w:val="clear" w:color="auto" w:fill="C6EFCE"/>
          </w:tcPr>
          <w:p w14:paraId="72A1D356" w14:textId="70C44B39" w:rsidR="00736BBF" w:rsidRPr="00A33B9F" w:rsidRDefault="56DB483C" w:rsidP="4220C766">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E6L</w:t>
            </w:r>
          </w:p>
        </w:tc>
        <w:tc>
          <w:tcPr>
            <w:tcW w:w="1559" w:type="dxa"/>
            <w:shd w:val="clear" w:color="auto" w:fill="C6EFCE"/>
          </w:tcPr>
          <w:p w14:paraId="3907F100" w14:textId="20A4E6C6"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E2.3 Poprawa dostępności</w:t>
            </w:r>
            <w:r w:rsidR="00A33B9F" w:rsidRPr="00A33B9F">
              <w:rPr>
                <w:rFonts w:ascii="Times New Roman" w:hAnsi="Times New Roman"/>
                <w:noProof/>
                <w:color w:val="000000" w:themeColor="text1"/>
                <w:sz w:val="18"/>
              </w:rPr>
              <w:t xml:space="preserve"> i bez</w:t>
            </w:r>
            <w:r w:rsidRPr="00A33B9F">
              <w:rPr>
                <w:rFonts w:ascii="Times New Roman" w:hAnsi="Times New Roman"/>
                <w:noProof/>
                <w:color w:val="000000" w:themeColor="text1"/>
                <w:sz w:val="18"/>
              </w:rPr>
              <w:t>pieczeństwa transportu oraz usprawnienie rozwiązań cyfrowych</w:t>
            </w:r>
          </w:p>
        </w:tc>
        <w:tc>
          <w:tcPr>
            <w:tcW w:w="1276" w:type="dxa"/>
            <w:shd w:val="clear" w:color="auto" w:fill="C6EFCE"/>
          </w:tcPr>
          <w:p w14:paraId="435C483C"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Kamień milowy</w:t>
            </w:r>
          </w:p>
        </w:tc>
        <w:tc>
          <w:tcPr>
            <w:tcW w:w="1985" w:type="dxa"/>
            <w:shd w:val="clear" w:color="auto" w:fill="C6EFCE"/>
          </w:tcPr>
          <w:p w14:paraId="0139338E" w14:textId="30AE9866" w:rsidR="00736BBF" w:rsidRPr="00A33B9F" w:rsidRDefault="190AD252"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Obowiązek modernizacji krajowego, międzynarodowego</w:t>
            </w:r>
            <w:r w:rsidR="00A33B9F" w:rsidRPr="00A33B9F">
              <w:rPr>
                <w:rFonts w:ascii="Times New Roman" w:hAnsi="Times New Roman"/>
                <w:noProof/>
                <w:color w:val="000000" w:themeColor="text1"/>
                <w:sz w:val="18"/>
              </w:rPr>
              <w:t xml:space="preserve"> i reg</w:t>
            </w:r>
            <w:r w:rsidRPr="00A33B9F">
              <w:rPr>
                <w:rFonts w:ascii="Times New Roman" w:hAnsi="Times New Roman"/>
                <w:noProof/>
                <w:color w:val="000000" w:themeColor="text1"/>
                <w:sz w:val="18"/>
              </w:rPr>
              <w:t>ionalnego taboru kolejowego</w:t>
            </w:r>
            <w:r w:rsidR="00A33B9F" w:rsidRPr="00A33B9F">
              <w:rPr>
                <w:rFonts w:ascii="Times New Roman" w:hAnsi="Times New Roman"/>
                <w:noProof/>
                <w:color w:val="000000" w:themeColor="text1"/>
                <w:sz w:val="18"/>
              </w:rPr>
              <w:t xml:space="preserve"> z uwz</w:t>
            </w:r>
            <w:r w:rsidRPr="00A33B9F">
              <w:rPr>
                <w:rFonts w:ascii="Times New Roman" w:hAnsi="Times New Roman"/>
                <w:noProof/>
                <w:color w:val="000000" w:themeColor="text1"/>
                <w:sz w:val="18"/>
              </w:rPr>
              <w:t>ględnieniem wymogów dotyczących pasażerów</w:t>
            </w:r>
            <w:r w:rsidR="00A33B9F" w:rsidRPr="00A33B9F">
              <w:rPr>
                <w:rFonts w:ascii="Times New Roman" w:hAnsi="Times New Roman"/>
                <w:noProof/>
                <w:color w:val="000000" w:themeColor="text1"/>
                <w:sz w:val="18"/>
              </w:rPr>
              <w:t xml:space="preserve"> z nie</w:t>
            </w:r>
            <w:r w:rsidRPr="00A33B9F">
              <w:rPr>
                <w:rFonts w:ascii="Times New Roman" w:hAnsi="Times New Roman"/>
                <w:noProof/>
                <w:color w:val="000000" w:themeColor="text1"/>
                <w:sz w:val="18"/>
              </w:rPr>
              <w:t>pełnosprawnościami</w:t>
            </w:r>
          </w:p>
        </w:tc>
        <w:tc>
          <w:tcPr>
            <w:tcW w:w="1559" w:type="dxa"/>
            <w:shd w:val="clear" w:color="auto" w:fill="C6EFCE"/>
          </w:tcPr>
          <w:p w14:paraId="44D61B5A" w14:textId="6606CBAD" w:rsidR="00736BBF" w:rsidRPr="00A33B9F" w:rsidRDefault="49CB2FE6"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Przepis</w:t>
            </w:r>
            <w:r w:rsidR="00A33B9F" w:rsidRPr="00A33B9F">
              <w:rPr>
                <w:rFonts w:ascii="Times New Roman" w:hAnsi="Times New Roman"/>
                <w:noProof/>
                <w:color w:val="000000" w:themeColor="text1"/>
                <w:sz w:val="18"/>
              </w:rPr>
              <w:t xml:space="preserve"> w akc</w:t>
            </w:r>
            <w:r w:rsidRPr="00A33B9F">
              <w:rPr>
                <w:rFonts w:ascii="Times New Roman" w:hAnsi="Times New Roman"/>
                <w:noProof/>
                <w:color w:val="000000" w:themeColor="text1"/>
                <w:sz w:val="18"/>
              </w:rPr>
              <w:t>ie prawnym wskazujący na 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w:t>
            </w:r>
          </w:p>
        </w:tc>
        <w:tc>
          <w:tcPr>
            <w:tcW w:w="992" w:type="dxa"/>
            <w:shd w:val="clear" w:color="auto" w:fill="C6EFCE"/>
          </w:tcPr>
          <w:p w14:paraId="15A3EF86"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92" w:type="dxa"/>
            <w:shd w:val="clear" w:color="auto" w:fill="C6EFCE"/>
          </w:tcPr>
          <w:p w14:paraId="791C11CE"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709" w:type="dxa"/>
            <w:shd w:val="clear" w:color="auto" w:fill="C6EFCE"/>
          </w:tcPr>
          <w:p w14:paraId="3196B198" w14:textId="77777777" w:rsidR="00736BBF" w:rsidRPr="00A33B9F" w:rsidRDefault="3D5C71DE" w:rsidP="6F625753">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 xml:space="preserve"> </w:t>
            </w:r>
          </w:p>
        </w:tc>
        <w:tc>
          <w:tcPr>
            <w:tcW w:w="964" w:type="dxa"/>
            <w:shd w:val="clear" w:color="auto" w:fill="C6EFCE"/>
          </w:tcPr>
          <w:p w14:paraId="6B16EA59" w14:textId="77777777" w:rsidR="00736BBF" w:rsidRPr="00A33B9F" w:rsidRDefault="3D5C71DE"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II kw.</w:t>
            </w:r>
          </w:p>
        </w:tc>
        <w:tc>
          <w:tcPr>
            <w:tcW w:w="851" w:type="dxa"/>
            <w:shd w:val="clear" w:color="auto" w:fill="C6EFCE"/>
          </w:tcPr>
          <w:p w14:paraId="520C8A10" w14:textId="77777777" w:rsidR="00736BBF" w:rsidRPr="00A33B9F" w:rsidRDefault="3D5C71DE" w:rsidP="6F625753">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color w:val="000000" w:themeColor="text1"/>
                <w:sz w:val="18"/>
              </w:rPr>
              <w:t>2024</w:t>
            </w:r>
          </w:p>
        </w:tc>
        <w:tc>
          <w:tcPr>
            <w:tcW w:w="3968" w:type="dxa"/>
            <w:shd w:val="clear" w:color="auto" w:fill="C6EFCE"/>
          </w:tcPr>
          <w:p w14:paraId="7403AB97" w14:textId="726411B0" w:rsidR="008B19A1" w:rsidRPr="00A33B9F" w:rsidRDefault="3ABFC711" w:rsidP="079DCE09">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Wejście</w:t>
            </w:r>
            <w:r w:rsidR="00A33B9F" w:rsidRPr="00A33B9F">
              <w:rPr>
                <w:rFonts w:ascii="Times New Roman" w:hAnsi="Times New Roman"/>
                <w:noProof/>
                <w:color w:val="000000" w:themeColor="text1"/>
                <w:sz w:val="18"/>
              </w:rPr>
              <w:t xml:space="preserve"> w życ</w:t>
            </w:r>
            <w:r w:rsidRPr="00A33B9F">
              <w:rPr>
                <w:rFonts w:ascii="Times New Roman" w:hAnsi="Times New Roman"/>
                <w:noProof/>
                <w:color w:val="000000" w:themeColor="text1"/>
                <w:sz w:val="18"/>
              </w:rPr>
              <w:t>ie właściwych przepisów dotyczących dostosowania taboru kolejowego do wymogów</w:t>
            </w:r>
            <w:r w:rsidR="00A33B9F" w:rsidRPr="00A33B9F">
              <w:rPr>
                <w:rFonts w:ascii="Times New Roman" w:hAnsi="Times New Roman"/>
                <w:noProof/>
                <w:color w:val="000000" w:themeColor="text1"/>
                <w:sz w:val="18"/>
              </w:rPr>
              <w:t xml:space="preserve"> w zak</w:t>
            </w:r>
            <w:r w:rsidRPr="00A33B9F">
              <w:rPr>
                <w:rFonts w:ascii="Times New Roman" w:hAnsi="Times New Roman"/>
                <w:noProof/>
                <w:color w:val="000000" w:themeColor="text1"/>
                <w:sz w:val="18"/>
              </w:rPr>
              <w:t>resie praw pasażerów, dostosowanie do art.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9 ust.</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3 rozporządzenia 2021/782 (gdy modernizacja jest uzasadniona</w:t>
            </w:r>
            <w:r w:rsidR="00A33B9F" w:rsidRPr="00A33B9F">
              <w:rPr>
                <w:rFonts w:ascii="Times New Roman" w:hAnsi="Times New Roman"/>
                <w:noProof/>
                <w:color w:val="000000" w:themeColor="text1"/>
                <w:sz w:val="18"/>
              </w:rPr>
              <w:t xml:space="preserve"> i rac</w:t>
            </w:r>
            <w:r w:rsidRPr="00A33B9F">
              <w:rPr>
                <w:rFonts w:ascii="Times New Roman" w:hAnsi="Times New Roman"/>
                <w:noProof/>
                <w:color w:val="000000" w:themeColor="text1"/>
                <w:sz w:val="18"/>
              </w:rPr>
              <w:t>jonalna</w:t>
            </w:r>
            <w:r w:rsidR="00A33B9F" w:rsidRPr="00A33B9F">
              <w:rPr>
                <w:rFonts w:ascii="Times New Roman" w:hAnsi="Times New Roman"/>
                <w:noProof/>
                <w:color w:val="000000" w:themeColor="text1"/>
                <w:sz w:val="18"/>
              </w:rPr>
              <w:t xml:space="preserve"> z pun</w:t>
            </w:r>
            <w:r w:rsidRPr="00A33B9F">
              <w:rPr>
                <w:rFonts w:ascii="Times New Roman" w:hAnsi="Times New Roman"/>
                <w:noProof/>
                <w:color w:val="000000" w:themeColor="text1"/>
                <w:sz w:val="18"/>
              </w:rPr>
              <w:t>ktu widzenia przewidywanego okresu eksploatacji taboru)</w:t>
            </w:r>
            <w:r w:rsidR="00A33B9F" w:rsidRPr="00A33B9F">
              <w:rPr>
                <w:rFonts w:ascii="Times New Roman" w:hAnsi="Times New Roman"/>
                <w:noProof/>
                <w:color w:val="000000" w:themeColor="text1"/>
                <w:sz w:val="18"/>
              </w:rPr>
              <w:t xml:space="preserve"> w odn</w:t>
            </w:r>
            <w:r w:rsidRPr="00A33B9F">
              <w:rPr>
                <w:rFonts w:ascii="Times New Roman" w:hAnsi="Times New Roman"/>
                <w:noProof/>
                <w:color w:val="000000" w:themeColor="text1"/>
                <w:sz w:val="18"/>
              </w:rPr>
              <w:t>iesieniu do regionalnego, krajowego</w:t>
            </w:r>
            <w:r w:rsidR="00A33B9F" w:rsidRPr="00A33B9F">
              <w:rPr>
                <w:rFonts w:ascii="Times New Roman" w:hAnsi="Times New Roman"/>
                <w:noProof/>
                <w:color w:val="000000" w:themeColor="text1"/>
                <w:sz w:val="18"/>
              </w:rPr>
              <w:t xml:space="preserve"> i mię</w:t>
            </w:r>
            <w:r w:rsidRPr="00A33B9F">
              <w:rPr>
                <w:rFonts w:ascii="Times New Roman" w:hAnsi="Times New Roman"/>
                <w:noProof/>
                <w:color w:val="000000" w:themeColor="text1"/>
                <w:sz w:val="18"/>
              </w:rPr>
              <w:t>dzynarodowego taboru, który ma zostać zmodernizowany na potrzeby pasażerów</w:t>
            </w:r>
            <w:r w:rsidR="00A33B9F" w:rsidRPr="00A33B9F">
              <w:rPr>
                <w:rFonts w:ascii="Times New Roman" w:hAnsi="Times New Roman"/>
                <w:noProof/>
                <w:color w:val="000000" w:themeColor="text1"/>
                <w:sz w:val="18"/>
              </w:rPr>
              <w:t xml:space="preserve"> z nie</w:t>
            </w:r>
            <w:r w:rsidRPr="00A33B9F">
              <w:rPr>
                <w:rFonts w:ascii="Times New Roman" w:hAnsi="Times New Roman"/>
                <w:noProof/>
                <w:color w:val="000000" w:themeColor="text1"/>
                <w:sz w:val="18"/>
              </w:rPr>
              <w:t xml:space="preserve">pełnosprawnościami, oraz wzmocnienie praw pasażerów. </w:t>
            </w:r>
          </w:p>
          <w:p w14:paraId="6D928269" w14:textId="676F90D2" w:rsidR="00736BBF" w:rsidRPr="00A33B9F" w:rsidRDefault="6A3153E8" w:rsidP="079DCE09">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noProof/>
              </w:rPr>
              <w:t xml:space="preserve"> </w:t>
            </w:r>
            <w:r w:rsidRPr="00A33B9F">
              <w:rPr>
                <w:noProof/>
              </w:rPr>
              <w:br/>
            </w:r>
            <w:r w:rsidRPr="00A33B9F">
              <w:rPr>
                <w:rFonts w:ascii="Times New Roman" w:hAnsi="Times New Roman"/>
                <w:noProof/>
                <w:color w:val="000000" w:themeColor="text1"/>
                <w:sz w:val="18"/>
              </w:rPr>
              <w:t>W przypadku taboru regionalnego wymogi zostaną przyjęte do II kw.</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2024</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r w:rsidR="00A33B9F" w:rsidRPr="00A33B9F">
              <w:rPr>
                <w:rFonts w:ascii="Times New Roman" w:hAnsi="Times New Roman"/>
                <w:noProof/>
                <w:color w:val="000000" w:themeColor="text1"/>
                <w:sz w:val="18"/>
              </w:rPr>
              <w:t xml:space="preserve"> a w prz</w:t>
            </w:r>
            <w:r w:rsidRPr="00A33B9F">
              <w:rPr>
                <w:rFonts w:ascii="Times New Roman" w:hAnsi="Times New Roman"/>
                <w:noProof/>
                <w:color w:val="000000" w:themeColor="text1"/>
                <w:sz w:val="18"/>
              </w:rPr>
              <w:t>ypadku taboru międzynarodowego</w:t>
            </w:r>
            <w:r w:rsidR="00A33B9F" w:rsidRPr="00A33B9F">
              <w:rPr>
                <w:rFonts w:ascii="Times New Roman" w:hAnsi="Times New Roman"/>
                <w:noProof/>
                <w:color w:val="000000" w:themeColor="text1"/>
                <w:sz w:val="18"/>
              </w:rPr>
              <w:t xml:space="preserve"> i dal</w:t>
            </w:r>
            <w:r w:rsidRPr="00A33B9F">
              <w:rPr>
                <w:rFonts w:ascii="Times New Roman" w:hAnsi="Times New Roman"/>
                <w:noProof/>
                <w:color w:val="000000" w:themeColor="text1"/>
                <w:sz w:val="18"/>
              </w:rPr>
              <w:t>ekobieżnego od II kw.</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2023</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p>
        </w:tc>
      </w:tr>
    </w:tbl>
    <w:p w14:paraId="02915484" w14:textId="613398FE" w:rsidR="004F49B9" w:rsidRPr="00A33B9F" w:rsidRDefault="004F49B9" w:rsidP="009D34ED">
      <w:pPr>
        <w:rPr>
          <w:rFonts w:ascii="Times New Roman" w:hAnsi="Times New Roman" w:cs="Times New Roman"/>
          <w:noProof/>
        </w:rPr>
        <w:sectPr w:rsidR="004F49B9" w:rsidRPr="00A33B9F" w:rsidSect="009B6BB9">
          <w:headerReference w:type="even" r:id="rId145"/>
          <w:headerReference w:type="default" r:id="rId146"/>
          <w:footerReference w:type="even" r:id="rId147"/>
          <w:footerReference w:type="default" r:id="rId148"/>
          <w:headerReference w:type="first" r:id="rId149"/>
          <w:footerReference w:type="first" r:id="rId150"/>
          <w:pgSz w:w="16839" w:h="11907" w:orient="landscape"/>
          <w:pgMar w:top="720" w:right="720" w:bottom="720" w:left="720" w:header="709" w:footer="709" w:gutter="0"/>
          <w:cols w:space="720"/>
          <w:docGrid w:linePitch="299"/>
        </w:sectPr>
      </w:pPr>
    </w:p>
    <w:p w14:paraId="0DB3C905" w14:textId="77777777" w:rsidR="36094D84" w:rsidRPr="00A33B9F" w:rsidRDefault="5494E178" w:rsidP="16BD6518">
      <w:pPr>
        <w:pStyle w:val="Normal0"/>
        <w:keepNext/>
        <w:spacing w:before="360" w:after="120" w:line="240" w:lineRule="auto"/>
        <w:rPr>
          <w:rFonts w:ascii="Times New Roman" w:eastAsia="Times New Roman" w:hAnsi="Times New Roman" w:cs="Times New Roman"/>
          <w:b/>
          <w:bCs/>
          <w:smallCaps/>
          <w:noProof/>
          <w:color w:val="000000" w:themeColor="text1"/>
          <w:sz w:val="24"/>
          <w:szCs w:val="24"/>
        </w:rPr>
      </w:pPr>
      <w:r w:rsidRPr="00A33B9F">
        <w:rPr>
          <w:rFonts w:ascii="Times New Roman" w:hAnsi="Times New Roman"/>
          <w:b/>
          <w:smallCaps/>
          <w:noProof/>
          <w:color w:val="000000" w:themeColor="text1"/>
          <w:sz w:val="24"/>
        </w:rPr>
        <w:t>F. KOMPONENT F: „POPRAWA JAKOŚCI INSTYTUCJI I WARUNKÓW REALIZACJI KPO”</w:t>
      </w:r>
    </w:p>
    <w:p w14:paraId="453374C5" w14:textId="582CB350" w:rsidR="00CE3AE2" w:rsidRPr="00A33B9F" w:rsidRDefault="00CE3AE2" w:rsidP="00CE3AE2">
      <w:pPr>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sz w:val="24"/>
        </w:rPr>
        <w:t>Polska stoi</w:t>
      </w:r>
      <w:r w:rsidR="00A33B9F" w:rsidRPr="00A33B9F">
        <w:rPr>
          <w:rFonts w:ascii="Times New Roman" w:hAnsi="Times New Roman"/>
          <w:noProof/>
          <w:sz w:val="24"/>
        </w:rPr>
        <w:t xml:space="preserve"> w obl</w:t>
      </w:r>
      <w:r w:rsidRPr="00A33B9F">
        <w:rPr>
          <w:rFonts w:ascii="Times New Roman" w:hAnsi="Times New Roman"/>
          <w:noProof/>
          <w:sz w:val="24"/>
        </w:rPr>
        <w:t>iczu szeregu długotrwałych wyzwań związanych</w:t>
      </w:r>
      <w:r w:rsidR="00A33B9F" w:rsidRPr="00A33B9F">
        <w:rPr>
          <w:rFonts w:ascii="Times New Roman" w:hAnsi="Times New Roman"/>
          <w:noProof/>
          <w:sz w:val="24"/>
        </w:rPr>
        <w:t xml:space="preserve"> z kli</w:t>
      </w:r>
      <w:r w:rsidRPr="00A33B9F">
        <w:rPr>
          <w:rFonts w:ascii="Times New Roman" w:hAnsi="Times New Roman"/>
          <w:noProof/>
          <w:sz w:val="24"/>
        </w:rPr>
        <w:t>matem inwestycyjnym, zwłaszcza</w:t>
      </w:r>
      <w:r w:rsidR="00A33B9F" w:rsidRPr="00A33B9F">
        <w:rPr>
          <w:rFonts w:ascii="Times New Roman" w:hAnsi="Times New Roman"/>
          <w:noProof/>
          <w:sz w:val="24"/>
        </w:rPr>
        <w:t xml:space="preserve"> w odn</w:t>
      </w:r>
      <w:r w:rsidRPr="00A33B9F">
        <w:rPr>
          <w:rFonts w:ascii="Times New Roman" w:hAnsi="Times New Roman"/>
          <w:noProof/>
          <w:sz w:val="24"/>
        </w:rPr>
        <w:t>iesieniu do polskiego systemu sądownictwa oraz procesu decyzyjnego</w:t>
      </w:r>
      <w:r w:rsidR="00A33B9F" w:rsidRPr="00A33B9F">
        <w:rPr>
          <w:rFonts w:ascii="Times New Roman" w:hAnsi="Times New Roman"/>
          <w:noProof/>
          <w:sz w:val="24"/>
        </w:rPr>
        <w:t xml:space="preserve"> i pro</w:t>
      </w:r>
      <w:r w:rsidRPr="00A33B9F">
        <w:rPr>
          <w:rFonts w:ascii="Times New Roman" w:hAnsi="Times New Roman"/>
          <w:noProof/>
          <w:sz w:val="24"/>
        </w:rPr>
        <w:t xml:space="preserve">cesu stanowienia prawa. </w:t>
      </w:r>
    </w:p>
    <w:p w14:paraId="62138CFF" w14:textId="3F514FF9" w:rsidR="574D7C28" w:rsidRPr="00A33B9F" w:rsidRDefault="38CAB41E">
      <w:pPr>
        <w:spacing w:before="120" w:after="120" w:line="240" w:lineRule="auto"/>
        <w:jc w:val="both"/>
        <w:rPr>
          <w:rFonts w:ascii="Times New Roman" w:eastAsia="Times New Roman" w:hAnsi="Times New Roman" w:cs="Times New Roman"/>
          <w:noProof/>
          <w:color w:val="498205"/>
          <w:sz w:val="24"/>
          <w:szCs w:val="24"/>
          <w:u w:val="single"/>
        </w:rPr>
      </w:pPr>
      <w:r w:rsidRPr="00A33B9F">
        <w:rPr>
          <w:rFonts w:ascii="Times New Roman" w:hAnsi="Times New Roman"/>
          <w:noProof/>
          <w:color w:val="000000" w:themeColor="text1"/>
          <w:sz w:val="24"/>
        </w:rPr>
        <w:t>Komponent ten ma zatem przede wszystkim na celu poprawę klimatu inwestycyjnego</w:t>
      </w:r>
      <w:r w:rsidR="00A33B9F" w:rsidRPr="00A33B9F">
        <w:rPr>
          <w:rFonts w:ascii="Times New Roman" w:hAnsi="Times New Roman"/>
          <w:noProof/>
          <w:color w:val="000000" w:themeColor="text1"/>
          <w:sz w:val="24"/>
        </w:rPr>
        <w:t xml:space="preserve"> i stw</w:t>
      </w:r>
      <w:r w:rsidRPr="00A33B9F">
        <w:rPr>
          <w:rFonts w:ascii="Times New Roman" w:hAnsi="Times New Roman"/>
          <w:noProof/>
          <w:color w:val="000000" w:themeColor="text1"/>
          <w:sz w:val="24"/>
        </w:rPr>
        <w:t>orzenie warunków do skutecznej realizacji polskiego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Aby osiągnąć ten cel, reforma jest ukierunkowana na: zwiększenie niektórych aspektów niezależności</w:t>
      </w:r>
      <w:r w:rsidR="00A33B9F" w:rsidRPr="00A33B9F">
        <w:rPr>
          <w:rFonts w:ascii="Times New Roman" w:hAnsi="Times New Roman"/>
          <w:noProof/>
          <w:color w:val="000000" w:themeColor="text1"/>
          <w:sz w:val="24"/>
        </w:rPr>
        <w:t xml:space="preserve"> i bez</w:t>
      </w:r>
      <w:r w:rsidRPr="00A33B9F">
        <w:rPr>
          <w:rFonts w:ascii="Times New Roman" w:hAnsi="Times New Roman"/>
          <w:noProof/>
          <w:color w:val="000000" w:themeColor="text1"/>
          <w:sz w:val="24"/>
        </w:rPr>
        <w:t>stronności sądów; rozwiązanie kwestii sędziów, których dotyczą uchwały Izby Dyscyplinarnej polskiego Sądu Najwyższego</w:t>
      </w:r>
      <w:r w:rsidR="00A33B9F" w:rsidRPr="00A33B9F">
        <w:rPr>
          <w:rFonts w:ascii="Times New Roman" w:hAnsi="Times New Roman"/>
          <w:noProof/>
          <w:color w:val="000000" w:themeColor="text1"/>
          <w:sz w:val="24"/>
        </w:rPr>
        <w:t xml:space="preserve"> w spr</w:t>
      </w:r>
      <w:r w:rsidRPr="00A33B9F">
        <w:rPr>
          <w:rFonts w:ascii="Times New Roman" w:hAnsi="Times New Roman"/>
          <w:noProof/>
          <w:color w:val="000000" w:themeColor="text1"/>
          <w:sz w:val="24"/>
        </w:rPr>
        <w:t>awach dyscyplinarnych</w:t>
      </w:r>
      <w:r w:rsidR="00A33B9F" w:rsidRPr="00A33B9F">
        <w:rPr>
          <w:rFonts w:ascii="Times New Roman" w:hAnsi="Times New Roman"/>
          <w:noProof/>
          <w:color w:val="000000" w:themeColor="text1"/>
          <w:sz w:val="24"/>
        </w:rPr>
        <w:t xml:space="preserve"> i dot</w:t>
      </w:r>
      <w:r w:rsidRPr="00A33B9F">
        <w:rPr>
          <w:rFonts w:ascii="Times New Roman" w:hAnsi="Times New Roman"/>
          <w:noProof/>
          <w:color w:val="000000" w:themeColor="text1"/>
          <w:sz w:val="24"/>
        </w:rPr>
        <w:t>yczących immunitetu sędziowskiego, celem przywrócenia tych sędziów do orzekania</w:t>
      </w:r>
      <w:r w:rsidR="00A33B9F" w:rsidRPr="00A33B9F">
        <w:rPr>
          <w:rFonts w:ascii="Times New Roman" w:hAnsi="Times New Roman"/>
          <w:noProof/>
          <w:color w:val="000000" w:themeColor="text1"/>
          <w:sz w:val="24"/>
        </w:rPr>
        <w:t xml:space="preserve"> w nas</w:t>
      </w:r>
      <w:r w:rsidRPr="00A33B9F">
        <w:rPr>
          <w:rFonts w:ascii="Times New Roman" w:hAnsi="Times New Roman"/>
          <w:noProof/>
          <w:color w:val="000000" w:themeColor="text1"/>
          <w:sz w:val="24"/>
        </w:rPr>
        <w:t>tępstwie pozytywnego zakończenia procedury odwoławczej prowadzonej przez nowa Izbę, co podlega natychmiastowej realizacji; większe wykorzystanie konsultacji</w:t>
      </w:r>
      <w:r w:rsidR="00A33B9F" w:rsidRPr="00A33B9F">
        <w:rPr>
          <w:rFonts w:ascii="Times New Roman" w:hAnsi="Times New Roman"/>
          <w:noProof/>
          <w:color w:val="000000" w:themeColor="text1"/>
          <w:sz w:val="24"/>
        </w:rPr>
        <w:t xml:space="preserve"> z par</w:t>
      </w:r>
      <w:r w:rsidRPr="00A33B9F">
        <w:rPr>
          <w:rFonts w:ascii="Times New Roman" w:hAnsi="Times New Roman"/>
          <w:noProof/>
          <w:color w:val="000000" w:themeColor="text1"/>
          <w:sz w:val="24"/>
        </w:rPr>
        <w:t>tnerami społecznymi</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cesie stanowienia prawa; większe wykorzystanie ocen skutków</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cesie stanowienia prawa; ograniczenie stosowania procedur przyspieszonych</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cesie stanowienia prawa; zapewnienie odpowiednich konsultacji</w:t>
      </w:r>
      <w:r w:rsidR="00A33B9F" w:rsidRPr="00A33B9F">
        <w:rPr>
          <w:rFonts w:ascii="Times New Roman" w:hAnsi="Times New Roman"/>
          <w:noProof/>
          <w:color w:val="000000" w:themeColor="text1"/>
          <w:sz w:val="24"/>
        </w:rPr>
        <w:t xml:space="preserve"> z par</w:t>
      </w:r>
      <w:r w:rsidRPr="00A33B9F">
        <w:rPr>
          <w:rFonts w:ascii="Times New Roman" w:hAnsi="Times New Roman"/>
          <w:noProof/>
          <w:color w:val="000000" w:themeColor="text1"/>
          <w:sz w:val="24"/>
        </w:rPr>
        <w:t>tnerami społecznymi</w:t>
      </w:r>
      <w:r w:rsidR="00A33B9F" w:rsidRPr="00A33B9F">
        <w:rPr>
          <w:rFonts w:ascii="Times New Roman" w:hAnsi="Times New Roman"/>
          <w:noProof/>
          <w:color w:val="000000" w:themeColor="text1"/>
          <w:sz w:val="24"/>
        </w:rPr>
        <w:t xml:space="preserve"> i zai</w:t>
      </w:r>
      <w:r w:rsidRPr="00A33B9F">
        <w:rPr>
          <w:rFonts w:ascii="Times New Roman" w:hAnsi="Times New Roman"/>
          <w:noProof/>
          <w:color w:val="000000" w:themeColor="text1"/>
          <w:sz w:val="24"/>
        </w:rPr>
        <w:t>nteresowanymi stronami zaangażowanymi</w:t>
      </w:r>
      <w:r w:rsidR="00A33B9F" w:rsidRPr="00A33B9F">
        <w:rPr>
          <w:rFonts w:ascii="Times New Roman" w:hAnsi="Times New Roman"/>
          <w:noProof/>
          <w:color w:val="000000" w:themeColor="text1"/>
          <w:sz w:val="24"/>
        </w:rPr>
        <w:t xml:space="preserve"> w rea</w:t>
      </w:r>
      <w:r w:rsidRPr="00A33B9F">
        <w:rPr>
          <w:rFonts w:ascii="Times New Roman" w:hAnsi="Times New Roman"/>
          <w:noProof/>
          <w:color w:val="000000" w:themeColor="text1"/>
          <w:sz w:val="24"/>
        </w:rPr>
        <w:t>lizację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poprzez utworzenie komitetu monitorującego, oraz zapewnienie stosowania narzędzia do punktowej oceny ryzyka Arachne przy realizacji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w:t>
      </w:r>
    </w:p>
    <w:p w14:paraId="2314EDE7" w14:textId="5C27CCD9" w:rsidR="3E31AB6F" w:rsidRPr="00A33B9F" w:rsidRDefault="6E8B698F">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Komponent ten przyczynia się do realizacji zaleceń dla poszczególnych krajów dotyczących „poprawy otoczenia regulacyjnego,</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poprzez zwiększenie roli konsultacji</w:t>
      </w:r>
      <w:r w:rsidR="00A33B9F" w:rsidRPr="00A33B9F">
        <w:rPr>
          <w:rFonts w:ascii="Times New Roman" w:hAnsi="Times New Roman"/>
          <w:noProof/>
          <w:color w:val="000000" w:themeColor="text1"/>
          <w:sz w:val="24"/>
        </w:rPr>
        <w:t xml:space="preserve"> z par</w:t>
      </w:r>
      <w:r w:rsidRPr="00A33B9F">
        <w:rPr>
          <w:rFonts w:ascii="Times New Roman" w:hAnsi="Times New Roman"/>
          <w:noProof/>
          <w:color w:val="000000" w:themeColor="text1"/>
          <w:sz w:val="24"/>
        </w:rPr>
        <w:t>tnerami społecznymi</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sultacji publicznych</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cesie legislacyjnym”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019</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 oraz „poprawy klimatu inwestycyjnego,</w:t>
      </w:r>
      <w:r w:rsidR="00A33B9F" w:rsidRPr="00A33B9F">
        <w:rPr>
          <w:rFonts w:ascii="Times New Roman" w:hAnsi="Times New Roman"/>
          <w:noProof/>
          <w:color w:val="000000" w:themeColor="text1"/>
          <w:sz w:val="24"/>
        </w:rPr>
        <w:t xml:space="preserve"> w szc</w:t>
      </w:r>
      <w:r w:rsidRPr="00A33B9F">
        <w:rPr>
          <w:rFonts w:ascii="Times New Roman" w:hAnsi="Times New Roman"/>
          <w:noProof/>
          <w:color w:val="000000" w:themeColor="text1"/>
          <w:sz w:val="24"/>
        </w:rPr>
        <w:t>zególności przez ochronę niezależności sądów”,</w:t>
      </w:r>
      <w:r w:rsidR="00A33B9F" w:rsidRPr="00A33B9F">
        <w:rPr>
          <w:rFonts w:ascii="Times New Roman" w:hAnsi="Times New Roman"/>
          <w:noProof/>
          <w:color w:val="000000" w:themeColor="text1"/>
          <w:sz w:val="24"/>
        </w:rPr>
        <w:t xml:space="preserve"> a tak</w:t>
      </w:r>
      <w:r w:rsidRPr="00A33B9F">
        <w:rPr>
          <w:rFonts w:ascii="Times New Roman" w:hAnsi="Times New Roman"/>
          <w:noProof/>
          <w:color w:val="000000" w:themeColor="text1"/>
          <w:sz w:val="24"/>
        </w:rPr>
        <w:t>że „zapewnienia skutecznych konsultacji publicznych</w:t>
      </w:r>
      <w:r w:rsidR="00A33B9F" w:rsidRPr="00A33B9F">
        <w:rPr>
          <w:rFonts w:ascii="Times New Roman" w:hAnsi="Times New Roman"/>
          <w:noProof/>
          <w:color w:val="000000" w:themeColor="text1"/>
          <w:sz w:val="24"/>
        </w:rPr>
        <w:t xml:space="preserve"> i zaa</w:t>
      </w:r>
      <w:r w:rsidRPr="00A33B9F">
        <w:rPr>
          <w:rFonts w:ascii="Times New Roman" w:hAnsi="Times New Roman"/>
          <w:noProof/>
          <w:color w:val="000000" w:themeColor="text1"/>
          <w:sz w:val="24"/>
        </w:rPr>
        <w:t>ngażowania partnerów społecznych</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ces kształtowania polityki” (zalecenie dla poszczególnych krajów nr</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4</w:t>
      </w:r>
      <w:r w:rsidR="00A33B9F" w:rsidRPr="00A33B9F">
        <w:rPr>
          <w:rFonts w:ascii="Times New Roman" w:hAnsi="Times New Roman"/>
          <w:noProof/>
          <w:color w:val="000000" w:themeColor="text1"/>
          <w:sz w:val="24"/>
        </w:rPr>
        <w:t xml:space="preserve"> z 2</w:t>
      </w:r>
      <w:r w:rsidRPr="00A33B9F">
        <w:rPr>
          <w:rFonts w:ascii="Times New Roman" w:hAnsi="Times New Roman"/>
          <w:noProof/>
          <w:color w:val="000000" w:themeColor="text1"/>
          <w:sz w:val="24"/>
        </w:rPr>
        <w:t>020</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74F77388" w14:textId="77777777" w:rsidR="00CE3AE2" w:rsidRPr="00A33B9F" w:rsidRDefault="00CE3AE2" w:rsidP="00077846">
      <w:pPr>
        <w:spacing w:line="240" w:lineRule="auto"/>
        <w:jc w:val="both"/>
        <w:rPr>
          <w:rFonts w:ascii="Times New Roman" w:eastAsia="Times New Roman" w:hAnsi="Times New Roman" w:cs="Times New Roman"/>
          <w:b/>
          <w:noProof/>
          <w:color w:val="000000" w:themeColor="text1"/>
          <w:sz w:val="24"/>
          <w:szCs w:val="24"/>
          <w:u w:val="single"/>
        </w:rPr>
      </w:pPr>
    </w:p>
    <w:p w14:paraId="54182696" w14:textId="3051F563" w:rsidR="00CE3AE2" w:rsidRPr="00A33B9F" w:rsidRDefault="00CE3AE2" w:rsidP="00CE3AE2">
      <w:pPr>
        <w:spacing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b/>
          <w:noProof/>
          <w:color w:val="000000" w:themeColor="text1"/>
          <w:sz w:val="24"/>
          <w:u w:val="single"/>
        </w:rPr>
        <w:t>F1 System wymiaru sprawiedliwości</w:t>
      </w:r>
    </w:p>
    <w:p w14:paraId="3D8D1DD6" w14:textId="175EAE3C" w:rsidR="00CE3AE2" w:rsidRPr="00A33B9F" w:rsidRDefault="00CE3AE2" w:rsidP="00077846">
      <w:pPr>
        <w:spacing w:line="240" w:lineRule="auto"/>
        <w:jc w:val="both"/>
        <w:rPr>
          <w:rFonts w:ascii="Times New Roman" w:hAnsi="Times New Roman"/>
          <w:noProof/>
          <w:sz w:val="24"/>
          <w:szCs w:val="24"/>
        </w:rPr>
      </w:pPr>
      <w:r w:rsidRPr="00A33B9F">
        <w:rPr>
          <w:rFonts w:ascii="Times New Roman" w:hAnsi="Times New Roman"/>
          <w:noProof/>
          <w:sz w:val="24"/>
        </w:rPr>
        <w:t>Głównym celem reform jest podniesienie standardu ochrony sądowej</w:t>
      </w:r>
      <w:r w:rsidR="00A33B9F" w:rsidRPr="00A33B9F">
        <w:rPr>
          <w:rFonts w:ascii="Times New Roman" w:hAnsi="Times New Roman"/>
          <w:noProof/>
          <w:sz w:val="24"/>
        </w:rPr>
        <w:t xml:space="preserve"> i pop</w:t>
      </w:r>
      <w:r w:rsidRPr="00A33B9F">
        <w:rPr>
          <w:rFonts w:ascii="Times New Roman" w:hAnsi="Times New Roman"/>
          <w:noProof/>
          <w:sz w:val="24"/>
        </w:rPr>
        <w:t>rawa klimatu inwestycyjnego</w:t>
      </w:r>
      <w:r w:rsidR="00A33B9F" w:rsidRPr="00A33B9F">
        <w:rPr>
          <w:rFonts w:ascii="Times New Roman" w:hAnsi="Times New Roman"/>
          <w:noProof/>
          <w:sz w:val="24"/>
        </w:rPr>
        <w:t xml:space="preserve"> w Pol</w:t>
      </w:r>
      <w:r w:rsidRPr="00A33B9F">
        <w:rPr>
          <w:rFonts w:ascii="Times New Roman" w:hAnsi="Times New Roman"/>
          <w:noProof/>
          <w:sz w:val="24"/>
        </w:rPr>
        <w:t>sce,</w:t>
      </w:r>
      <w:r w:rsidR="00A33B9F" w:rsidRPr="00A33B9F">
        <w:rPr>
          <w:rFonts w:ascii="Times New Roman" w:hAnsi="Times New Roman"/>
          <w:noProof/>
          <w:sz w:val="24"/>
        </w:rPr>
        <w:t xml:space="preserve"> a tak</w:t>
      </w:r>
      <w:r w:rsidRPr="00A33B9F">
        <w:rPr>
          <w:rFonts w:ascii="Times New Roman" w:hAnsi="Times New Roman"/>
          <w:noProof/>
          <w:sz w:val="24"/>
        </w:rPr>
        <w:t>że wsparcie systemu kontroli wewnętrznej,</w:t>
      </w:r>
      <w:r w:rsidR="00A33B9F" w:rsidRPr="00A33B9F">
        <w:rPr>
          <w:rFonts w:ascii="Times New Roman" w:hAnsi="Times New Roman"/>
          <w:noProof/>
          <w:sz w:val="24"/>
        </w:rPr>
        <w:t xml:space="preserve"> o któ</w:t>
      </w:r>
      <w:r w:rsidRPr="00A33B9F">
        <w:rPr>
          <w:rFonts w:ascii="Times New Roman" w:hAnsi="Times New Roman"/>
          <w:noProof/>
          <w:sz w:val="24"/>
        </w:rPr>
        <w:t>rym mowa</w:t>
      </w:r>
      <w:r w:rsidR="00A33B9F" w:rsidRPr="00A33B9F">
        <w:rPr>
          <w:rFonts w:ascii="Times New Roman" w:hAnsi="Times New Roman"/>
          <w:noProof/>
          <w:sz w:val="24"/>
        </w:rPr>
        <w:t xml:space="preserve"> w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22 rozporządzenia Parlamentu Europejskiego</w:t>
      </w:r>
      <w:r w:rsidR="00A33B9F" w:rsidRPr="00A33B9F">
        <w:rPr>
          <w:rFonts w:ascii="Times New Roman" w:hAnsi="Times New Roman"/>
          <w:noProof/>
          <w:sz w:val="24"/>
        </w:rPr>
        <w:t xml:space="preserve"> i Rad</w:t>
      </w:r>
      <w:r w:rsidRPr="00A33B9F">
        <w:rPr>
          <w:rFonts w:ascii="Times New Roman" w:hAnsi="Times New Roman"/>
          <w:noProof/>
          <w:sz w:val="24"/>
        </w:rPr>
        <w:t>y (UE) 2021/241, przez wzmocnienie gwarancji niezależności</w:t>
      </w:r>
      <w:r w:rsidR="00A33B9F" w:rsidRPr="00A33B9F">
        <w:rPr>
          <w:rFonts w:ascii="Times New Roman" w:hAnsi="Times New Roman"/>
          <w:noProof/>
          <w:sz w:val="24"/>
        </w:rPr>
        <w:t xml:space="preserve"> i bez</w:t>
      </w:r>
      <w:r w:rsidRPr="00A33B9F">
        <w:rPr>
          <w:rFonts w:ascii="Times New Roman" w:hAnsi="Times New Roman"/>
          <w:noProof/>
          <w:sz w:val="24"/>
        </w:rPr>
        <w:t>stronności sądów.</w:t>
      </w:r>
    </w:p>
    <w:p w14:paraId="69BE704F" w14:textId="49847C10" w:rsidR="00CE3AE2" w:rsidRPr="00A33B9F" w:rsidRDefault="00CE3AE2" w:rsidP="00077846">
      <w:pPr>
        <w:spacing w:line="240" w:lineRule="auto"/>
        <w:jc w:val="both"/>
        <w:rPr>
          <w:rFonts w:ascii="Times New Roman" w:hAnsi="Times New Roman"/>
          <w:noProof/>
          <w:sz w:val="24"/>
          <w:szCs w:val="24"/>
        </w:rPr>
      </w:pPr>
      <w:r w:rsidRPr="00A33B9F">
        <w:rPr>
          <w:rFonts w:ascii="Times New Roman" w:hAnsi="Times New Roman"/>
          <w:noProof/>
          <w:sz w:val="24"/>
        </w:rPr>
        <w:t>Reforma ma na celu wzmocnienie niezależności</w:t>
      </w:r>
      <w:r w:rsidR="00A33B9F" w:rsidRPr="00A33B9F">
        <w:rPr>
          <w:rFonts w:ascii="Times New Roman" w:hAnsi="Times New Roman"/>
          <w:noProof/>
          <w:sz w:val="24"/>
        </w:rPr>
        <w:t xml:space="preserve"> i bez</w:t>
      </w:r>
      <w:r w:rsidRPr="00A33B9F">
        <w:rPr>
          <w:rFonts w:ascii="Times New Roman" w:hAnsi="Times New Roman"/>
          <w:noProof/>
          <w:sz w:val="24"/>
        </w:rPr>
        <w:t>stronności sądów oraz niezawisłości</w:t>
      </w:r>
      <w:r w:rsidR="00A33B9F" w:rsidRPr="00A33B9F">
        <w:rPr>
          <w:rFonts w:ascii="Times New Roman" w:hAnsi="Times New Roman"/>
          <w:noProof/>
          <w:sz w:val="24"/>
        </w:rPr>
        <w:t xml:space="preserve"> i bez</w:t>
      </w:r>
      <w:r w:rsidRPr="00A33B9F">
        <w:rPr>
          <w:rFonts w:ascii="Times New Roman" w:hAnsi="Times New Roman"/>
          <w:noProof/>
          <w:sz w:val="24"/>
        </w:rPr>
        <w:t>stronności sędziów ustanowionych ustawą zgodnie</w:t>
      </w:r>
      <w:r w:rsidR="00A33B9F" w:rsidRPr="00A33B9F">
        <w:rPr>
          <w:rFonts w:ascii="Times New Roman" w:hAnsi="Times New Roman"/>
          <w:noProof/>
          <w:sz w:val="24"/>
        </w:rPr>
        <w:t xml:space="preserve"> z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19 Traktatu UE</w:t>
      </w:r>
      <w:r w:rsidR="00A33B9F" w:rsidRPr="00A33B9F">
        <w:rPr>
          <w:rFonts w:ascii="Times New Roman" w:hAnsi="Times New Roman"/>
          <w:noProof/>
          <w:sz w:val="24"/>
        </w:rPr>
        <w:t xml:space="preserve"> i odp</w:t>
      </w:r>
      <w:r w:rsidRPr="00A33B9F">
        <w:rPr>
          <w:rFonts w:ascii="Times New Roman" w:hAnsi="Times New Roman"/>
          <w:noProof/>
          <w:sz w:val="24"/>
        </w:rPr>
        <w:t>owiednim dorobkiem prawnym UE. Zgodnie</w:t>
      </w:r>
      <w:r w:rsidR="00A33B9F" w:rsidRPr="00A33B9F">
        <w:rPr>
          <w:rFonts w:ascii="Times New Roman" w:hAnsi="Times New Roman"/>
          <w:noProof/>
          <w:sz w:val="24"/>
        </w:rPr>
        <w:t xml:space="preserve"> z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24 ust.</w:t>
      </w:r>
      <w:r w:rsidR="00A33B9F" w:rsidRPr="00A33B9F">
        <w:rPr>
          <w:rFonts w:ascii="Times New Roman" w:hAnsi="Times New Roman"/>
          <w:noProof/>
          <w:sz w:val="24"/>
        </w:rPr>
        <w:t> </w:t>
      </w:r>
      <w:r w:rsidRPr="00A33B9F">
        <w:rPr>
          <w:rFonts w:ascii="Times New Roman" w:hAnsi="Times New Roman"/>
          <w:noProof/>
          <w:sz w:val="24"/>
        </w:rPr>
        <w:t>3 rozporządzenia (UE) 2021/241 wszelkie inne reformy są przeprowadzane bez osłabiania tego wyniku</w:t>
      </w:r>
      <w:r w:rsidR="00A33B9F" w:rsidRPr="00A33B9F">
        <w:rPr>
          <w:rFonts w:ascii="Times New Roman" w:hAnsi="Times New Roman"/>
          <w:noProof/>
          <w:sz w:val="24"/>
        </w:rPr>
        <w:t xml:space="preserve"> i wyw</w:t>
      </w:r>
      <w:r w:rsidRPr="00A33B9F">
        <w:rPr>
          <w:rFonts w:ascii="Times New Roman" w:hAnsi="Times New Roman"/>
          <w:noProof/>
          <w:sz w:val="24"/>
        </w:rPr>
        <w:t>ierania negatywnego wpływu na poniższe elementy.</w:t>
      </w:r>
    </w:p>
    <w:p w14:paraId="1CED877A" w14:textId="77777777" w:rsidR="0019715D" w:rsidRPr="00A33B9F" w:rsidRDefault="0019715D" w:rsidP="00077846">
      <w:pPr>
        <w:spacing w:line="240" w:lineRule="auto"/>
        <w:jc w:val="both"/>
        <w:rPr>
          <w:rFonts w:ascii="Times New Roman" w:hAnsi="Times New Roman"/>
          <w:noProof/>
          <w:sz w:val="24"/>
          <w:szCs w:val="24"/>
        </w:rPr>
      </w:pPr>
    </w:p>
    <w:p w14:paraId="49E7712C" w14:textId="78329465" w:rsidR="00CE3AE2" w:rsidRPr="00A33B9F" w:rsidRDefault="00A011A7" w:rsidP="00A011A7">
      <w:pPr>
        <w:spacing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b/>
          <w:noProof/>
          <w:sz w:val="24"/>
          <w:u w:val="single"/>
        </w:rPr>
        <w:t>F1.1 Reforma zwiększająca niezależność</w:t>
      </w:r>
      <w:r w:rsidR="00A33B9F" w:rsidRPr="00A33B9F">
        <w:rPr>
          <w:rFonts w:ascii="Times New Roman" w:hAnsi="Times New Roman"/>
          <w:b/>
          <w:noProof/>
          <w:sz w:val="24"/>
          <w:u w:val="single"/>
        </w:rPr>
        <w:t xml:space="preserve"> i bez</w:t>
      </w:r>
      <w:r w:rsidRPr="00A33B9F">
        <w:rPr>
          <w:rFonts w:ascii="Times New Roman" w:hAnsi="Times New Roman"/>
          <w:b/>
          <w:noProof/>
          <w:sz w:val="24"/>
          <w:u w:val="single"/>
        </w:rPr>
        <w:t>stronność sądów</w:t>
      </w:r>
    </w:p>
    <w:p w14:paraId="4EED8318" w14:textId="77777777" w:rsidR="00564A81" w:rsidRPr="00A33B9F" w:rsidRDefault="0EEEA4BD" w:rsidP="00077846">
      <w:pPr>
        <w:spacing w:line="240" w:lineRule="auto"/>
        <w:jc w:val="both"/>
        <w:rPr>
          <w:rFonts w:ascii="Times New Roman" w:hAnsi="Times New Roman"/>
          <w:noProof/>
          <w:sz w:val="24"/>
          <w:szCs w:val="24"/>
        </w:rPr>
      </w:pPr>
      <w:r w:rsidRPr="00A33B9F">
        <w:rPr>
          <w:rFonts w:ascii="Times New Roman" w:hAnsi="Times New Roman"/>
          <w:noProof/>
          <w:sz w:val="24"/>
        </w:rPr>
        <w:t>W drodze reformy:</w:t>
      </w:r>
    </w:p>
    <w:p w14:paraId="08CB0EF5" w14:textId="6766977C" w:rsidR="00564A81" w:rsidRPr="00A33B9F" w:rsidRDefault="0EEEA4BD" w:rsidP="00394B30">
      <w:pPr>
        <w:numPr>
          <w:ilvl w:val="0"/>
          <w:numId w:val="21"/>
        </w:numPr>
        <w:spacing w:line="240" w:lineRule="auto"/>
        <w:jc w:val="both"/>
        <w:rPr>
          <w:rFonts w:ascii="Times New Roman" w:hAnsi="Times New Roman"/>
          <w:noProof/>
          <w:sz w:val="24"/>
          <w:szCs w:val="24"/>
        </w:rPr>
      </w:pPr>
      <w:r w:rsidRPr="00A33B9F">
        <w:rPr>
          <w:rFonts w:ascii="Times New Roman" w:hAnsi="Times New Roman"/>
          <w:noProof/>
          <w:sz w:val="24"/>
        </w:rPr>
        <w:t>we wszystkich sprawach dotyczących sędziów,</w:t>
      </w:r>
      <w:r w:rsidR="00A33B9F" w:rsidRPr="00A33B9F">
        <w:rPr>
          <w:rFonts w:ascii="Times New Roman" w:hAnsi="Times New Roman"/>
          <w:noProof/>
          <w:sz w:val="24"/>
        </w:rPr>
        <w:t xml:space="preserve"> w tym</w:t>
      </w:r>
      <w:r w:rsidRPr="00A33B9F">
        <w:rPr>
          <w:rFonts w:ascii="Times New Roman" w:hAnsi="Times New Roman"/>
          <w:noProof/>
          <w:sz w:val="24"/>
        </w:rPr>
        <w:t xml:space="preserve"> sprawach dyscyplinarnych</w:t>
      </w:r>
      <w:r w:rsidR="00A33B9F" w:rsidRPr="00A33B9F">
        <w:rPr>
          <w:rFonts w:ascii="Times New Roman" w:hAnsi="Times New Roman"/>
          <w:noProof/>
          <w:sz w:val="24"/>
        </w:rPr>
        <w:t xml:space="preserve"> i dot</w:t>
      </w:r>
      <w:r w:rsidRPr="00A33B9F">
        <w:rPr>
          <w:rFonts w:ascii="Times New Roman" w:hAnsi="Times New Roman"/>
          <w:noProof/>
          <w:sz w:val="24"/>
        </w:rPr>
        <w:t>yczących uchylenia immunitetu sędziowskiego, określony zostanie zakres właściwości Izby Sądu Najwyższego, innej niż istniejąca Izba Dyscyplinarna, spełniającej wymogi wynikające</w:t>
      </w:r>
      <w:r w:rsidR="00A33B9F" w:rsidRPr="00A33B9F">
        <w:rPr>
          <w:rFonts w:ascii="Times New Roman" w:hAnsi="Times New Roman"/>
          <w:noProof/>
          <w:sz w:val="24"/>
        </w:rPr>
        <w:t xml:space="preserve"> z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19 ust.</w:t>
      </w:r>
      <w:r w:rsidR="00A33B9F" w:rsidRPr="00A33B9F">
        <w:rPr>
          <w:rFonts w:ascii="Times New Roman" w:hAnsi="Times New Roman"/>
          <w:noProof/>
          <w:sz w:val="24"/>
        </w:rPr>
        <w:t> </w:t>
      </w:r>
      <w:r w:rsidRPr="00A33B9F">
        <w:rPr>
          <w:rFonts w:ascii="Times New Roman" w:hAnsi="Times New Roman"/>
          <w:noProof/>
          <w:sz w:val="24"/>
        </w:rPr>
        <w:t>1 Traktatu UE</w:t>
      </w:r>
      <w:r w:rsidR="00A33B9F" w:rsidRPr="00A33B9F">
        <w:rPr>
          <w:rFonts w:ascii="Times New Roman" w:hAnsi="Times New Roman"/>
          <w:noProof/>
          <w:sz w:val="24"/>
        </w:rPr>
        <w:t>. W ten</w:t>
      </w:r>
      <w:r w:rsidRPr="00A33B9F">
        <w:rPr>
          <w:rFonts w:ascii="Times New Roman" w:hAnsi="Times New Roman"/>
          <w:noProof/>
          <w:sz w:val="24"/>
        </w:rPr>
        <w:t xml:space="preserve"> sposób zapewni się, aby wspomniane wyżej sprawy były rozpatrywane przez niezależny</w:t>
      </w:r>
      <w:r w:rsidR="00A33B9F" w:rsidRPr="00A33B9F">
        <w:rPr>
          <w:rFonts w:ascii="Times New Roman" w:hAnsi="Times New Roman"/>
          <w:noProof/>
          <w:sz w:val="24"/>
        </w:rPr>
        <w:t xml:space="preserve"> i bez</w:t>
      </w:r>
      <w:r w:rsidRPr="00A33B9F">
        <w:rPr>
          <w:rFonts w:ascii="Times New Roman" w:hAnsi="Times New Roman"/>
          <w:noProof/>
          <w:sz w:val="24"/>
        </w:rPr>
        <w:t>stronny sąd ustanowiony ustawą,</w:t>
      </w:r>
      <w:r w:rsidR="00A33B9F" w:rsidRPr="00A33B9F">
        <w:rPr>
          <w:rFonts w:ascii="Times New Roman" w:hAnsi="Times New Roman"/>
          <w:noProof/>
          <w:sz w:val="24"/>
        </w:rPr>
        <w:t xml:space="preserve"> a jed</w:t>
      </w:r>
      <w:r w:rsidRPr="00A33B9F">
        <w:rPr>
          <w:rFonts w:ascii="Times New Roman" w:hAnsi="Times New Roman"/>
          <w:noProof/>
          <w:sz w:val="24"/>
        </w:rPr>
        <w:t>nocześnie ograniczone zostaną uprawnienia dyskrecjonalne</w:t>
      </w:r>
      <w:r w:rsidR="00A33B9F" w:rsidRPr="00A33B9F">
        <w:rPr>
          <w:rFonts w:ascii="Times New Roman" w:hAnsi="Times New Roman"/>
          <w:noProof/>
          <w:sz w:val="24"/>
        </w:rPr>
        <w:t xml:space="preserve"> w zak</w:t>
      </w:r>
      <w:r w:rsidRPr="00A33B9F">
        <w:rPr>
          <w:rFonts w:ascii="Times New Roman" w:hAnsi="Times New Roman"/>
          <w:noProof/>
          <w:sz w:val="24"/>
        </w:rPr>
        <w:t>resie wyznaczania sądu dyscyplinarnego właściwego</w:t>
      </w:r>
      <w:r w:rsidR="00A33B9F" w:rsidRPr="00A33B9F">
        <w:rPr>
          <w:rFonts w:ascii="Times New Roman" w:hAnsi="Times New Roman"/>
          <w:noProof/>
          <w:sz w:val="24"/>
        </w:rPr>
        <w:t xml:space="preserve"> w pie</w:t>
      </w:r>
      <w:r w:rsidRPr="00A33B9F">
        <w:rPr>
          <w:rFonts w:ascii="Times New Roman" w:hAnsi="Times New Roman"/>
          <w:noProof/>
          <w:sz w:val="24"/>
        </w:rPr>
        <w:t>rwszej instancji</w:t>
      </w:r>
      <w:r w:rsidR="00A33B9F" w:rsidRPr="00A33B9F">
        <w:rPr>
          <w:rFonts w:ascii="Times New Roman" w:hAnsi="Times New Roman"/>
          <w:noProof/>
          <w:sz w:val="24"/>
        </w:rPr>
        <w:t xml:space="preserve"> w spr</w:t>
      </w:r>
      <w:r w:rsidRPr="00A33B9F">
        <w:rPr>
          <w:rFonts w:ascii="Times New Roman" w:hAnsi="Times New Roman"/>
          <w:noProof/>
          <w:sz w:val="24"/>
        </w:rPr>
        <w:t xml:space="preserve">awach dotyczących sędziów sądów powszechnych; </w:t>
      </w:r>
    </w:p>
    <w:p w14:paraId="71097B4F" w14:textId="008A16B5" w:rsidR="00564A81" w:rsidRPr="00A33B9F" w:rsidRDefault="0EEEA4BD" w:rsidP="00394B30">
      <w:pPr>
        <w:numPr>
          <w:ilvl w:val="0"/>
          <w:numId w:val="21"/>
        </w:numPr>
        <w:spacing w:line="240" w:lineRule="auto"/>
        <w:jc w:val="both"/>
        <w:rPr>
          <w:rFonts w:ascii="Times New Roman" w:hAnsi="Times New Roman"/>
          <w:noProof/>
          <w:sz w:val="24"/>
          <w:szCs w:val="24"/>
        </w:rPr>
      </w:pPr>
      <w:r w:rsidRPr="00A33B9F">
        <w:rPr>
          <w:rFonts w:ascii="Times New Roman" w:hAnsi="Times New Roman"/>
          <w:noProof/>
          <w:sz w:val="24"/>
        </w:rPr>
        <w:t>wyjaśniony zostanie zakres odpowiedzialności dyscyplinarnej sędziów poprzez zapewnienie, aby prawo polskich sądów do składania wniosków</w:t>
      </w:r>
      <w:r w:rsidR="00A33B9F" w:rsidRPr="00A33B9F">
        <w:rPr>
          <w:rFonts w:ascii="Times New Roman" w:hAnsi="Times New Roman"/>
          <w:noProof/>
          <w:sz w:val="24"/>
        </w:rPr>
        <w:t xml:space="preserve"> o wyd</w:t>
      </w:r>
      <w:r w:rsidRPr="00A33B9F">
        <w:rPr>
          <w:rFonts w:ascii="Times New Roman" w:hAnsi="Times New Roman"/>
          <w:noProof/>
          <w:sz w:val="24"/>
        </w:rPr>
        <w:t>anie orzeczenia</w:t>
      </w:r>
      <w:r w:rsidR="00A33B9F" w:rsidRPr="00A33B9F">
        <w:rPr>
          <w:rFonts w:ascii="Times New Roman" w:hAnsi="Times New Roman"/>
          <w:noProof/>
          <w:sz w:val="24"/>
        </w:rPr>
        <w:t xml:space="preserve"> w try</w:t>
      </w:r>
      <w:r w:rsidRPr="00A33B9F">
        <w:rPr>
          <w:rFonts w:ascii="Times New Roman" w:hAnsi="Times New Roman"/>
          <w:noProof/>
          <w:sz w:val="24"/>
        </w:rPr>
        <w:t>bie prejudycjalnym do TSUE nie było ograniczone. Wniosek taki nie stanowi podstawy do wszczęcia postępowania dyscyplinarnego przeciwko danemu sędziemu;</w:t>
      </w:r>
    </w:p>
    <w:p w14:paraId="13CC6948" w14:textId="735C923B" w:rsidR="00CE3AE2" w:rsidRPr="00A33B9F" w:rsidRDefault="00CE3AE2" w:rsidP="00394B30">
      <w:pPr>
        <w:numPr>
          <w:ilvl w:val="0"/>
          <w:numId w:val="21"/>
        </w:numPr>
        <w:spacing w:line="240" w:lineRule="auto"/>
        <w:jc w:val="both"/>
        <w:rPr>
          <w:rFonts w:ascii="Times New Roman" w:hAnsi="Times New Roman"/>
          <w:noProof/>
          <w:sz w:val="24"/>
          <w:szCs w:val="24"/>
        </w:rPr>
      </w:pPr>
      <w:r w:rsidRPr="00A33B9F">
        <w:rPr>
          <w:rFonts w:ascii="Times New Roman" w:hAnsi="Times New Roman"/>
          <w:noProof/>
          <w:sz w:val="24"/>
        </w:rPr>
        <w:t>chociaż sędziowie nadal mogą zostać pociągnięci do odpowiedzialności za wykroczenie zawodowe,</w:t>
      </w:r>
      <w:r w:rsidR="00A33B9F" w:rsidRPr="00A33B9F">
        <w:rPr>
          <w:rFonts w:ascii="Times New Roman" w:hAnsi="Times New Roman"/>
          <w:noProof/>
          <w:sz w:val="24"/>
        </w:rPr>
        <w:t xml:space="preserve"> w tym</w:t>
      </w:r>
      <w:r w:rsidRPr="00A33B9F">
        <w:rPr>
          <w:rFonts w:ascii="Times New Roman" w:hAnsi="Times New Roman"/>
          <w:noProof/>
          <w:sz w:val="24"/>
        </w:rPr>
        <w:t xml:space="preserve"> za oczywiste</w:t>
      </w:r>
      <w:r w:rsidR="00A33B9F" w:rsidRPr="00A33B9F">
        <w:rPr>
          <w:rFonts w:ascii="Times New Roman" w:hAnsi="Times New Roman"/>
          <w:noProof/>
          <w:sz w:val="24"/>
        </w:rPr>
        <w:t xml:space="preserve"> i raż</w:t>
      </w:r>
      <w:r w:rsidRPr="00A33B9F">
        <w:rPr>
          <w:rFonts w:ascii="Times New Roman" w:hAnsi="Times New Roman"/>
          <w:noProof/>
          <w:sz w:val="24"/>
        </w:rPr>
        <w:t>ące naruszenia prawa,</w:t>
      </w:r>
      <w:r w:rsidR="00A33B9F" w:rsidRPr="00A33B9F">
        <w:rPr>
          <w:rFonts w:ascii="Times New Roman" w:hAnsi="Times New Roman"/>
          <w:noProof/>
          <w:sz w:val="24"/>
        </w:rPr>
        <w:t xml:space="preserve"> w dro</w:t>
      </w:r>
      <w:r w:rsidRPr="00A33B9F">
        <w:rPr>
          <w:rFonts w:ascii="Times New Roman" w:hAnsi="Times New Roman"/>
          <w:noProof/>
          <w:sz w:val="24"/>
        </w:rPr>
        <w:t>dze reformy zostanie ustalone, że treści orzeczeń sądowych nie uznaje się za przewinienie dyscyplinarne,</w:t>
      </w:r>
    </w:p>
    <w:p w14:paraId="23EFB212" w14:textId="7C03262E" w:rsidR="00564A81" w:rsidRPr="00A33B9F" w:rsidRDefault="0EEEA4BD" w:rsidP="00394B30">
      <w:pPr>
        <w:numPr>
          <w:ilvl w:val="0"/>
          <w:numId w:val="21"/>
        </w:numPr>
        <w:spacing w:line="240" w:lineRule="auto"/>
        <w:jc w:val="both"/>
        <w:rPr>
          <w:rFonts w:ascii="Times New Roman" w:eastAsia="Times New Roman" w:hAnsi="Times New Roman"/>
          <w:noProof/>
          <w:sz w:val="24"/>
          <w:szCs w:val="24"/>
        </w:rPr>
      </w:pPr>
      <w:r w:rsidRPr="00A33B9F">
        <w:rPr>
          <w:rFonts w:ascii="Times New Roman" w:hAnsi="Times New Roman"/>
          <w:noProof/>
          <w:sz w:val="24"/>
        </w:rPr>
        <w:t>zapewni się, aby –</w:t>
      </w:r>
      <w:r w:rsidR="00A33B9F" w:rsidRPr="00A33B9F">
        <w:rPr>
          <w:rFonts w:ascii="Times New Roman" w:hAnsi="Times New Roman"/>
          <w:noProof/>
          <w:sz w:val="24"/>
        </w:rPr>
        <w:t xml:space="preserve"> w prz</w:t>
      </w:r>
      <w:r w:rsidRPr="00A33B9F">
        <w:rPr>
          <w:rFonts w:ascii="Times New Roman" w:hAnsi="Times New Roman"/>
          <w:noProof/>
          <w:sz w:val="24"/>
        </w:rPr>
        <w:t>ypadku pojawienia się poważnych wątpliwości</w:t>
      </w:r>
      <w:r w:rsidR="00A33B9F" w:rsidRPr="00A33B9F">
        <w:rPr>
          <w:rFonts w:ascii="Times New Roman" w:hAnsi="Times New Roman"/>
          <w:noProof/>
          <w:sz w:val="24"/>
        </w:rPr>
        <w:t xml:space="preserve"> w tym</w:t>
      </w:r>
      <w:r w:rsidRPr="00A33B9F">
        <w:rPr>
          <w:rFonts w:ascii="Times New Roman" w:hAnsi="Times New Roman"/>
          <w:noProof/>
          <w:sz w:val="24"/>
        </w:rPr>
        <w:t xml:space="preserve"> zakresie – właściwy sąd miał możliwość przeprowadzenia</w:t>
      </w:r>
      <w:r w:rsidR="00A33B9F" w:rsidRPr="00A33B9F">
        <w:rPr>
          <w:rFonts w:ascii="Times New Roman" w:hAnsi="Times New Roman"/>
          <w:noProof/>
          <w:sz w:val="24"/>
        </w:rPr>
        <w:t xml:space="preserve"> w ram</w:t>
      </w:r>
      <w:r w:rsidRPr="00A33B9F">
        <w:rPr>
          <w:rFonts w:ascii="Times New Roman" w:hAnsi="Times New Roman"/>
          <w:noProof/>
          <w:sz w:val="24"/>
        </w:rPr>
        <w:t>ach postępowania sądowego weryfikacji, czy dany sędzia spełnia wymogi niezawisłości, bezstronności i „bycia powołanym na mocy ustawy” zgodnie</w:t>
      </w:r>
      <w:r w:rsidR="00A33B9F" w:rsidRPr="00A33B9F">
        <w:rPr>
          <w:rFonts w:ascii="Times New Roman" w:hAnsi="Times New Roman"/>
          <w:noProof/>
          <w:sz w:val="24"/>
        </w:rPr>
        <w:t xml:space="preserve"> z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 xml:space="preserve">19 Traktatu UE, przy czym weryfikacji tej nie można uznać za przewinienie dyscyplinarne; </w:t>
      </w:r>
    </w:p>
    <w:p w14:paraId="3D8F17E2" w14:textId="1B24EFF4" w:rsidR="00564A81" w:rsidRPr="00A33B9F" w:rsidRDefault="0EEEA4BD" w:rsidP="00394B30">
      <w:pPr>
        <w:numPr>
          <w:ilvl w:val="0"/>
          <w:numId w:val="21"/>
        </w:numPr>
        <w:spacing w:line="240" w:lineRule="auto"/>
        <w:jc w:val="both"/>
        <w:rPr>
          <w:rFonts w:ascii="Times New Roman" w:hAnsi="Times New Roman"/>
          <w:noProof/>
          <w:sz w:val="24"/>
          <w:szCs w:val="24"/>
        </w:rPr>
      </w:pPr>
      <w:r w:rsidRPr="00A33B9F">
        <w:rPr>
          <w:rFonts w:ascii="Times New Roman" w:hAnsi="Times New Roman"/>
          <w:noProof/>
          <w:sz w:val="24"/>
        </w:rPr>
        <w:t>wzmocnione zostaną gwarancje proceduralne</w:t>
      </w:r>
      <w:r w:rsidR="00A33B9F" w:rsidRPr="00A33B9F">
        <w:rPr>
          <w:rFonts w:ascii="Times New Roman" w:hAnsi="Times New Roman"/>
          <w:noProof/>
          <w:sz w:val="24"/>
        </w:rPr>
        <w:t xml:space="preserve"> i upr</w:t>
      </w:r>
      <w:r w:rsidRPr="00A33B9F">
        <w:rPr>
          <w:rFonts w:ascii="Times New Roman" w:hAnsi="Times New Roman"/>
          <w:noProof/>
          <w:sz w:val="24"/>
        </w:rPr>
        <w:t>awnienia stron</w:t>
      </w:r>
      <w:r w:rsidR="00A33B9F" w:rsidRPr="00A33B9F">
        <w:rPr>
          <w:rFonts w:ascii="Times New Roman" w:hAnsi="Times New Roman"/>
          <w:noProof/>
          <w:sz w:val="24"/>
        </w:rPr>
        <w:t xml:space="preserve"> w pos</w:t>
      </w:r>
      <w:r w:rsidRPr="00A33B9F">
        <w:rPr>
          <w:rFonts w:ascii="Times New Roman" w:hAnsi="Times New Roman"/>
          <w:noProof/>
          <w:sz w:val="24"/>
        </w:rPr>
        <w:t>tępowaniach dyscyplinarnych dotyczących sędziów poprzez:</w:t>
      </w:r>
      <w:r w:rsidR="00C3621A" w:rsidRPr="00A33B9F">
        <w:rPr>
          <w:rFonts w:ascii="Times New Roman" w:hAnsi="Times New Roman"/>
          <w:noProof/>
          <w:sz w:val="24"/>
        </w:rPr>
        <w:t xml:space="preserve"> </w:t>
      </w:r>
    </w:p>
    <w:p w14:paraId="35940D8C" w14:textId="6DE159D2" w:rsidR="00564A81" w:rsidRPr="00A33B9F" w:rsidRDefault="03B19318" w:rsidP="00077846">
      <w:pPr>
        <w:spacing w:line="240" w:lineRule="auto"/>
        <w:ind w:left="720"/>
        <w:jc w:val="both"/>
        <w:rPr>
          <w:rFonts w:ascii="Times New Roman" w:hAnsi="Times New Roman"/>
          <w:noProof/>
          <w:sz w:val="24"/>
          <w:szCs w:val="24"/>
        </w:rPr>
      </w:pPr>
      <w:r w:rsidRPr="00A33B9F">
        <w:rPr>
          <w:rFonts w:ascii="Times New Roman" w:hAnsi="Times New Roman"/>
          <w:noProof/>
          <w:sz w:val="24"/>
        </w:rPr>
        <w:t>(i) zapewnienie, aby sprawy dyscyplinarne przeciwko sędziom sądów powszechnych były rozpoznawane</w:t>
      </w:r>
      <w:r w:rsidR="00A33B9F" w:rsidRPr="00A33B9F">
        <w:rPr>
          <w:rFonts w:ascii="Times New Roman" w:hAnsi="Times New Roman"/>
          <w:noProof/>
          <w:sz w:val="24"/>
        </w:rPr>
        <w:t xml:space="preserve"> w roz</w:t>
      </w:r>
      <w:r w:rsidRPr="00A33B9F">
        <w:rPr>
          <w:rFonts w:ascii="Times New Roman" w:hAnsi="Times New Roman"/>
          <w:noProof/>
          <w:sz w:val="24"/>
        </w:rPr>
        <w:t>sądnym terminie,</w:t>
      </w:r>
    </w:p>
    <w:p w14:paraId="0BD8828A" w14:textId="6598E2C4" w:rsidR="00564A81" w:rsidRPr="00A33B9F" w:rsidRDefault="0701D74E" w:rsidP="00077846">
      <w:pPr>
        <w:spacing w:line="240" w:lineRule="auto"/>
        <w:ind w:left="720"/>
        <w:jc w:val="both"/>
        <w:rPr>
          <w:rFonts w:ascii="Times New Roman" w:hAnsi="Times New Roman"/>
          <w:noProof/>
          <w:sz w:val="24"/>
          <w:szCs w:val="24"/>
        </w:rPr>
      </w:pPr>
      <w:r w:rsidRPr="00A33B9F">
        <w:rPr>
          <w:rFonts w:ascii="Times New Roman" w:hAnsi="Times New Roman"/>
          <w:noProof/>
          <w:sz w:val="24"/>
        </w:rPr>
        <w:t>(ii) uściślenie przepisów dotyczących właściwości miejscowej sądów rozpoznających sprawy dyscyplinarne, aby zapewnić możliwość bezpośredniego ustalenia właściwego sądu zgodnie</w:t>
      </w:r>
      <w:r w:rsidR="00A33B9F" w:rsidRPr="00A33B9F">
        <w:rPr>
          <w:rFonts w:ascii="Times New Roman" w:hAnsi="Times New Roman"/>
          <w:noProof/>
          <w:sz w:val="24"/>
        </w:rPr>
        <w:t xml:space="preserve"> z akt</w:t>
      </w:r>
      <w:r w:rsidRPr="00A33B9F">
        <w:rPr>
          <w:rFonts w:ascii="Times New Roman" w:hAnsi="Times New Roman"/>
          <w:noProof/>
          <w:sz w:val="24"/>
        </w:rPr>
        <w:t>em ustawodawczym oraz</w:t>
      </w:r>
    </w:p>
    <w:p w14:paraId="0C1490F9" w14:textId="0F3AE8FC" w:rsidR="00564A81" w:rsidRPr="00A33B9F" w:rsidRDefault="0EEEA4BD" w:rsidP="00077846">
      <w:pPr>
        <w:spacing w:line="240" w:lineRule="auto"/>
        <w:ind w:left="720"/>
        <w:jc w:val="both"/>
        <w:rPr>
          <w:rFonts w:ascii="Times New Roman" w:hAnsi="Times New Roman"/>
          <w:noProof/>
          <w:sz w:val="24"/>
          <w:szCs w:val="24"/>
        </w:rPr>
      </w:pPr>
      <w:r w:rsidRPr="00A33B9F">
        <w:rPr>
          <w:rFonts w:ascii="Times New Roman" w:hAnsi="Times New Roman"/>
          <w:noProof/>
          <w:sz w:val="24"/>
        </w:rPr>
        <w:t>(iii) zapewnienie, aby wyznaczenie obrońcy</w:t>
      </w:r>
      <w:r w:rsidR="00A33B9F" w:rsidRPr="00A33B9F">
        <w:rPr>
          <w:rFonts w:ascii="Times New Roman" w:hAnsi="Times New Roman"/>
          <w:noProof/>
          <w:sz w:val="24"/>
        </w:rPr>
        <w:t xml:space="preserve"> w pos</w:t>
      </w:r>
      <w:r w:rsidRPr="00A33B9F">
        <w:rPr>
          <w:rFonts w:ascii="Times New Roman" w:hAnsi="Times New Roman"/>
          <w:noProof/>
          <w:sz w:val="24"/>
        </w:rPr>
        <w:t>tępowaniu dyscyplinarnym dotyczącym danego sędziego odbywało się</w:t>
      </w:r>
      <w:r w:rsidR="00A33B9F" w:rsidRPr="00A33B9F">
        <w:rPr>
          <w:rFonts w:ascii="Times New Roman" w:hAnsi="Times New Roman"/>
          <w:noProof/>
          <w:sz w:val="24"/>
        </w:rPr>
        <w:t xml:space="preserve"> w roz</w:t>
      </w:r>
      <w:r w:rsidRPr="00A33B9F">
        <w:rPr>
          <w:rFonts w:ascii="Times New Roman" w:hAnsi="Times New Roman"/>
          <w:noProof/>
          <w:sz w:val="24"/>
        </w:rPr>
        <w:t>sądnym terminie,</w:t>
      </w:r>
      <w:r w:rsidR="00A33B9F" w:rsidRPr="00A33B9F">
        <w:rPr>
          <w:rFonts w:ascii="Times New Roman" w:hAnsi="Times New Roman"/>
          <w:noProof/>
          <w:sz w:val="24"/>
        </w:rPr>
        <w:t xml:space="preserve"> a tak</w:t>
      </w:r>
      <w:r w:rsidRPr="00A33B9F">
        <w:rPr>
          <w:rFonts w:ascii="Times New Roman" w:hAnsi="Times New Roman"/>
          <w:noProof/>
          <w:sz w:val="24"/>
        </w:rPr>
        <w:t>że zapewnienie czasu na merytoryczne przygotowanie się obrońcy do wykonywania jego funkcji</w:t>
      </w:r>
      <w:r w:rsidR="00A33B9F" w:rsidRPr="00A33B9F">
        <w:rPr>
          <w:rFonts w:ascii="Times New Roman" w:hAnsi="Times New Roman"/>
          <w:noProof/>
          <w:sz w:val="24"/>
        </w:rPr>
        <w:t xml:space="preserve"> w dan</w:t>
      </w:r>
      <w:r w:rsidRPr="00A33B9F">
        <w:rPr>
          <w:rFonts w:ascii="Times New Roman" w:hAnsi="Times New Roman"/>
          <w:noProof/>
          <w:sz w:val="24"/>
        </w:rPr>
        <w:t>ym postępowaniu. Jednocześnie sąd zawiesi postępowanie</w:t>
      </w:r>
      <w:r w:rsidR="00A33B9F" w:rsidRPr="00A33B9F">
        <w:rPr>
          <w:rFonts w:ascii="Times New Roman" w:hAnsi="Times New Roman"/>
          <w:noProof/>
          <w:sz w:val="24"/>
        </w:rPr>
        <w:t xml:space="preserve"> w prz</w:t>
      </w:r>
      <w:r w:rsidRPr="00A33B9F">
        <w:rPr>
          <w:rFonts w:ascii="Times New Roman" w:hAnsi="Times New Roman"/>
          <w:noProof/>
          <w:sz w:val="24"/>
        </w:rPr>
        <w:t>ypadku należycie uzasadnionej nieobecności oskarżonego sędziego lub jego obrońcy.</w:t>
      </w:r>
    </w:p>
    <w:p w14:paraId="0C0A53B6" w14:textId="71C56C9B" w:rsidR="00564A81" w:rsidRPr="00A33B9F" w:rsidRDefault="0EEEA4BD" w:rsidP="00077846">
      <w:pPr>
        <w:spacing w:line="240" w:lineRule="auto"/>
        <w:jc w:val="both"/>
        <w:rPr>
          <w:rFonts w:ascii="Times New Roman" w:hAnsi="Times New Roman"/>
          <w:noProof/>
          <w:sz w:val="24"/>
          <w:szCs w:val="24"/>
        </w:rPr>
      </w:pPr>
      <w:r w:rsidRPr="00A33B9F">
        <w:rPr>
          <w:rFonts w:ascii="Times New Roman" w:hAnsi="Times New Roman"/>
          <w:noProof/>
          <w:sz w:val="24"/>
        </w:rPr>
        <w:t>Reforma wejdzie</w:t>
      </w:r>
      <w:r w:rsidR="00A33B9F" w:rsidRPr="00A33B9F">
        <w:rPr>
          <w:rFonts w:ascii="Times New Roman" w:hAnsi="Times New Roman"/>
          <w:noProof/>
          <w:sz w:val="24"/>
        </w:rPr>
        <w:t xml:space="preserve"> w życ</w:t>
      </w:r>
      <w:r w:rsidRPr="00A33B9F">
        <w:rPr>
          <w:rFonts w:ascii="Times New Roman" w:hAnsi="Times New Roman"/>
          <w:noProof/>
          <w:sz w:val="24"/>
        </w:rPr>
        <w:t>ie do końca drugiego kwartału 2022</w:t>
      </w:r>
      <w:r w:rsidR="00A33B9F" w:rsidRPr="00A33B9F">
        <w:rPr>
          <w:rFonts w:ascii="Times New Roman" w:hAnsi="Times New Roman"/>
          <w:noProof/>
          <w:sz w:val="24"/>
        </w:rPr>
        <w:t> </w:t>
      </w:r>
      <w:r w:rsidRPr="00A33B9F">
        <w:rPr>
          <w:rFonts w:ascii="Times New Roman" w:hAnsi="Times New Roman"/>
          <w:noProof/>
          <w:sz w:val="24"/>
        </w:rPr>
        <w:t xml:space="preserve">r. </w:t>
      </w:r>
    </w:p>
    <w:p w14:paraId="5F61C325" w14:textId="77777777" w:rsidR="009F5628" w:rsidRPr="00A33B9F" w:rsidRDefault="009F5628" w:rsidP="00077846">
      <w:pPr>
        <w:spacing w:line="240" w:lineRule="auto"/>
        <w:jc w:val="both"/>
        <w:rPr>
          <w:rFonts w:ascii="Times New Roman" w:hAnsi="Times New Roman"/>
          <w:noProof/>
          <w:sz w:val="24"/>
          <w:szCs w:val="24"/>
        </w:rPr>
      </w:pPr>
    </w:p>
    <w:p w14:paraId="033A29E3" w14:textId="0743B9E9" w:rsidR="00CE3AE2" w:rsidRPr="00A33B9F" w:rsidRDefault="00A011A7" w:rsidP="00077846">
      <w:pPr>
        <w:spacing w:line="240" w:lineRule="auto"/>
        <w:jc w:val="both"/>
        <w:rPr>
          <w:rFonts w:ascii="Times New Roman" w:hAnsi="Times New Roman"/>
          <w:noProof/>
        </w:rPr>
      </w:pPr>
      <w:r w:rsidRPr="00A33B9F">
        <w:rPr>
          <w:rFonts w:ascii="Times New Roman" w:hAnsi="Times New Roman"/>
          <w:b/>
          <w:noProof/>
          <w:sz w:val="24"/>
          <w:u w:val="single"/>
        </w:rPr>
        <w:t>F1.2 Reforma mająca na celu poprawę sytuacji sędziów, których dotyczą uchwały Izby Dyscyplinarnej polskiego Sądu Najwyższego</w:t>
      </w:r>
      <w:r w:rsidR="00A33B9F" w:rsidRPr="00A33B9F">
        <w:rPr>
          <w:rFonts w:ascii="Times New Roman" w:hAnsi="Times New Roman"/>
          <w:b/>
          <w:noProof/>
          <w:sz w:val="24"/>
          <w:u w:val="single"/>
        </w:rPr>
        <w:t xml:space="preserve"> w spr</w:t>
      </w:r>
      <w:r w:rsidRPr="00A33B9F">
        <w:rPr>
          <w:rFonts w:ascii="Times New Roman" w:hAnsi="Times New Roman"/>
          <w:b/>
          <w:noProof/>
          <w:sz w:val="24"/>
          <w:u w:val="single"/>
        </w:rPr>
        <w:t>awach dyscyplinarnych</w:t>
      </w:r>
      <w:r w:rsidR="00A33B9F" w:rsidRPr="00A33B9F">
        <w:rPr>
          <w:rFonts w:ascii="Times New Roman" w:hAnsi="Times New Roman"/>
          <w:b/>
          <w:noProof/>
          <w:sz w:val="24"/>
          <w:u w:val="single"/>
        </w:rPr>
        <w:t xml:space="preserve"> i dot</w:t>
      </w:r>
      <w:r w:rsidRPr="00A33B9F">
        <w:rPr>
          <w:rFonts w:ascii="Times New Roman" w:hAnsi="Times New Roman"/>
          <w:b/>
          <w:noProof/>
          <w:sz w:val="24"/>
          <w:u w:val="single"/>
        </w:rPr>
        <w:t>yczących immunitetu sędziowskiego</w:t>
      </w:r>
    </w:p>
    <w:p w14:paraId="6965A8DA" w14:textId="254D76D5" w:rsidR="0A9E5173" w:rsidRPr="00A33B9F" w:rsidRDefault="0EEEA4BD" w:rsidP="00077846">
      <w:pPr>
        <w:spacing w:line="240" w:lineRule="auto"/>
        <w:jc w:val="both"/>
        <w:rPr>
          <w:rFonts w:ascii="Times New Roman" w:hAnsi="Times New Roman"/>
          <w:noProof/>
          <w:sz w:val="24"/>
          <w:szCs w:val="24"/>
        </w:rPr>
      </w:pPr>
      <w:r w:rsidRPr="00A33B9F">
        <w:rPr>
          <w:rFonts w:ascii="Times New Roman" w:hAnsi="Times New Roman"/>
          <w:noProof/>
          <w:sz w:val="24"/>
        </w:rPr>
        <w:t>Reforma ma zapewnić sędziom, których dotyczą decyzje Izby Dyscyplinarnej Sądu Najwyższego, dostęp do ponownego rozpoznania ich spraw. Takie sprawy już rozstrzygnięte przez Izbę Dyscyplinarną podlegają rozpatrzeniu przez sąd spełniający wymogi art.</w:t>
      </w:r>
      <w:r w:rsidR="00A33B9F" w:rsidRPr="00A33B9F">
        <w:rPr>
          <w:rFonts w:ascii="Times New Roman" w:hAnsi="Times New Roman"/>
          <w:noProof/>
          <w:sz w:val="24"/>
        </w:rPr>
        <w:t> </w:t>
      </w:r>
      <w:r w:rsidRPr="00A33B9F">
        <w:rPr>
          <w:rFonts w:ascii="Times New Roman" w:hAnsi="Times New Roman"/>
          <w:noProof/>
          <w:sz w:val="24"/>
        </w:rPr>
        <w:t>19 ust.</w:t>
      </w:r>
      <w:r w:rsidR="00A33B9F" w:rsidRPr="00A33B9F">
        <w:rPr>
          <w:rFonts w:ascii="Times New Roman" w:hAnsi="Times New Roman"/>
          <w:noProof/>
          <w:sz w:val="24"/>
        </w:rPr>
        <w:t> </w:t>
      </w:r>
      <w:r w:rsidRPr="00A33B9F">
        <w:rPr>
          <w:rFonts w:ascii="Times New Roman" w:hAnsi="Times New Roman"/>
          <w:noProof/>
          <w:sz w:val="24"/>
        </w:rPr>
        <w:t>1 Traktatu UE zgodnie</w:t>
      </w:r>
      <w:r w:rsidR="00A33B9F" w:rsidRPr="00A33B9F">
        <w:rPr>
          <w:rFonts w:ascii="Times New Roman" w:hAnsi="Times New Roman"/>
          <w:noProof/>
          <w:sz w:val="24"/>
        </w:rPr>
        <w:t xml:space="preserve"> z prz</w:t>
      </w:r>
      <w:r w:rsidRPr="00A33B9F">
        <w:rPr>
          <w:rFonts w:ascii="Times New Roman" w:hAnsi="Times New Roman"/>
          <w:noProof/>
          <w:sz w:val="24"/>
        </w:rPr>
        <w:t>episami, które zostaną przyjęte na podstawie powyższej reformy. Akt ustawodawczy stanowi, że pierwsza rozprawa sądu orzekającego</w:t>
      </w:r>
      <w:r w:rsidR="00A33B9F" w:rsidRPr="00A33B9F">
        <w:rPr>
          <w:rFonts w:ascii="Times New Roman" w:hAnsi="Times New Roman"/>
          <w:noProof/>
          <w:sz w:val="24"/>
        </w:rPr>
        <w:t xml:space="preserve"> w tyc</w:t>
      </w:r>
      <w:r w:rsidRPr="00A33B9F">
        <w:rPr>
          <w:rFonts w:ascii="Times New Roman" w:hAnsi="Times New Roman"/>
          <w:noProof/>
          <w:sz w:val="24"/>
        </w:rPr>
        <w:t>h sprawach odbywa się</w:t>
      </w:r>
      <w:r w:rsidR="00A33B9F" w:rsidRPr="00A33B9F">
        <w:rPr>
          <w:rFonts w:ascii="Times New Roman" w:hAnsi="Times New Roman"/>
          <w:noProof/>
          <w:sz w:val="24"/>
        </w:rPr>
        <w:t xml:space="preserve"> w ter</w:t>
      </w:r>
      <w:r w:rsidRPr="00A33B9F">
        <w:rPr>
          <w:rFonts w:ascii="Times New Roman" w:hAnsi="Times New Roman"/>
          <w:noProof/>
          <w:sz w:val="24"/>
        </w:rPr>
        <w:t>minie trzech miesięcy od otrzymania wniosku sędziego</w:t>
      </w:r>
      <w:r w:rsidR="00A33B9F" w:rsidRPr="00A33B9F">
        <w:rPr>
          <w:rFonts w:ascii="Times New Roman" w:hAnsi="Times New Roman"/>
          <w:noProof/>
          <w:sz w:val="24"/>
        </w:rPr>
        <w:t xml:space="preserve"> o pon</w:t>
      </w:r>
      <w:r w:rsidRPr="00A33B9F">
        <w:rPr>
          <w:rFonts w:ascii="Times New Roman" w:hAnsi="Times New Roman"/>
          <w:noProof/>
          <w:sz w:val="24"/>
        </w:rPr>
        <w:t>owne rozpoznanie,</w:t>
      </w:r>
      <w:r w:rsidR="00A33B9F" w:rsidRPr="00A33B9F">
        <w:rPr>
          <w:rFonts w:ascii="Times New Roman" w:hAnsi="Times New Roman"/>
          <w:noProof/>
          <w:sz w:val="24"/>
        </w:rPr>
        <w:t xml:space="preserve"> a spr</w:t>
      </w:r>
      <w:r w:rsidRPr="00A33B9F">
        <w:rPr>
          <w:rFonts w:ascii="Times New Roman" w:hAnsi="Times New Roman"/>
          <w:noProof/>
          <w:sz w:val="24"/>
        </w:rPr>
        <w:t>awy rozstrzyga się</w:t>
      </w:r>
      <w:r w:rsidR="00A33B9F" w:rsidRPr="00A33B9F">
        <w:rPr>
          <w:rFonts w:ascii="Times New Roman" w:hAnsi="Times New Roman"/>
          <w:noProof/>
          <w:sz w:val="24"/>
        </w:rPr>
        <w:t xml:space="preserve"> w ter</w:t>
      </w:r>
      <w:r w:rsidRPr="00A33B9F">
        <w:rPr>
          <w:rFonts w:ascii="Times New Roman" w:hAnsi="Times New Roman"/>
          <w:noProof/>
          <w:sz w:val="24"/>
        </w:rPr>
        <w:t>minie dwunastu miesięcy od otrzymania takiego wniosku. Sprawy, które obecnie nadal są rozpatrywane przez Izbę Dyscyplinarną, zostaną przekazane do dalszego rozpoznania sądowi, zgodnie</w:t>
      </w:r>
      <w:r w:rsidR="00A33B9F" w:rsidRPr="00A33B9F">
        <w:rPr>
          <w:rFonts w:ascii="Times New Roman" w:hAnsi="Times New Roman"/>
          <w:noProof/>
          <w:sz w:val="24"/>
        </w:rPr>
        <w:t xml:space="preserve"> z zas</w:t>
      </w:r>
      <w:r w:rsidRPr="00A33B9F">
        <w:rPr>
          <w:rFonts w:ascii="Times New Roman" w:hAnsi="Times New Roman"/>
          <w:noProof/>
          <w:sz w:val="24"/>
        </w:rPr>
        <w:t>adami określonymi</w:t>
      </w:r>
      <w:r w:rsidR="00A33B9F" w:rsidRPr="00A33B9F">
        <w:rPr>
          <w:rFonts w:ascii="Times New Roman" w:hAnsi="Times New Roman"/>
          <w:noProof/>
          <w:sz w:val="24"/>
        </w:rPr>
        <w:t xml:space="preserve"> w ram</w:t>
      </w:r>
      <w:r w:rsidRPr="00A33B9F">
        <w:rPr>
          <w:rFonts w:ascii="Times New Roman" w:hAnsi="Times New Roman"/>
          <w:noProof/>
          <w:sz w:val="24"/>
        </w:rPr>
        <w:t>ach wyżej wymienionego postępowania.</w:t>
      </w:r>
    </w:p>
    <w:p w14:paraId="7C0BA6A9" w14:textId="0016F065" w:rsidR="0A9E5173" w:rsidRPr="00A33B9F" w:rsidRDefault="0EEEA4BD" w:rsidP="00077846">
      <w:pPr>
        <w:spacing w:line="240" w:lineRule="auto"/>
        <w:jc w:val="both"/>
        <w:rPr>
          <w:rFonts w:ascii="Times New Roman" w:hAnsi="Times New Roman"/>
          <w:noProof/>
          <w:sz w:val="24"/>
          <w:szCs w:val="24"/>
        </w:rPr>
      </w:pPr>
      <w:r w:rsidRPr="00A33B9F">
        <w:rPr>
          <w:rFonts w:ascii="Times New Roman" w:hAnsi="Times New Roman"/>
          <w:noProof/>
          <w:sz w:val="24"/>
        </w:rPr>
        <w:t>Reforma wejdzie</w:t>
      </w:r>
      <w:r w:rsidR="00A33B9F" w:rsidRPr="00A33B9F">
        <w:rPr>
          <w:rFonts w:ascii="Times New Roman" w:hAnsi="Times New Roman"/>
          <w:noProof/>
          <w:sz w:val="24"/>
        </w:rPr>
        <w:t xml:space="preserve"> w życ</w:t>
      </w:r>
      <w:r w:rsidRPr="00A33B9F">
        <w:rPr>
          <w:rFonts w:ascii="Times New Roman" w:hAnsi="Times New Roman"/>
          <w:noProof/>
          <w:sz w:val="24"/>
        </w:rPr>
        <w:t>ie do końca drugiego kwartału 2022</w:t>
      </w:r>
      <w:r w:rsidR="00A33B9F" w:rsidRPr="00A33B9F">
        <w:rPr>
          <w:rFonts w:ascii="Times New Roman" w:hAnsi="Times New Roman"/>
          <w:noProof/>
          <w:sz w:val="24"/>
        </w:rPr>
        <w:t> </w:t>
      </w:r>
      <w:r w:rsidRPr="00A33B9F">
        <w:rPr>
          <w:rFonts w:ascii="Times New Roman" w:hAnsi="Times New Roman"/>
          <w:noProof/>
          <w:sz w:val="24"/>
        </w:rPr>
        <w:t>r.</w:t>
      </w:r>
    </w:p>
    <w:p w14:paraId="66058EB7" w14:textId="727584EB" w:rsidR="00CE3AE2" w:rsidRPr="00A33B9F" w:rsidRDefault="00CE3AE2" w:rsidP="00077846">
      <w:pPr>
        <w:spacing w:line="240" w:lineRule="auto"/>
        <w:jc w:val="both"/>
        <w:rPr>
          <w:rFonts w:ascii="Times New Roman" w:hAnsi="Times New Roman"/>
          <w:bCs/>
          <w:noProof/>
          <w:sz w:val="24"/>
          <w:szCs w:val="24"/>
        </w:rPr>
      </w:pPr>
      <w:r w:rsidRPr="00A33B9F">
        <w:rPr>
          <w:rFonts w:ascii="Times New Roman" w:hAnsi="Times New Roman"/>
          <w:noProof/>
          <w:sz w:val="24"/>
        </w:rPr>
        <w:t>Obie wyżej wymienione reformy, których termin zakończenia przypada na II kw.</w:t>
      </w:r>
      <w:r w:rsidR="00A33B9F" w:rsidRPr="00A33B9F">
        <w:rPr>
          <w:rFonts w:ascii="Times New Roman" w:hAnsi="Times New Roman"/>
          <w:noProof/>
          <w:sz w:val="24"/>
        </w:rPr>
        <w:t> </w:t>
      </w:r>
      <w:r w:rsidRPr="00A33B9F">
        <w:rPr>
          <w:rFonts w:ascii="Times New Roman" w:hAnsi="Times New Roman"/>
          <w:noProof/>
          <w:sz w:val="24"/>
        </w:rPr>
        <w:t>2022</w:t>
      </w:r>
      <w:r w:rsidR="00A33B9F" w:rsidRPr="00A33B9F">
        <w:rPr>
          <w:rFonts w:ascii="Times New Roman" w:hAnsi="Times New Roman"/>
          <w:noProof/>
          <w:sz w:val="24"/>
        </w:rPr>
        <w:t> </w:t>
      </w:r>
      <w:r w:rsidRPr="00A33B9F">
        <w:rPr>
          <w:rFonts w:ascii="Times New Roman" w:hAnsi="Times New Roman"/>
          <w:noProof/>
          <w:sz w:val="24"/>
        </w:rPr>
        <w:t>r., muszą zostać zrealizowane przed przedłożeniem Komisji pierwszego wniosku</w:t>
      </w:r>
      <w:r w:rsidR="00A33B9F" w:rsidRPr="00A33B9F">
        <w:rPr>
          <w:rFonts w:ascii="Times New Roman" w:hAnsi="Times New Roman"/>
          <w:noProof/>
          <w:sz w:val="24"/>
        </w:rPr>
        <w:t xml:space="preserve"> o pła</w:t>
      </w:r>
      <w:r w:rsidRPr="00A33B9F">
        <w:rPr>
          <w:rFonts w:ascii="Times New Roman" w:hAnsi="Times New Roman"/>
          <w:noProof/>
          <w:sz w:val="24"/>
        </w:rPr>
        <w:t>tność</w:t>
      </w:r>
      <w:r w:rsidR="00A33B9F" w:rsidRPr="00A33B9F">
        <w:rPr>
          <w:rFonts w:ascii="Times New Roman" w:hAnsi="Times New Roman"/>
          <w:noProof/>
          <w:sz w:val="24"/>
        </w:rPr>
        <w:t xml:space="preserve"> i sta</w:t>
      </w:r>
      <w:r w:rsidRPr="00A33B9F">
        <w:rPr>
          <w:rFonts w:ascii="Times New Roman" w:hAnsi="Times New Roman"/>
          <w:noProof/>
          <w:sz w:val="24"/>
        </w:rPr>
        <w:t>nowią warunek wstępny każdej płatności na podstawie art.</w:t>
      </w:r>
      <w:r w:rsidR="00A33B9F" w:rsidRPr="00A33B9F">
        <w:rPr>
          <w:rFonts w:ascii="Times New Roman" w:hAnsi="Times New Roman"/>
          <w:noProof/>
          <w:sz w:val="24"/>
        </w:rPr>
        <w:t> </w:t>
      </w:r>
      <w:r w:rsidRPr="00A33B9F">
        <w:rPr>
          <w:rFonts w:ascii="Times New Roman" w:hAnsi="Times New Roman"/>
          <w:noProof/>
          <w:sz w:val="24"/>
        </w:rPr>
        <w:t>24 rozporządzenia</w:t>
      </w:r>
      <w:r w:rsidR="00A33B9F" w:rsidRPr="00A33B9F">
        <w:rPr>
          <w:rFonts w:ascii="Times New Roman" w:hAnsi="Times New Roman"/>
          <w:noProof/>
          <w:sz w:val="24"/>
        </w:rPr>
        <w:t xml:space="preserve"> w spr</w:t>
      </w:r>
      <w:r w:rsidRPr="00A33B9F">
        <w:rPr>
          <w:rFonts w:ascii="Times New Roman" w:hAnsi="Times New Roman"/>
          <w:noProof/>
          <w:sz w:val="24"/>
        </w:rPr>
        <w:t>awie RRF.</w:t>
      </w:r>
    </w:p>
    <w:p w14:paraId="7A42FA93" w14:textId="77777777" w:rsidR="00A011A7" w:rsidRPr="00A33B9F" w:rsidRDefault="00A011A7" w:rsidP="00077846">
      <w:pPr>
        <w:spacing w:line="240" w:lineRule="auto"/>
        <w:jc w:val="both"/>
        <w:rPr>
          <w:rFonts w:ascii="Times New Roman" w:hAnsi="Times New Roman"/>
          <w:bCs/>
          <w:noProof/>
          <w:sz w:val="24"/>
          <w:szCs w:val="24"/>
        </w:rPr>
      </w:pPr>
    </w:p>
    <w:p w14:paraId="7E40DCEA" w14:textId="77777777" w:rsidR="33F4C1E2" w:rsidRPr="00A33B9F" w:rsidRDefault="00CE3AE2">
      <w:pPr>
        <w:pStyle w:val="Normal0"/>
        <w:spacing w:before="120" w:after="120" w:line="240" w:lineRule="auto"/>
        <w:jc w:val="both"/>
        <w:rPr>
          <w:rFonts w:ascii="Times New Roman" w:eastAsia="Times New Roman" w:hAnsi="Times New Roman" w:cs="Times New Roman"/>
          <w:b/>
          <w:bCs/>
          <w:noProof/>
          <w:sz w:val="24"/>
          <w:szCs w:val="24"/>
          <w:u w:val="single"/>
        </w:rPr>
      </w:pPr>
      <w:r w:rsidRPr="00A33B9F">
        <w:rPr>
          <w:rFonts w:ascii="Times New Roman" w:hAnsi="Times New Roman"/>
          <w:b/>
          <w:noProof/>
          <w:sz w:val="24"/>
          <w:u w:val="single"/>
        </w:rPr>
        <w:t>F2.1 Usprawnienie procesu stanowienia prawa</w:t>
      </w:r>
    </w:p>
    <w:p w14:paraId="1968066E" w14:textId="1DDE904C" w:rsidR="5720E0F0" w:rsidRPr="00A33B9F" w:rsidRDefault="5720E0F0">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Celem reformy jest przyjęcie zmiany Regulaminu Sejmu, Senatu</w:t>
      </w:r>
      <w:r w:rsidR="00A33B9F" w:rsidRPr="00A33B9F">
        <w:rPr>
          <w:rFonts w:ascii="Times New Roman" w:hAnsi="Times New Roman"/>
          <w:noProof/>
          <w:color w:val="000000" w:themeColor="text1"/>
          <w:sz w:val="24"/>
        </w:rPr>
        <w:t xml:space="preserve"> i Rad</w:t>
      </w:r>
      <w:r w:rsidRPr="00A33B9F">
        <w:rPr>
          <w:rFonts w:ascii="Times New Roman" w:hAnsi="Times New Roman"/>
          <w:noProof/>
          <w:color w:val="000000" w:themeColor="text1"/>
          <w:sz w:val="24"/>
        </w:rPr>
        <w:t>y Ministrów, którą to zmianą wprowadza się obowiązkową ocenę skutków</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sultacje publiczne</w:t>
      </w:r>
      <w:r w:rsidR="00A33B9F" w:rsidRPr="00A33B9F">
        <w:rPr>
          <w:rFonts w:ascii="Times New Roman" w:hAnsi="Times New Roman"/>
          <w:noProof/>
          <w:color w:val="000000" w:themeColor="text1"/>
          <w:sz w:val="24"/>
        </w:rPr>
        <w:t xml:space="preserve"> w odn</w:t>
      </w:r>
      <w:r w:rsidRPr="00A33B9F">
        <w:rPr>
          <w:rFonts w:ascii="Times New Roman" w:hAnsi="Times New Roman"/>
          <w:noProof/>
          <w:color w:val="000000" w:themeColor="text1"/>
          <w:sz w:val="24"/>
        </w:rPr>
        <w:t>iesieniu do projektów ustaw proponowanych przez posłów</w:t>
      </w:r>
      <w:r w:rsidR="00A33B9F" w:rsidRPr="00A33B9F">
        <w:rPr>
          <w:rFonts w:ascii="Times New Roman" w:hAnsi="Times New Roman"/>
          <w:noProof/>
          <w:color w:val="000000" w:themeColor="text1"/>
          <w:sz w:val="24"/>
        </w:rPr>
        <w:t xml:space="preserve"> i sen</w:t>
      </w:r>
      <w:r w:rsidRPr="00A33B9F">
        <w:rPr>
          <w:rFonts w:ascii="Times New Roman" w:hAnsi="Times New Roman"/>
          <w:noProof/>
          <w:color w:val="000000" w:themeColor="text1"/>
          <w:sz w:val="24"/>
        </w:rPr>
        <w:t>atorów. Reforma obejmie również ograniczenie stosowania przyspieszonych procedur do ściśle określonych</w:t>
      </w:r>
      <w:r w:rsidR="00A33B9F" w:rsidRPr="00A33B9F">
        <w:rPr>
          <w:rFonts w:ascii="Times New Roman" w:hAnsi="Times New Roman"/>
          <w:noProof/>
          <w:color w:val="000000" w:themeColor="text1"/>
          <w:sz w:val="24"/>
        </w:rPr>
        <w:t xml:space="preserve"> i wyj</w:t>
      </w:r>
      <w:r w:rsidRPr="00A33B9F">
        <w:rPr>
          <w:rFonts w:ascii="Times New Roman" w:hAnsi="Times New Roman"/>
          <w:noProof/>
          <w:color w:val="000000" w:themeColor="text1"/>
          <w:sz w:val="24"/>
        </w:rPr>
        <w:t>ątkowych przypadków.</w:t>
      </w:r>
    </w:p>
    <w:p w14:paraId="46CB6288" w14:textId="4A86DBD5" w:rsidR="5720E0F0" w:rsidRPr="00A33B9F" w:rsidRDefault="5720E0F0">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Realizacja reformy zostanie zakończona do dnia 30 września 2022</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r.</w:t>
      </w:r>
    </w:p>
    <w:p w14:paraId="038FDA92" w14:textId="77777777" w:rsidR="36094D84" w:rsidRPr="00A33B9F" w:rsidRDefault="36094D84" w:rsidP="00702C4F">
      <w:pPr>
        <w:pStyle w:val="Normal0"/>
        <w:spacing w:before="120" w:after="120" w:line="240" w:lineRule="auto"/>
        <w:jc w:val="both"/>
        <w:rPr>
          <w:rFonts w:ascii="Times New Roman" w:eastAsia="Times New Roman" w:hAnsi="Times New Roman" w:cs="Times New Roman"/>
          <w:noProof/>
          <w:color w:val="000000" w:themeColor="text1"/>
          <w:sz w:val="24"/>
          <w:szCs w:val="24"/>
        </w:rPr>
      </w:pPr>
    </w:p>
    <w:p w14:paraId="40C0BA60" w14:textId="77777777" w:rsidR="5720E0F0" w:rsidRPr="00A33B9F" w:rsidRDefault="00CE3AE2" w:rsidP="00702C4F">
      <w:pPr>
        <w:pStyle w:val="Normal0"/>
        <w:spacing w:before="120" w:after="120" w:line="240" w:lineRule="auto"/>
        <w:jc w:val="both"/>
        <w:rPr>
          <w:rFonts w:ascii="Times New Roman" w:eastAsia="Times New Roman" w:hAnsi="Times New Roman" w:cs="Times New Roman"/>
          <w:b/>
          <w:bCs/>
          <w:noProof/>
          <w:color w:val="000000" w:themeColor="text1"/>
          <w:sz w:val="24"/>
          <w:szCs w:val="24"/>
        </w:rPr>
      </w:pPr>
      <w:r w:rsidRPr="00A33B9F">
        <w:rPr>
          <w:rFonts w:ascii="Times New Roman" w:hAnsi="Times New Roman"/>
          <w:b/>
          <w:noProof/>
          <w:color w:val="000000" w:themeColor="text1"/>
          <w:sz w:val="24"/>
          <w:u w:val="single"/>
        </w:rPr>
        <w:t>F3.1 Poprawa warunków realizacji KPO</w:t>
      </w:r>
      <w:r w:rsidRPr="00A33B9F">
        <w:rPr>
          <w:rFonts w:ascii="Times New Roman" w:hAnsi="Times New Roman"/>
          <w:noProof/>
          <w:color w:val="000000" w:themeColor="text1"/>
          <w:sz w:val="24"/>
        </w:rPr>
        <w:t xml:space="preserve"> </w:t>
      </w:r>
    </w:p>
    <w:p w14:paraId="3CBADC94" w14:textId="60820705" w:rsidR="5720E0F0" w:rsidRPr="00A33B9F" w:rsidRDefault="5720E0F0" w:rsidP="00702C4F">
      <w:pPr>
        <w:pStyle w:val="Normal0"/>
        <w:spacing w:before="120" w:after="120" w:line="240" w:lineRule="auto"/>
        <w:jc w:val="both"/>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W celu zapewnienia odpowiednich konsultacji</w:t>
      </w:r>
      <w:r w:rsidR="00A33B9F" w:rsidRPr="00A33B9F">
        <w:rPr>
          <w:rFonts w:ascii="Times New Roman" w:hAnsi="Times New Roman"/>
          <w:noProof/>
          <w:color w:val="000000" w:themeColor="text1"/>
          <w:sz w:val="24"/>
        </w:rPr>
        <w:t xml:space="preserve"> z par</w:t>
      </w:r>
      <w:r w:rsidRPr="00A33B9F">
        <w:rPr>
          <w:rFonts w:ascii="Times New Roman" w:hAnsi="Times New Roman"/>
          <w:noProof/>
          <w:color w:val="000000" w:themeColor="text1"/>
          <w:sz w:val="24"/>
        </w:rPr>
        <w:t>tnerami społecznymi</w:t>
      </w:r>
      <w:r w:rsidR="00A33B9F" w:rsidRPr="00A33B9F">
        <w:rPr>
          <w:rFonts w:ascii="Times New Roman" w:hAnsi="Times New Roman"/>
          <w:noProof/>
          <w:color w:val="000000" w:themeColor="text1"/>
          <w:sz w:val="24"/>
        </w:rPr>
        <w:t xml:space="preserve"> i zai</w:t>
      </w:r>
      <w:r w:rsidRPr="00A33B9F">
        <w:rPr>
          <w:rFonts w:ascii="Times New Roman" w:hAnsi="Times New Roman"/>
          <w:noProof/>
          <w:color w:val="000000" w:themeColor="text1"/>
          <w:sz w:val="24"/>
        </w:rPr>
        <w:t>nteresowanymi stronami zaangażowanymi</w:t>
      </w:r>
      <w:r w:rsidR="00A33B9F" w:rsidRPr="00A33B9F">
        <w:rPr>
          <w:rFonts w:ascii="Times New Roman" w:hAnsi="Times New Roman"/>
          <w:noProof/>
          <w:color w:val="000000" w:themeColor="text1"/>
          <w:sz w:val="24"/>
        </w:rPr>
        <w:t xml:space="preserve"> w rea</w:t>
      </w:r>
      <w:r w:rsidRPr="00A33B9F">
        <w:rPr>
          <w:rFonts w:ascii="Times New Roman" w:hAnsi="Times New Roman"/>
          <w:noProof/>
          <w:color w:val="000000" w:themeColor="text1"/>
          <w:sz w:val="24"/>
        </w:rPr>
        <w:t>lizację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reforma obejmuje wejście</w:t>
      </w:r>
      <w:r w:rsidR="00A33B9F" w:rsidRPr="00A33B9F">
        <w:rPr>
          <w:rFonts w:ascii="Times New Roman" w:hAnsi="Times New Roman"/>
          <w:noProof/>
          <w:color w:val="000000" w:themeColor="text1"/>
          <w:sz w:val="24"/>
        </w:rPr>
        <w:t xml:space="preserve"> w życ</w:t>
      </w:r>
      <w:r w:rsidRPr="00A33B9F">
        <w:rPr>
          <w:rFonts w:ascii="Times New Roman" w:hAnsi="Times New Roman"/>
          <w:noProof/>
          <w:color w:val="000000" w:themeColor="text1"/>
          <w:sz w:val="24"/>
        </w:rPr>
        <w:t>ie aktu ustawodawczego powołującego komitet monitorujący składający się</w:t>
      </w:r>
      <w:r w:rsidR="00A33B9F" w:rsidRPr="00A33B9F">
        <w:rPr>
          <w:rFonts w:ascii="Times New Roman" w:hAnsi="Times New Roman"/>
          <w:noProof/>
          <w:color w:val="000000" w:themeColor="text1"/>
          <w:sz w:val="24"/>
        </w:rPr>
        <w:t xml:space="preserve"> z głó</w:t>
      </w:r>
      <w:r w:rsidRPr="00A33B9F">
        <w:rPr>
          <w:rFonts w:ascii="Times New Roman" w:hAnsi="Times New Roman"/>
          <w:noProof/>
          <w:color w:val="000000" w:themeColor="text1"/>
          <w:sz w:val="24"/>
        </w:rPr>
        <w:t>wnych zainteresowanych stron</w:t>
      </w:r>
      <w:r w:rsidR="00A33B9F" w:rsidRPr="00A33B9F">
        <w:rPr>
          <w:rFonts w:ascii="Times New Roman" w:hAnsi="Times New Roman"/>
          <w:noProof/>
          <w:color w:val="000000" w:themeColor="text1"/>
          <w:sz w:val="24"/>
        </w:rPr>
        <w:t xml:space="preserve"> i par</w:t>
      </w:r>
      <w:r w:rsidRPr="00A33B9F">
        <w:rPr>
          <w:rFonts w:ascii="Times New Roman" w:hAnsi="Times New Roman"/>
          <w:noProof/>
          <w:color w:val="000000" w:themeColor="text1"/>
          <w:sz w:val="24"/>
        </w:rPr>
        <w:t>tnerów społecznych zaangażowanych</w:t>
      </w:r>
      <w:r w:rsidR="00A33B9F" w:rsidRPr="00A33B9F">
        <w:rPr>
          <w:rFonts w:ascii="Times New Roman" w:hAnsi="Times New Roman"/>
          <w:noProof/>
          <w:color w:val="000000" w:themeColor="text1"/>
          <w:sz w:val="24"/>
        </w:rPr>
        <w:t xml:space="preserve"> w rea</w:t>
      </w:r>
      <w:r w:rsidRPr="00A33B9F">
        <w:rPr>
          <w:rFonts w:ascii="Times New Roman" w:hAnsi="Times New Roman"/>
          <w:noProof/>
          <w:color w:val="000000" w:themeColor="text1"/>
          <w:sz w:val="24"/>
        </w:rPr>
        <w:t>lizację tego planu. Zadaniem komitetu monitorującego będzie nadzorowanie skutecznej realizacji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Akt ustawodawczy zawierać będzie przepis wprowadzający wymóg prawny konsultowania się</w:t>
      </w:r>
      <w:r w:rsidR="00A33B9F" w:rsidRPr="00A33B9F">
        <w:rPr>
          <w:rFonts w:ascii="Times New Roman" w:hAnsi="Times New Roman"/>
          <w:noProof/>
          <w:color w:val="000000" w:themeColor="text1"/>
          <w:sz w:val="24"/>
        </w:rPr>
        <w:t xml:space="preserve"> z kom</w:t>
      </w:r>
      <w:r w:rsidRPr="00A33B9F">
        <w:rPr>
          <w:rFonts w:ascii="Times New Roman" w:hAnsi="Times New Roman"/>
          <w:noProof/>
          <w:color w:val="000000" w:themeColor="text1"/>
          <w:sz w:val="24"/>
        </w:rPr>
        <w:t>itetem monitorującym podczas realizacji planu odbudowy</w:t>
      </w:r>
      <w:r w:rsidR="00A33B9F" w:rsidRPr="00A33B9F">
        <w:rPr>
          <w:rFonts w:ascii="Times New Roman" w:hAnsi="Times New Roman"/>
          <w:noProof/>
          <w:color w:val="000000" w:themeColor="text1"/>
          <w:sz w:val="24"/>
        </w:rPr>
        <w:t xml:space="preserve"> i zwi</w:t>
      </w:r>
      <w:r w:rsidRPr="00A33B9F">
        <w:rPr>
          <w:rFonts w:ascii="Times New Roman" w:hAnsi="Times New Roman"/>
          <w:noProof/>
          <w:color w:val="000000" w:themeColor="text1"/>
          <w:sz w:val="24"/>
        </w:rPr>
        <w:t>ększania odporności. Reforma obejmie również przyjęcie wytycznych ustanawiających zasady udziału zainteresowanych stron</w:t>
      </w:r>
      <w:r w:rsidR="00A33B9F" w:rsidRPr="00A33B9F">
        <w:rPr>
          <w:rFonts w:ascii="Times New Roman" w:hAnsi="Times New Roman"/>
          <w:noProof/>
          <w:color w:val="000000" w:themeColor="text1"/>
          <w:sz w:val="24"/>
        </w:rPr>
        <w:t xml:space="preserve"> i par</w:t>
      </w:r>
      <w:r w:rsidRPr="00A33B9F">
        <w:rPr>
          <w:rFonts w:ascii="Times New Roman" w:hAnsi="Times New Roman"/>
          <w:noProof/>
          <w:color w:val="000000" w:themeColor="text1"/>
          <w:sz w:val="24"/>
        </w:rPr>
        <w:t>tnerów społecznych</w:t>
      </w:r>
      <w:r w:rsidR="00A33B9F" w:rsidRPr="00A33B9F">
        <w:rPr>
          <w:rFonts w:ascii="Times New Roman" w:hAnsi="Times New Roman"/>
          <w:noProof/>
          <w:color w:val="000000" w:themeColor="text1"/>
          <w:sz w:val="24"/>
        </w:rPr>
        <w:t xml:space="preserve"> w pro</w:t>
      </w:r>
      <w:r w:rsidRPr="00A33B9F">
        <w:rPr>
          <w:rFonts w:ascii="Times New Roman" w:hAnsi="Times New Roman"/>
          <w:noProof/>
          <w:color w:val="000000" w:themeColor="text1"/>
          <w:sz w:val="24"/>
        </w:rPr>
        <w:t>gramowaniu, realizacji, monitorowaniu</w:t>
      </w:r>
      <w:r w:rsidR="00A33B9F" w:rsidRPr="00A33B9F">
        <w:rPr>
          <w:rFonts w:ascii="Times New Roman" w:hAnsi="Times New Roman"/>
          <w:noProof/>
          <w:color w:val="000000" w:themeColor="text1"/>
          <w:sz w:val="24"/>
        </w:rPr>
        <w:t xml:space="preserve"> i oce</w:t>
      </w:r>
      <w:r w:rsidRPr="00A33B9F">
        <w:rPr>
          <w:rFonts w:ascii="Times New Roman" w:hAnsi="Times New Roman"/>
          <w:noProof/>
          <w:color w:val="000000" w:themeColor="text1"/>
          <w:sz w:val="24"/>
        </w:rPr>
        <w:t>nie KPO.</w:t>
      </w:r>
    </w:p>
    <w:p w14:paraId="2D163FC6" w14:textId="5CD48650" w:rsidR="56E78910" w:rsidRPr="00A33B9F" w:rsidRDefault="7AFF55AF" w:rsidP="56E78910">
      <w:pPr>
        <w:spacing w:line="240" w:lineRule="auto"/>
        <w:jc w:val="both"/>
        <w:rPr>
          <w:rFonts w:ascii="Times New Roman" w:hAnsi="Times New Roman"/>
          <w:noProof/>
          <w:sz w:val="24"/>
          <w:szCs w:val="24"/>
        </w:rPr>
      </w:pPr>
      <w:r w:rsidRPr="00A33B9F">
        <w:rPr>
          <w:rFonts w:ascii="Times New Roman" w:hAnsi="Times New Roman"/>
          <w:noProof/>
          <w:color w:val="000000" w:themeColor="text1"/>
          <w:sz w:val="24"/>
        </w:rPr>
        <w:t>Ponadto reforma obejmie wprowadzenie systemu repozytorium zgodnie</w:t>
      </w:r>
      <w:r w:rsidR="00A33B9F" w:rsidRPr="00A33B9F">
        <w:rPr>
          <w:rFonts w:ascii="Times New Roman" w:hAnsi="Times New Roman"/>
          <w:noProof/>
          <w:color w:val="000000" w:themeColor="text1"/>
          <w:sz w:val="24"/>
        </w:rPr>
        <w:t xml:space="preserve"> z art</w:t>
      </w:r>
      <w:r w:rsidRPr="00A33B9F">
        <w:rPr>
          <w:rFonts w:ascii="Times New Roman" w:hAnsi="Times New Roman"/>
          <w:noProof/>
          <w:color w:val="000000" w:themeColor="text1"/>
          <w:sz w:val="24"/>
        </w:rPr>
        <w: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22 ust.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 lit.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d) rozporządzenia (UE) 2021/241, aby umożliwić gromadzenie, przechowywanie</w:t>
      </w:r>
      <w:r w:rsidR="00A33B9F" w:rsidRPr="00A33B9F">
        <w:rPr>
          <w:rFonts w:ascii="Times New Roman" w:hAnsi="Times New Roman"/>
          <w:noProof/>
          <w:color w:val="000000" w:themeColor="text1"/>
          <w:sz w:val="24"/>
        </w:rPr>
        <w:t xml:space="preserve"> i mon</w:t>
      </w:r>
      <w:r w:rsidRPr="00A33B9F">
        <w:rPr>
          <w:rFonts w:ascii="Times New Roman" w:hAnsi="Times New Roman"/>
          <w:noProof/>
          <w:color w:val="000000" w:themeColor="text1"/>
          <w:sz w:val="24"/>
        </w:rPr>
        <w:t>itorowanie danych dotyczących kamieni milowych</w:t>
      </w:r>
      <w:r w:rsidR="00A33B9F" w:rsidRPr="00A33B9F">
        <w:rPr>
          <w:rFonts w:ascii="Times New Roman" w:hAnsi="Times New Roman"/>
          <w:noProof/>
          <w:color w:val="000000" w:themeColor="text1"/>
          <w:sz w:val="24"/>
        </w:rPr>
        <w:t xml:space="preserve"> i war</w:t>
      </w:r>
      <w:r w:rsidRPr="00A33B9F">
        <w:rPr>
          <w:rFonts w:ascii="Times New Roman" w:hAnsi="Times New Roman"/>
          <w:noProof/>
          <w:color w:val="000000" w:themeColor="text1"/>
          <w:sz w:val="24"/>
        </w:rPr>
        <w:t>tości docelowych,</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na poziomie odbiorców końcowych. Dane pochodzące</w:t>
      </w:r>
      <w:r w:rsidR="00A33B9F" w:rsidRPr="00A33B9F">
        <w:rPr>
          <w:rFonts w:ascii="Times New Roman" w:hAnsi="Times New Roman"/>
          <w:noProof/>
          <w:color w:val="000000" w:themeColor="text1"/>
          <w:sz w:val="24"/>
        </w:rPr>
        <w:t xml:space="preserve"> z teg</w:t>
      </w:r>
      <w:r w:rsidRPr="00A33B9F">
        <w:rPr>
          <w:rFonts w:ascii="Times New Roman" w:hAnsi="Times New Roman"/>
          <w:noProof/>
          <w:color w:val="000000" w:themeColor="text1"/>
          <w:sz w:val="24"/>
        </w:rPr>
        <w:t>o systemu repozytorium są przekazywane do systemu Arachne, który wykorzystuje się podczas audytów</w:t>
      </w:r>
      <w:r w:rsidR="00A33B9F" w:rsidRPr="00A33B9F">
        <w:rPr>
          <w:rFonts w:ascii="Times New Roman" w:hAnsi="Times New Roman"/>
          <w:noProof/>
          <w:color w:val="000000" w:themeColor="text1"/>
          <w:sz w:val="24"/>
        </w:rPr>
        <w:t xml:space="preserve"> i kon</w:t>
      </w:r>
      <w:r w:rsidRPr="00A33B9F">
        <w:rPr>
          <w:rFonts w:ascii="Times New Roman" w:hAnsi="Times New Roman"/>
          <w:noProof/>
          <w:color w:val="000000" w:themeColor="text1"/>
          <w:sz w:val="24"/>
        </w:rPr>
        <w:t>troli</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zapobiegania konfliktom interesów, nadużyciom finansowym, korupcji</w:t>
      </w:r>
      <w:r w:rsidR="00A33B9F" w:rsidRPr="00A33B9F">
        <w:rPr>
          <w:rFonts w:ascii="Times New Roman" w:hAnsi="Times New Roman"/>
          <w:noProof/>
          <w:color w:val="000000" w:themeColor="text1"/>
          <w:sz w:val="24"/>
        </w:rPr>
        <w:t xml:space="preserve"> i pod</w:t>
      </w:r>
      <w:r w:rsidRPr="00A33B9F">
        <w:rPr>
          <w:rFonts w:ascii="Times New Roman" w:hAnsi="Times New Roman"/>
          <w:noProof/>
          <w:color w:val="000000" w:themeColor="text1"/>
          <w:sz w:val="24"/>
        </w:rPr>
        <w:t>wójnemu finansowaniu, oraz</w:t>
      </w:r>
      <w:r w:rsidR="00A33B9F" w:rsidRPr="00A33B9F">
        <w:rPr>
          <w:rFonts w:ascii="Times New Roman" w:hAnsi="Times New Roman"/>
          <w:noProof/>
          <w:color w:val="000000" w:themeColor="text1"/>
          <w:sz w:val="24"/>
        </w:rPr>
        <w:t xml:space="preserve"> w cel</w:t>
      </w:r>
      <w:r w:rsidRPr="00A33B9F">
        <w:rPr>
          <w:rFonts w:ascii="Times New Roman" w:hAnsi="Times New Roman"/>
          <w:noProof/>
          <w:color w:val="000000" w:themeColor="text1"/>
          <w:sz w:val="24"/>
        </w:rPr>
        <w:t>u ich wykrywania</w:t>
      </w:r>
      <w:r w:rsidR="00A33B9F" w:rsidRPr="00A33B9F">
        <w:rPr>
          <w:rFonts w:ascii="Times New Roman" w:hAnsi="Times New Roman"/>
          <w:noProof/>
          <w:color w:val="000000" w:themeColor="text1"/>
          <w:sz w:val="24"/>
        </w:rPr>
        <w:t xml:space="preserve"> i eli</w:t>
      </w:r>
      <w:r w:rsidRPr="00A33B9F">
        <w:rPr>
          <w:rFonts w:ascii="Times New Roman" w:hAnsi="Times New Roman"/>
          <w:noProof/>
          <w:color w:val="000000" w:themeColor="text1"/>
          <w:sz w:val="24"/>
        </w:rPr>
        <w:t xml:space="preserve">minowania. </w:t>
      </w:r>
      <w:r w:rsidRPr="00A33B9F">
        <w:rPr>
          <w:rFonts w:ascii="Times New Roman" w:hAnsi="Times New Roman"/>
          <w:noProof/>
          <w:sz w:val="24"/>
        </w:rPr>
        <w:t>Ten kamień milowy zostanie zrealizowany przed przedłożeniem Komisji pierwszego wniosku</w:t>
      </w:r>
      <w:r w:rsidR="00A33B9F" w:rsidRPr="00A33B9F">
        <w:rPr>
          <w:rFonts w:ascii="Times New Roman" w:hAnsi="Times New Roman"/>
          <w:noProof/>
          <w:sz w:val="24"/>
        </w:rPr>
        <w:t xml:space="preserve"> o pła</w:t>
      </w:r>
      <w:r w:rsidRPr="00A33B9F">
        <w:rPr>
          <w:rFonts w:ascii="Times New Roman" w:hAnsi="Times New Roman"/>
          <w:noProof/>
          <w:sz w:val="24"/>
        </w:rPr>
        <w:t>tność</w:t>
      </w:r>
      <w:r w:rsidR="00A33B9F" w:rsidRPr="00A33B9F">
        <w:rPr>
          <w:noProof/>
        </w:rPr>
        <w:t xml:space="preserve"> </w:t>
      </w:r>
      <w:r w:rsidR="00A33B9F" w:rsidRPr="00A33B9F">
        <w:rPr>
          <w:rFonts w:ascii="Times New Roman" w:hAnsi="Times New Roman"/>
          <w:noProof/>
          <w:sz w:val="24"/>
        </w:rPr>
        <w:t>i</w:t>
      </w:r>
      <w:r w:rsidR="00A33B9F" w:rsidRPr="00A33B9F">
        <w:rPr>
          <w:noProof/>
        </w:rPr>
        <w:t> </w:t>
      </w:r>
      <w:r w:rsidR="00A33B9F" w:rsidRPr="00A33B9F">
        <w:rPr>
          <w:rFonts w:ascii="Times New Roman" w:hAnsi="Times New Roman"/>
          <w:noProof/>
          <w:sz w:val="24"/>
        </w:rPr>
        <w:t>sta</w:t>
      </w:r>
      <w:r w:rsidRPr="00A33B9F">
        <w:rPr>
          <w:rFonts w:ascii="Times New Roman" w:hAnsi="Times New Roman"/>
          <w:noProof/>
          <w:sz w:val="24"/>
        </w:rPr>
        <w:t>nowi warunek wstępny każdej płatności na podstawie art.</w:t>
      </w:r>
      <w:r w:rsidR="00A33B9F" w:rsidRPr="00A33B9F">
        <w:rPr>
          <w:rFonts w:ascii="Times New Roman" w:hAnsi="Times New Roman"/>
          <w:noProof/>
          <w:sz w:val="24"/>
        </w:rPr>
        <w:t> </w:t>
      </w:r>
      <w:r w:rsidRPr="00A33B9F">
        <w:rPr>
          <w:rFonts w:ascii="Times New Roman" w:hAnsi="Times New Roman"/>
          <w:noProof/>
          <w:sz w:val="24"/>
        </w:rPr>
        <w:t>24 rozporządzenia</w:t>
      </w:r>
      <w:r w:rsidR="00A33B9F" w:rsidRPr="00A33B9F">
        <w:rPr>
          <w:rFonts w:ascii="Times New Roman" w:hAnsi="Times New Roman"/>
          <w:noProof/>
          <w:sz w:val="24"/>
        </w:rPr>
        <w:t xml:space="preserve"> w spr</w:t>
      </w:r>
      <w:r w:rsidRPr="00A33B9F">
        <w:rPr>
          <w:rFonts w:ascii="Times New Roman" w:hAnsi="Times New Roman"/>
          <w:noProof/>
          <w:sz w:val="24"/>
        </w:rPr>
        <w:t>awie RRF.</w:t>
      </w:r>
    </w:p>
    <w:p w14:paraId="321BFE6B" w14:textId="0242CF8E" w:rsidR="5A8F782D" w:rsidRPr="00A33B9F" w:rsidRDefault="5A8F782D" w:rsidP="74A34B02">
      <w:pPr>
        <w:spacing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Reforma obejmuje również przeprowadzenie analizy obciążenia pracą mającej na celu zwiększenie zdolności administracyjnej</w:t>
      </w:r>
      <w:r w:rsidR="00A33B9F" w:rsidRPr="00A33B9F">
        <w:rPr>
          <w:rFonts w:ascii="Times New Roman" w:hAnsi="Times New Roman"/>
          <w:noProof/>
          <w:sz w:val="24"/>
        </w:rPr>
        <w:t xml:space="preserve"> w zak</w:t>
      </w:r>
      <w:r w:rsidRPr="00A33B9F">
        <w:rPr>
          <w:rFonts w:ascii="Times New Roman" w:hAnsi="Times New Roman"/>
          <w:noProof/>
          <w:sz w:val="24"/>
        </w:rPr>
        <w:t>resie koordynowania</w:t>
      </w:r>
      <w:r w:rsidR="00A33B9F" w:rsidRPr="00A33B9F">
        <w:rPr>
          <w:rFonts w:ascii="Times New Roman" w:hAnsi="Times New Roman"/>
          <w:noProof/>
          <w:sz w:val="24"/>
        </w:rPr>
        <w:t xml:space="preserve"> i wdr</w:t>
      </w:r>
      <w:r w:rsidRPr="00A33B9F">
        <w:rPr>
          <w:rFonts w:ascii="Times New Roman" w:hAnsi="Times New Roman"/>
          <w:noProof/>
          <w:sz w:val="24"/>
        </w:rPr>
        <w:t>ażania planu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 Na podstawie wyników tej analizy rząd podejmuję decyzję</w:t>
      </w:r>
      <w:r w:rsidR="00A33B9F" w:rsidRPr="00A33B9F">
        <w:rPr>
          <w:rFonts w:ascii="Times New Roman" w:hAnsi="Times New Roman"/>
          <w:noProof/>
          <w:sz w:val="24"/>
        </w:rPr>
        <w:t xml:space="preserve"> o utw</w:t>
      </w:r>
      <w:r w:rsidRPr="00A33B9F">
        <w:rPr>
          <w:rFonts w:ascii="Times New Roman" w:hAnsi="Times New Roman"/>
          <w:noProof/>
          <w:sz w:val="24"/>
        </w:rPr>
        <w:t>orzeniu dodatkowych stanowisk pracy</w:t>
      </w:r>
      <w:r w:rsidR="00A33B9F" w:rsidRPr="00A33B9F">
        <w:rPr>
          <w:rFonts w:ascii="Times New Roman" w:hAnsi="Times New Roman"/>
          <w:noProof/>
          <w:sz w:val="24"/>
        </w:rPr>
        <w:t xml:space="preserve"> w ins</w:t>
      </w:r>
      <w:r w:rsidRPr="00A33B9F">
        <w:rPr>
          <w:rFonts w:ascii="Times New Roman" w:hAnsi="Times New Roman"/>
          <w:noProof/>
          <w:sz w:val="24"/>
        </w:rPr>
        <w:t>tytucjach odpowiedzialnych za koordynowanie</w:t>
      </w:r>
      <w:r w:rsidR="00A33B9F" w:rsidRPr="00A33B9F">
        <w:rPr>
          <w:rFonts w:ascii="Times New Roman" w:hAnsi="Times New Roman"/>
          <w:noProof/>
          <w:sz w:val="24"/>
        </w:rPr>
        <w:t xml:space="preserve"> i wdr</w:t>
      </w:r>
      <w:r w:rsidRPr="00A33B9F">
        <w:rPr>
          <w:rFonts w:ascii="Times New Roman" w:hAnsi="Times New Roman"/>
          <w:noProof/>
          <w:sz w:val="24"/>
        </w:rPr>
        <w:t>ażanie planu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w:t>
      </w:r>
    </w:p>
    <w:p w14:paraId="1CBF0687" w14:textId="7A26433B" w:rsidR="008B072F" w:rsidRPr="00A33B9F" w:rsidRDefault="38F4EE2E" w:rsidP="00CE3AE2">
      <w:pPr>
        <w:spacing w:after="0" w:line="240" w:lineRule="auto"/>
        <w:rPr>
          <w:rFonts w:ascii="Times New Roman" w:eastAsia="Times New Roman" w:hAnsi="Times New Roman" w:cs="Times New Roman"/>
          <w:noProof/>
          <w:color w:val="000000" w:themeColor="text1"/>
          <w:sz w:val="24"/>
          <w:szCs w:val="24"/>
        </w:rPr>
        <w:sectPr w:rsidR="008B072F" w:rsidRPr="00A33B9F" w:rsidSect="004F49B9">
          <w:headerReference w:type="even" r:id="rId151"/>
          <w:headerReference w:type="default" r:id="rId152"/>
          <w:footerReference w:type="even" r:id="rId153"/>
          <w:footerReference w:type="default" r:id="rId154"/>
          <w:headerReference w:type="first" r:id="rId155"/>
          <w:footerReference w:type="first" r:id="rId156"/>
          <w:pgSz w:w="11907" w:h="16839"/>
          <w:pgMar w:top="1134" w:right="1417" w:bottom="1134" w:left="1417" w:header="709" w:footer="709" w:gutter="0"/>
          <w:cols w:space="720"/>
        </w:sectPr>
      </w:pPr>
      <w:r w:rsidRPr="00A33B9F">
        <w:rPr>
          <w:rFonts w:ascii="Times New Roman" w:hAnsi="Times New Roman"/>
          <w:noProof/>
          <w:color w:val="000000" w:themeColor="text1"/>
          <w:sz w:val="24"/>
        </w:rPr>
        <w:t>Realizacja reformy zostanie zakończona do dnia 30 czerwca 2024</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 xml:space="preserve">r. </w:t>
      </w:r>
    </w:p>
    <w:p w14:paraId="029E5672" w14:textId="40F25AA9" w:rsidR="00126FEB" w:rsidRPr="00A33B9F" w:rsidRDefault="008B072F" w:rsidP="00CE3AE2">
      <w:pPr>
        <w:spacing w:after="0" w:line="240" w:lineRule="auto"/>
        <w:rPr>
          <w:rFonts w:ascii="Times New Roman" w:eastAsia="Times New Roman" w:hAnsi="Times New Roman" w:cs="Times New Roman"/>
          <w:noProof/>
          <w:color w:val="000000" w:themeColor="text1"/>
          <w:sz w:val="24"/>
          <w:szCs w:val="24"/>
        </w:rPr>
      </w:pPr>
      <w:r w:rsidRPr="00A33B9F">
        <w:rPr>
          <w:rFonts w:ascii="Times New Roman" w:hAnsi="Times New Roman"/>
          <w:b/>
          <w:noProof/>
          <w:color w:val="000000"/>
          <w:sz w:val="24"/>
        </w:rPr>
        <w:t xml:space="preserve">F.2. </w:t>
      </w:r>
      <w:r w:rsidRPr="00A33B9F">
        <w:rPr>
          <w:noProof/>
        </w:rPr>
        <w:tab/>
      </w:r>
      <w:r w:rsidRPr="00A33B9F">
        <w:rPr>
          <w:rFonts w:ascii="Times New Roman" w:hAnsi="Times New Roman"/>
          <w:b/>
          <w:noProof/>
          <w:color w:val="000000"/>
          <w:sz w:val="24"/>
        </w:rPr>
        <w:t>Kamienie milowe, wartości docelowe, wskaźniki</w:t>
      </w:r>
      <w:r w:rsidR="00A33B9F" w:rsidRPr="00A33B9F">
        <w:rPr>
          <w:rFonts w:ascii="Times New Roman" w:hAnsi="Times New Roman"/>
          <w:b/>
          <w:noProof/>
          <w:color w:val="000000"/>
          <w:sz w:val="24"/>
        </w:rPr>
        <w:t xml:space="preserve"> i har</w:t>
      </w:r>
      <w:r w:rsidRPr="00A33B9F">
        <w:rPr>
          <w:rFonts w:ascii="Times New Roman" w:hAnsi="Times New Roman"/>
          <w:b/>
          <w:noProof/>
          <w:color w:val="000000"/>
          <w:sz w:val="24"/>
        </w:rPr>
        <w:t>monogram monitorowania</w:t>
      </w:r>
      <w:r w:rsidR="00A33B9F" w:rsidRPr="00A33B9F">
        <w:rPr>
          <w:rFonts w:ascii="Times New Roman" w:hAnsi="Times New Roman"/>
          <w:b/>
          <w:noProof/>
          <w:color w:val="000000"/>
          <w:sz w:val="24"/>
        </w:rPr>
        <w:t xml:space="preserve"> i rea</w:t>
      </w:r>
      <w:r w:rsidRPr="00A33B9F">
        <w:rPr>
          <w:rFonts w:ascii="Times New Roman" w:hAnsi="Times New Roman"/>
          <w:b/>
          <w:noProof/>
          <w:color w:val="000000"/>
          <w:sz w:val="24"/>
        </w:rPr>
        <w:t>lizacji na potrzeby bezzwrotnego wsparcia finansowego</w:t>
      </w:r>
    </w:p>
    <w:p w14:paraId="6858D860" w14:textId="4CCF3291" w:rsidR="008B072F" w:rsidRPr="00A33B9F" w:rsidRDefault="008B072F" w:rsidP="00CE3AE2">
      <w:pPr>
        <w:spacing w:after="0" w:line="240" w:lineRule="auto"/>
        <w:rPr>
          <w:rFonts w:ascii="Times New Roman" w:eastAsia="Times New Roman" w:hAnsi="Times New Roman" w:cs="Times New Roman"/>
          <w:noProof/>
          <w:color w:val="000000" w:themeColor="text1"/>
          <w:sz w:val="24"/>
          <w:szCs w:val="24"/>
        </w:rPr>
      </w:pPr>
    </w:p>
    <w:tbl>
      <w:tblPr>
        <w:tblW w:w="152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14"/>
        <w:gridCol w:w="1394"/>
        <w:gridCol w:w="1065"/>
        <w:gridCol w:w="1530"/>
        <w:gridCol w:w="1664"/>
        <w:gridCol w:w="1032"/>
        <w:gridCol w:w="1088"/>
        <w:gridCol w:w="730"/>
        <w:gridCol w:w="7"/>
        <w:gridCol w:w="974"/>
        <w:gridCol w:w="7"/>
        <w:gridCol w:w="833"/>
        <w:gridCol w:w="7"/>
        <w:gridCol w:w="4130"/>
        <w:gridCol w:w="7"/>
      </w:tblGrid>
      <w:tr w:rsidR="008C116B" w:rsidRPr="00A33B9F" w14:paraId="44973463" w14:textId="77777777" w:rsidTr="5183624C">
        <w:trPr>
          <w:trHeight w:val="939"/>
          <w:tblHeader/>
        </w:trPr>
        <w:tc>
          <w:tcPr>
            <w:tcW w:w="846" w:type="dxa"/>
            <w:vMerge w:val="restart"/>
            <w:shd w:val="clear" w:color="auto" w:fill="BDD7EE"/>
            <w:vAlign w:val="center"/>
          </w:tcPr>
          <w:p w14:paraId="672DF965" w14:textId="6B09140D" w:rsidR="003C6497" w:rsidRPr="00A33B9F" w:rsidRDefault="003C6497" w:rsidP="00854331">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Nr porządkowy</w:t>
            </w:r>
          </w:p>
        </w:tc>
        <w:tc>
          <w:tcPr>
            <w:tcW w:w="1457" w:type="dxa"/>
            <w:vMerge w:val="restart"/>
            <w:shd w:val="clear" w:color="auto" w:fill="BDD7EE"/>
            <w:vAlign w:val="center"/>
          </w:tcPr>
          <w:p w14:paraId="69C58DDA"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Powiązane działanie (reforma lub inwestycja)</w:t>
            </w:r>
          </w:p>
        </w:tc>
        <w:tc>
          <w:tcPr>
            <w:tcW w:w="1110" w:type="dxa"/>
            <w:vMerge w:val="restart"/>
            <w:shd w:val="clear" w:color="auto" w:fill="BDD7EE"/>
            <w:vAlign w:val="center"/>
          </w:tcPr>
          <w:p w14:paraId="5ADFCF31"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Kamień milowy / wartość docelowa</w:t>
            </w:r>
          </w:p>
        </w:tc>
        <w:tc>
          <w:tcPr>
            <w:tcW w:w="1601" w:type="dxa"/>
            <w:vMerge w:val="restart"/>
            <w:shd w:val="clear" w:color="auto" w:fill="BDD7EE"/>
            <w:vAlign w:val="center"/>
          </w:tcPr>
          <w:p w14:paraId="571C7353"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Nazwa</w:t>
            </w:r>
          </w:p>
        </w:tc>
        <w:tc>
          <w:tcPr>
            <w:tcW w:w="1742" w:type="dxa"/>
            <w:vMerge w:val="restart"/>
            <w:shd w:val="clear" w:color="auto" w:fill="BDD7EE"/>
            <w:vAlign w:val="center"/>
          </w:tcPr>
          <w:p w14:paraId="79811FE6"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457" w:type="dxa"/>
            <w:gridSpan w:val="4"/>
            <w:shd w:val="clear" w:color="auto" w:fill="BDD7EE"/>
            <w:vAlign w:val="center"/>
          </w:tcPr>
          <w:p w14:paraId="69B1B835"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718" w:type="dxa"/>
            <w:gridSpan w:val="4"/>
            <w:shd w:val="clear" w:color="auto" w:fill="BDD7EE"/>
            <w:vAlign w:val="center"/>
          </w:tcPr>
          <w:p w14:paraId="61F4BA9E"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Orientacyjny harmonogram zakończenia działania </w:t>
            </w:r>
          </w:p>
        </w:tc>
        <w:tc>
          <w:tcPr>
            <w:tcW w:w="4351" w:type="dxa"/>
            <w:gridSpan w:val="2"/>
            <w:vMerge w:val="restart"/>
            <w:shd w:val="clear" w:color="auto" w:fill="BDD7EE"/>
            <w:vAlign w:val="center"/>
          </w:tcPr>
          <w:p w14:paraId="04A838C9" w14:textId="00624360"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CA5542" w:rsidRPr="00A33B9F" w14:paraId="357BDEDC" w14:textId="77777777" w:rsidTr="5183624C">
        <w:trPr>
          <w:trHeight w:val="662"/>
        </w:trPr>
        <w:tc>
          <w:tcPr>
            <w:tcW w:w="846" w:type="dxa"/>
            <w:vMerge/>
            <w:vAlign w:val="center"/>
          </w:tcPr>
          <w:p w14:paraId="77C18ABC" w14:textId="77777777" w:rsidR="003C6497" w:rsidRPr="00A33B9F" w:rsidRDefault="003C6497"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457" w:type="dxa"/>
            <w:vMerge/>
            <w:vAlign w:val="center"/>
          </w:tcPr>
          <w:p w14:paraId="56F44728" w14:textId="77777777" w:rsidR="003C6497" w:rsidRPr="00A33B9F" w:rsidRDefault="003C6497"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110" w:type="dxa"/>
            <w:vMerge/>
            <w:vAlign w:val="center"/>
          </w:tcPr>
          <w:p w14:paraId="745AA2EB" w14:textId="77777777" w:rsidR="003C6497" w:rsidRPr="00A33B9F" w:rsidRDefault="003C6497"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601" w:type="dxa"/>
            <w:vMerge/>
            <w:vAlign w:val="center"/>
          </w:tcPr>
          <w:p w14:paraId="542905F5" w14:textId="77777777" w:rsidR="003C6497" w:rsidRPr="00A33B9F" w:rsidRDefault="003C6497"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742" w:type="dxa"/>
            <w:vMerge/>
            <w:vAlign w:val="center"/>
          </w:tcPr>
          <w:p w14:paraId="44D67A1F" w14:textId="77777777" w:rsidR="003C6497" w:rsidRPr="00A33B9F" w:rsidRDefault="003C6497"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c>
          <w:tcPr>
            <w:tcW w:w="1075" w:type="dxa"/>
            <w:shd w:val="clear" w:color="auto" w:fill="BDD7EE"/>
            <w:vAlign w:val="center"/>
          </w:tcPr>
          <w:p w14:paraId="7317C33C"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Jednostka miary</w:t>
            </w:r>
          </w:p>
        </w:tc>
        <w:tc>
          <w:tcPr>
            <w:tcW w:w="1134" w:type="dxa"/>
            <w:shd w:val="clear" w:color="auto" w:fill="BDD7EE"/>
            <w:vAlign w:val="center"/>
          </w:tcPr>
          <w:p w14:paraId="71A9DC0A"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 xml:space="preserve">Poziom bazowy </w:t>
            </w:r>
          </w:p>
        </w:tc>
        <w:tc>
          <w:tcPr>
            <w:tcW w:w="763" w:type="dxa"/>
            <w:gridSpan w:val="2"/>
            <w:shd w:val="clear" w:color="auto" w:fill="BDD7EE"/>
            <w:vAlign w:val="center"/>
          </w:tcPr>
          <w:p w14:paraId="1C6B6698"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Cel</w:t>
            </w:r>
          </w:p>
        </w:tc>
        <w:tc>
          <w:tcPr>
            <w:tcW w:w="1021" w:type="dxa"/>
            <w:gridSpan w:val="2"/>
            <w:shd w:val="clear" w:color="auto" w:fill="BDD7EE"/>
            <w:vAlign w:val="center"/>
          </w:tcPr>
          <w:p w14:paraId="5F4B8B8A"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Kwartał</w:t>
            </w:r>
          </w:p>
        </w:tc>
        <w:tc>
          <w:tcPr>
            <w:tcW w:w="872" w:type="dxa"/>
            <w:gridSpan w:val="2"/>
            <w:shd w:val="clear" w:color="auto" w:fill="BDD7EE"/>
            <w:vAlign w:val="center"/>
          </w:tcPr>
          <w:p w14:paraId="7035216B" w14:textId="77777777" w:rsidR="003C6497" w:rsidRPr="00A33B9F" w:rsidRDefault="003C6497"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18"/>
                <w:szCs w:val="18"/>
              </w:rPr>
            </w:pPr>
            <w:r w:rsidRPr="00A33B9F">
              <w:rPr>
                <w:rFonts w:ascii="Times New Roman" w:hAnsi="Times New Roman"/>
                <w:b/>
                <w:noProof/>
                <w:color w:val="000000"/>
                <w:sz w:val="18"/>
              </w:rPr>
              <w:t>Rok</w:t>
            </w:r>
          </w:p>
        </w:tc>
        <w:tc>
          <w:tcPr>
            <w:tcW w:w="4351" w:type="dxa"/>
            <w:gridSpan w:val="2"/>
            <w:vMerge/>
            <w:vAlign w:val="center"/>
          </w:tcPr>
          <w:p w14:paraId="4150027A" w14:textId="77777777" w:rsidR="003C6497" w:rsidRPr="00A33B9F" w:rsidRDefault="003C6497" w:rsidP="00126FEB">
            <w:pPr>
              <w:pStyle w:val="Normal0"/>
              <w:widowControl w:val="0"/>
              <w:pBdr>
                <w:top w:val="nil"/>
                <w:left w:val="nil"/>
                <w:bottom w:val="nil"/>
                <w:right w:val="nil"/>
                <w:between w:val="nil"/>
              </w:pBdr>
              <w:spacing w:after="0"/>
              <w:rPr>
                <w:rFonts w:ascii="Times New Roman" w:eastAsia="Times New Roman" w:hAnsi="Times New Roman" w:cs="Times New Roman"/>
                <w:b/>
                <w:noProof/>
                <w:color w:val="000000"/>
                <w:sz w:val="18"/>
                <w:szCs w:val="18"/>
              </w:rPr>
            </w:pPr>
          </w:p>
        </w:tc>
      </w:tr>
      <w:tr w:rsidR="008C116B" w:rsidRPr="00A33B9F" w14:paraId="0063B31B" w14:textId="77777777" w:rsidTr="5183624C">
        <w:trPr>
          <w:trHeight w:val="313"/>
        </w:trPr>
        <w:tc>
          <w:tcPr>
            <w:tcW w:w="846" w:type="dxa"/>
            <w:shd w:val="clear" w:color="auto" w:fill="C6EFCE"/>
          </w:tcPr>
          <w:p w14:paraId="6C215DE9"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F1G</w:t>
            </w:r>
          </w:p>
        </w:tc>
        <w:tc>
          <w:tcPr>
            <w:tcW w:w="1457" w:type="dxa"/>
            <w:shd w:val="clear" w:color="auto" w:fill="C6EFCE"/>
          </w:tcPr>
          <w:p w14:paraId="04AAAFAD" w14:textId="0CD64FFF" w:rsidR="00126FEB" w:rsidRPr="00A33B9F" w:rsidRDefault="00126FEB" w:rsidP="00126FEB">
            <w:pPr>
              <w:pStyle w:val="Normal0"/>
              <w:spacing w:line="240" w:lineRule="auto"/>
              <w:rPr>
                <w:rFonts w:ascii="Times New Roman" w:hAnsi="Times New Roman" w:cs="Times New Roman"/>
                <w:noProof/>
                <w:sz w:val="18"/>
                <w:szCs w:val="18"/>
              </w:rPr>
            </w:pPr>
            <w:r w:rsidRPr="00A33B9F">
              <w:rPr>
                <w:rFonts w:ascii="Times New Roman" w:hAnsi="Times New Roman"/>
                <w:noProof/>
                <w:sz w:val="18"/>
              </w:rPr>
              <w:t>F1.1 Reforma zwiększająca niezależność</w:t>
            </w:r>
            <w:r w:rsidR="00A33B9F" w:rsidRPr="00A33B9F">
              <w:rPr>
                <w:rFonts w:ascii="Times New Roman" w:hAnsi="Times New Roman"/>
                <w:noProof/>
                <w:sz w:val="18"/>
              </w:rPr>
              <w:t xml:space="preserve"> i bez</w:t>
            </w:r>
            <w:r w:rsidRPr="00A33B9F">
              <w:rPr>
                <w:rFonts w:ascii="Times New Roman" w:hAnsi="Times New Roman"/>
                <w:noProof/>
                <w:sz w:val="18"/>
              </w:rPr>
              <w:t>stronność sądów</w:t>
            </w:r>
          </w:p>
          <w:p w14:paraId="571C9221" w14:textId="0CCF382C" w:rsidR="00126FEB" w:rsidRPr="00A33B9F" w:rsidRDefault="00126FEB" w:rsidP="00126FEB">
            <w:pPr>
              <w:pStyle w:val="Normal0"/>
              <w:spacing w:line="240" w:lineRule="auto"/>
              <w:rPr>
                <w:rFonts w:ascii="Times New Roman" w:hAnsi="Times New Roman" w:cs="Times New Roman"/>
                <w:noProof/>
                <w:sz w:val="18"/>
                <w:szCs w:val="18"/>
              </w:rPr>
            </w:pPr>
          </w:p>
          <w:p w14:paraId="7E1ED7C6"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10" w:type="dxa"/>
            <w:shd w:val="clear" w:color="auto" w:fill="C6EFCE"/>
          </w:tcPr>
          <w:p w14:paraId="0048B454"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Kamień milowy</w:t>
            </w:r>
          </w:p>
        </w:tc>
        <w:tc>
          <w:tcPr>
            <w:tcW w:w="1601" w:type="dxa"/>
            <w:shd w:val="clear" w:color="auto" w:fill="C6EFCE"/>
          </w:tcPr>
          <w:p w14:paraId="003AB57D" w14:textId="0D4CF851" w:rsidR="00126FEB" w:rsidRPr="00A33B9F" w:rsidRDefault="00126FEB" w:rsidP="00126FEB">
            <w:pPr>
              <w:pStyle w:val="Normal0"/>
              <w:spacing w:line="240" w:lineRule="auto"/>
              <w:rPr>
                <w:rFonts w:ascii="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reformy zwiększającej niezależność</w:t>
            </w:r>
            <w:r w:rsidR="00A33B9F" w:rsidRPr="00A33B9F">
              <w:rPr>
                <w:rFonts w:ascii="Times New Roman" w:hAnsi="Times New Roman"/>
                <w:noProof/>
                <w:sz w:val="18"/>
              </w:rPr>
              <w:t xml:space="preserve"> i bez</w:t>
            </w:r>
            <w:r w:rsidRPr="00A33B9F">
              <w:rPr>
                <w:rFonts w:ascii="Times New Roman" w:hAnsi="Times New Roman"/>
                <w:noProof/>
                <w:sz w:val="18"/>
              </w:rPr>
              <w:t>stronność sądów</w:t>
            </w:r>
          </w:p>
          <w:p w14:paraId="67512E03"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742" w:type="dxa"/>
            <w:shd w:val="clear" w:color="auto" w:fill="C6EFCE"/>
          </w:tcPr>
          <w:p w14:paraId="0F74C2D5" w14:textId="6AFB3545" w:rsidR="00126FEB" w:rsidRPr="00A33B9F" w:rsidRDefault="00126FEB"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Przepis</w:t>
            </w:r>
            <w:r w:rsidR="00A33B9F" w:rsidRPr="00A33B9F">
              <w:rPr>
                <w:rFonts w:ascii="Times New Roman" w:hAnsi="Times New Roman"/>
                <w:noProof/>
                <w:sz w:val="18"/>
              </w:rPr>
              <w:t xml:space="preserve"> w akc</w:t>
            </w:r>
            <w:r w:rsidRPr="00A33B9F">
              <w:rPr>
                <w:rFonts w:ascii="Times New Roman" w:hAnsi="Times New Roman"/>
                <w:noProof/>
                <w:sz w:val="18"/>
              </w:rPr>
              <w:t>ie prawnym wskazujący na wejście</w:t>
            </w:r>
            <w:r w:rsidR="00A33B9F" w:rsidRPr="00A33B9F">
              <w:rPr>
                <w:rFonts w:ascii="Times New Roman" w:hAnsi="Times New Roman"/>
                <w:noProof/>
                <w:sz w:val="18"/>
              </w:rPr>
              <w:t xml:space="preserve"> w życ</w:t>
            </w:r>
            <w:r w:rsidRPr="00A33B9F">
              <w:rPr>
                <w:rFonts w:ascii="Times New Roman" w:hAnsi="Times New Roman"/>
                <w:noProof/>
                <w:sz w:val="18"/>
              </w:rPr>
              <w:t>ie</w:t>
            </w:r>
          </w:p>
          <w:p w14:paraId="305F1ABF" w14:textId="7834B96F"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075" w:type="dxa"/>
            <w:shd w:val="clear" w:color="auto" w:fill="C6EFCE"/>
          </w:tcPr>
          <w:p w14:paraId="4B91D44C"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34" w:type="dxa"/>
            <w:shd w:val="clear" w:color="auto" w:fill="C6EFCE"/>
          </w:tcPr>
          <w:p w14:paraId="348A4951"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763" w:type="dxa"/>
            <w:gridSpan w:val="2"/>
            <w:shd w:val="clear" w:color="auto" w:fill="C6EFCE"/>
          </w:tcPr>
          <w:p w14:paraId="382B7CDF"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1021" w:type="dxa"/>
            <w:gridSpan w:val="2"/>
            <w:shd w:val="clear" w:color="auto" w:fill="C6EFCE"/>
          </w:tcPr>
          <w:p w14:paraId="776245AF"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II kw.</w:t>
            </w:r>
          </w:p>
        </w:tc>
        <w:tc>
          <w:tcPr>
            <w:tcW w:w="872" w:type="dxa"/>
            <w:gridSpan w:val="2"/>
            <w:shd w:val="clear" w:color="auto" w:fill="C6EFCE"/>
          </w:tcPr>
          <w:p w14:paraId="10184024"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2022</w:t>
            </w:r>
          </w:p>
        </w:tc>
        <w:tc>
          <w:tcPr>
            <w:tcW w:w="4351" w:type="dxa"/>
            <w:gridSpan w:val="2"/>
            <w:shd w:val="clear" w:color="auto" w:fill="C6EFCE"/>
          </w:tcPr>
          <w:p w14:paraId="0D615868" w14:textId="2A3E73CD" w:rsidR="00126FEB" w:rsidRPr="00A33B9F" w:rsidRDefault="00126FEB" w:rsidP="00730F7D">
            <w:pPr>
              <w:spacing w:line="240" w:lineRule="auto"/>
              <w:rPr>
                <w:rFonts w:ascii="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reformy,</w:t>
            </w:r>
            <w:r w:rsidR="00A33B9F" w:rsidRPr="00A33B9F">
              <w:rPr>
                <w:rFonts w:ascii="Times New Roman" w:hAnsi="Times New Roman"/>
                <w:noProof/>
                <w:sz w:val="18"/>
              </w:rPr>
              <w:t xml:space="preserve"> w dro</w:t>
            </w:r>
            <w:r w:rsidRPr="00A33B9F">
              <w:rPr>
                <w:rFonts w:ascii="Times New Roman" w:hAnsi="Times New Roman"/>
                <w:noProof/>
                <w:sz w:val="18"/>
              </w:rPr>
              <w:t>dze której:</w:t>
            </w:r>
          </w:p>
          <w:p w14:paraId="6A895184" w14:textId="3DB8844B" w:rsidR="00126FEB" w:rsidRPr="00A33B9F" w:rsidRDefault="00126FEB" w:rsidP="00394B30">
            <w:pPr>
              <w:numPr>
                <w:ilvl w:val="0"/>
                <w:numId w:val="22"/>
              </w:numPr>
              <w:spacing w:line="240" w:lineRule="auto"/>
              <w:ind w:left="367" w:hanging="353"/>
              <w:rPr>
                <w:rFonts w:ascii="Times New Roman" w:hAnsi="Times New Roman" w:cs="Times New Roman"/>
                <w:noProof/>
                <w:sz w:val="18"/>
                <w:szCs w:val="18"/>
              </w:rPr>
            </w:pPr>
            <w:r w:rsidRPr="00A33B9F">
              <w:rPr>
                <w:rFonts w:ascii="Times New Roman" w:hAnsi="Times New Roman"/>
                <w:noProof/>
                <w:sz w:val="18"/>
              </w:rPr>
              <w:t>we wszystkich sprawach dotyczących sędziów,</w:t>
            </w:r>
            <w:r w:rsidR="00A33B9F" w:rsidRPr="00A33B9F">
              <w:rPr>
                <w:rFonts w:ascii="Times New Roman" w:hAnsi="Times New Roman"/>
                <w:noProof/>
                <w:sz w:val="18"/>
              </w:rPr>
              <w:t xml:space="preserve"> w tym</w:t>
            </w:r>
            <w:r w:rsidRPr="00A33B9F">
              <w:rPr>
                <w:rFonts w:ascii="Times New Roman" w:hAnsi="Times New Roman"/>
                <w:noProof/>
                <w:sz w:val="18"/>
              </w:rPr>
              <w:t xml:space="preserve"> sprawach dyscyplinarnych</w:t>
            </w:r>
            <w:r w:rsidR="00A33B9F" w:rsidRPr="00A33B9F">
              <w:rPr>
                <w:rFonts w:ascii="Times New Roman" w:hAnsi="Times New Roman"/>
                <w:noProof/>
                <w:sz w:val="18"/>
              </w:rPr>
              <w:t xml:space="preserve"> i dot</w:t>
            </w:r>
            <w:r w:rsidRPr="00A33B9F">
              <w:rPr>
                <w:rFonts w:ascii="Times New Roman" w:hAnsi="Times New Roman"/>
                <w:noProof/>
                <w:sz w:val="18"/>
              </w:rPr>
              <w:t>yczących uchylenia immunitetu sędziowskiego, określony zostanie zakres właściwości Izby Sądu Najwyższego, innej niż istniejąca Izba Dyscyplinarna, spełniającej wymogi wynikające</w:t>
            </w:r>
            <w:r w:rsidR="00A33B9F" w:rsidRPr="00A33B9F">
              <w:rPr>
                <w:rFonts w:ascii="Times New Roman" w:hAnsi="Times New Roman"/>
                <w:noProof/>
                <w:sz w:val="18"/>
              </w:rPr>
              <w:t xml:space="preserve"> z art</w:t>
            </w:r>
            <w:r w:rsidRPr="00A33B9F">
              <w:rPr>
                <w:rFonts w:ascii="Times New Roman" w:hAnsi="Times New Roman"/>
                <w:noProof/>
                <w:sz w:val="18"/>
              </w:rPr>
              <w:t>.</w:t>
            </w:r>
            <w:r w:rsidR="00A33B9F" w:rsidRPr="00A33B9F">
              <w:rPr>
                <w:rFonts w:ascii="Times New Roman" w:hAnsi="Times New Roman"/>
                <w:noProof/>
                <w:sz w:val="18"/>
              </w:rPr>
              <w:t> </w:t>
            </w:r>
            <w:r w:rsidRPr="00A33B9F">
              <w:rPr>
                <w:rFonts w:ascii="Times New Roman" w:hAnsi="Times New Roman"/>
                <w:noProof/>
                <w:sz w:val="18"/>
              </w:rPr>
              <w:t>19 ust.</w:t>
            </w:r>
            <w:r w:rsidR="00A33B9F" w:rsidRPr="00A33B9F">
              <w:rPr>
                <w:rFonts w:ascii="Times New Roman" w:hAnsi="Times New Roman"/>
                <w:noProof/>
                <w:sz w:val="18"/>
              </w:rPr>
              <w:t> </w:t>
            </w:r>
            <w:r w:rsidRPr="00A33B9F">
              <w:rPr>
                <w:rFonts w:ascii="Times New Roman" w:hAnsi="Times New Roman"/>
                <w:noProof/>
                <w:sz w:val="18"/>
              </w:rPr>
              <w:t>1 Traktatu UE</w:t>
            </w:r>
            <w:r w:rsidR="00A33B9F" w:rsidRPr="00A33B9F">
              <w:rPr>
                <w:rFonts w:ascii="Times New Roman" w:hAnsi="Times New Roman"/>
                <w:noProof/>
                <w:sz w:val="18"/>
              </w:rPr>
              <w:t>. W ten</w:t>
            </w:r>
            <w:r w:rsidRPr="00A33B9F">
              <w:rPr>
                <w:rFonts w:ascii="Times New Roman" w:hAnsi="Times New Roman"/>
                <w:noProof/>
                <w:sz w:val="18"/>
              </w:rPr>
              <w:t xml:space="preserve"> sposób zapewni się, aby wspomniane wyżej sprawy były rozpatrywane przez niezależny</w:t>
            </w:r>
            <w:r w:rsidR="00A33B9F" w:rsidRPr="00A33B9F">
              <w:rPr>
                <w:rFonts w:ascii="Times New Roman" w:hAnsi="Times New Roman"/>
                <w:noProof/>
                <w:sz w:val="18"/>
              </w:rPr>
              <w:t xml:space="preserve"> i bez</w:t>
            </w:r>
            <w:r w:rsidRPr="00A33B9F">
              <w:rPr>
                <w:rFonts w:ascii="Times New Roman" w:hAnsi="Times New Roman"/>
                <w:noProof/>
                <w:sz w:val="18"/>
              </w:rPr>
              <w:t>stronny sąd ustanowiony ustawą,</w:t>
            </w:r>
            <w:r w:rsidR="00A33B9F" w:rsidRPr="00A33B9F">
              <w:rPr>
                <w:rFonts w:ascii="Times New Roman" w:hAnsi="Times New Roman"/>
                <w:noProof/>
                <w:sz w:val="18"/>
              </w:rPr>
              <w:t xml:space="preserve"> a jed</w:t>
            </w:r>
            <w:r w:rsidRPr="00A33B9F">
              <w:rPr>
                <w:rFonts w:ascii="Times New Roman" w:hAnsi="Times New Roman"/>
                <w:noProof/>
                <w:sz w:val="18"/>
              </w:rPr>
              <w:t>nocześnie ograniczone zostaną uprawnienia dyskrecjonalne</w:t>
            </w:r>
            <w:r w:rsidR="00A33B9F" w:rsidRPr="00A33B9F">
              <w:rPr>
                <w:rFonts w:ascii="Times New Roman" w:hAnsi="Times New Roman"/>
                <w:noProof/>
                <w:sz w:val="18"/>
              </w:rPr>
              <w:t xml:space="preserve"> w zak</w:t>
            </w:r>
            <w:r w:rsidRPr="00A33B9F">
              <w:rPr>
                <w:rFonts w:ascii="Times New Roman" w:hAnsi="Times New Roman"/>
                <w:noProof/>
                <w:sz w:val="18"/>
              </w:rPr>
              <w:t>resie wyznaczania sądu dyscyplinarnego właściwego</w:t>
            </w:r>
            <w:r w:rsidR="00A33B9F" w:rsidRPr="00A33B9F">
              <w:rPr>
                <w:rFonts w:ascii="Times New Roman" w:hAnsi="Times New Roman"/>
                <w:noProof/>
                <w:sz w:val="18"/>
              </w:rPr>
              <w:t xml:space="preserve"> w pie</w:t>
            </w:r>
            <w:r w:rsidRPr="00A33B9F">
              <w:rPr>
                <w:rFonts w:ascii="Times New Roman" w:hAnsi="Times New Roman"/>
                <w:noProof/>
                <w:sz w:val="18"/>
              </w:rPr>
              <w:t>rwszej instancji</w:t>
            </w:r>
            <w:r w:rsidR="00A33B9F" w:rsidRPr="00A33B9F">
              <w:rPr>
                <w:rFonts w:ascii="Times New Roman" w:hAnsi="Times New Roman"/>
                <w:noProof/>
                <w:sz w:val="18"/>
              </w:rPr>
              <w:t xml:space="preserve"> w spr</w:t>
            </w:r>
            <w:r w:rsidRPr="00A33B9F">
              <w:rPr>
                <w:rFonts w:ascii="Times New Roman" w:hAnsi="Times New Roman"/>
                <w:noProof/>
                <w:sz w:val="18"/>
              </w:rPr>
              <w:t xml:space="preserve">awach dotyczących sędziów sądów powszechnych; </w:t>
            </w:r>
          </w:p>
          <w:p w14:paraId="31091696" w14:textId="6608DD04" w:rsidR="00126FEB" w:rsidRPr="00A33B9F" w:rsidRDefault="00126FEB" w:rsidP="00394B30">
            <w:pPr>
              <w:numPr>
                <w:ilvl w:val="0"/>
                <w:numId w:val="22"/>
              </w:numPr>
              <w:spacing w:line="240" w:lineRule="auto"/>
              <w:ind w:left="367" w:hanging="353"/>
              <w:rPr>
                <w:rFonts w:ascii="Times New Roman" w:hAnsi="Times New Roman" w:cs="Times New Roman"/>
                <w:noProof/>
                <w:sz w:val="18"/>
                <w:szCs w:val="18"/>
              </w:rPr>
            </w:pPr>
            <w:r w:rsidRPr="00A33B9F">
              <w:rPr>
                <w:rFonts w:ascii="Times New Roman" w:hAnsi="Times New Roman"/>
                <w:noProof/>
                <w:sz w:val="18"/>
              </w:rPr>
              <w:t>wyjaśniony zostanie zakres odpowiedzialności dyscyplinarnej sędziów poprzez zapewnienie, aby prawo polskich sądów do składania wniosków</w:t>
            </w:r>
            <w:r w:rsidR="00A33B9F" w:rsidRPr="00A33B9F">
              <w:rPr>
                <w:rFonts w:ascii="Times New Roman" w:hAnsi="Times New Roman"/>
                <w:noProof/>
                <w:sz w:val="18"/>
              </w:rPr>
              <w:t xml:space="preserve"> o wyd</w:t>
            </w:r>
            <w:r w:rsidRPr="00A33B9F">
              <w:rPr>
                <w:rFonts w:ascii="Times New Roman" w:hAnsi="Times New Roman"/>
                <w:noProof/>
                <w:sz w:val="18"/>
              </w:rPr>
              <w:t>anie orzeczenia</w:t>
            </w:r>
            <w:r w:rsidR="00A33B9F" w:rsidRPr="00A33B9F">
              <w:rPr>
                <w:rFonts w:ascii="Times New Roman" w:hAnsi="Times New Roman"/>
                <w:noProof/>
                <w:sz w:val="18"/>
              </w:rPr>
              <w:t xml:space="preserve"> w try</w:t>
            </w:r>
            <w:r w:rsidRPr="00A33B9F">
              <w:rPr>
                <w:rFonts w:ascii="Times New Roman" w:hAnsi="Times New Roman"/>
                <w:noProof/>
                <w:sz w:val="18"/>
              </w:rPr>
              <w:t>bie prejudycjalnym do TSUE nie było ograniczone. Wniosek taki nie stanowi podstawy do wszczęcia postępowania dyscyplinarnego przeciwko danemu sędziemu;</w:t>
            </w:r>
          </w:p>
          <w:p w14:paraId="44B445F8" w14:textId="0C512E01" w:rsidR="00126FEB" w:rsidRPr="00A33B9F" w:rsidRDefault="00126FEB" w:rsidP="00394B30">
            <w:pPr>
              <w:numPr>
                <w:ilvl w:val="0"/>
                <w:numId w:val="22"/>
              </w:numPr>
              <w:spacing w:line="240" w:lineRule="auto"/>
              <w:ind w:left="367" w:hanging="353"/>
              <w:rPr>
                <w:rFonts w:ascii="Times New Roman" w:hAnsi="Times New Roman" w:cs="Times New Roman"/>
                <w:noProof/>
                <w:sz w:val="18"/>
                <w:szCs w:val="18"/>
              </w:rPr>
            </w:pPr>
            <w:r w:rsidRPr="00A33B9F">
              <w:rPr>
                <w:rFonts w:ascii="Times New Roman" w:hAnsi="Times New Roman"/>
                <w:noProof/>
                <w:sz w:val="18"/>
              </w:rPr>
              <w:t>chociaż sędziowie nadal mogą zostać pociągnięci do odpowiedzialności za wykroczenie zawodowe,</w:t>
            </w:r>
            <w:r w:rsidR="00A33B9F" w:rsidRPr="00A33B9F">
              <w:rPr>
                <w:rFonts w:ascii="Times New Roman" w:hAnsi="Times New Roman"/>
                <w:noProof/>
                <w:sz w:val="18"/>
              </w:rPr>
              <w:t xml:space="preserve"> w tym</w:t>
            </w:r>
            <w:r w:rsidRPr="00A33B9F">
              <w:rPr>
                <w:rFonts w:ascii="Times New Roman" w:hAnsi="Times New Roman"/>
                <w:noProof/>
                <w:sz w:val="18"/>
              </w:rPr>
              <w:t xml:space="preserve"> za oczywiste</w:t>
            </w:r>
            <w:r w:rsidR="00A33B9F" w:rsidRPr="00A33B9F">
              <w:rPr>
                <w:rFonts w:ascii="Times New Roman" w:hAnsi="Times New Roman"/>
                <w:noProof/>
                <w:sz w:val="18"/>
              </w:rPr>
              <w:t xml:space="preserve"> i raż</w:t>
            </w:r>
            <w:r w:rsidRPr="00A33B9F">
              <w:rPr>
                <w:rFonts w:ascii="Times New Roman" w:hAnsi="Times New Roman"/>
                <w:noProof/>
                <w:sz w:val="18"/>
              </w:rPr>
              <w:t>ące naruszenia prawa,</w:t>
            </w:r>
            <w:r w:rsidR="00A33B9F" w:rsidRPr="00A33B9F">
              <w:rPr>
                <w:rFonts w:ascii="Times New Roman" w:hAnsi="Times New Roman"/>
                <w:noProof/>
                <w:sz w:val="18"/>
              </w:rPr>
              <w:t xml:space="preserve"> w dro</w:t>
            </w:r>
            <w:r w:rsidRPr="00A33B9F">
              <w:rPr>
                <w:rFonts w:ascii="Times New Roman" w:hAnsi="Times New Roman"/>
                <w:noProof/>
                <w:sz w:val="18"/>
              </w:rPr>
              <w:t>dze reformy zostanie ustalone, że treści orzeczeń sądowych nie uznaje się za przewinienie dyscyplinarne,</w:t>
            </w:r>
          </w:p>
          <w:p w14:paraId="52ED0DE4" w14:textId="6E09D549" w:rsidR="00126FEB" w:rsidRPr="00A33B9F" w:rsidRDefault="00126FEB" w:rsidP="00394B30">
            <w:pPr>
              <w:numPr>
                <w:ilvl w:val="0"/>
                <w:numId w:val="22"/>
              </w:numPr>
              <w:spacing w:line="240" w:lineRule="auto"/>
              <w:ind w:left="367" w:hanging="353"/>
              <w:rPr>
                <w:rFonts w:ascii="Times New Roman" w:hAnsi="Times New Roman" w:cs="Times New Roman"/>
                <w:noProof/>
                <w:sz w:val="18"/>
                <w:szCs w:val="18"/>
              </w:rPr>
            </w:pPr>
            <w:r w:rsidRPr="00A33B9F">
              <w:rPr>
                <w:rFonts w:ascii="Times New Roman" w:hAnsi="Times New Roman"/>
                <w:noProof/>
                <w:sz w:val="18"/>
              </w:rPr>
              <w:t>zapewni się, aby –</w:t>
            </w:r>
            <w:r w:rsidR="00A33B9F" w:rsidRPr="00A33B9F">
              <w:rPr>
                <w:rFonts w:ascii="Times New Roman" w:hAnsi="Times New Roman"/>
                <w:noProof/>
                <w:sz w:val="18"/>
              </w:rPr>
              <w:t xml:space="preserve"> w prz</w:t>
            </w:r>
            <w:r w:rsidRPr="00A33B9F">
              <w:rPr>
                <w:rFonts w:ascii="Times New Roman" w:hAnsi="Times New Roman"/>
                <w:noProof/>
                <w:sz w:val="18"/>
              </w:rPr>
              <w:t>ypadku pojawienia się poważnych wątpliwości</w:t>
            </w:r>
            <w:r w:rsidR="00A33B9F" w:rsidRPr="00A33B9F">
              <w:rPr>
                <w:rFonts w:ascii="Times New Roman" w:hAnsi="Times New Roman"/>
                <w:noProof/>
                <w:sz w:val="18"/>
              </w:rPr>
              <w:t xml:space="preserve"> w tym</w:t>
            </w:r>
            <w:r w:rsidRPr="00A33B9F">
              <w:rPr>
                <w:rFonts w:ascii="Times New Roman" w:hAnsi="Times New Roman"/>
                <w:noProof/>
                <w:sz w:val="18"/>
              </w:rPr>
              <w:t xml:space="preserve"> zakresie – właściwy sąd miał możliwość przeprowadzenia</w:t>
            </w:r>
            <w:r w:rsidR="00A33B9F" w:rsidRPr="00A33B9F">
              <w:rPr>
                <w:rFonts w:ascii="Times New Roman" w:hAnsi="Times New Roman"/>
                <w:noProof/>
                <w:sz w:val="18"/>
              </w:rPr>
              <w:t xml:space="preserve"> w ram</w:t>
            </w:r>
            <w:r w:rsidRPr="00A33B9F">
              <w:rPr>
                <w:rFonts w:ascii="Times New Roman" w:hAnsi="Times New Roman"/>
                <w:noProof/>
                <w:sz w:val="18"/>
              </w:rPr>
              <w:t>ach postępowania sądowego weryfikacji, czy dany sędzia spełnia wymogi niezawisłości, bezstronności i „bycia powołanym na mocy ustawy” zgodnie</w:t>
            </w:r>
            <w:r w:rsidR="00A33B9F" w:rsidRPr="00A33B9F">
              <w:rPr>
                <w:rFonts w:ascii="Times New Roman" w:hAnsi="Times New Roman"/>
                <w:noProof/>
                <w:sz w:val="18"/>
              </w:rPr>
              <w:t xml:space="preserve"> z art</w:t>
            </w:r>
            <w:r w:rsidRPr="00A33B9F">
              <w:rPr>
                <w:rFonts w:ascii="Times New Roman" w:hAnsi="Times New Roman"/>
                <w:noProof/>
                <w:sz w:val="18"/>
              </w:rPr>
              <w:t>.</w:t>
            </w:r>
            <w:r w:rsidR="00A33B9F" w:rsidRPr="00A33B9F">
              <w:rPr>
                <w:rFonts w:ascii="Times New Roman" w:hAnsi="Times New Roman"/>
                <w:noProof/>
                <w:sz w:val="18"/>
              </w:rPr>
              <w:t> </w:t>
            </w:r>
            <w:r w:rsidRPr="00A33B9F">
              <w:rPr>
                <w:rFonts w:ascii="Times New Roman" w:hAnsi="Times New Roman"/>
                <w:noProof/>
                <w:sz w:val="18"/>
              </w:rPr>
              <w:t xml:space="preserve">19 Traktatu UE, przy czym weryfikacji tej nie można uznać za przewinienie dyscyplinarne; </w:t>
            </w:r>
          </w:p>
          <w:p w14:paraId="6B3AB2A6" w14:textId="021A7269" w:rsidR="00126FEB" w:rsidRPr="00A33B9F" w:rsidRDefault="00126FEB" w:rsidP="00394B30">
            <w:pPr>
              <w:numPr>
                <w:ilvl w:val="0"/>
                <w:numId w:val="22"/>
              </w:numPr>
              <w:spacing w:line="240" w:lineRule="auto"/>
              <w:ind w:left="367" w:hanging="353"/>
              <w:rPr>
                <w:rFonts w:ascii="Times New Roman" w:hAnsi="Times New Roman" w:cs="Times New Roman"/>
                <w:noProof/>
                <w:sz w:val="18"/>
                <w:szCs w:val="18"/>
              </w:rPr>
            </w:pPr>
            <w:r w:rsidRPr="00A33B9F">
              <w:rPr>
                <w:rFonts w:ascii="Times New Roman" w:hAnsi="Times New Roman"/>
                <w:noProof/>
                <w:sz w:val="18"/>
              </w:rPr>
              <w:t>wzmocnione zostaną gwarancje proceduralne</w:t>
            </w:r>
            <w:r w:rsidR="00A33B9F" w:rsidRPr="00A33B9F">
              <w:rPr>
                <w:rFonts w:ascii="Times New Roman" w:hAnsi="Times New Roman"/>
                <w:noProof/>
                <w:sz w:val="18"/>
              </w:rPr>
              <w:t xml:space="preserve"> i upr</w:t>
            </w:r>
            <w:r w:rsidRPr="00A33B9F">
              <w:rPr>
                <w:rFonts w:ascii="Times New Roman" w:hAnsi="Times New Roman"/>
                <w:noProof/>
                <w:sz w:val="18"/>
              </w:rPr>
              <w:t>awnienia stron</w:t>
            </w:r>
            <w:r w:rsidR="00A33B9F" w:rsidRPr="00A33B9F">
              <w:rPr>
                <w:rFonts w:ascii="Times New Roman" w:hAnsi="Times New Roman"/>
                <w:noProof/>
                <w:sz w:val="18"/>
              </w:rPr>
              <w:t xml:space="preserve"> w pos</w:t>
            </w:r>
            <w:r w:rsidRPr="00A33B9F">
              <w:rPr>
                <w:rFonts w:ascii="Times New Roman" w:hAnsi="Times New Roman"/>
                <w:noProof/>
                <w:sz w:val="18"/>
              </w:rPr>
              <w:t>tępowaniach dyscyplinarnych dotyczących sędziów poprzez:</w:t>
            </w:r>
            <w:r w:rsidR="00C3621A" w:rsidRPr="00A33B9F">
              <w:rPr>
                <w:rFonts w:ascii="Times New Roman" w:hAnsi="Times New Roman"/>
                <w:noProof/>
                <w:sz w:val="18"/>
              </w:rPr>
              <w:t xml:space="preserve"> </w:t>
            </w:r>
          </w:p>
          <w:p w14:paraId="239F63FE" w14:textId="301E8D19" w:rsidR="007D7826" w:rsidRPr="00A33B9F" w:rsidRDefault="00126FEB" w:rsidP="00394B30">
            <w:pPr>
              <w:pStyle w:val="ListParagraph"/>
              <w:numPr>
                <w:ilvl w:val="0"/>
                <w:numId w:val="25"/>
              </w:numPr>
              <w:spacing w:line="240" w:lineRule="auto"/>
              <w:rPr>
                <w:rFonts w:ascii="Times New Roman" w:hAnsi="Times New Roman" w:cs="Times New Roman"/>
                <w:noProof/>
                <w:sz w:val="18"/>
                <w:szCs w:val="18"/>
              </w:rPr>
            </w:pPr>
            <w:r w:rsidRPr="00A33B9F">
              <w:rPr>
                <w:rFonts w:ascii="Times New Roman" w:hAnsi="Times New Roman"/>
                <w:noProof/>
                <w:sz w:val="18"/>
              </w:rPr>
              <w:t>zapewnienie, aby sprawy dyscyplinarne przeciwko sędziom sądów powszechnych były rozpoznawane</w:t>
            </w:r>
            <w:r w:rsidR="00A33B9F" w:rsidRPr="00A33B9F">
              <w:rPr>
                <w:rFonts w:ascii="Times New Roman" w:hAnsi="Times New Roman"/>
                <w:noProof/>
                <w:sz w:val="18"/>
              </w:rPr>
              <w:t xml:space="preserve"> w roz</w:t>
            </w:r>
            <w:r w:rsidRPr="00A33B9F">
              <w:rPr>
                <w:rFonts w:ascii="Times New Roman" w:hAnsi="Times New Roman"/>
                <w:noProof/>
                <w:sz w:val="18"/>
              </w:rPr>
              <w:t>sądnym terminie,</w:t>
            </w:r>
          </w:p>
          <w:p w14:paraId="32AAA8F8" w14:textId="77777777" w:rsidR="007D7826" w:rsidRPr="00A33B9F" w:rsidRDefault="007D7826" w:rsidP="00730F7D">
            <w:pPr>
              <w:pStyle w:val="ListParagraph"/>
              <w:spacing w:line="240" w:lineRule="auto"/>
              <w:rPr>
                <w:rFonts w:ascii="Times New Roman" w:hAnsi="Times New Roman" w:cs="Times New Roman"/>
                <w:noProof/>
                <w:sz w:val="18"/>
                <w:szCs w:val="18"/>
              </w:rPr>
            </w:pPr>
          </w:p>
          <w:p w14:paraId="6B97E0F8" w14:textId="5A2D89C9" w:rsidR="007D7826" w:rsidRPr="00A33B9F" w:rsidRDefault="304B9EA3" w:rsidP="00394B30">
            <w:pPr>
              <w:pStyle w:val="ListParagraph"/>
              <w:numPr>
                <w:ilvl w:val="0"/>
                <w:numId w:val="25"/>
              </w:numPr>
              <w:spacing w:line="240" w:lineRule="auto"/>
              <w:rPr>
                <w:rFonts w:ascii="Times New Roman" w:hAnsi="Times New Roman" w:cs="Times New Roman"/>
                <w:noProof/>
                <w:sz w:val="18"/>
                <w:szCs w:val="18"/>
              </w:rPr>
            </w:pPr>
            <w:r w:rsidRPr="00A33B9F">
              <w:rPr>
                <w:rFonts w:ascii="Times New Roman" w:hAnsi="Times New Roman"/>
                <w:noProof/>
                <w:sz w:val="18"/>
              </w:rPr>
              <w:t>uściślenie przepisów dotyczących właściwości miejscowej sądów rozpoznających sprawy dyscyplinarne, aby zapewnić możliwość bezpośredniego ustalenia właściwego sądu zgodnie</w:t>
            </w:r>
            <w:r w:rsidR="00A33B9F" w:rsidRPr="00A33B9F">
              <w:rPr>
                <w:rFonts w:ascii="Times New Roman" w:hAnsi="Times New Roman"/>
                <w:noProof/>
                <w:sz w:val="18"/>
              </w:rPr>
              <w:t xml:space="preserve"> z akt</w:t>
            </w:r>
            <w:r w:rsidRPr="00A33B9F">
              <w:rPr>
                <w:rFonts w:ascii="Times New Roman" w:hAnsi="Times New Roman"/>
                <w:noProof/>
                <w:sz w:val="18"/>
              </w:rPr>
              <w:t>em ustawodawczym oraz</w:t>
            </w:r>
          </w:p>
          <w:p w14:paraId="1DB11DF7" w14:textId="77777777" w:rsidR="007D7826" w:rsidRPr="00A33B9F" w:rsidRDefault="007D7826" w:rsidP="00730F7D">
            <w:pPr>
              <w:pStyle w:val="ListParagraph"/>
              <w:spacing w:line="240" w:lineRule="auto"/>
              <w:rPr>
                <w:rFonts w:ascii="Times New Roman" w:hAnsi="Times New Roman" w:cs="Times New Roman"/>
                <w:noProof/>
                <w:sz w:val="18"/>
                <w:szCs w:val="18"/>
              </w:rPr>
            </w:pPr>
          </w:p>
          <w:p w14:paraId="45A25A01" w14:textId="523064E5" w:rsidR="00126FEB" w:rsidRPr="00A33B9F" w:rsidRDefault="77B00166" w:rsidP="00394B30">
            <w:pPr>
              <w:pStyle w:val="ListParagraph"/>
              <w:numPr>
                <w:ilvl w:val="0"/>
                <w:numId w:val="25"/>
              </w:numPr>
              <w:spacing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zapewnienie, aby wyznaczenie obrońcy</w:t>
            </w:r>
            <w:r w:rsidR="00A33B9F" w:rsidRPr="00A33B9F">
              <w:rPr>
                <w:rFonts w:ascii="Times New Roman" w:hAnsi="Times New Roman"/>
                <w:noProof/>
                <w:sz w:val="18"/>
              </w:rPr>
              <w:t xml:space="preserve"> w pos</w:t>
            </w:r>
            <w:r w:rsidRPr="00A33B9F">
              <w:rPr>
                <w:rFonts w:ascii="Times New Roman" w:hAnsi="Times New Roman"/>
                <w:noProof/>
                <w:sz w:val="18"/>
              </w:rPr>
              <w:t>tępowaniu dyscyplinarnym dotyczącym danego sędziego odbywało się</w:t>
            </w:r>
            <w:r w:rsidR="00A33B9F" w:rsidRPr="00A33B9F">
              <w:rPr>
                <w:rFonts w:ascii="Times New Roman" w:hAnsi="Times New Roman"/>
                <w:noProof/>
                <w:sz w:val="18"/>
              </w:rPr>
              <w:t xml:space="preserve"> w roz</w:t>
            </w:r>
            <w:r w:rsidRPr="00A33B9F">
              <w:rPr>
                <w:rFonts w:ascii="Times New Roman" w:hAnsi="Times New Roman"/>
                <w:noProof/>
                <w:sz w:val="18"/>
              </w:rPr>
              <w:t>sądnym terminie,</w:t>
            </w:r>
            <w:r w:rsidR="00A33B9F" w:rsidRPr="00A33B9F">
              <w:rPr>
                <w:rFonts w:ascii="Times New Roman" w:hAnsi="Times New Roman"/>
                <w:noProof/>
                <w:sz w:val="18"/>
              </w:rPr>
              <w:t xml:space="preserve"> a tak</w:t>
            </w:r>
            <w:r w:rsidRPr="00A33B9F">
              <w:rPr>
                <w:rFonts w:ascii="Times New Roman" w:hAnsi="Times New Roman"/>
                <w:noProof/>
                <w:sz w:val="18"/>
              </w:rPr>
              <w:t>że zapewnienie czasu na merytoryczne przygotowanie się obrońcy do wykonywania jego funkcji</w:t>
            </w:r>
            <w:r w:rsidR="00A33B9F" w:rsidRPr="00A33B9F">
              <w:rPr>
                <w:rFonts w:ascii="Times New Roman" w:hAnsi="Times New Roman"/>
                <w:noProof/>
                <w:sz w:val="18"/>
              </w:rPr>
              <w:t xml:space="preserve"> w dan</w:t>
            </w:r>
            <w:r w:rsidRPr="00A33B9F">
              <w:rPr>
                <w:rFonts w:ascii="Times New Roman" w:hAnsi="Times New Roman"/>
                <w:noProof/>
                <w:sz w:val="18"/>
              </w:rPr>
              <w:t>ym postępowaniu. Jednocześnie sąd zawiesi postępowanie</w:t>
            </w:r>
            <w:r w:rsidR="00A33B9F" w:rsidRPr="00A33B9F">
              <w:rPr>
                <w:rFonts w:ascii="Times New Roman" w:hAnsi="Times New Roman"/>
                <w:noProof/>
                <w:sz w:val="18"/>
              </w:rPr>
              <w:t xml:space="preserve"> w prz</w:t>
            </w:r>
            <w:r w:rsidRPr="00A33B9F">
              <w:rPr>
                <w:rFonts w:ascii="Times New Roman" w:hAnsi="Times New Roman"/>
                <w:noProof/>
                <w:sz w:val="18"/>
              </w:rPr>
              <w:t>ypadku należycie uzasadnionej nieobecności oskarżonego sędziego lub jego obrońcy.</w:t>
            </w:r>
          </w:p>
        </w:tc>
      </w:tr>
      <w:tr w:rsidR="008C116B" w:rsidRPr="00A33B9F" w14:paraId="3EE52F44" w14:textId="77777777" w:rsidTr="5183624C">
        <w:trPr>
          <w:trHeight w:val="313"/>
        </w:trPr>
        <w:tc>
          <w:tcPr>
            <w:tcW w:w="846" w:type="dxa"/>
            <w:shd w:val="clear" w:color="auto" w:fill="C6EFCE"/>
          </w:tcPr>
          <w:p w14:paraId="0BDAC504"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F2G</w:t>
            </w:r>
          </w:p>
        </w:tc>
        <w:tc>
          <w:tcPr>
            <w:tcW w:w="1457" w:type="dxa"/>
            <w:shd w:val="clear" w:color="auto" w:fill="C6EFCE"/>
          </w:tcPr>
          <w:p w14:paraId="62C4D264" w14:textId="3A990147" w:rsidR="00126FEB" w:rsidRPr="00A33B9F" w:rsidRDefault="00126FEB"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F1.2 Reforma mająca na celu poprawę sytuacji sędziów, których dotyczą uchwały Izby Dyscyplinarnej polskiego Sądu Najwyższego</w:t>
            </w:r>
            <w:r w:rsidR="00A33B9F" w:rsidRPr="00A33B9F">
              <w:rPr>
                <w:rFonts w:ascii="Times New Roman" w:hAnsi="Times New Roman"/>
                <w:noProof/>
                <w:sz w:val="18"/>
              </w:rPr>
              <w:t xml:space="preserve"> w spr</w:t>
            </w:r>
            <w:r w:rsidRPr="00A33B9F">
              <w:rPr>
                <w:rFonts w:ascii="Times New Roman" w:hAnsi="Times New Roman"/>
                <w:noProof/>
                <w:sz w:val="18"/>
              </w:rPr>
              <w:t>awach dyscyplinarnych</w:t>
            </w:r>
            <w:r w:rsidR="00A33B9F" w:rsidRPr="00A33B9F">
              <w:rPr>
                <w:rFonts w:ascii="Times New Roman" w:hAnsi="Times New Roman"/>
                <w:noProof/>
                <w:sz w:val="18"/>
              </w:rPr>
              <w:t xml:space="preserve"> i dot</w:t>
            </w:r>
            <w:r w:rsidRPr="00A33B9F">
              <w:rPr>
                <w:rFonts w:ascii="Times New Roman" w:hAnsi="Times New Roman"/>
                <w:noProof/>
                <w:sz w:val="18"/>
              </w:rPr>
              <w:t>yczących immunitetu sędziowskiego</w:t>
            </w:r>
          </w:p>
          <w:p w14:paraId="33C8276D"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10" w:type="dxa"/>
            <w:shd w:val="clear" w:color="auto" w:fill="C6EFCE"/>
          </w:tcPr>
          <w:p w14:paraId="209D5ABD"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Kamień milowy</w:t>
            </w:r>
          </w:p>
        </w:tc>
        <w:tc>
          <w:tcPr>
            <w:tcW w:w="1601" w:type="dxa"/>
            <w:shd w:val="clear" w:color="auto" w:fill="C6EFCE"/>
          </w:tcPr>
          <w:p w14:paraId="4FAECBD7" w14:textId="4D66FE5B"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reformy mającej na celu poprawę sytuacji sędziów, których dotyczą uchwały Izby Dyscyplinarnej polskiego Sądu Najwyższego</w:t>
            </w:r>
            <w:r w:rsidR="00A33B9F" w:rsidRPr="00A33B9F">
              <w:rPr>
                <w:rFonts w:ascii="Times New Roman" w:hAnsi="Times New Roman"/>
                <w:noProof/>
                <w:sz w:val="18"/>
              </w:rPr>
              <w:t xml:space="preserve"> w spr</w:t>
            </w:r>
            <w:r w:rsidRPr="00A33B9F">
              <w:rPr>
                <w:rFonts w:ascii="Times New Roman" w:hAnsi="Times New Roman"/>
                <w:noProof/>
                <w:sz w:val="18"/>
              </w:rPr>
              <w:t>awach dyscyplinarnych</w:t>
            </w:r>
            <w:r w:rsidR="00A33B9F" w:rsidRPr="00A33B9F">
              <w:rPr>
                <w:rFonts w:ascii="Times New Roman" w:hAnsi="Times New Roman"/>
                <w:noProof/>
                <w:sz w:val="18"/>
              </w:rPr>
              <w:t xml:space="preserve"> i dot</w:t>
            </w:r>
            <w:r w:rsidRPr="00A33B9F">
              <w:rPr>
                <w:rFonts w:ascii="Times New Roman" w:hAnsi="Times New Roman"/>
                <w:noProof/>
                <w:sz w:val="18"/>
              </w:rPr>
              <w:t xml:space="preserve">yczących immunitetu sędziowskiego </w:t>
            </w:r>
          </w:p>
        </w:tc>
        <w:tc>
          <w:tcPr>
            <w:tcW w:w="1742" w:type="dxa"/>
            <w:shd w:val="clear" w:color="auto" w:fill="C6EFCE"/>
          </w:tcPr>
          <w:p w14:paraId="321BA7E7" w14:textId="378BA5A7" w:rsidR="00126FEB" w:rsidRPr="00A33B9F" w:rsidRDefault="00126FEB"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Przepis</w:t>
            </w:r>
            <w:r w:rsidR="00A33B9F" w:rsidRPr="00A33B9F">
              <w:rPr>
                <w:rFonts w:ascii="Times New Roman" w:hAnsi="Times New Roman"/>
                <w:noProof/>
                <w:sz w:val="18"/>
              </w:rPr>
              <w:t xml:space="preserve"> w akc</w:t>
            </w:r>
            <w:r w:rsidRPr="00A33B9F">
              <w:rPr>
                <w:rFonts w:ascii="Times New Roman" w:hAnsi="Times New Roman"/>
                <w:noProof/>
                <w:sz w:val="18"/>
              </w:rPr>
              <w:t>ie prawnym wskazujący na wejście</w:t>
            </w:r>
            <w:r w:rsidR="00A33B9F" w:rsidRPr="00A33B9F">
              <w:rPr>
                <w:rFonts w:ascii="Times New Roman" w:hAnsi="Times New Roman"/>
                <w:noProof/>
                <w:sz w:val="18"/>
              </w:rPr>
              <w:t xml:space="preserve"> w życ</w:t>
            </w:r>
            <w:r w:rsidRPr="00A33B9F">
              <w:rPr>
                <w:rFonts w:ascii="Times New Roman" w:hAnsi="Times New Roman"/>
                <w:noProof/>
                <w:sz w:val="18"/>
              </w:rPr>
              <w:t>ie</w:t>
            </w:r>
          </w:p>
          <w:p w14:paraId="7FCEE65F" w14:textId="3DE73114"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075" w:type="dxa"/>
            <w:shd w:val="clear" w:color="auto" w:fill="C6EFCE"/>
          </w:tcPr>
          <w:p w14:paraId="3F68C099"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34" w:type="dxa"/>
            <w:shd w:val="clear" w:color="auto" w:fill="C6EFCE"/>
          </w:tcPr>
          <w:p w14:paraId="30B1919D"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763" w:type="dxa"/>
            <w:gridSpan w:val="2"/>
            <w:shd w:val="clear" w:color="auto" w:fill="C6EFCE"/>
          </w:tcPr>
          <w:p w14:paraId="272BFA52"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1021" w:type="dxa"/>
            <w:gridSpan w:val="2"/>
            <w:shd w:val="clear" w:color="auto" w:fill="C6EFCE"/>
          </w:tcPr>
          <w:p w14:paraId="5D2EDDCD"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sz w:val="18"/>
              </w:rPr>
              <w:t>II kw.</w:t>
            </w:r>
          </w:p>
        </w:tc>
        <w:tc>
          <w:tcPr>
            <w:tcW w:w="872" w:type="dxa"/>
            <w:gridSpan w:val="2"/>
            <w:shd w:val="clear" w:color="auto" w:fill="C6EFCE"/>
          </w:tcPr>
          <w:p w14:paraId="69FFDC49"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2022</w:t>
            </w:r>
          </w:p>
        </w:tc>
        <w:tc>
          <w:tcPr>
            <w:tcW w:w="4351" w:type="dxa"/>
            <w:gridSpan w:val="2"/>
            <w:shd w:val="clear" w:color="auto" w:fill="C6EFCE"/>
          </w:tcPr>
          <w:p w14:paraId="17B2BC0E" w14:textId="242DCAD6"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reformy, która ma zapewnić sędziom, których dotyczą decyzje Izby Dyscyplinarnej Sądu Najwyższego, dostęp do ponownego rozpoznania ich spraw. Takie sprawy już rozstrzygnięte przez Izbę Dyscyplinarną podlegają rozpatrzeniu przez sąd spełniający wymogi art.</w:t>
            </w:r>
            <w:r w:rsidR="00A33B9F" w:rsidRPr="00A33B9F">
              <w:rPr>
                <w:rFonts w:ascii="Times New Roman" w:hAnsi="Times New Roman"/>
                <w:noProof/>
                <w:sz w:val="18"/>
              </w:rPr>
              <w:t> </w:t>
            </w:r>
            <w:r w:rsidRPr="00A33B9F">
              <w:rPr>
                <w:rFonts w:ascii="Times New Roman" w:hAnsi="Times New Roman"/>
                <w:noProof/>
                <w:sz w:val="18"/>
              </w:rPr>
              <w:t>19 ust.</w:t>
            </w:r>
            <w:r w:rsidR="00A33B9F" w:rsidRPr="00A33B9F">
              <w:rPr>
                <w:rFonts w:ascii="Times New Roman" w:hAnsi="Times New Roman"/>
                <w:noProof/>
                <w:sz w:val="18"/>
              </w:rPr>
              <w:t> </w:t>
            </w:r>
            <w:r w:rsidRPr="00A33B9F">
              <w:rPr>
                <w:rFonts w:ascii="Times New Roman" w:hAnsi="Times New Roman"/>
                <w:noProof/>
                <w:sz w:val="18"/>
              </w:rPr>
              <w:t>1 Traktatu UE zgodnie</w:t>
            </w:r>
            <w:r w:rsidR="00A33B9F" w:rsidRPr="00A33B9F">
              <w:rPr>
                <w:rFonts w:ascii="Times New Roman" w:hAnsi="Times New Roman"/>
                <w:noProof/>
                <w:sz w:val="18"/>
              </w:rPr>
              <w:t xml:space="preserve"> z prz</w:t>
            </w:r>
            <w:r w:rsidRPr="00A33B9F">
              <w:rPr>
                <w:rFonts w:ascii="Times New Roman" w:hAnsi="Times New Roman"/>
                <w:noProof/>
                <w:sz w:val="18"/>
              </w:rPr>
              <w:t>episami, które zostaną przyjęte na podstawie kamienia milowego F1G powyżej. Akt ustawodawczy stanowi, że pierwsza rozprawa sądu orzekającego</w:t>
            </w:r>
            <w:r w:rsidR="00A33B9F" w:rsidRPr="00A33B9F">
              <w:rPr>
                <w:rFonts w:ascii="Times New Roman" w:hAnsi="Times New Roman"/>
                <w:noProof/>
                <w:sz w:val="18"/>
              </w:rPr>
              <w:t xml:space="preserve"> w tyc</w:t>
            </w:r>
            <w:r w:rsidRPr="00A33B9F">
              <w:rPr>
                <w:rFonts w:ascii="Times New Roman" w:hAnsi="Times New Roman"/>
                <w:noProof/>
                <w:sz w:val="18"/>
              </w:rPr>
              <w:t>h sprawach odbywa się</w:t>
            </w:r>
            <w:r w:rsidR="00A33B9F" w:rsidRPr="00A33B9F">
              <w:rPr>
                <w:rFonts w:ascii="Times New Roman" w:hAnsi="Times New Roman"/>
                <w:noProof/>
                <w:sz w:val="18"/>
              </w:rPr>
              <w:t xml:space="preserve"> w ter</w:t>
            </w:r>
            <w:r w:rsidRPr="00A33B9F">
              <w:rPr>
                <w:rFonts w:ascii="Times New Roman" w:hAnsi="Times New Roman"/>
                <w:noProof/>
                <w:sz w:val="18"/>
              </w:rPr>
              <w:t>minie trzech miesięcy od otrzymania wniosku sędziego</w:t>
            </w:r>
            <w:r w:rsidR="00A33B9F" w:rsidRPr="00A33B9F">
              <w:rPr>
                <w:rFonts w:ascii="Times New Roman" w:hAnsi="Times New Roman"/>
                <w:noProof/>
                <w:sz w:val="18"/>
              </w:rPr>
              <w:t xml:space="preserve"> o pon</w:t>
            </w:r>
            <w:r w:rsidRPr="00A33B9F">
              <w:rPr>
                <w:rFonts w:ascii="Times New Roman" w:hAnsi="Times New Roman"/>
                <w:noProof/>
                <w:sz w:val="18"/>
              </w:rPr>
              <w:t>owne rozpoznanie,</w:t>
            </w:r>
            <w:r w:rsidR="00A33B9F" w:rsidRPr="00A33B9F">
              <w:rPr>
                <w:rFonts w:ascii="Times New Roman" w:hAnsi="Times New Roman"/>
                <w:noProof/>
                <w:sz w:val="18"/>
              </w:rPr>
              <w:t xml:space="preserve"> a spr</w:t>
            </w:r>
            <w:r w:rsidRPr="00A33B9F">
              <w:rPr>
                <w:rFonts w:ascii="Times New Roman" w:hAnsi="Times New Roman"/>
                <w:noProof/>
                <w:sz w:val="18"/>
              </w:rPr>
              <w:t>awy rozstrzyga się</w:t>
            </w:r>
            <w:r w:rsidR="00A33B9F" w:rsidRPr="00A33B9F">
              <w:rPr>
                <w:rFonts w:ascii="Times New Roman" w:hAnsi="Times New Roman"/>
                <w:noProof/>
                <w:sz w:val="18"/>
              </w:rPr>
              <w:t xml:space="preserve"> w ter</w:t>
            </w:r>
            <w:r w:rsidRPr="00A33B9F">
              <w:rPr>
                <w:rFonts w:ascii="Times New Roman" w:hAnsi="Times New Roman"/>
                <w:noProof/>
                <w:sz w:val="18"/>
              </w:rPr>
              <w:t>minie dwunastu miesięcy od otrzymania takiego wniosku. Sprawy, które obecnie nadal są rozpatrywane przez Izbę Dyscyplinarną, zostaną przekazane do dalszego rozpoznania sądowi, zgodnie</w:t>
            </w:r>
            <w:r w:rsidR="00A33B9F" w:rsidRPr="00A33B9F">
              <w:rPr>
                <w:rFonts w:ascii="Times New Roman" w:hAnsi="Times New Roman"/>
                <w:noProof/>
                <w:sz w:val="18"/>
              </w:rPr>
              <w:t xml:space="preserve"> z zas</w:t>
            </w:r>
            <w:r w:rsidRPr="00A33B9F">
              <w:rPr>
                <w:rFonts w:ascii="Times New Roman" w:hAnsi="Times New Roman"/>
                <w:noProof/>
                <w:sz w:val="18"/>
              </w:rPr>
              <w:t>adami określonymi</w:t>
            </w:r>
            <w:r w:rsidR="00A33B9F" w:rsidRPr="00A33B9F">
              <w:rPr>
                <w:rFonts w:ascii="Times New Roman" w:hAnsi="Times New Roman"/>
                <w:noProof/>
                <w:sz w:val="18"/>
              </w:rPr>
              <w:t xml:space="preserve"> w ram</w:t>
            </w:r>
            <w:r w:rsidRPr="00A33B9F">
              <w:rPr>
                <w:rFonts w:ascii="Times New Roman" w:hAnsi="Times New Roman"/>
                <w:noProof/>
                <w:sz w:val="18"/>
              </w:rPr>
              <w:t>ach wyżej wymienionego postępowania.</w:t>
            </w:r>
          </w:p>
        </w:tc>
      </w:tr>
      <w:tr w:rsidR="008C116B" w:rsidRPr="00A33B9F" w14:paraId="0997543D" w14:textId="77777777" w:rsidTr="5183624C">
        <w:trPr>
          <w:trHeight w:val="313"/>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95316CC"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F3G</w:t>
            </w: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DA23D9" w14:textId="6A0D659E"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F1.2 Reforma mająca na celu poprawę sytuacji sędziów, których dotyczą uchwały Izby Dyscyplinarnej polskiego Sądu Najwyższego</w:t>
            </w:r>
            <w:r w:rsidR="00A33B9F" w:rsidRPr="00A33B9F">
              <w:rPr>
                <w:rFonts w:ascii="Times New Roman" w:hAnsi="Times New Roman"/>
                <w:noProof/>
                <w:sz w:val="18"/>
              </w:rPr>
              <w:t xml:space="preserve"> w spr</w:t>
            </w:r>
            <w:r w:rsidRPr="00A33B9F">
              <w:rPr>
                <w:rFonts w:ascii="Times New Roman" w:hAnsi="Times New Roman"/>
                <w:noProof/>
                <w:sz w:val="18"/>
              </w:rPr>
              <w:t>awach dyscyplinarnych</w:t>
            </w:r>
            <w:r w:rsidR="00A33B9F" w:rsidRPr="00A33B9F">
              <w:rPr>
                <w:rFonts w:ascii="Times New Roman" w:hAnsi="Times New Roman"/>
                <w:noProof/>
                <w:sz w:val="18"/>
              </w:rPr>
              <w:t xml:space="preserve"> i dot</w:t>
            </w:r>
            <w:r w:rsidRPr="00A33B9F">
              <w:rPr>
                <w:rFonts w:ascii="Times New Roman" w:hAnsi="Times New Roman"/>
                <w:noProof/>
                <w:sz w:val="18"/>
              </w:rPr>
              <w:t>yczących immunitetu sędziowskiego</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9E3511"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Kamień milowy</w:t>
            </w:r>
          </w:p>
        </w:tc>
        <w:tc>
          <w:tcPr>
            <w:tcW w:w="1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66A31E" w14:textId="1765D7DF"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Reforma mająca na celu poprawę sytuacji sędziów, których dotyczą uchwały Izby Dyscyplinarnej polskiego Sądu Najwyższego</w:t>
            </w:r>
            <w:r w:rsidR="00A33B9F" w:rsidRPr="00A33B9F">
              <w:rPr>
                <w:rFonts w:ascii="Times New Roman" w:hAnsi="Times New Roman"/>
                <w:noProof/>
                <w:sz w:val="18"/>
              </w:rPr>
              <w:t xml:space="preserve"> w spr</w:t>
            </w:r>
            <w:r w:rsidRPr="00A33B9F">
              <w:rPr>
                <w:rFonts w:ascii="Times New Roman" w:hAnsi="Times New Roman"/>
                <w:noProof/>
                <w:sz w:val="18"/>
              </w:rPr>
              <w:t>awach dyscyplinarnych</w:t>
            </w:r>
            <w:r w:rsidR="00A33B9F" w:rsidRPr="00A33B9F">
              <w:rPr>
                <w:rFonts w:ascii="Times New Roman" w:hAnsi="Times New Roman"/>
                <w:noProof/>
                <w:sz w:val="18"/>
              </w:rPr>
              <w:t xml:space="preserve"> i dot</w:t>
            </w:r>
            <w:r w:rsidRPr="00A33B9F">
              <w:rPr>
                <w:rFonts w:ascii="Times New Roman" w:hAnsi="Times New Roman"/>
                <w:noProof/>
                <w:sz w:val="18"/>
              </w:rPr>
              <w:t xml:space="preserve">yczących immunitetu sędziowskiego </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48C9CDA" w14:textId="7D35224C"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Sprawy,</w:t>
            </w:r>
            <w:r w:rsidR="00A33B9F" w:rsidRPr="00A33B9F">
              <w:rPr>
                <w:rFonts w:ascii="Times New Roman" w:hAnsi="Times New Roman"/>
                <w:noProof/>
                <w:sz w:val="18"/>
              </w:rPr>
              <w:t xml:space="preserve"> w któ</w:t>
            </w:r>
            <w:r w:rsidRPr="00A33B9F">
              <w:rPr>
                <w:rFonts w:ascii="Times New Roman" w:hAnsi="Times New Roman"/>
                <w:noProof/>
                <w:sz w:val="18"/>
              </w:rPr>
              <w:t>rych dokonano orzeczenia</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6A20B3"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F755423"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32985C6"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0000"/>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FDEC93"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IV kw.</w:t>
            </w:r>
          </w:p>
        </w:tc>
        <w:tc>
          <w:tcPr>
            <w:tcW w:w="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698FC2"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0000"/>
                <w:sz w:val="18"/>
                <w:szCs w:val="18"/>
              </w:rPr>
            </w:pPr>
            <w:r w:rsidRPr="00A33B9F">
              <w:rPr>
                <w:rFonts w:ascii="Times New Roman" w:hAnsi="Times New Roman"/>
                <w:noProof/>
                <w:sz w:val="18"/>
              </w:rPr>
              <w:t>2023</w:t>
            </w:r>
          </w:p>
        </w:tc>
        <w:tc>
          <w:tcPr>
            <w:tcW w:w="4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EBCBC79" w14:textId="4ED31748" w:rsidR="00126FEB" w:rsidRPr="00A33B9F" w:rsidRDefault="00126FEB" w:rsidP="00126FEB">
            <w:pPr>
              <w:pBdr>
                <w:top w:val="nil"/>
                <w:left w:val="nil"/>
                <w:bottom w:val="nil"/>
                <w:right w:val="nil"/>
                <w:between w:val="nil"/>
              </w:pBdr>
              <w:spacing w:after="0" w:line="240" w:lineRule="auto"/>
              <w:rPr>
                <w:rFonts w:ascii="Times New Roman" w:eastAsia="Times New Roman" w:hAnsi="Times New Roman" w:cs="Times New Roman"/>
                <w:noProof/>
                <w:color w:val="000000"/>
                <w:sz w:val="18"/>
                <w:szCs w:val="18"/>
              </w:rPr>
            </w:pPr>
            <w:r w:rsidRPr="00A33B9F">
              <w:rPr>
                <w:rFonts w:ascii="Times New Roman" w:hAnsi="Times New Roman"/>
                <w:noProof/>
                <w:sz w:val="18"/>
              </w:rPr>
              <w:t>Wszystkie ponownie rozpatrywane sprawy wszczęte zgodnie</w:t>
            </w:r>
            <w:r w:rsidR="00A33B9F" w:rsidRPr="00A33B9F">
              <w:rPr>
                <w:rFonts w:ascii="Times New Roman" w:hAnsi="Times New Roman"/>
                <w:noProof/>
                <w:sz w:val="18"/>
              </w:rPr>
              <w:t xml:space="preserve"> z kam</w:t>
            </w:r>
            <w:r w:rsidRPr="00A33B9F">
              <w:rPr>
                <w:rFonts w:ascii="Times New Roman" w:hAnsi="Times New Roman"/>
                <w:noProof/>
                <w:sz w:val="18"/>
              </w:rPr>
              <w:t>ieniem milowym F2G podlegają rozstrzygnięciu, chyba że zachodzą należycie uzasadnione wyjątkowe okoliczności.</w:t>
            </w:r>
          </w:p>
        </w:tc>
      </w:tr>
      <w:tr w:rsidR="008C116B" w:rsidRPr="00A33B9F" w14:paraId="7ED83436" w14:textId="77777777" w:rsidTr="5183624C">
        <w:trPr>
          <w:trHeight w:val="313"/>
        </w:trPr>
        <w:tc>
          <w:tcPr>
            <w:tcW w:w="846" w:type="dxa"/>
            <w:shd w:val="clear" w:color="auto" w:fill="C6EFCE"/>
          </w:tcPr>
          <w:p w14:paraId="0D875951"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F4G</w:t>
            </w:r>
          </w:p>
        </w:tc>
        <w:tc>
          <w:tcPr>
            <w:tcW w:w="1457" w:type="dxa"/>
            <w:shd w:val="clear" w:color="auto" w:fill="C6EFCE"/>
          </w:tcPr>
          <w:p w14:paraId="1C7A31E6" w14:textId="77777777" w:rsidR="00126FEB" w:rsidRPr="00A33B9F" w:rsidRDefault="00126FEB"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F2.1 Usprawnienie procesu stanowienia prawa</w:t>
            </w:r>
          </w:p>
          <w:p w14:paraId="16D9043F"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10" w:type="dxa"/>
            <w:shd w:val="clear" w:color="auto" w:fill="C6EFCE"/>
          </w:tcPr>
          <w:p w14:paraId="1E84A780" w14:textId="77777777" w:rsidR="00126FEB" w:rsidRPr="00A33B9F" w:rsidRDefault="00126FEB"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Kamień milowy</w:t>
            </w:r>
          </w:p>
          <w:p w14:paraId="621A9F55"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601" w:type="dxa"/>
            <w:shd w:val="clear" w:color="auto" w:fill="C6EFCE"/>
          </w:tcPr>
          <w:p w14:paraId="325F64CF" w14:textId="5BA6CF96"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zmienionego Regulaminu Sejmu, Senatu</w:t>
            </w:r>
            <w:r w:rsidR="00A33B9F" w:rsidRPr="00A33B9F">
              <w:rPr>
                <w:rFonts w:ascii="Times New Roman" w:hAnsi="Times New Roman"/>
                <w:noProof/>
                <w:sz w:val="18"/>
              </w:rPr>
              <w:t xml:space="preserve"> i Rad</w:t>
            </w:r>
            <w:r w:rsidRPr="00A33B9F">
              <w:rPr>
                <w:rFonts w:ascii="Times New Roman" w:hAnsi="Times New Roman"/>
                <w:noProof/>
                <w:sz w:val="18"/>
              </w:rPr>
              <w:t>y Ministrów</w:t>
            </w:r>
            <w:r w:rsidR="00A33B9F" w:rsidRPr="00A33B9F">
              <w:rPr>
                <w:rFonts w:ascii="Times New Roman" w:hAnsi="Times New Roman"/>
                <w:noProof/>
                <w:sz w:val="18"/>
              </w:rPr>
              <w:t xml:space="preserve"> w cel</w:t>
            </w:r>
            <w:r w:rsidRPr="00A33B9F">
              <w:rPr>
                <w:rFonts w:ascii="Times New Roman" w:hAnsi="Times New Roman"/>
                <w:noProof/>
                <w:sz w:val="18"/>
              </w:rPr>
              <w:t>u większego wykorzystania konsultacji publicznych</w:t>
            </w:r>
            <w:r w:rsidR="00A33B9F" w:rsidRPr="00A33B9F">
              <w:rPr>
                <w:rFonts w:ascii="Times New Roman" w:hAnsi="Times New Roman"/>
                <w:noProof/>
                <w:sz w:val="18"/>
              </w:rPr>
              <w:t xml:space="preserve"> i oce</w:t>
            </w:r>
            <w:r w:rsidRPr="00A33B9F">
              <w:rPr>
                <w:rFonts w:ascii="Times New Roman" w:hAnsi="Times New Roman"/>
                <w:noProof/>
                <w:sz w:val="18"/>
              </w:rPr>
              <w:t>ny skutków</w:t>
            </w:r>
            <w:r w:rsidR="00A33B9F" w:rsidRPr="00A33B9F">
              <w:rPr>
                <w:rFonts w:ascii="Times New Roman" w:hAnsi="Times New Roman"/>
                <w:noProof/>
                <w:sz w:val="18"/>
              </w:rPr>
              <w:t xml:space="preserve"> w pro</w:t>
            </w:r>
            <w:r w:rsidRPr="00A33B9F">
              <w:rPr>
                <w:rFonts w:ascii="Times New Roman" w:hAnsi="Times New Roman"/>
                <w:noProof/>
                <w:sz w:val="18"/>
              </w:rPr>
              <w:t>cesie stanowienia prawa</w:t>
            </w:r>
          </w:p>
        </w:tc>
        <w:tc>
          <w:tcPr>
            <w:tcW w:w="1742" w:type="dxa"/>
            <w:shd w:val="clear" w:color="auto" w:fill="C6EFCE"/>
          </w:tcPr>
          <w:p w14:paraId="10AB2661" w14:textId="46CA5280" w:rsidR="00126FEB" w:rsidRPr="00A33B9F" w:rsidRDefault="48E88E45"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Przepisy</w:t>
            </w:r>
            <w:r w:rsidR="00A33B9F" w:rsidRPr="00A33B9F">
              <w:rPr>
                <w:rFonts w:ascii="Times New Roman" w:hAnsi="Times New Roman"/>
                <w:noProof/>
                <w:sz w:val="18"/>
              </w:rPr>
              <w:t xml:space="preserve"> w akt</w:t>
            </w:r>
            <w:r w:rsidRPr="00A33B9F">
              <w:rPr>
                <w:rFonts w:ascii="Times New Roman" w:hAnsi="Times New Roman"/>
                <w:noProof/>
                <w:sz w:val="18"/>
              </w:rPr>
              <w:t>ach prawnych wskazujące na wejście</w:t>
            </w:r>
            <w:r w:rsidR="00A33B9F" w:rsidRPr="00A33B9F">
              <w:rPr>
                <w:rFonts w:ascii="Times New Roman" w:hAnsi="Times New Roman"/>
                <w:noProof/>
                <w:sz w:val="18"/>
              </w:rPr>
              <w:t xml:space="preserve"> w życ</w:t>
            </w:r>
            <w:r w:rsidRPr="00A33B9F">
              <w:rPr>
                <w:rFonts w:ascii="Times New Roman" w:hAnsi="Times New Roman"/>
                <w:noProof/>
                <w:sz w:val="18"/>
              </w:rPr>
              <w:t>ie</w:t>
            </w:r>
          </w:p>
          <w:p w14:paraId="10EC0E2A"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075" w:type="dxa"/>
            <w:shd w:val="clear" w:color="auto" w:fill="C6EFCE"/>
          </w:tcPr>
          <w:p w14:paraId="4AE81A34"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34" w:type="dxa"/>
            <w:shd w:val="clear" w:color="auto" w:fill="C6EFCE"/>
          </w:tcPr>
          <w:p w14:paraId="45421887"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763" w:type="dxa"/>
            <w:gridSpan w:val="2"/>
            <w:shd w:val="clear" w:color="auto" w:fill="C6EFCE"/>
          </w:tcPr>
          <w:p w14:paraId="13B3D281" w14:textId="77777777" w:rsidR="00126FEB" w:rsidRPr="00A33B9F" w:rsidRDefault="00126FEB" w:rsidP="00126FEB">
            <w:pPr>
              <w:pStyle w:val="Normal0"/>
              <w:pBdr>
                <w:top w:val="nil"/>
                <w:left w:val="nil"/>
                <w:bottom w:val="nil"/>
                <w:right w:val="nil"/>
                <w:between w:val="nil"/>
              </w:pBdr>
              <w:spacing w:after="0" w:line="240" w:lineRule="auto"/>
              <w:jc w:val="right"/>
              <w:rPr>
                <w:rFonts w:ascii="Times New Roman" w:eastAsia="Times New Roman" w:hAnsi="Times New Roman" w:cs="Times New Roman"/>
                <w:noProof/>
                <w:color w:val="006100"/>
                <w:sz w:val="18"/>
                <w:szCs w:val="18"/>
              </w:rPr>
            </w:pPr>
          </w:p>
        </w:tc>
        <w:tc>
          <w:tcPr>
            <w:tcW w:w="1021" w:type="dxa"/>
            <w:gridSpan w:val="2"/>
            <w:shd w:val="clear" w:color="auto" w:fill="C6EFCE"/>
          </w:tcPr>
          <w:p w14:paraId="749F6212"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III kw.</w:t>
            </w:r>
          </w:p>
        </w:tc>
        <w:tc>
          <w:tcPr>
            <w:tcW w:w="872" w:type="dxa"/>
            <w:gridSpan w:val="2"/>
            <w:shd w:val="clear" w:color="auto" w:fill="C6EFCE"/>
          </w:tcPr>
          <w:p w14:paraId="21824A1F"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2022</w:t>
            </w:r>
          </w:p>
        </w:tc>
        <w:tc>
          <w:tcPr>
            <w:tcW w:w="4351" w:type="dxa"/>
            <w:gridSpan w:val="2"/>
            <w:shd w:val="clear" w:color="auto" w:fill="C6EFCE"/>
          </w:tcPr>
          <w:p w14:paraId="1E624B39" w14:textId="17B132A9" w:rsidR="00126FEB" w:rsidRPr="00A33B9F" w:rsidRDefault="00126FEB"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zmienionego Regulaminu Sejmu, Senatu</w:t>
            </w:r>
            <w:r w:rsidR="00A33B9F" w:rsidRPr="00A33B9F">
              <w:rPr>
                <w:rFonts w:ascii="Times New Roman" w:hAnsi="Times New Roman"/>
                <w:noProof/>
                <w:sz w:val="18"/>
              </w:rPr>
              <w:t xml:space="preserve"> i Rad</w:t>
            </w:r>
            <w:r w:rsidRPr="00A33B9F">
              <w:rPr>
                <w:rFonts w:ascii="Times New Roman" w:hAnsi="Times New Roman"/>
                <w:noProof/>
                <w:sz w:val="18"/>
              </w:rPr>
              <w:t>y Ministrów,</w:t>
            </w:r>
            <w:r w:rsidR="00A33B9F" w:rsidRPr="00A33B9F">
              <w:rPr>
                <w:rFonts w:ascii="Times New Roman" w:hAnsi="Times New Roman"/>
                <w:noProof/>
                <w:sz w:val="18"/>
              </w:rPr>
              <w:t xml:space="preserve"> w któ</w:t>
            </w:r>
            <w:r w:rsidRPr="00A33B9F">
              <w:rPr>
                <w:rFonts w:ascii="Times New Roman" w:hAnsi="Times New Roman"/>
                <w:noProof/>
                <w:sz w:val="18"/>
              </w:rPr>
              <w:t>rym: (i) wprowadza się obowiązkową ocenę skutków</w:t>
            </w:r>
            <w:r w:rsidR="00A33B9F" w:rsidRPr="00A33B9F">
              <w:rPr>
                <w:rFonts w:ascii="Times New Roman" w:hAnsi="Times New Roman"/>
                <w:noProof/>
                <w:sz w:val="18"/>
              </w:rPr>
              <w:t xml:space="preserve"> i kon</w:t>
            </w:r>
            <w:r w:rsidRPr="00A33B9F">
              <w:rPr>
                <w:rFonts w:ascii="Times New Roman" w:hAnsi="Times New Roman"/>
                <w:noProof/>
                <w:sz w:val="18"/>
              </w:rPr>
              <w:t>sultacje publiczne</w:t>
            </w:r>
            <w:r w:rsidR="00A33B9F" w:rsidRPr="00A33B9F">
              <w:rPr>
                <w:rFonts w:ascii="Times New Roman" w:hAnsi="Times New Roman"/>
                <w:noProof/>
                <w:sz w:val="18"/>
              </w:rPr>
              <w:t xml:space="preserve"> w odn</w:t>
            </w:r>
            <w:r w:rsidRPr="00A33B9F">
              <w:rPr>
                <w:rFonts w:ascii="Times New Roman" w:hAnsi="Times New Roman"/>
                <w:noProof/>
                <w:sz w:val="18"/>
              </w:rPr>
              <w:t>iesieniu do projektów ustaw proponowanych przez posłów</w:t>
            </w:r>
            <w:r w:rsidR="00A33B9F" w:rsidRPr="00A33B9F">
              <w:rPr>
                <w:rFonts w:ascii="Times New Roman" w:hAnsi="Times New Roman"/>
                <w:noProof/>
                <w:sz w:val="18"/>
              </w:rPr>
              <w:t xml:space="preserve"> i sen</w:t>
            </w:r>
            <w:r w:rsidRPr="00A33B9F">
              <w:rPr>
                <w:rFonts w:ascii="Times New Roman" w:hAnsi="Times New Roman"/>
                <w:noProof/>
                <w:sz w:val="18"/>
              </w:rPr>
              <w:t>atorów</w:t>
            </w:r>
            <w:r w:rsidR="00A33B9F" w:rsidRPr="00A33B9F">
              <w:rPr>
                <w:rFonts w:ascii="Times New Roman" w:hAnsi="Times New Roman"/>
                <w:noProof/>
                <w:sz w:val="18"/>
              </w:rPr>
              <w:t xml:space="preserve"> w cel</w:t>
            </w:r>
            <w:r w:rsidRPr="00A33B9F">
              <w:rPr>
                <w:rFonts w:ascii="Times New Roman" w:hAnsi="Times New Roman"/>
                <w:noProof/>
                <w:sz w:val="18"/>
              </w:rPr>
              <w:t>u zapewnienia bardziej strukturalnego zaangażowania zainteresowanych stron</w:t>
            </w:r>
            <w:r w:rsidR="00A33B9F" w:rsidRPr="00A33B9F">
              <w:rPr>
                <w:rFonts w:ascii="Times New Roman" w:hAnsi="Times New Roman"/>
                <w:noProof/>
                <w:sz w:val="18"/>
              </w:rPr>
              <w:t xml:space="preserve"> i eks</w:t>
            </w:r>
            <w:r w:rsidRPr="00A33B9F">
              <w:rPr>
                <w:rFonts w:ascii="Times New Roman" w:hAnsi="Times New Roman"/>
                <w:noProof/>
                <w:sz w:val="18"/>
              </w:rPr>
              <w:t>pertów</w:t>
            </w:r>
            <w:r w:rsidR="00A33B9F" w:rsidRPr="00A33B9F">
              <w:rPr>
                <w:rFonts w:ascii="Times New Roman" w:hAnsi="Times New Roman"/>
                <w:noProof/>
                <w:sz w:val="18"/>
              </w:rPr>
              <w:t xml:space="preserve"> w pro</w:t>
            </w:r>
            <w:r w:rsidRPr="00A33B9F">
              <w:rPr>
                <w:rFonts w:ascii="Times New Roman" w:hAnsi="Times New Roman"/>
                <w:noProof/>
                <w:sz w:val="18"/>
              </w:rPr>
              <w:t>ces stanowienia prawa; (ii) ogranicza się stosowanie przyspieszonych procedur do ściśle określonych</w:t>
            </w:r>
            <w:r w:rsidR="00A33B9F" w:rsidRPr="00A33B9F">
              <w:rPr>
                <w:rFonts w:ascii="Times New Roman" w:hAnsi="Times New Roman"/>
                <w:noProof/>
                <w:sz w:val="18"/>
              </w:rPr>
              <w:t xml:space="preserve"> i wyj</w:t>
            </w:r>
            <w:r w:rsidRPr="00A33B9F">
              <w:rPr>
                <w:rFonts w:ascii="Times New Roman" w:hAnsi="Times New Roman"/>
                <w:noProof/>
                <w:sz w:val="18"/>
              </w:rPr>
              <w:t>ątkowych przypadków.</w:t>
            </w:r>
          </w:p>
          <w:p w14:paraId="3BEC99E2" w14:textId="77777777" w:rsidR="00126FEB" w:rsidRPr="00A33B9F" w:rsidRDefault="00126FEB" w:rsidP="00126FEB">
            <w:pPr>
              <w:pBdr>
                <w:top w:val="nil"/>
                <w:left w:val="nil"/>
                <w:bottom w:val="nil"/>
                <w:right w:val="nil"/>
                <w:between w:val="nil"/>
              </w:pBdr>
              <w:spacing w:after="0" w:line="257" w:lineRule="auto"/>
              <w:rPr>
                <w:rFonts w:ascii="Times New Roman" w:eastAsia="Times New Roman" w:hAnsi="Times New Roman" w:cs="Times New Roman"/>
                <w:b/>
                <w:bCs/>
                <w:i/>
                <w:iCs/>
                <w:noProof/>
                <w:color w:val="000000" w:themeColor="text1"/>
                <w:sz w:val="18"/>
                <w:szCs w:val="18"/>
              </w:rPr>
            </w:pPr>
          </w:p>
        </w:tc>
      </w:tr>
      <w:tr w:rsidR="008C116B" w:rsidRPr="00A33B9F" w14:paraId="72CCB682" w14:textId="77777777" w:rsidTr="5183624C">
        <w:trPr>
          <w:trHeight w:val="313"/>
        </w:trPr>
        <w:tc>
          <w:tcPr>
            <w:tcW w:w="846" w:type="dxa"/>
            <w:shd w:val="clear" w:color="auto" w:fill="C6EFCE"/>
          </w:tcPr>
          <w:p w14:paraId="4757F5E6"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F5G</w:t>
            </w:r>
          </w:p>
        </w:tc>
        <w:tc>
          <w:tcPr>
            <w:tcW w:w="1457" w:type="dxa"/>
            <w:shd w:val="clear" w:color="auto" w:fill="C6EFCE"/>
          </w:tcPr>
          <w:p w14:paraId="1481632E"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F3.1 Poprawa warunków realizacji KPO</w:t>
            </w:r>
          </w:p>
        </w:tc>
        <w:tc>
          <w:tcPr>
            <w:tcW w:w="1110" w:type="dxa"/>
            <w:shd w:val="clear" w:color="auto" w:fill="C6EFCE"/>
          </w:tcPr>
          <w:p w14:paraId="42C6A165"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Kamień milowy</w:t>
            </w:r>
          </w:p>
        </w:tc>
        <w:tc>
          <w:tcPr>
            <w:tcW w:w="1601" w:type="dxa"/>
            <w:shd w:val="clear" w:color="auto" w:fill="C6EFCE"/>
          </w:tcPr>
          <w:p w14:paraId="592A76AF" w14:textId="0A9641CA" w:rsidR="00126FEB" w:rsidRPr="00A33B9F" w:rsidRDefault="54E47008"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aktu prawnego ustanawiającego komitet monitorujący</w:t>
            </w:r>
            <w:r w:rsidR="00A33B9F" w:rsidRPr="00A33B9F">
              <w:rPr>
                <w:rFonts w:ascii="Times New Roman" w:hAnsi="Times New Roman"/>
                <w:noProof/>
                <w:sz w:val="18"/>
              </w:rPr>
              <w:t xml:space="preserve"> i pow</w:t>
            </w:r>
            <w:r w:rsidRPr="00A33B9F">
              <w:rPr>
                <w:rFonts w:ascii="Times New Roman" w:hAnsi="Times New Roman"/>
                <w:noProof/>
                <w:sz w:val="18"/>
              </w:rPr>
              <w:t>ierzającego mu nadzór nad skuteczną realizacją KPO</w:t>
            </w:r>
          </w:p>
        </w:tc>
        <w:tc>
          <w:tcPr>
            <w:tcW w:w="1742" w:type="dxa"/>
            <w:shd w:val="clear" w:color="auto" w:fill="C6EFCE"/>
          </w:tcPr>
          <w:p w14:paraId="4D17ECFE" w14:textId="190C9DA5"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Przepis</w:t>
            </w:r>
            <w:r w:rsidR="00A33B9F" w:rsidRPr="00A33B9F">
              <w:rPr>
                <w:rFonts w:ascii="Times New Roman" w:hAnsi="Times New Roman"/>
                <w:noProof/>
                <w:sz w:val="18"/>
              </w:rPr>
              <w:t xml:space="preserve"> w akc</w:t>
            </w:r>
            <w:r w:rsidRPr="00A33B9F">
              <w:rPr>
                <w:rFonts w:ascii="Times New Roman" w:hAnsi="Times New Roman"/>
                <w:noProof/>
                <w:sz w:val="18"/>
              </w:rPr>
              <w:t>ie prawnym wskazujący na wejście</w:t>
            </w:r>
            <w:r w:rsidR="00A33B9F" w:rsidRPr="00A33B9F">
              <w:rPr>
                <w:rFonts w:ascii="Times New Roman" w:hAnsi="Times New Roman"/>
                <w:noProof/>
                <w:sz w:val="18"/>
              </w:rPr>
              <w:t xml:space="preserve"> w życ</w:t>
            </w:r>
            <w:r w:rsidRPr="00A33B9F">
              <w:rPr>
                <w:rFonts w:ascii="Times New Roman" w:hAnsi="Times New Roman"/>
                <w:noProof/>
                <w:sz w:val="18"/>
              </w:rPr>
              <w:t>ie</w:t>
            </w:r>
          </w:p>
        </w:tc>
        <w:tc>
          <w:tcPr>
            <w:tcW w:w="1075" w:type="dxa"/>
            <w:shd w:val="clear" w:color="auto" w:fill="C6EFCE"/>
          </w:tcPr>
          <w:p w14:paraId="29EBA8D0"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 xml:space="preserve"> </w:t>
            </w:r>
          </w:p>
        </w:tc>
        <w:tc>
          <w:tcPr>
            <w:tcW w:w="1134" w:type="dxa"/>
            <w:shd w:val="clear" w:color="auto" w:fill="C6EFCE"/>
          </w:tcPr>
          <w:p w14:paraId="50B7F38D"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 xml:space="preserve"> </w:t>
            </w:r>
          </w:p>
        </w:tc>
        <w:tc>
          <w:tcPr>
            <w:tcW w:w="763" w:type="dxa"/>
            <w:gridSpan w:val="2"/>
            <w:shd w:val="clear" w:color="auto" w:fill="C6EFCE"/>
          </w:tcPr>
          <w:p w14:paraId="3C0746B5"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 xml:space="preserve"> </w:t>
            </w:r>
          </w:p>
        </w:tc>
        <w:tc>
          <w:tcPr>
            <w:tcW w:w="1021" w:type="dxa"/>
            <w:gridSpan w:val="2"/>
            <w:shd w:val="clear" w:color="auto" w:fill="C6EFCE"/>
          </w:tcPr>
          <w:p w14:paraId="7E306976"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I kw.</w:t>
            </w:r>
          </w:p>
        </w:tc>
        <w:tc>
          <w:tcPr>
            <w:tcW w:w="872" w:type="dxa"/>
            <w:gridSpan w:val="2"/>
            <w:shd w:val="clear" w:color="auto" w:fill="C6EFCE"/>
          </w:tcPr>
          <w:p w14:paraId="224AE0A9"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2022</w:t>
            </w:r>
          </w:p>
        </w:tc>
        <w:tc>
          <w:tcPr>
            <w:tcW w:w="4351" w:type="dxa"/>
            <w:gridSpan w:val="2"/>
            <w:shd w:val="clear" w:color="auto" w:fill="C6EFCE"/>
          </w:tcPr>
          <w:p w14:paraId="2D99728F" w14:textId="551ECDB9"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Po przeprowadzeniu konsultacji publicznych wejście</w:t>
            </w:r>
            <w:r w:rsidR="00A33B9F" w:rsidRPr="00A33B9F">
              <w:rPr>
                <w:rFonts w:ascii="Times New Roman" w:hAnsi="Times New Roman"/>
                <w:noProof/>
                <w:sz w:val="18"/>
              </w:rPr>
              <w:t xml:space="preserve"> w życ</w:t>
            </w:r>
            <w:r w:rsidRPr="00A33B9F">
              <w:rPr>
                <w:rFonts w:ascii="Times New Roman" w:hAnsi="Times New Roman"/>
                <w:noProof/>
                <w:sz w:val="18"/>
              </w:rPr>
              <w:t>ie aktu prawnego,</w:t>
            </w:r>
            <w:r w:rsidR="00A33B9F" w:rsidRPr="00A33B9F">
              <w:rPr>
                <w:rFonts w:ascii="Times New Roman" w:hAnsi="Times New Roman"/>
                <w:noProof/>
                <w:sz w:val="18"/>
              </w:rPr>
              <w:t xml:space="preserve"> w ram</w:t>
            </w:r>
            <w:r w:rsidRPr="00A33B9F">
              <w:rPr>
                <w:rFonts w:ascii="Times New Roman" w:hAnsi="Times New Roman"/>
                <w:noProof/>
                <w:sz w:val="18"/>
              </w:rPr>
              <w:t>ach którego:</w:t>
            </w:r>
            <w:r w:rsidR="00C3621A" w:rsidRPr="00A33B9F">
              <w:rPr>
                <w:rFonts w:ascii="Times New Roman" w:hAnsi="Times New Roman"/>
                <w:noProof/>
                <w:sz w:val="18"/>
              </w:rPr>
              <w:t xml:space="preserve"> </w:t>
            </w:r>
            <w:r w:rsidRPr="00A33B9F">
              <w:rPr>
                <w:noProof/>
              </w:rPr>
              <w:br/>
            </w:r>
            <w:r w:rsidRPr="00A33B9F">
              <w:rPr>
                <w:rFonts w:ascii="Times New Roman" w:hAnsi="Times New Roman"/>
                <w:noProof/>
                <w:sz w:val="18"/>
              </w:rPr>
              <w:t>1) powołano komitet monitorujący odpowiedzialny za monitorowanie skutecznej realizacji KPO</w:t>
            </w:r>
            <w:r w:rsidR="00A33B9F" w:rsidRPr="00A33B9F">
              <w:rPr>
                <w:rFonts w:ascii="Times New Roman" w:hAnsi="Times New Roman"/>
                <w:noProof/>
                <w:sz w:val="18"/>
              </w:rPr>
              <w:t xml:space="preserve"> i zwi</w:t>
            </w:r>
            <w:r w:rsidRPr="00A33B9F">
              <w:rPr>
                <w:rFonts w:ascii="Times New Roman" w:hAnsi="Times New Roman"/>
                <w:noProof/>
                <w:sz w:val="18"/>
              </w:rPr>
              <w:t>ększania odporności, składający się</w:t>
            </w:r>
            <w:r w:rsidR="00A33B9F" w:rsidRPr="00A33B9F">
              <w:rPr>
                <w:rFonts w:ascii="Times New Roman" w:hAnsi="Times New Roman"/>
                <w:noProof/>
                <w:sz w:val="18"/>
              </w:rPr>
              <w:t xml:space="preserve"> z zai</w:t>
            </w:r>
            <w:r w:rsidRPr="00A33B9F">
              <w:rPr>
                <w:rFonts w:ascii="Times New Roman" w:hAnsi="Times New Roman"/>
                <w:noProof/>
                <w:sz w:val="18"/>
              </w:rPr>
              <w:t>nteresowanych stron</w:t>
            </w:r>
            <w:r w:rsidR="00A33B9F" w:rsidRPr="00A33B9F">
              <w:rPr>
                <w:rFonts w:ascii="Times New Roman" w:hAnsi="Times New Roman"/>
                <w:noProof/>
                <w:sz w:val="18"/>
              </w:rPr>
              <w:t xml:space="preserve"> i par</w:t>
            </w:r>
            <w:r w:rsidRPr="00A33B9F">
              <w:rPr>
                <w:rFonts w:ascii="Times New Roman" w:hAnsi="Times New Roman"/>
                <w:noProof/>
                <w:sz w:val="18"/>
              </w:rPr>
              <w:t>tnerów społecznych, których dotyczy realizacja KPO,</w:t>
            </w:r>
            <w:r w:rsidR="00A33B9F" w:rsidRPr="00A33B9F">
              <w:rPr>
                <w:rFonts w:ascii="Times New Roman" w:hAnsi="Times New Roman"/>
                <w:noProof/>
                <w:sz w:val="18"/>
              </w:rPr>
              <w:t xml:space="preserve"> w tym</w:t>
            </w:r>
            <w:r w:rsidRPr="00A33B9F">
              <w:rPr>
                <w:rFonts w:ascii="Times New Roman" w:hAnsi="Times New Roman"/>
                <w:noProof/>
                <w:sz w:val="18"/>
              </w:rPr>
              <w:t xml:space="preserve"> przedstawicieli organów reprezentujących społeczeństwo obywatelskie oraz promujących prawa podstawowe</w:t>
            </w:r>
            <w:r w:rsidR="00A33B9F" w:rsidRPr="00A33B9F">
              <w:rPr>
                <w:rFonts w:ascii="Times New Roman" w:hAnsi="Times New Roman"/>
                <w:noProof/>
                <w:sz w:val="18"/>
              </w:rPr>
              <w:t xml:space="preserve"> i nie</w:t>
            </w:r>
            <w:r w:rsidRPr="00A33B9F">
              <w:rPr>
                <w:rFonts w:ascii="Times New Roman" w:hAnsi="Times New Roman"/>
                <w:noProof/>
                <w:sz w:val="18"/>
              </w:rPr>
              <w:t>dyskryminację;</w:t>
            </w:r>
            <w:r w:rsidRPr="00A33B9F">
              <w:rPr>
                <w:noProof/>
              </w:rPr>
              <w:t xml:space="preserve"> </w:t>
            </w:r>
            <w:r w:rsidRPr="00A33B9F">
              <w:rPr>
                <w:noProof/>
              </w:rPr>
              <w:br/>
            </w:r>
            <w:r w:rsidRPr="00A33B9F">
              <w:rPr>
                <w:rFonts w:ascii="Times New Roman" w:hAnsi="Times New Roman"/>
                <w:noProof/>
                <w:sz w:val="18"/>
              </w:rPr>
              <w:t>2) wprowadzono wymóg prawny konsultowania się</w:t>
            </w:r>
            <w:r w:rsidR="00A33B9F" w:rsidRPr="00A33B9F">
              <w:rPr>
                <w:rFonts w:ascii="Times New Roman" w:hAnsi="Times New Roman"/>
                <w:noProof/>
                <w:sz w:val="18"/>
              </w:rPr>
              <w:t xml:space="preserve"> z kom</w:t>
            </w:r>
            <w:r w:rsidRPr="00A33B9F">
              <w:rPr>
                <w:rFonts w:ascii="Times New Roman" w:hAnsi="Times New Roman"/>
                <w:noProof/>
                <w:sz w:val="18"/>
              </w:rPr>
              <w:t>itetem monitorującym podczas realizacji KPO.</w:t>
            </w:r>
          </w:p>
        </w:tc>
      </w:tr>
      <w:tr w:rsidR="008C116B" w:rsidRPr="00A33B9F" w14:paraId="083EAA4B" w14:textId="77777777" w:rsidTr="5183624C">
        <w:trPr>
          <w:trHeight w:val="313"/>
        </w:trPr>
        <w:tc>
          <w:tcPr>
            <w:tcW w:w="846" w:type="dxa"/>
            <w:shd w:val="clear" w:color="auto" w:fill="C6EFCE"/>
          </w:tcPr>
          <w:p w14:paraId="2E1B4DA4" w14:textId="1C297B31" w:rsidR="19E277FC" w:rsidRPr="00A33B9F" w:rsidRDefault="19E277FC" w:rsidP="00A06FB8">
            <w:pPr>
              <w:pStyle w:val="Normal0"/>
              <w:spacing w:after="0" w:line="240" w:lineRule="auto"/>
              <w:jc w:val="center"/>
              <w:rPr>
                <w:rFonts w:ascii="Times New Roman" w:hAnsi="Times New Roman" w:cs="Times New Roman"/>
                <w:noProof/>
                <w:sz w:val="18"/>
                <w:szCs w:val="18"/>
              </w:rPr>
            </w:pPr>
            <w:r w:rsidRPr="00A33B9F">
              <w:rPr>
                <w:rFonts w:ascii="Times New Roman" w:hAnsi="Times New Roman"/>
                <w:noProof/>
                <w:sz w:val="18"/>
              </w:rPr>
              <w:t>F6G</w:t>
            </w:r>
          </w:p>
        </w:tc>
        <w:tc>
          <w:tcPr>
            <w:tcW w:w="1457" w:type="dxa"/>
            <w:shd w:val="clear" w:color="auto" w:fill="C6EFCE"/>
          </w:tcPr>
          <w:p w14:paraId="1321A295" w14:textId="02D828AA" w:rsidR="19E277FC" w:rsidRPr="00A33B9F" w:rsidRDefault="19E277FC" w:rsidP="00A06FB8">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F3.1 Poprawa warunków realizacji KPO</w:t>
            </w:r>
          </w:p>
        </w:tc>
        <w:tc>
          <w:tcPr>
            <w:tcW w:w="1110" w:type="dxa"/>
            <w:shd w:val="clear" w:color="auto" w:fill="C6EFCE"/>
          </w:tcPr>
          <w:p w14:paraId="4B6FE8C8" w14:textId="29640821" w:rsidR="19E277FC" w:rsidRPr="00A33B9F" w:rsidRDefault="19E277FC" w:rsidP="00A06FB8">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Kamień milowy</w:t>
            </w:r>
          </w:p>
        </w:tc>
        <w:tc>
          <w:tcPr>
            <w:tcW w:w="1601" w:type="dxa"/>
            <w:shd w:val="clear" w:color="auto" w:fill="C6EFCE"/>
          </w:tcPr>
          <w:p w14:paraId="3EF1DD37" w14:textId="021A08A8" w:rsidR="19E277FC" w:rsidRPr="00A33B9F" w:rsidRDefault="19E277FC" w:rsidP="00A06FB8">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Przyjęcie przez ministra odpowiedzialnego za rozwój regionalny wytycznych ustanawiających zasady udziału zainteresowanych stron</w:t>
            </w:r>
            <w:r w:rsidR="00A33B9F" w:rsidRPr="00A33B9F">
              <w:rPr>
                <w:rFonts w:ascii="Times New Roman" w:hAnsi="Times New Roman"/>
                <w:noProof/>
                <w:sz w:val="18"/>
              </w:rPr>
              <w:t xml:space="preserve"> i par</w:t>
            </w:r>
            <w:r w:rsidRPr="00A33B9F">
              <w:rPr>
                <w:rFonts w:ascii="Times New Roman" w:hAnsi="Times New Roman"/>
                <w:noProof/>
                <w:sz w:val="18"/>
              </w:rPr>
              <w:t>tnerów społecznych</w:t>
            </w:r>
            <w:r w:rsidR="00A33B9F" w:rsidRPr="00A33B9F">
              <w:rPr>
                <w:rFonts w:ascii="Times New Roman" w:hAnsi="Times New Roman"/>
                <w:noProof/>
                <w:sz w:val="18"/>
              </w:rPr>
              <w:t xml:space="preserve"> w rea</w:t>
            </w:r>
            <w:r w:rsidRPr="00A33B9F">
              <w:rPr>
                <w:rFonts w:ascii="Times New Roman" w:hAnsi="Times New Roman"/>
                <w:noProof/>
                <w:sz w:val="18"/>
              </w:rPr>
              <w:t>lizacji KPO</w:t>
            </w:r>
          </w:p>
        </w:tc>
        <w:tc>
          <w:tcPr>
            <w:tcW w:w="1742" w:type="dxa"/>
            <w:shd w:val="clear" w:color="auto" w:fill="C6EFCE"/>
          </w:tcPr>
          <w:p w14:paraId="14EFF0CF" w14:textId="2E6D6E54" w:rsidR="19E277FC" w:rsidRPr="00A33B9F" w:rsidRDefault="6E9AE617" w:rsidP="00A06FB8">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Opublikowanie wytycznych na stronie internetowej Ministerstwa Funduszy</w:t>
            </w:r>
            <w:r w:rsidR="00A33B9F" w:rsidRPr="00A33B9F">
              <w:rPr>
                <w:rFonts w:ascii="Times New Roman" w:hAnsi="Times New Roman"/>
                <w:noProof/>
                <w:sz w:val="18"/>
              </w:rPr>
              <w:t xml:space="preserve"> i Pol</w:t>
            </w:r>
            <w:r w:rsidRPr="00A33B9F">
              <w:rPr>
                <w:rFonts w:ascii="Times New Roman" w:hAnsi="Times New Roman"/>
                <w:noProof/>
                <w:sz w:val="18"/>
              </w:rPr>
              <w:t>ityki Regionalnej</w:t>
            </w:r>
          </w:p>
        </w:tc>
        <w:tc>
          <w:tcPr>
            <w:tcW w:w="1075" w:type="dxa"/>
            <w:shd w:val="clear" w:color="auto" w:fill="C6EFCE"/>
          </w:tcPr>
          <w:p w14:paraId="111F6BF5" w14:textId="1775E936" w:rsidR="19E277FC" w:rsidRPr="00A33B9F" w:rsidRDefault="19E277FC" w:rsidP="00A06FB8">
            <w:pPr>
              <w:pStyle w:val="Normal0"/>
              <w:spacing w:after="0" w:line="240" w:lineRule="auto"/>
              <w:rPr>
                <w:rFonts w:ascii="Times New Roman" w:hAnsi="Times New Roman" w:cs="Times New Roman"/>
                <w:noProof/>
                <w:sz w:val="18"/>
                <w:szCs w:val="18"/>
              </w:rPr>
            </w:pPr>
          </w:p>
        </w:tc>
        <w:tc>
          <w:tcPr>
            <w:tcW w:w="1134" w:type="dxa"/>
            <w:shd w:val="clear" w:color="auto" w:fill="C6EFCE"/>
          </w:tcPr>
          <w:p w14:paraId="25433A50" w14:textId="6309DCA7" w:rsidR="19E277FC" w:rsidRPr="00A33B9F" w:rsidRDefault="19E277FC" w:rsidP="00A06FB8">
            <w:pPr>
              <w:pStyle w:val="Normal0"/>
              <w:spacing w:after="0" w:line="240" w:lineRule="auto"/>
              <w:rPr>
                <w:rFonts w:ascii="Times New Roman" w:hAnsi="Times New Roman" w:cs="Times New Roman"/>
                <w:noProof/>
                <w:sz w:val="18"/>
                <w:szCs w:val="18"/>
              </w:rPr>
            </w:pPr>
          </w:p>
        </w:tc>
        <w:tc>
          <w:tcPr>
            <w:tcW w:w="763" w:type="dxa"/>
            <w:gridSpan w:val="2"/>
            <w:shd w:val="clear" w:color="auto" w:fill="C6EFCE"/>
          </w:tcPr>
          <w:p w14:paraId="2945D18B" w14:textId="5E8B62F1" w:rsidR="19E277FC" w:rsidRPr="00A33B9F" w:rsidRDefault="19E277FC" w:rsidP="00A06FB8">
            <w:pPr>
              <w:pStyle w:val="Normal0"/>
              <w:spacing w:after="0" w:line="240" w:lineRule="auto"/>
              <w:rPr>
                <w:rFonts w:ascii="Times New Roman" w:hAnsi="Times New Roman" w:cs="Times New Roman"/>
                <w:noProof/>
                <w:sz w:val="18"/>
                <w:szCs w:val="18"/>
              </w:rPr>
            </w:pPr>
          </w:p>
        </w:tc>
        <w:tc>
          <w:tcPr>
            <w:tcW w:w="1021" w:type="dxa"/>
            <w:gridSpan w:val="2"/>
            <w:shd w:val="clear" w:color="auto" w:fill="C6EFCE"/>
          </w:tcPr>
          <w:p w14:paraId="7A68E2F2" w14:textId="7FF5F9F2" w:rsidR="19E277FC" w:rsidRPr="00A33B9F" w:rsidRDefault="19E277FC" w:rsidP="00A06FB8">
            <w:pPr>
              <w:pStyle w:val="Normal0"/>
              <w:spacing w:after="0" w:line="240" w:lineRule="auto"/>
              <w:jc w:val="center"/>
              <w:rPr>
                <w:rFonts w:ascii="Times New Roman" w:hAnsi="Times New Roman" w:cs="Times New Roman"/>
                <w:noProof/>
                <w:sz w:val="18"/>
                <w:szCs w:val="18"/>
              </w:rPr>
            </w:pPr>
            <w:r w:rsidRPr="00A33B9F">
              <w:rPr>
                <w:rFonts w:ascii="Times New Roman" w:hAnsi="Times New Roman"/>
                <w:noProof/>
                <w:sz w:val="18"/>
              </w:rPr>
              <w:t>II kw.</w:t>
            </w:r>
          </w:p>
        </w:tc>
        <w:tc>
          <w:tcPr>
            <w:tcW w:w="872" w:type="dxa"/>
            <w:gridSpan w:val="2"/>
            <w:shd w:val="clear" w:color="auto" w:fill="C6EFCE"/>
          </w:tcPr>
          <w:p w14:paraId="265DACC0" w14:textId="7B65909D" w:rsidR="19E277FC" w:rsidRPr="00A33B9F" w:rsidRDefault="19E277FC" w:rsidP="00A06FB8">
            <w:pPr>
              <w:pStyle w:val="Normal0"/>
              <w:spacing w:after="0" w:line="240" w:lineRule="auto"/>
              <w:jc w:val="center"/>
              <w:rPr>
                <w:rFonts w:ascii="Times New Roman" w:hAnsi="Times New Roman" w:cs="Times New Roman"/>
                <w:noProof/>
                <w:sz w:val="18"/>
                <w:szCs w:val="18"/>
              </w:rPr>
            </w:pPr>
            <w:r w:rsidRPr="00A33B9F">
              <w:rPr>
                <w:rFonts w:ascii="Times New Roman" w:hAnsi="Times New Roman"/>
                <w:noProof/>
                <w:sz w:val="18"/>
              </w:rPr>
              <w:t>2022</w:t>
            </w:r>
          </w:p>
        </w:tc>
        <w:tc>
          <w:tcPr>
            <w:tcW w:w="4351" w:type="dxa"/>
            <w:gridSpan w:val="2"/>
            <w:shd w:val="clear" w:color="auto" w:fill="C6EFCE"/>
          </w:tcPr>
          <w:p w14:paraId="581741EB" w14:textId="0625E101" w:rsidR="00F238BE" w:rsidRPr="00A33B9F" w:rsidRDefault="19E277FC" w:rsidP="00912D79">
            <w:pPr>
              <w:spacing w:after="0" w:line="240" w:lineRule="auto"/>
              <w:rPr>
                <w:rFonts w:ascii="Times New Roman" w:hAnsi="Times New Roman" w:cs="Times New Roman"/>
                <w:noProof/>
                <w:sz w:val="18"/>
                <w:szCs w:val="18"/>
              </w:rPr>
            </w:pPr>
            <w:r w:rsidRPr="00A33B9F">
              <w:rPr>
                <w:rFonts w:ascii="Times New Roman" w:hAnsi="Times New Roman"/>
                <w:noProof/>
                <w:sz w:val="18"/>
              </w:rPr>
              <w:t>Po przeprowadzeniu konsultacji publicznych przyjęcie wytycznych</w:t>
            </w:r>
            <w:r w:rsidR="00A33B9F" w:rsidRPr="00A33B9F">
              <w:rPr>
                <w:rFonts w:ascii="Times New Roman" w:hAnsi="Times New Roman"/>
                <w:noProof/>
                <w:sz w:val="18"/>
              </w:rPr>
              <w:t xml:space="preserve"> w cel</w:t>
            </w:r>
            <w:r w:rsidRPr="00A33B9F">
              <w:rPr>
                <w:rFonts w:ascii="Times New Roman" w:hAnsi="Times New Roman"/>
                <w:noProof/>
                <w:sz w:val="18"/>
              </w:rPr>
              <w:t>u zapewnienia skutecznego udziału zainteresowanych stron</w:t>
            </w:r>
            <w:r w:rsidR="00A33B9F" w:rsidRPr="00A33B9F">
              <w:rPr>
                <w:rFonts w:ascii="Times New Roman" w:hAnsi="Times New Roman"/>
                <w:noProof/>
                <w:sz w:val="18"/>
              </w:rPr>
              <w:t xml:space="preserve"> i par</w:t>
            </w:r>
            <w:r w:rsidRPr="00A33B9F">
              <w:rPr>
                <w:rFonts w:ascii="Times New Roman" w:hAnsi="Times New Roman"/>
                <w:noProof/>
                <w:sz w:val="18"/>
              </w:rPr>
              <w:t>tnerów społecznych</w:t>
            </w:r>
            <w:r w:rsidR="00A33B9F" w:rsidRPr="00A33B9F">
              <w:rPr>
                <w:rFonts w:ascii="Times New Roman" w:hAnsi="Times New Roman"/>
                <w:noProof/>
                <w:sz w:val="18"/>
              </w:rPr>
              <w:t xml:space="preserve"> w pro</w:t>
            </w:r>
            <w:r w:rsidRPr="00A33B9F">
              <w:rPr>
                <w:rFonts w:ascii="Times New Roman" w:hAnsi="Times New Roman"/>
                <w:noProof/>
                <w:sz w:val="18"/>
              </w:rPr>
              <w:t>gramowaniu, realizacji, monitorowaniu</w:t>
            </w:r>
            <w:r w:rsidR="00A33B9F" w:rsidRPr="00A33B9F">
              <w:rPr>
                <w:rFonts w:ascii="Times New Roman" w:hAnsi="Times New Roman"/>
                <w:noProof/>
                <w:sz w:val="18"/>
              </w:rPr>
              <w:t xml:space="preserve"> i oce</w:t>
            </w:r>
            <w:r w:rsidRPr="00A33B9F">
              <w:rPr>
                <w:rFonts w:ascii="Times New Roman" w:hAnsi="Times New Roman"/>
                <w:noProof/>
                <w:sz w:val="18"/>
              </w:rPr>
              <w:t>nie KPO.</w:t>
            </w:r>
          </w:p>
          <w:p w14:paraId="0D0EDDAD" w14:textId="6264B825" w:rsidR="19E277FC" w:rsidRPr="00A33B9F" w:rsidRDefault="19E277FC" w:rsidP="00912D79">
            <w:pPr>
              <w:spacing w:after="0" w:line="240" w:lineRule="auto"/>
              <w:rPr>
                <w:rFonts w:ascii="Times New Roman" w:hAnsi="Times New Roman" w:cs="Times New Roman"/>
                <w:noProof/>
                <w:sz w:val="18"/>
                <w:szCs w:val="18"/>
              </w:rPr>
            </w:pPr>
            <w:r w:rsidRPr="00A33B9F">
              <w:rPr>
                <w:rFonts w:ascii="Times New Roman" w:hAnsi="Times New Roman"/>
                <w:noProof/>
                <w:sz w:val="18"/>
              </w:rPr>
              <w:t>W wytycznych harmonizuje się działania, które mają być wprowadzone przez instytucje odpowiedzialne za wdrażanie reform</w:t>
            </w:r>
            <w:r w:rsidR="00A33B9F" w:rsidRPr="00A33B9F">
              <w:rPr>
                <w:rFonts w:ascii="Times New Roman" w:hAnsi="Times New Roman"/>
                <w:noProof/>
                <w:sz w:val="18"/>
              </w:rPr>
              <w:t xml:space="preserve"> i inw</w:t>
            </w:r>
            <w:r w:rsidRPr="00A33B9F">
              <w:rPr>
                <w:rFonts w:ascii="Times New Roman" w:hAnsi="Times New Roman"/>
                <w:noProof/>
                <w:sz w:val="18"/>
              </w:rPr>
              <w:t>estycji</w:t>
            </w:r>
            <w:r w:rsidR="00A33B9F" w:rsidRPr="00A33B9F">
              <w:rPr>
                <w:rFonts w:ascii="Times New Roman" w:hAnsi="Times New Roman"/>
                <w:noProof/>
                <w:sz w:val="18"/>
              </w:rPr>
              <w:t xml:space="preserve"> w ram</w:t>
            </w:r>
            <w:r w:rsidRPr="00A33B9F">
              <w:rPr>
                <w:rFonts w:ascii="Times New Roman" w:hAnsi="Times New Roman"/>
                <w:noProof/>
                <w:sz w:val="18"/>
              </w:rPr>
              <w:t>ach KPO.</w:t>
            </w:r>
          </w:p>
          <w:p w14:paraId="7C2EF047" w14:textId="073C96B0" w:rsidR="19E277FC" w:rsidRPr="00A33B9F" w:rsidRDefault="19E277FC" w:rsidP="00A06FB8">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Wytyczne obejmują mechanizmy monitorowania</w:t>
            </w:r>
            <w:r w:rsidR="00A33B9F" w:rsidRPr="00A33B9F">
              <w:rPr>
                <w:rFonts w:ascii="Times New Roman" w:hAnsi="Times New Roman"/>
                <w:noProof/>
                <w:sz w:val="18"/>
              </w:rPr>
              <w:t xml:space="preserve"> i oce</w:t>
            </w:r>
            <w:r w:rsidRPr="00A33B9F">
              <w:rPr>
                <w:rFonts w:ascii="Times New Roman" w:hAnsi="Times New Roman"/>
                <w:noProof/>
                <w:sz w:val="18"/>
              </w:rPr>
              <w:t>ny zaangażowania zainteresowanych stron</w:t>
            </w:r>
            <w:r w:rsidR="00A33B9F" w:rsidRPr="00A33B9F">
              <w:rPr>
                <w:rFonts w:ascii="Times New Roman" w:hAnsi="Times New Roman"/>
                <w:noProof/>
                <w:sz w:val="18"/>
              </w:rPr>
              <w:t xml:space="preserve"> i par</w:t>
            </w:r>
            <w:r w:rsidRPr="00A33B9F">
              <w:rPr>
                <w:rFonts w:ascii="Times New Roman" w:hAnsi="Times New Roman"/>
                <w:noProof/>
                <w:sz w:val="18"/>
              </w:rPr>
              <w:t>tnerów społecznych.</w:t>
            </w:r>
          </w:p>
        </w:tc>
      </w:tr>
      <w:tr w:rsidR="008C116B" w:rsidRPr="00A33B9F" w14:paraId="3E099210" w14:textId="77777777" w:rsidTr="5183624C">
        <w:trPr>
          <w:trHeight w:val="313"/>
        </w:trPr>
        <w:tc>
          <w:tcPr>
            <w:tcW w:w="846" w:type="dxa"/>
            <w:shd w:val="clear" w:color="auto" w:fill="C6EFCE"/>
          </w:tcPr>
          <w:p w14:paraId="32827BE9" w14:textId="193DC58F"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F7G</w:t>
            </w:r>
          </w:p>
        </w:tc>
        <w:tc>
          <w:tcPr>
            <w:tcW w:w="1457" w:type="dxa"/>
            <w:shd w:val="clear" w:color="auto" w:fill="C6EFCE"/>
          </w:tcPr>
          <w:p w14:paraId="52D855A9"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F3.1 Poprawa warunków realizacji KPO</w:t>
            </w:r>
          </w:p>
        </w:tc>
        <w:tc>
          <w:tcPr>
            <w:tcW w:w="1110" w:type="dxa"/>
            <w:shd w:val="clear" w:color="auto" w:fill="C6EFCE"/>
          </w:tcPr>
          <w:p w14:paraId="505B2131"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r w:rsidRPr="00A33B9F">
              <w:rPr>
                <w:rFonts w:ascii="Times New Roman" w:hAnsi="Times New Roman"/>
                <w:noProof/>
                <w:sz w:val="18"/>
              </w:rPr>
              <w:t>Kamień milowy</w:t>
            </w:r>
          </w:p>
        </w:tc>
        <w:tc>
          <w:tcPr>
            <w:tcW w:w="1601" w:type="dxa"/>
            <w:shd w:val="clear" w:color="auto" w:fill="C6EFCE"/>
          </w:tcPr>
          <w:p w14:paraId="531524C0" w14:textId="0C0FD2C0" w:rsidR="00126FEB" w:rsidRPr="00A33B9F" w:rsidRDefault="54E47008"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Zapewnienie skutecznego audytu</w:t>
            </w:r>
            <w:r w:rsidR="00A33B9F" w:rsidRPr="00A33B9F">
              <w:rPr>
                <w:rFonts w:ascii="Times New Roman" w:hAnsi="Times New Roman"/>
                <w:noProof/>
                <w:sz w:val="18"/>
              </w:rPr>
              <w:t xml:space="preserve"> i kon</w:t>
            </w:r>
            <w:r w:rsidRPr="00A33B9F">
              <w:rPr>
                <w:rFonts w:ascii="Times New Roman" w:hAnsi="Times New Roman"/>
                <w:noProof/>
                <w:sz w:val="18"/>
              </w:rPr>
              <w:t>troli</w:t>
            </w:r>
            <w:r w:rsidR="00A33B9F" w:rsidRPr="00A33B9F">
              <w:rPr>
                <w:rFonts w:ascii="Times New Roman" w:hAnsi="Times New Roman"/>
                <w:noProof/>
                <w:sz w:val="18"/>
              </w:rPr>
              <w:t xml:space="preserve"> w ram</w:t>
            </w:r>
            <w:r w:rsidRPr="00A33B9F">
              <w:rPr>
                <w:rFonts w:ascii="Times New Roman" w:hAnsi="Times New Roman"/>
                <w:noProof/>
                <w:sz w:val="18"/>
              </w:rPr>
              <w:t>ach realizacji RRF; ochrona interesów finansowych Unii</w:t>
            </w:r>
          </w:p>
          <w:p w14:paraId="348C9256" w14:textId="2EA0AFDB" w:rsidR="38846289" w:rsidRPr="00A33B9F" w:rsidRDefault="38846289" w:rsidP="38846289">
            <w:pPr>
              <w:pStyle w:val="Normal0"/>
              <w:spacing w:after="0" w:line="240" w:lineRule="auto"/>
              <w:rPr>
                <w:rFonts w:ascii="Times New Roman" w:hAnsi="Times New Roman" w:cs="Times New Roman"/>
                <w:noProof/>
                <w:sz w:val="18"/>
                <w:szCs w:val="18"/>
              </w:rPr>
            </w:pPr>
          </w:p>
          <w:p w14:paraId="6D2FAC52" w14:textId="77777777" w:rsidR="00126FEB" w:rsidRPr="00A33B9F" w:rsidRDefault="00126FEB" w:rsidP="00126FEB">
            <w:pPr>
              <w:pStyle w:val="Normal0"/>
              <w:spacing w:after="0" w:line="240" w:lineRule="auto"/>
              <w:rPr>
                <w:rFonts w:ascii="Times New Roman" w:hAnsi="Times New Roman" w:cs="Times New Roman"/>
                <w:noProof/>
                <w:sz w:val="18"/>
                <w:szCs w:val="18"/>
              </w:rPr>
            </w:pPr>
          </w:p>
          <w:p w14:paraId="58F2A612" w14:textId="77777777" w:rsidR="00126FEB" w:rsidRPr="00A33B9F" w:rsidRDefault="00126FEB" w:rsidP="00126FEB">
            <w:pPr>
              <w:pStyle w:val="Normal0"/>
              <w:spacing w:after="0" w:line="240" w:lineRule="auto"/>
              <w:rPr>
                <w:rFonts w:ascii="Times New Roman" w:hAnsi="Times New Roman" w:cs="Times New Roman"/>
                <w:noProof/>
                <w:sz w:val="18"/>
                <w:szCs w:val="18"/>
              </w:rPr>
            </w:pPr>
          </w:p>
          <w:p w14:paraId="6FD9EA1C"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742" w:type="dxa"/>
            <w:shd w:val="clear" w:color="auto" w:fill="C6EFCE"/>
          </w:tcPr>
          <w:p w14:paraId="473C7D13" w14:textId="58E011F4" w:rsidR="00126FEB" w:rsidRPr="00A33B9F" w:rsidRDefault="54E47008" w:rsidP="00126FEB">
            <w:pPr>
              <w:pStyle w:val="Normal0"/>
              <w:spacing w:after="0" w:line="240" w:lineRule="auto"/>
              <w:rPr>
                <w:rFonts w:ascii="Times New Roman" w:hAnsi="Times New Roman" w:cs="Times New Roman"/>
                <w:noProof/>
                <w:sz w:val="18"/>
                <w:szCs w:val="18"/>
              </w:rPr>
            </w:pPr>
            <w:r w:rsidRPr="00A33B9F">
              <w:rPr>
                <w:rFonts w:ascii="Times New Roman" w:hAnsi="Times New Roman"/>
                <w:noProof/>
                <w:sz w:val="18"/>
              </w:rPr>
              <w:t>Sprawozdanie</w:t>
            </w:r>
            <w:r w:rsidR="00A33B9F" w:rsidRPr="00A33B9F">
              <w:rPr>
                <w:rFonts w:ascii="Times New Roman" w:hAnsi="Times New Roman"/>
                <w:noProof/>
                <w:sz w:val="18"/>
              </w:rPr>
              <w:t xml:space="preserve"> z aud</w:t>
            </w:r>
            <w:r w:rsidRPr="00A33B9F">
              <w:rPr>
                <w:rFonts w:ascii="Times New Roman" w:hAnsi="Times New Roman"/>
                <w:noProof/>
                <w:sz w:val="18"/>
              </w:rPr>
              <w:t>ytu potwierdzające funkcjonalność systemu repozytorium</w:t>
            </w:r>
          </w:p>
          <w:p w14:paraId="76971213" w14:textId="77777777" w:rsidR="00126FEB" w:rsidRPr="00A33B9F" w:rsidRDefault="00126FEB" w:rsidP="00126FEB">
            <w:pPr>
              <w:pStyle w:val="Normal0"/>
              <w:spacing w:after="0" w:line="240" w:lineRule="auto"/>
              <w:rPr>
                <w:rFonts w:ascii="Times New Roman" w:hAnsi="Times New Roman" w:cs="Times New Roman"/>
                <w:noProof/>
                <w:sz w:val="18"/>
                <w:szCs w:val="18"/>
              </w:rPr>
            </w:pPr>
          </w:p>
          <w:p w14:paraId="1C9D4A61"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075" w:type="dxa"/>
            <w:shd w:val="clear" w:color="auto" w:fill="C6EFCE"/>
          </w:tcPr>
          <w:p w14:paraId="593B3F3B"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134" w:type="dxa"/>
            <w:shd w:val="clear" w:color="auto" w:fill="C6EFCE"/>
          </w:tcPr>
          <w:p w14:paraId="50F5AC06"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763" w:type="dxa"/>
            <w:gridSpan w:val="2"/>
            <w:shd w:val="clear" w:color="auto" w:fill="C6EFCE"/>
          </w:tcPr>
          <w:p w14:paraId="7BD54A1A" w14:textId="77777777" w:rsidR="00126FEB" w:rsidRPr="00A33B9F" w:rsidRDefault="00126FEB" w:rsidP="00126FEB">
            <w:pPr>
              <w:pStyle w:val="Normal0"/>
              <w:pBdr>
                <w:top w:val="nil"/>
                <w:left w:val="nil"/>
                <w:bottom w:val="nil"/>
                <w:right w:val="nil"/>
                <w:between w:val="nil"/>
              </w:pBdr>
              <w:spacing w:after="0" w:line="240" w:lineRule="auto"/>
              <w:rPr>
                <w:rFonts w:ascii="Times New Roman" w:eastAsia="Times New Roman" w:hAnsi="Times New Roman" w:cs="Times New Roman"/>
                <w:noProof/>
                <w:color w:val="006100"/>
                <w:sz w:val="18"/>
                <w:szCs w:val="18"/>
              </w:rPr>
            </w:pPr>
          </w:p>
        </w:tc>
        <w:tc>
          <w:tcPr>
            <w:tcW w:w="1021" w:type="dxa"/>
            <w:gridSpan w:val="2"/>
            <w:shd w:val="clear" w:color="auto" w:fill="C6EFCE"/>
          </w:tcPr>
          <w:p w14:paraId="4088C52D"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II kw.</w:t>
            </w:r>
          </w:p>
        </w:tc>
        <w:tc>
          <w:tcPr>
            <w:tcW w:w="872" w:type="dxa"/>
            <w:gridSpan w:val="2"/>
            <w:shd w:val="clear" w:color="auto" w:fill="C6EFCE"/>
          </w:tcPr>
          <w:p w14:paraId="5A012165" w14:textId="77777777" w:rsidR="00126FEB" w:rsidRPr="00A33B9F" w:rsidRDefault="00126FEB"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color w:val="006100"/>
                <w:sz w:val="18"/>
                <w:szCs w:val="18"/>
              </w:rPr>
            </w:pPr>
            <w:r w:rsidRPr="00A33B9F">
              <w:rPr>
                <w:rFonts w:ascii="Times New Roman" w:hAnsi="Times New Roman"/>
                <w:noProof/>
                <w:sz w:val="18"/>
              </w:rPr>
              <w:t>2022</w:t>
            </w:r>
          </w:p>
        </w:tc>
        <w:tc>
          <w:tcPr>
            <w:tcW w:w="4351" w:type="dxa"/>
            <w:gridSpan w:val="2"/>
            <w:shd w:val="clear" w:color="auto" w:fill="C6EFCE"/>
          </w:tcPr>
          <w:p w14:paraId="5BEFF486" w14:textId="49B39495" w:rsidR="00126FEB" w:rsidRPr="00A33B9F" w:rsidRDefault="7FE92C8E" w:rsidP="00126FEB">
            <w:pPr>
              <w:pStyle w:val="Normal0"/>
              <w:spacing w:line="240" w:lineRule="auto"/>
              <w:rPr>
                <w:rFonts w:ascii="Times New Roman" w:hAnsi="Times New Roman" w:cs="Times New Roman"/>
                <w:noProof/>
                <w:sz w:val="18"/>
                <w:szCs w:val="18"/>
              </w:rPr>
            </w:pPr>
            <w:r w:rsidRPr="00A33B9F">
              <w:rPr>
                <w:rFonts w:ascii="Times New Roman" w:hAnsi="Times New Roman"/>
                <w:noProof/>
                <w:sz w:val="18"/>
              </w:rPr>
              <w:t>Zostanie wprowadzony</w:t>
            </w:r>
            <w:r w:rsidR="00A33B9F" w:rsidRPr="00A33B9F">
              <w:rPr>
                <w:rFonts w:ascii="Times New Roman" w:hAnsi="Times New Roman"/>
                <w:noProof/>
                <w:sz w:val="18"/>
              </w:rPr>
              <w:t xml:space="preserve"> i uru</w:t>
            </w:r>
            <w:r w:rsidRPr="00A33B9F">
              <w:rPr>
                <w:rFonts w:ascii="Times New Roman" w:hAnsi="Times New Roman"/>
                <w:noProof/>
                <w:sz w:val="18"/>
              </w:rPr>
              <w:t>chomiony system repozytorium służący do monitorowania realizacji RRF. System ten obejmie przynajmniej następujące funkcje:</w:t>
            </w:r>
            <w:r w:rsidRPr="00A33B9F">
              <w:rPr>
                <w:noProof/>
              </w:rPr>
              <w:t xml:space="preserve"> </w:t>
            </w:r>
            <w:r w:rsidRPr="00A33B9F">
              <w:rPr>
                <w:noProof/>
              </w:rPr>
              <w:br/>
            </w:r>
            <w:r w:rsidRPr="00A33B9F">
              <w:rPr>
                <w:rFonts w:ascii="Times New Roman" w:hAnsi="Times New Roman"/>
                <w:noProof/>
                <w:sz w:val="18"/>
              </w:rPr>
              <w:t>a) gromadzenie danych</w:t>
            </w:r>
            <w:r w:rsidR="00A33B9F" w:rsidRPr="00A33B9F">
              <w:rPr>
                <w:rFonts w:ascii="Times New Roman" w:hAnsi="Times New Roman"/>
                <w:noProof/>
                <w:sz w:val="18"/>
              </w:rPr>
              <w:t xml:space="preserve"> i mon</w:t>
            </w:r>
            <w:r w:rsidRPr="00A33B9F">
              <w:rPr>
                <w:rFonts w:ascii="Times New Roman" w:hAnsi="Times New Roman"/>
                <w:noProof/>
                <w:sz w:val="18"/>
              </w:rPr>
              <w:t>itorowanie osiągnięcia kamieni milowych</w:t>
            </w:r>
            <w:r w:rsidR="00A33B9F" w:rsidRPr="00A33B9F">
              <w:rPr>
                <w:rFonts w:ascii="Times New Roman" w:hAnsi="Times New Roman"/>
                <w:noProof/>
                <w:sz w:val="18"/>
              </w:rPr>
              <w:t xml:space="preserve"> i war</w:t>
            </w:r>
            <w:r w:rsidRPr="00A33B9F">
              <w:rPr>
                <w:rFonts w:ascii="Times New Roman" w:hAnsi="Times New Roman"/>
                <w:noProof/>
                <w:sz w:val="18"/>
              </w:rPr>
              <w:t>tości docelowych;</w:t>
            </w:r>
            <w:r w:rsidRPr="00A33B9F">
              <w:rPr>
                <w:noProof/>
              </w:rPr>
              <w:t xml:space="preserve"> </w:t>
            </w:r>
            <w:r w:rsidRPr="00A33B9F">
              <w:rPr>
                <w:noProof/>
              </w:rPr>
              <w:br/>
            </w:r>
            <w:r w:rsidRPr="00A33B9F">
              <w:rPr>
                <w:rFonts w:ascii="Times New Roman" w:hAnsi="Times New Roman"/>
                <w:noProof/>
                <w:sz w:val="18"/>
              </w:rPr>
              <w:t>b) gromadzenie, przechowywanie</w:t>
            </w:r>
            <w:r w:rsidR="00A33B9F" w:rsidRPr="00A33B9F">
              <w:rPr>
                <w:rFonts w:ascii="Times New Roman" w:hAnsi="Times New Roman"/>
                <w:noProof/>
                <w:sz w:val="18"/>
              </w:rPr>
              <w:t xml:space="preserve"> i zap</w:t>
            </w:r>
            <w:r w:rsidRPr="00A33B9F">
              <w:rPr>
                <w:rFonts w:ascii="Times New Roman" w:hAnsi="Times New Roman"/>
                <w:noProof/>
                <w:sz w:val="18"/>
              </w:rPr>
              <w:t>ewnianie dostępu do danych wymaganych na podstawie art.</w:t>
            </w:r>
            <w:r w:rsidR="00A33B9F" w:rsidRPr="00A33B9F">
              <w:rPr>
                <w:rFonts w:ascii="Times New Roman" w:hAnsi="Times New Roman"/>
                <w:noProof/>
                <w:sz w:val="18"/>
              </w:rPr>
              <w:t> </w:t>
            </w:r>
            <w:r w:rsidRPr="00A33B9F">
              <w:rPr>
                <w:rFonts w:ascii="Times New Roman" w:hAnsi="Times New Roman"/>
                <w:noProof/>
                <w:sz w:val="18"/>
              </w:rPr>
              <w:t>22 ust.</w:t>
            </w:r>
            <w:r w:rsidR="00A33B9F" w:rsidRPr="00A33B9F">
              <w:rPr>
                <w:rFonts w:ascii="Times New Roman" w:hAnsi="Times New Roman"/>
                <w:noProof/>
                <w:sz w:val="18"/>
              </w:rPr>
              <w:t> </w:t>
            </w:r>
            <w:r w:rsidRPr="00A33B9F">
              <w:rPr>
                <w:rFonts w:ascii="Times New Roman" w:hAnsi="Times New Roman"/>
                <w:noProof/>
                <w:sz w:val="18"/>
              </w:rPr>
              <w:t>2 lit.</w:t>
            </w:r>
            <w:r w:rsidR="00A33B9F" w:rsidRPr="00A33B9F">
              <w:rPr>
                <w:rFonts w:ascii="Times New Roman" w:hAnsi="Times New Roman"/>
                <w:noProof/>
                <w:sz w:val="18"/>
              </w:rPr>
              <w:t> </w:t>
            </w:r>
            <w:r w:rsidRPr="00A33B9F">
              <w:rPr>
                <w:rFonts w:ascii="Times New Roman" w:hAnsi="Times New Roman"/>
                <w:noProof/>
                <w:sz w:val="18"/>
              </w:rPr>
              <w:t>d) pkt (i)–(iii) rozporządzenia</w:t>
            </w:r>
            <w:r w:rsidR="00A33B9F" w:rsidRPr="00A33B9F">
              <w:rPr>
                <w:rFonts w:ascii="Times New Roman" w:hAnsi="Times New Roman"/>
                <w:noProof/>
                <w:sz w:val="18"/>
              </w:rPr>
              <w:t xml:space="preserve"> w spr</w:t>
            </w:r>
            <w:r w:rsidRPr="00A33B9F">
              <w:rPr>
                <w:rFonts w:ascii="Times New Roman" w:hAnsi="Times New Roman"/>
                <w:noProof/>
                <w:sz w:val="18"/>
              </w:rPr>
              <w:t xml:space="preserve">awie RRF. </w:t>
            </w:r>
          </w:p>
          <w:p w14:paraId="4A58C796" w14:textId="6D4692C5" w:rsidR="00126FEB" w:rsidRPr="00A33B9F" w:rsidRDefault="54E47008" w:rsidP="00126FEB">
            <w:pPr>
              <w:pStyle w:val="Normal0"/>
              <w:pBdr>
                <w:top w:val="nil"/>
                <w:left w:val="nil"/>
                <w:bottom w:val="nil"/>
                <w:right w:val="nil"/>
                <w:between w:val="nil"/>
              </w:pBdr>
              <w:spacing w:after="0" w:line="240" w:lineRule="auto"/>
              <w:rPr>
                <w:rFonts w:ascii="Times New Roman" w:hAnsi="Times New Roman" w:cs="Times New Roman"/>
                <w:noProof/>
                <w:sz w:val="18"/>
                <w:szCs w:val="18"/>
              </w:rPr>
            </w:pPr>
            <w:r w:rsidRPr="00A33B9F">
              <w:rPr>
                <w:rFonts w:ascii="Times New Roman" w:hAnsi="Times New Roman"/>
                <w:noProof/>
                <w:sz w:val="18"/>
              </w:rPr>
              <w:t>Dostęp do tych danych zostanie przyznany wszystkim odpowiednim organom krajowym</w:t>
            </w:r>
            <w:r w:rsidR="00A33B9F" w:rsidRPr="00A33B9F">
              <w:rPr>
                <w:rFonts w:ascii="Times New Roman" w:hAnsi="Times New Roman"/>
                <w:noProof/>
                <w:sz w:val="18"/>
              </w:rPr>
              <w:t xml:space="preserve"> i eur</w:t>
            </w:r>
            <w:r w:rsidRPr="00A33B9F">
              <w:rPr>
                <w:rFonts w:ascii="Times New Roman" w:hAnsi="Times New Roman"/>
                <w:noProof/>
                <w:sz w:val="18"/>
              </w:rPr>
              <w:t>opejskim</w:t>
            </w:r>
            <w:r w:rsidR="00A33B9F" w:rsidRPr="00A33B9F">
              <w:rPr>
                <w:rFonts w:ascii="Times New Roman" w:hAnsi="Times New Roman"/>
                <w:noProof/>
                <w:sz w:val="18"/>
              </w:rPr>
              <w:t xml:space="preserve"> w cel</w:t>
            </w:r>
            <w:r w:rsidRPr="00A33B9F">
              <w:rPr>
                <w:rFonts w:ascii="Times New Roman" w:hAnsi="Times New Roman"/>
                <w:noProof/>
                <w:sz w:val="18"/>
              </w:rPr>
              <w:t>u przeprowadzenia audytu</w:t>
            </w:r>
            <w:r w:rsidR="00A33B9F" w:rsidRPr="00A33B9F">
              <w:rPr>
                <w:rFonts w:ascii="Times New Roman" w:hAnsi="Times New Roman"/>
                <w:noProof/>
                <w:sz w:val="18"/>
              </w:rPr>
              <w:t xml:space="preserve"> i kon</w:t>
            </w:r>
            <w:r w:rsidRPr="00A33B9F">
              <w:rPr>
                <w:rFonts w:ascii="Times New Roman" w:hAnsi="Times New Roman"/>
                <w:noProof/>
                <w:sz w:val="18"/>
              </w:rPr>
              <w:t>troli. Dane pochodzące</w:t>
            </w:r>
            <w:r w:rsidR="00A33B9F" w:rsidRPr="00A33B9F">
              <w:rPr>
                <w:rFonts w:ascii="Times New Roman" w:hAnsi="Times New Roman"/>
                <w:noProof/>
                <w:sz w:val="18"/>
              </w:rPr>
              <w:t xml:space="preserve"> z teg</w:t>
            </w:r>
            <w:r w:rsidRPr="00A33B9F">
              <w:rPr>
                <w:rFonts w:ascii="Times New Roman" w:hAnsi="Times New Roman"/>
                <w:noProof/>
                <w:sz w:val="18"/>
              </w:rPr>
              <w:t>o systemu repozytorium są co kwartał przekazywane do systemu Arachne. System Arachne wykorzystuje się podczas audytów</w:t>
            </w:r>
            <w:r w:rsidR="00A33B9F" w:rsidRPr="00A33B9F">
              <w:rPr>
                <w:rFonts w:ascii="Times New Roman" w:hAnsi="Times New Roman"/>
                <w:noProof/>
                <w:sz w:val="18"/>
              </w:rPr>
              <w:t xml:space="preserve"> i kon</w:t>
            </w:r>
            <w:r w:rsidRPr="00A33B9F">
              <w:rPr>
                <w:rFonts w:ascii="Times New Roman" w:hAnsi="Times New Roman"/>
                <w:noProof/>
                <w:sz w:val="18"/>
              </w:rPr>
              <w:t>troli do zapobiegania konfliktom interesów, nadużyciom finansowym, korupcji</w:t>
            </w:r>
            <w:r w:rsidR="00A33B9F" w:rsidRPr="00A33B9F">
              <w:rPr>
                <w:rFonts w:ascii="Times New Roman" w:hAnsi="Times New Roman"/>
                <w:noProof/>
                <w:sz w:val="18"/>
              </w:rPr>
              <w:t xml:space="preserve"> i pod</w:t>
            </w:r>
            <w:r w:rsidRPr="00A33B9F">
              <w:rPr>
                <w:rFonts w:ascii="Times New Roman" w:hAnsi="Times New Roman"/>
                <w:noProof/>
                <w:sz w:val="18"/>
              </w:rPr>
              <w:t>wójnemu finansowaniu, ich wykrywania</w:t>
            </w:r>
            <w:r w:rsidR="00A33B9F" w:rsidRPr="00A33B9F">
              <w:rPr>
                <w:rFonts w:ascii="Times New Roman" w:hAnsi="Times New Roman"/>
                <w:noProof/>
                <w:sz w:val="18"/>
              </w:rPr>
              <w:t xml:space="preserve"> i eli</w:t>
            </w:r>
            <w:r w:rsidRPr="00A33B9F">
              <w:rPr>
                <w:rFonts w:ascii="Times New Roman" w:hAnsi="Times New Roman"/>
                <w:noProof/>
                <w:sz w:val="18"/>
              </w:rPr>
              <w:t>minowania.</w:t>
            </w:r>
          </w:p>
          <w:p w14:paraId="1F84A062" w14:textId="3339C574" w:rsidR="00126FEB" w:rsidRPr="00A33B9F" w:rsidRDefault="00126FEB" w:rsidP="00126FEB">
            <w:pPr>
              <w:pStyle w:val="Normal0"/>
              <w:pBdr>
                <w:top w:val="nil"/>
                <w:left w:val="nil"/>
                <w:bottom w:val="nil"/>
                <w:right w:val="nil"/>
                <w:between w:val="nil"/>
              </w:pBdr>
              <w:spacing w:after="0" w:line="240" w:lineRule="auto"/>
              <w:rPr>
                <w:rFonts w:ascii="Times New Roman" w:hAnsi="Times New Roman" w:cs="Times New Roman"/>
                <w:noProof/>
                <w:sz w:val="18"/>
                <w:szCs w:val="18"/>
              </w:rPr>
            </w:pPr>
          </w:p>
        </w:tc>
      </w:tr>
      <w:tr w:rsidR="008C116B" w:rsidRPr="00A33B9F" w14:paraId="502380A2" w14:textId="77777777" w:rsidTr="5183624C">
        <w:trPr>
          <w:gridAfter w:val="1"/>
          <w:wAfter w:w="7" w:type="dxa"/>
          <w:trHeight w:val="313"/>
        </w:trPr>
        <w:tc>
          <w:tcPr>
            <w:tcW w:w="846" w:type="dxa"/>
            <w:shd w:val="clear" w:color="auto" w:fill="C6EFCE"/>
          </w:tcPr>
          <w:p w14:paraId="4CC72689" w14:textId="3A899FE4" w:rsidR="00630E03" w:rsidRPr="00A33B9F" w:rsidRDefault="7FF499FC" w:rsidP="00126FEB">
            <w:pPr>
              <w:pStyle w:val="Normal0"/>
              <w:pBdr>
                <w:top w:val="nil"/>
                <w:left w:val="nil"/>
                <w:bottom w:val="nil"/>
                <w:right w:val="nil"/>
                <w:between w:val="nil"/>
              </w:pBdr>
              <w:spacing w:after="0" w:line="240" w:lineRule="auto"/>
              <w:jc w:val="center"/>
              <w:rPr>
                <w:rFonts w:ascii="Times New Roman" w:hAnsi="Times New Roman" w:cs="Times New Roman"/>
                <w:noProof/>
                <w:sz w:val="18"/>
                <w:szCs w:val="18"/>
              </w:rPr>
            </w:pPr>
            <w:r w:rsidRPr="00A33B9F">
              <w:rPr>
                <w:rFonts w:ascii="Times New Roman" w:hAnsi="Times New Roman"/>
                <w:noProof/>
                <w:sz w:val="18"/>
              </w:rPr>
              <w:t>F8G</w:t>
            </w:r>
          </w:p>
        </w:tc>
        <w:tc>
          <w:tcPr>
            <w:tcW w:w="1457" w:type="dxa"/>
            <w:shd w:val="clear" w:color="auto" w:fill="C6EFCE"/>
          </w:tcPr>
          <w:p w14:paraId="0F1E226D" w14:textId="328AE84A" w:rsidR="00630E03" w:rsidRPr="00A33B9F" w:rsidRDefault="00630E03" w:rsidP="00126FEB">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F3.1 Poprawa warunków realizacji KPO</w:t>
            </w:r>
          </w:p>
        </w:tc>
        <w:tc>
          <w:tcPr>
            <w:tcW w:w="1110" w:type="dxa"/>
            <w:shd w:val="clear" w:color="auto" w:fill="C6EFCE"/>
          </w:tcPr>
          <w:p w14:paraId="121B5C1C" w14:textId="7523D98D" w:rsidR="00630E03" w:rsidRPr="00A33B9F" w:rsidRDefault="00630E03" w:rsidP="00126FEB">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601" w:type="dxa"/>
            <w:shd w:val="clear" w:color="auto" w:fill="C6EFCE"/>
          </w:tcPr>
          <w:p w14:paraId="43C4A9C1" w14:textId="13DD2C43" w:rsidR="00400D38" w:rsidRPr="00A33B9F" w:rsidRDefault="00400D38" w:rsidP="00400D3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Utworzenie dodatkowych miejsc pracy</w:t>
            </w:r>
            <w:r w:rsidR="00A33B9F" w:rsidRPr="00A33B9F">
              <w:rPr>
                <w:rFonts w:ascii="Times New Roman" w:hAnsi="Times New Roman"/>
                <w:noProof/>
                <w:sz w:val="18"/>
              </w:rPr>
              <w:t xml:space="preserve"> w ins</w:t>
            </w:r>
            <w:r w:rsidRPr="00A33B9F">
              <w:rPr>
                <w:rFonts w:ascii="Times New Roman" w:hAnsi="Times New Roman"/>
                <w:noProof/>
                <w:sz w:val="18"/>
              </w:rPr>
              <w:t>tytucjach zaangażowanych we wdrażanie KPO</w:t>
            </w:r>
          </w:p>
          <w:p w14:paraId="3EA94D9A" w14:textId="77777777" w:rsidR="00630E03" w:rsidRPr="00A33B9F" w:rsidRDefault="00630E03" w:rsidP="00A96DDA">
            <w:pPr>
              <w:spacing w:after="0" w:line="240" w:lineRule="auto"/>
              <w:rPr>
                <w:rFonts w:ascii="Times New Roman" w:eastAsia="Times New Roman" w:hAnsi="Times New Roman" w:cs="Times New Roman"/>
                <w:noProof/>
                <w:sz w:val="18"/>
                <w:szCs w:val="18"/>
              </w:rPr>
            </w:pPr>
          </w:p>
        </w:tc>
        <w:tc>
          <w:tcPr>
            <w:tcW w:w="1742" w:type="dxa"/>
            <w:shd w:val="clear" w:color="auto" w:fill="C6EFCE"/>
          </w:tcPr>
          <w:p w14:paraId="158921D4" w14:textId="00A8377E" w:rsidR="00400D38" w:rsidRPr="00A33B9F" w:rsidRDefault="00400D38" w:rsidP="00400D38">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Przeprowadzenie analizy obciążenia pracą przez Ministerstwo Funduszy</w:t>
            </w:r>
            <w:r w:rsidR="00A33B9F" w:rsidRPr="00A33B9F">
              <w:rPr>
                <w:rFonts w:ascii="Times New Roman" w:hAnsi="Times New Roman"/>
                <w:noProof/>
                <w:sz w:val="18"/>
              </w:rPr>
              <w:t xml:space="preserve"> i Pol</w:t>
            </w:r>
            <w:r w:rsidRPr="00A33B9F">
              <w:rPr>
                <w:rFonts w:ascii="Times New Roman" w:hAnsi="Times New Roman"/>
                <w:noProof/>
                <w:sz w:val="18"/>
              </w:rPr>
              <w:t>ityki Regionalnej oraz przyjęcie decyzji rządu</w:t>
            </w:r>
            <w:r w:rsidR="00A33B9F" w:rsidRPr="00A33B9F">
              <w:rPr>
                <w:rFonts w:ascii="Times New Roman" w:hAnsi="Times New Roman"/>
                <w:noProof/>
                <w:sz w:val="18"/>
              </w:rPr>
              <w:t xml:space="preserve"> o utw</w:t>
            </w:r>
            <w:r w:rsidRPr="00A33B9F">
              <w:rPr>
                <w:rFonts w:ascii="Times New Roman" w:hAnsi="Times New Roman"/>
                <w:noProof/>
                <w:sz w:val="18"/>
              </w:rPr>
              <w:t>orzeniu dodatkowych miejsc pracy</w:t>
            </w:r>
          </w:p>
          <w:p w14:paraId="0012E5F7" w14:textId="77777777" w:rsidR="00630E03" w:rsidRPr="00A33B9F" w:rsidRDefault="00630E03" w:rsidP="00A96DDA">
            <w:pPr>
              <w:spacing w:after="0" w:line="240" w:lineRule="auto"/>
              <w:rPr>
                <w:rFonts w:ascii="Times New Roman" w:eastAsia="Times New Roman" w:hAnsi="Times New Roman" w:cs="Times New Roman"/>
                <w:noProof/>
                <w:sz w:val="18"/>
                <w:szCs w:val="18"/>
              </w:rPr>
            </w:pPr>
          </w:p>
        </w:tc>
        <w:tc>
          <w:tcPr>
            <w:tcW w:w="1075" w:type="dxa"/>
            <w:shd w:val="clear" w:color="auto" w:fill="C6EFCE"/>
          </w:tcPr>
          <w:p w14:paraId="700CE01D" w14:textId="77777777" w:rsidR="00630E03" w:rsidRPr="00A33B9F" w:rsidRDefault="00630E03" w:rsidP="00126FEB">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p>
        </w:tc>
        <w:tc>
          <w:tcPr>
            <w:tcW w:w="1134" w:type="dxa"/>
            <w:shd w:val="clear" w:color="auto" w:fill="C6EFCE"/>
          </w:tcPr>
          <w:p w14:paraId="38FE98E5" w14:textId="77777777" w:rsidR="00630E03" w:rsidRPr="00A33B9F" w:rsidRDefault="00630E03" w:rsidP="00126FEB">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p>
        </w:tc>
        <w:tc>
          <w:tcPr>
            <w:tcW w:w="756" w:type="dxa"/>
            <w:shd w:val="clear" w:color="auto" w:fill="C6EFCE"/>
          </w:tcPr>
          <w:p w14:paraId="1A3C6116" w14:textId="77777777" w:rsidR="00630E03" w:rsidRPr="00A33B9F" w:rsidRDefault="00630E03" w:rsidP="00126FEB">
            <w:pPr>
              <w:pStyle w:val="Normal0"/>
              <w:pBdr>
                <w:top w:val="nil"/>
                <w:left w:val="nil"/>
                <w:bottom w:val="nil"/>
                <w:right w:val="nil"/>
                <w:between w:val="nil"/>
              </w:pBdr>
              <w:spacing w:after="0" w:line="240" w:lineRule="auto"/>
              <w:rPr>
                <w:rFonts w:ascii="Times New Roman" w:eastAsia="Times New Roman" w:hAnsi="Times New Roman" w:cs="Times New Roman"/>
                <w:noProof/>
                <w:sz w:val="18"/>
                <w:szCs w:val="18"/>
              </w:rPr>
            </w:pPr>
          </w:p>
        </w:tc>
        <w:tc>
          <w:tcPr>
            <w:tcW w:w="1021" w:type="dxa"/>
            <w:gridSpan w:val="2"/>
            <w:shd w:val="clear" w:color="auto" w:fill="C6EFCE"/>
          </w:tcPr>
          <w:p w14:paraId="19653EF1" w14:textId="56649779" w:rsidR="00630E03" w:rsidRPr="00A33B9F" w:rsidRDefault="00400D38"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72" w:type="dxa"/>
            <w:gridSpan w:val="2"/>
            <w:shd w:val="clear" w:color="auto" w:fill="C6EFCE"/>
          </w:tcPr>
          <w:p w14:paraId="5C2C74FF" w14:textId="3809D7DF" w:rsidR="00630E03" w:rsidRPr="00A33B9F" w:rsidRDefault="00400D38" w:rsidP="00126FEB">
            <w:pPr>
              <w:pStyle w:val="Normal0"/>
              <w:pBdr>
                <w:top w:val="nil"/>
                <w:left w:val="nil"/>
                <w:bottom w:val="nil"/>
                <w:right w:val="nil"/>
                <w:between w:val="nil"/>
              </w:pBd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4351" w:type="dxa"/>
            <w:gridSpan w:val="2"/>
            <w:shd w:val="clear" w:color="auto" w:fill="C6EFCE"/>
          </w:tcPr>
          <w:p w14:paraId="3F73C61A" w14:textId="49186ECA" w:rsidR="00400D38" w:rsidRPr="00A33B9F" w:rsidRDefault="00400D38" w:rsidP="00400D38">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W odniesieniu do instytucji zaangażowanych we wdrażanie planu odbudowy</w:t>
            </w:r>
            <w:r w:rsidR="00A33B9F" w:rsidRPr="00A33B9F">
              <w:rPr>
                <w:rFonts w:ascii="Times New Roman" w:hAnsi="Times New Roman"/>
                <w:noProof/>
                <w:sz w:val="18"/>
              </w:rPr>
              <w:t xml:space="preserve"> i zwi</w:t>
            </w:r>
            <w:r w:rsidRPr="00A33B9F">
              <w:rPr>
                <w:rFonts w:ascii="Times New Roman" w:hAnsi="Times New Roman"/>
                <w:noProof/>
                <w:sz w:val="18"/>
              </w:rPr>
              <w:t>ększania odporności przeprowadza się analizę obciążenia pracą. Po przeprowadzeniu tej analizy rząd przyjmuje decyzję</w:t>
            </w:r>
            <w:r w:rsidR="00A33B9F" w:rsidRPr="00A33B9F">
              <w:rPr>
                <w:rFonts w:ascii="Times New Roman" w:hAnsi="Times New Roman"/>
                <w:noProof/>
                <w:sz w:val="18"/>
              </w:rPr>
              <w:t xml:space="preserve"> o utw</w:t>
            </w:r>
            <w:r w:rsidRPr="00A33B9F">
              <w:rPr>
                <w:rFonts w:ascii="Times New Roman" w:hAnsi="Times New Roman"/>
                <w:noProof/>
                <w:sz w:val="18"/>
              </w:rPr>
              <w:t>orzeniu dodatkowych stanowisk pracy</w:t>
            </w:r>
            <w:r w:rsidR="00A33B9F" w:rsidRPr="00A33B9F">
              <w:rPr>
                <w:rFonts w:ascii="Times New Roman" w:hAnsi="Times New Roman"/>
                <w:noProof/>
                <w:sz w:val="18"/>
              </w:rPr>
              <w:t xml:space="preserve"> w ins</w:t>
            </w:r>
            <w:r w:rsidRPr="00A33B9F">
              <w:rPr>
                <w:rFonts w:ascii="Times New Roman" w:hAnsi="Times New Roman"/>
                <w:noProof/>
                <w:sz w:val="18"/>
              </w:rPr>
              <w:t>tytucjach odpowiedzialnych za koordynowanie</w:t>
            </w:r>
            <w:r w:rsidR="00A33B9F" w:rsidRPr="00A33B9F">
              <w:rPr>
                <w:rFonts w:ascii="Times New Roman" w:hAnsi="Times New Roman"/>
                <w:noProof/>
                <w:sz w:val="18"/>
              </w:rPr>
              <w:t xml:space="preserve"> i wdr</w:t>
            </w:r>
            <w:r w:rsidRPr="00A33B9F">
              <w:rPr>
                <w:rFonts w:ascii="Times New Roman" w:hAnsi="Times New Roman"/>
                <w:noProof/>
                <w:sz w:val="18"/>
              </w:rPr>
              <w:t>ażanie planu odbudowy</w:t>
            </w:r>
            <w:r w:rsidR="00A33B9F" w:rsidRPr="00A33B9F">
              <w:rPr>
                <w:rFonts w:ascii="Times New Roman" w:hAnsi="Times New Roman"/>
                <w:noProof/>
                <w:sz w:val="18"/>
              </w:rPr>
              <w:t xml:space="preserve"> i zwi</w:t>
            </w:r>
            <w:r w:rsidRPr="00A33B9F">
              <w:rPr>
                <w:rFonts w:ascii="Times New Roman" w:hAnsi="Times New Roman"/>
                <w:noProof/>
                <w:sz w:val="18"/>
              </w:rPr>
              <w:t>ększania odporności.</w:t>
            </w:r>
          </w:p>
          <w:p w14:paraId="3091457C" w14:textId="77777777" w:rsidR="00630E03" w:rsidRPr="00A33B9F" w:rsidRDefault="00630E03" w:rsidP="00A96DDA">
            <w:pPr>
              <w:spacing w:after="0" w:line="240" w:lineRule="auto"/>
              <w:rPr>
                <w:rFonts w:ascii="Times New Roman" w:eastAsia="Times New Roman" w:hAnsi="Times New Roman" w:cs="Times New Roman"/>
                <w:noProof/>
                <w:sz w:val="18"/>
                <w:szCs w:val="18"/>
              </w:rPr>
            </w:pPr>
          </w:p>
        </w:tc>
      </w:tr>
    </w:tbl>
    <w:p w14:paraId="452BF5C8" w14:textId="77777777" w:rsidR="00E847AD" w:rsidRPr="00A33B9F" w:rsidRDefault="00E847AD" w:rsidP="00277459">
      <w:pPr>
        <w:rPr>
          <w:rFonts w:ascii="Times New Roman" w:eastAsia="Times New Roman" w:hAnsi="Times New Roman" w:cs="Times New Roman"/>
          <w:noProof/>
          <w:color w:val="000000" w:themeColor="text1"/>
        </w:rPr>
        <w:sectPr w:rsidR="00E847AD" w:rsidRPr="00A33B9F" w:rsidSect="009B6BB9">
          <w:headerReference w:type="even" r:id="rId157"/>
          <w:headerReference w:type="default" r:id="rId158"/>
          <w:footerReference w:type="even" r:id="rId159"/>
          <w:footerReference w:type="default" r:id="rId160"/>
          <w:headerReference w:type="first" r:id="rId161"/>
          <w:footerReference w:type="first" r:id="rId162"/>
          <w:pgSz w:w="16839" w:h="11907" w:orient="landscape"/>
          <w:pgMar w:top="720" w:right="720" w:bottom="720" w:left="720" w:header="709" w:footer="709" w:gutter="0"/>
          <w:cols w:space="720"/>
          <w:docGrid w:linePitch="299"/>
        </w:sectPr>
      </w:pPr>
    </w:p>
    <w:p w14:paraId="7338E562" w14:textId="77777777" w:rsidR="00AA3924" w:rsidRPr="00A33B9F" w:rsidRDefault="00AA3924" w:rsidP="00423983">
      <w:pPr>
        <w:pStyle w:val="Text1"/>
        <w:ind w:left="0"/>
        <w:rPr>
          <w:b/>
          <w:smallCaps/>
          <w:noProof/>
        </w:rPr>
      </w:pPr>
      <w:r w:rsidRPr="00A33B9F">
        <w:rPr>
          <w:b/>
          <w:smallCaps/>
          <w:noProof/>
          <w:color w:val="000000"/>
        </w:rPr>
        <w:t>G</w:t>
      </w:r>
      <w:r w:rsidRPr="00A33B9F">
        <w:rPr>
          <w:b/>
          <w:smallCaps/>
          <w:noProof/>
        </w:rPr>
        <w:t>. KOMPONENT G: „REPOWEREU”</w:t>
      </w:r>
    </w:p>
    <w:p w14:paraId="68C4C6E0" w14:textId="2E15DF58" w:rsidR="00AA3924" w:rsidRPr="00A33B9F" w:rsidRDefault="00AA3924" w:rsidP="00AA392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komponentu REPowerEU jest wniesienie wkładu</w:t>
      </w:r>
      <w:r w:rsidR="00A33B9F" w:rsidRPr="00A33B9F">
        <w:rPr>
          <w:rFonts w:ascii="Times New Roman" w:hAnsi="Times New Roman"/>
          <w:noProof/>
          <w:sz w:val="24"/>
        </w:rPr>
        <w:t xml:space="preserve"> w pro</w:t>
      </w:r>
      <w:r w:rsidRPr="00A33B9F">
        <w:rPr>
          <w:rFonts w:ascii="Times New Roman" w:hAnsi="Times New Roman"/>
          <w:noProof/>
          <w:sz w:val="24"/>
        </w:rPr>
        <w:t>ces ograniczania zależności od paliw kopalnych</w:t>
      </w:r>
      <w:r w:rsidR="00A33B9F" w:rsidRPr="00A33B9F">
        <w:rPr>
          <w:rFonts w:ascii="Times New Roman" w:hAnsi="Times New Roman"/>
          <w:noProof/>
          <w:sz w:val="24"/>
        </w:rPr>
        <w:t xml:space="preserve"> w Pol</w:t>
      </w:r>
      <w:r w:rsidRPr="00A33B9F">
        <w:rPr>
          <w:rFonts w:ascii="Times New Roman" w:hAnsi="Times New Roman"/>
          <w:noProof/>
          <w:sz w:val="24"/>
        </w:rPr>
        <w:t>sce oraz przyczynienie się do transformacji energetycznej przez zapewnienie wsparcia na rzecz odnawialnych źródeł energii oraz zwiększenie zdolności sieci elektroenergetycznych</w:t>
      </w:r>
      <w:r w:rsidR="00A33B9F" w:rsidRPr="00A33B9F">
        <w:rPr>
          <w:rFonts w:ascii="Times New Roman" w:hAnsi="Times New Roman"/>
          <w:noProof/>
          <w:sz w:val="24"/>
        </w:rPr>
        <w:t xml:space="preserve"> w zak</w:t>
      </w:r>
      <w:r w:rsidRPr="00A33B9F">
        <w:rPr>
          <w:rFonts w:ascii="Times New Roman" w:hAnsi="Times New Roman"/>
          <w:noProof/>
          <w:sz w:val="24"/>
        </w:rPr>
        <w:t>resie integrowania tych źródeł energii. Osiągnięciu tych celów sprzyjają również działania służące poprawie efektywności energetycznej,</w:t>
      </w:r>
      <w:r w:rsidR="00A33B9F" w:rsidRPr="00A33B9F">
        <w:rPr>
          <w:rFonts w:ascii="Times New Roman" w:hAnsi="Times New Roman"/>
          <w:noProof/>
          <w:sz w:val="24"/>
        </w:rPr>
        <w:t xml:space="preserve"> w tym</w:t>
      </w:r>
      <w:r w:rsidRPr="00A33B9F">
        <w:rPr>
          <w:rFonts w:ascii="Times New Roman" w:hAnsi="Times New Roman"/>
          <w:noProof/>
          <w:sz w:val="24"/>
        </w:rPr>
        <w:t xml:space="preserve"> również</w:t>
      </w:r>
      <w:r w:rsidR="00A33B9F" w:rsidRPr="00A33B9F">
        <w:rPr>
          <w:rFonts w:ascii="Times New Roman" w:hAnsi="Times New Roman"/>
          <w:noProof/>
          <w:sz w:val="24"/>
        </w:rPr>
        <w:t xml:space="preserve"> w gos</w:t>
      </w:r>
      <w:r w:rsidRPr="00A33B9F">
        <w:rPr>
          <w:rFonts w:ascii="Times New Roman" w:hAnsi="Times New Roman"/>
          <w:noProof/>
          <w:sz w:val="24"/>
        </w:rPr>
        <w:t>podarstwach domowych. Komponent ten ma również zwiększyć bezpieczeństwo dostaw energii.</w:t>
      </w:r>
    </w:p>
    <w:p w14:paraId="600E7D54" w14:textId="0D47EA2D" w:rsidR="00AA3924" w:rsidRPr="00A33B9F" w:rsidRDefault="00AA3924" w:rsidP="00AA392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W tym względzie celem działań przewidzianych</w:t>
      </w:r>
      <w:r w:rsidR="00A33B9F" w:rsidRPr="00A33B9F">
        <w:rPr>
          <w:rFonts w:ascii="Times New Roman" w:hAnsi="Times New Roman"/>
          <w:noProof/>
          <w:sz w:val="24"/>
        </w:rPr>
        <w:t xml:space="preserve"> w tym</w:t>
      </w:r>
      <w:r w:rsidRPr="00A33B9F">
        <w:rPr>
          <w:rFonts w:ascii="Times New Roman" w:hAnsi="Times New Roman"/>
          <w:noProof/>
          <w:sz w:val="24"/>
        </w:rPr>
        <w:t xml:space="preserve"> komponencie jest odniesienie się do zaleceń krajowych skierowanych do Polski</w:t>
      </w:r>
      <w:r w:rsidR="00A33B9F" w:rsidRPr="00A33B9F">
        <w:rPr>
          <w:rFonts w:ascii="Times New Roman" w:hAnsi="Times New Roman"/>
          <w:noProof/>
          <w:sz w:val="24"/>
        </w:rPr>
        <w:t xml:space="preserve"> w ram</w:t>
      </w:r>
      <w:r w:rsidRPr="00A33B9F">
        <w:rPr>
          <w:rFonts w:ascii="Times New Roman" w:hAnsi="Times New Roman"/>
          <w:noProof/>
          <w:sz w:val="24"/>
        </w:rPr>
        <w:t>ach europejskiego semestru</w:t>
      </w:r>
      <w:r w:rsidR="00A33B9F" w:rsidRPr="00A33B9F">
        <w:rPr>
          <w:rFonts w:ascii="Times New Roman" w:hAnsi="Times New Roman"/>
          <w:noProof/>
          <w:sz w:val="24"/>
        </w:rPr>
        <w:t xml:space="preserve"> w lat</w:t>
      </w:r>
      <w:r w:rsidRPr="00A33B9F">
        <w:rPr>
          <w:rFonts w:ascii="Times New Roman" w:hAnsi="Times New Roman"/>
          <w:noProof/>
          <w:sz w:val="24"/>
        </w:rPr>
        <w:t>ach 2022</w:t>
      </w:r>
      <w:r w:rsidR="00A33B9F" w:rsidRPr="00A33B9F">
        <w:rPr>
          <w:rFonts w:ascii="Times New Roman" w:hAnsi="Times New Roman"/>
          <w:noProof/>
          <w:sz w:val="24"/>
        </w:rPr>
        <w:t xml:space="preserve"> i 2</w:t>
      </w:r>
      <w:r w:rsidRPr="00A33B9F">
        <w:rPr>
          <w:rFonts w:ascii="Times New Roman" w:hAnsi="Times New Roman"/>
          <w:noProof/>
          <w:sz w:val="24"/>
        </w:rPr>
        <w:t>023. Planowane działania służą</w:t>
      </w:r>
      <w:r w:rsidR="00A33B9F" w:rsidRPr="00A33B9F">
        <w:rPr>
          <w:rFonts w:ascii="Times New Roman" w:hAnsi="Times New Roman"/>
          <w:noProof/>
          <w:sz w:val="24"/>
        </w:rPr>
        <w:t xml:space="preserve"> w szc</w:t>
      </w:r>
      <w:r w:rsidRPr="00A33B9F">
        <w:rPr>
          <w:rFonts w:ascii="Times New Roman" w:hAnsi="Times New Roman"/>
          <w:noProof/>
          <w:sz w:val="24"/>
        </w:rPr>
        <w:t>zególności przyspieszeniu transformacji</w:t>
      </w:r>
      <w:r w:rsidR="00A33B9F" w:rsidRPr="00A33B9F">
        <w:rPr>
          <w:rFonts w:ascii="Times New Roman" w:hAnsi="Times New Roman"/>
          <w:noProof/>
          <w:sz w:val="24"/>
        </w:rPr>
        <w:t xml:space="preserve"> w kie</w:t>
      </w:r>
      <w:r w:rsidRPr="00A33B9F">
        <w:rPr>
          <w:rFonts w:ascii="Times New Roman" w:hAnsi="Times New Roman"/>
          <w:noProof/>
          <w:sz w:val="24"/>
        </w:rPr>
        <w:t>runku czystej energii, zwłaszcza przez uproszczenie procedur wydawania pozwoleń</w:t>
      </w:r>
      <w:r w:rsidR="00A33B9F" w:rsidRPr="00A33B9F">
        <w:rPr>
          <w:rFonts w:ascii="Times New Roman" w:hAnsi="Times New Roman"/>
          <w:noProof/>
          <w:sz w:val="24"/>
        </w:rPr>
        <w:t xml:space="preserve"> w cel</w:t>
      </w:r>
      <w:r w:rsidRPr="00A33B9F">
        <w:rPr>
          <w:rFonts w:ascii="Times New Roman" w:hAnsi="Times New Roman"/>
          <w:noProof/>
          <w:sz w:val="24"/>
        </w:rPr>
        <w:t>u umożliwienia szybszego zastosowania energii ze źródeł odnawialnych przez rozbudowywanie</w:t>
      </w:r>
      <w:r w:rsidR="00A33B9F" w:rsidRPr="00A33B9F">
        <w:rPr>
          <w:rFonts w:ascii="Times New Roman" w:hAnsi="Times New Roman"/>
          <w:noProof/>
          <w:sz w:val="24"/>
        </w:rPr>
        <w:t xml:space="preserve"> i mod</w:t>
      </w:r>
      <w:r w:rsidRPr="00A33B9F">
        <w:rPr>
          <w:rFonts w:ascii="Times New Roman" w:hAnsi="Times New Roman"/>
          <w:noProof/>
          <w:sz w:val="24"/>
        </w:rPr>
        <w:t>ernizowanie sieci</w:t>
      </w:r>
      <w:r w:rsidR="00A33B9F" w:rsidRPr="00A33B9F">
        <w:rPr>
          <w:rFonts w:ascii="Times New Roman" w:hAnsi="Times New Roman"/>
          <w:noProof/>
          <w:sz w:val="24"/>
        </w:rPr>
        <w:t xml:space="preserve"> w tak</w:t>
      </w:r>
      <w:r w:rsidRPr="00A33B9F">
        <w:rPr>
          <w:rFonts w:ascii="Times New Roman" w:hAnsi="Times New Roman"/>
          <w:noProof/>
          <w:sz w:val="24"/>
        </w:rPr>
        <w:t>i sposób, aby zapewnić możliwość obsługiwania przez nie nowo wybudowanej infrastruktury związanej</w:t>
      </w:r>
      <w:r w:rsidR="00A33B9F" w:rsidRPr="00A33B9F">
        <w:rPr>
          <w:rFonts w:ascii="Times New Roman" w:hAnsi="Times New Roman"/>
          <w:noProof/>
          <w:sz w:val="24"/>
        </w:rPr>
        <w:t xml:space="preserve"> z ene</w:t>
      </w:r>
      <w:r w:rsidRPr="00A33B9F">
        <w:rPr>
          <w:rFonts w:ascii="Times New Roman" w:hAnsi="Times New Roman"/>
          <w:noProof/>
          <w:sz w:val="24"/>
        </w:rPr>
        <w:t>rgią ze źródeł odnawialnych, przez sprzyjanie tworzeniu obiektów magazynowania energii elektrycznej, przez zachęcanie do realizowania inwestycji</w:t>
      </w:r>
      <w:r w:rsidR="00A33B9F" w:rsidRPr="00A33B9F">
        <w:rPr>
          <w:rFonts w:ascii="Times New Roman" w:hAnsi="Times New Roman"/>
          <w:noProof/>
          <w:sz w:val="24"/>
        </w:rPr>
        <w:t xml:space="preserve"> w sie</w:t>
      </w:r>
      <w:r w:rsidRPr="00A33B9F">
        <w:rPr>
          <w:rFonts w:ascii="Times New Roman" w:hAnsi="Times New Roman"/>
          <w:noProof/>
          <w:sz w:val="24"/>
        </w:rPr>
        <w:t>ci przesyłowe</w:t>
      </w:r>
      <w:r w:rsidR="00A33B9F" w:rsidRPr="00A33B9F">
        <w:rPr>
          <w:rFonts w:ascii="Times New Roman" w:hAnsi="Times New Roman"/>
          <w:noProof/>
          <w:sz w:val="24"/>
        </w:rPr>
        <w:t xml:space="preserve"> i dys</w:t>
      </w:r>
      <w:r w:rsidRPr="00A33B9F">
        <w:rPr>
          <w:rFonts w:ascii="Times New Roman" w:hAnsi="Times New Roman"/>
          <w:noProof/>
          <w:sz w:val="24"/>
        </w:rPr>
        <w:t>trybucyjne na obszarach wiejskich, aby zwiększyć</w:t>
      </w:r>
      <w:r w:rsidRPr="00A33B9F">
        <w:rPr>
          <w:noProof/>
          <w:sz w:val="24"/>
        </w:rPr>
        <w:t xml:space="preserve"> </w:t>
      </w:r>
      <w:r w:rsidRPr="00A33B9F">
        <w:rPr>
          <w:rFonts w:ascii="Times New Roman" w:hAnsi="Times New Roman"/>
          <w:noProof/>
          <w:sz w:val="24"/>
        </w:rPr>
        <w:t>zdolność</w:t>
      </w:r>
      <w:r w:rsidR="00A33B9F" w:rsidRPr="00A33B9F">
        <w:rPr>
          <w:rFonts w:ascii="Times New Roman" w:hAnsi="Times New Roman"/>
          <w:noProof/>
          <w:sz w:val="24"/>
        </w:rPr>
        <w:t xml:space="preserve"> w zak</w:t>
      </w:r>
      <w:r w:rsidRPr="00A33B9F">
        <w:rPr>
          <w:rFonts w:ascii="Times New Roman" w:hAnsi="Times New Roman"/>
          <w:noProof/>
          <w:sz w:val="24"/>
        </w:rPr>
        <w:t>resie przyłączania nowych odnawialnych źródeł energii do sieci,</w:t>
      </w:r>
      <w:r w:rsidR="00A33B9F" w:rsidRPr="00A33B9F">
        <w:rPr>
          <w:rFonts w:ascii="Times New Roman" w:hAnsi="Times New Roman"/>
          <w:noProof/>
          <w:sz w:val="24"/>
        </w:rPr>
        <w:t xml:space="preserve"> a tak</w:t>
      </w:r>
      <w:r w:rsidRPr="00A33B9F">
        <w:rPr>
          <w:rFonts w:ascii="Times New Roman" w:hAnsi="Times New Roman"/>
          <w:noProof/>
          <w:sz w:val="24"/>
        </w:rPr>
        <w:t>że przez wspieranie rozwoju morskich farm wiatrowych. Wspomniane działania ułatwiają również eliminowanie barier dla rozwoju lokalnych społeczności energetycznych działających</w:t>
      </w:r>
      <w:r w:rsidR="00A33B9F" w:rsidRPr="00A33B9F">
        <w:rPr>
          <w:rFonts w:ascii="Times New Roman" w:hAnsi="Times New Roman"/>
          <w:noProof/>
          <w:sz w:val="24"/>
        </w:rPr>
        <w:t xml:space="preserve"> w zak</w:t>
      </w:r>
      <w:r w:rsidRPr="00A33B9F">
        <w:rPr>
          <w:rFonts w:ascii="Times New Roman" w:hAnsi="Times New Roman"/>
          <w:noProof/>
          <w:sz w:val="24"/>
        </w:rPr>
        <w:t>resie energii odnawialnej</w:t>
      </w:r>
      <w:r w:rsidR="00A33B9F" w:rsidRPr="00A33B9F">
        <w:rPr>
          <w:rFonts w:ascii="Times New Roman" w:hAnsi="Times New Roman"/>
          <w:noProof/>
          <w:sz w:val="24"/>
        </w:rPr>
        <w:t xml:space="preserve"> i spr</w:t>
      </w:r>
      <w:r w:rsidRPr="00A33B9F">
        <w:rPr>
          <w:rFonts w:ascii="Times New Roman" w:hAnsi="Times New Roman"/>
          <w:noProof/>
          <w:sz w:val="24"/>
        </w:rPr>
        <w:t>zyjają tworzeniu takich społeczności. Przyczynia się to do skutecznej realizacji zaleceń dotyczących przyspieszenia procesu stopniowego wycofywania paliw kopalnych</w:t>
      </w:r>
      <w:r w:rsidR="00A33B9F" w:rsidRPr="00A33B9F">
        <w:rPr>
          <w:rFonts w:ascii="Times New Roman" w:hAnsi="Times New Roman"/>
          <w:noProof/>
          <w:sz w:val="24"/>
        </w:rPr>
        <w:t xml:space="preserve"> i wdr</w:t>
      </w:r>
      <w:r w:rsidRPr="00A33B9F">
        <w:rPr>
          <w:rFonts w:ascii="Times New Roman" w:hAnsi="Times New Roman"/>
          <w:noProof/>
          <w:sz w:val="24"/>
        </w:rPr>
        <w:t>ażania energii ze źródeł odnawialnych,</w:t>
      </w:r>
      <w:r w:rsidR="00A33B9F" w:rsidRPr="00A33B9F">
        <w:rPr>
          <w:rFonts w:ascii="Times New Roman" w:hAnsi="Times New Roman"/>
          <w:noProof/>
          <w:sz w:val="24"/>
        </w:rPr>
        <w:t xml:space="preserve"> a tak</w:t>
      </w:r>
      <w:r w:rsidRPr="00A33B9F">
        <w:rPr>
          <w:rFonts w:ascii="Times New Roman" w:hAnsi="Times New Roman"/>
          <w:noProof/>
          <w:sz w:val="24"/>
        </w:rPr>
        <w:t>że przeprowadzenia reformy ram prawnych regulujących kwestie związane</w:t>
      </w:r>
      <w:r w:rsidR="00A33B9F" w:rsidRPr="00A33B9F">
        <w:rPr>
          <w:rFonts w:ascii="Times New Roman" w:hAnsi="Times New Roman"/>
          <w:noProof/>
          <w:sz w:val="24"/>
        </w:rPr>
        <w:t xml:space="preserve"> z wyd</w:t>
      </w:r>
      <w:r w:rsidRPr="00A33B9F">
        <w:rPr>
          <w:rFonts w:ascii="Times New Roman" w:hAnsi="Times New Roman"/>
          <w:noProof/>
          <w:sz w:val="24"/>
        </w:rPr>
        <w:t>awaniem zgody na podłączenie do sieci</w:t>
      </w:r>
      <w:r w:rsidR="00A33B9F" w:rsidRPr="00A33B9F">
        <w:rPr>
          <w:rFonts w:ascii="Times New Roman" w:hAnsi="Times New Roman"/>
          <w:noProof/>
          <w:sz w:val="24"/>
        </w:rPr>
        <w:t xml:space="preserve"> i ram</w:t>
      </w:r>
      <w:r w:rsidRPr="00A33B9F">
        <w:rPr>
          <w:rFonts w:ascii="Times New Roman" w:hAnsi="Times New Roman"/>
          <w:noProof/>
          <w:sz w:val="24"/>
        </w:rPr>
        <w:t xml:space="preserve"> prawnych</w:t>
      </w:r>
      <w:r w:rsidR="00A33B9F" w:rsidRPr="00A33B9F">
        <w:rPr>
          <w:rFonts w:ascii="Times New Roman" w:hAnsi="Times New Roman"/>
          <w:noProof/>
          <w:sz w:val="24"/>
        </w:rPr>
        <w:t xml:space="preserve"> w zak</w:t>
      </w:r>
      <w:r w:rsidRPr="00A33B9F">
        <w:rPr>
          <w:rFonts w:ascii="Times New Roman" w:hAnsi="Times New Roman"/>
          <w:noProof/>
          <w:sz w:val="24"/>
        </w:rPr>
        <w:t>resie odnawialnych źródeł energii zawierających przepisy dotyczące społeczności energetycznych, biometanu</w:t>
      </w:r>
      <w:r w:rsidR="00A33B9F" w:rsidRPr="00A33B9F">
        <w:rPr>
          <w:rFonts w:ascii="Times New Roman" w:hAnsi="Times New Roman"/>
          <w:noProof/>
          <w:sz w:val="24"/>
        </w:rPr>
        <w:t xml:space="preserve"> i wod</w:t>
      </w:r>
      <w:r w:rsidRPr="00A33B9F">
        <w:rPr>
          <w:rFonts w:ascii="Times New Roman" w:hAnsi="Times New Roman"/>
          <w:noProof/>
          <w:sz w:val="24"/>
        </w:rPr>
        <w:t>oru odnawialnego (zalecenia krajowe 6.1–6.2</w:t>
      </w:r>
      <w:r w:rsidR="00A33B9F" w:rsidRPr="00A33B9F">
        <w:rPr>
          <w:rFonts w:ascii="Times New Roman" w:hAnsi="Times New Roman"/>
          <w:noProof/>
          <w:sz w:val="24"/>
        </w:rPr>
        <w:t xml:space="preserve"> w 2</w:t>
      </w:r>
      <w:r w:rsidRPr="00A33B9F">
        <w:rPr>
          <w:rFonts w:ascii="Times New Roman" w:hAnsi="Times New Roman"/>
          <w:noProof/>
          <w:sz w:val="24"/>
        </w:rPr>
        <w:t>022</w:t>
      </w:r>
      <w:r w:rsidR="00A33B9F" w:rsidRPr="00A33B9F">
        <w:rPr>
          <w:rFonts w:ascii="Times New Roman" w:hAnsi="Times New Roman"/>
          <w:noProof/>
          <w:sz w:val="24"/>
        </w:rPr>
        <w:t> </w:t>
      </w:r>
      <w:r w:rsidRPr="00A33B9F">
        <w:rPr>
          <w:rFonts w:ascii="Times New Roman" w:hAnsi="Times New Roman"/>
          <w:noProof/>
          <w:sz w:val="24"/>
        </w:rPr>
        <w:t>r.</w:t>
      </w:r>
      <w:r w:rsidR="00A33B9F" w:rsidRPr="00A33B9F">
        <w:rPr>
          <w:rFonts w:ascii="Times New Roman" w:hAnsi="Times New Roman"/>
          <w:noProof/>
          <w:sz w:val="24"/>
        </w:rPr>
        <w:t xml:space="preserve"> i zal</w:t>
      </w:r>
      <w:r w:rsidRPr="00A33B9F">
        <w:rPr>
          <w:rFonts w:ascii="Times New Roman" w:hAnsi="Times New Roman"/>
          <w:noProof/>
          <w:sz w:val="24"/>
        </w:rPr>
        <w:t>ecenia krajowe 4.1–4.2</w:t>
      </w:r>
      <w:r w:rsidR="00A33B9F" w:rsidRPr="00A33B9F">
        <w:rPr>
          <w:rFonts w:ascii="Times New Roman" w:hAnsi="Times New Roman"/>
          <w:noProof/>
          <w:sz w:val="24"/>
        </w:rPr>
        <w:t xml:space="preserve"> w 2</w:t>
      </w:r>
      <w:r w:rsidRPr="00A33B9F">
        <w:rPr>
          <w:rFonts w:ascii="Times New Roman" w:hAnsi="Times New Roman"/>
          <w:noProof/>
          <w:sz w:val="24"/>
        </w:rPr>
        <w:t>023</w:t>
      </w:r>
      <w:r w:rsidR="00A33B9F" w:rsidRPr="00A33B9F">
        <w:rPr>
          <w:rFonts w:ascii="Times New Roman" w:hAnsi="Times New Roman"/>
          <w:noProof/>
          <w:sz w:val="24"/>
        </w:rPr>
        <w:t> </w:t>
      </w:r>
      <w:r w:rsidRPr="00A33B9F">
        <w:rPr>
          <w:rFonts w:ascii="Times New Roman" w:hAnsi="Times New Roman"/>
          <w:noProof/>
          <w:sz w:val="24"/>
        </w:rPr>
        <w:t>r.).Aby zrealizować zalecenia dotyczące propagowania zrównoważonych rodzajów transportu publicznego (zalecenie krajowe 4.4</w:t>
      </w:r>
      <w:r w:rsidR="00A33B9F" w:rsidRPr="00A33B9F">
        <w:rPr>
          <w:rFonts w:ascii="Times New Roman" w:hAnsi="Times New Roman"/>
          <w:noProof/>
          <w:sz w:val="24"/>
        </w:rPr>
        <w:t xml:space="preserve"> w 2</w:t>
      </w:r>
      <w:r w:rsidRPr="00A33B9F">
        <w:rPr>
          <w:rFonts w:ascii="Times New Roman" w:hAnsi="Times New Roman"/>
          <w:noProof/>
          <w:sz w:val="24"/>
        </w:rPr>
        <w:t>023</w:t>
      </w:r>
      <w:r w:rsidR="00A33B9F" w:rsidRPr="00A33B9F">
        <w:rPr>
          <w:rFonts w:ascii="Times New Roman" w:hAnsi="Times New Roman"/>
          <w:noProof/>
          <w:sz w:val="24"/>
        </w:rPr>
        <w:t> </w:t>
      </w:r>
      <w:r w:rsidRPr="00A33B9F">
        <w:rPr>
          <w:rFonts w:ascii="Times New Roman" w:hAnsi="Times New Roman"/>
          <w:noProof/>
          <w:sz w:val="24"/>
        </w:rPr>
        <w:t>r.)</w:t>
      </w:r>
      <w:r w:rsidR="00A33B9F" w:rsidRPr="00A33B9F">
        <w:rPr>
          <w:rFonts w:ascii="Times New Roman" w:hAnsi="Times New Roman"/>
          <w:noProof/>
          <w:sz w:val="24"/>
        </w:rPr>
        <w:t xml:space="preserve"> i zwi</w:t>
      </w:r>
      <w:r w:rsidRPr="00A33B9F">
        <w:rPr>
          <w:rFonts w:ascii="Times New Roman" w:hAnsi="Times New Roman"/>
          <w:noProof/>
          <w:sz w:val="24"/>
        </w:rPr>
        <w:t>ększyć stopień wykorzystania pojazdów elektrycznych (zalecenie krajowe 6.4</w:t>
      </w:r>
      <w:r w:rsidR="00A33B9F" w:rsidRPr="00A33B9F">
        <w:rPr>
          <w:rFonts w:ascii="Times New Roman" w:hAnsi="Times New Roman"/>
          <w:noProof/>
          <w:sz w:val="24"/>
        </w:rPr>
        <w:t xml:space="preserve"> w 2</w:t>
      </w:r>
      <w:r w:rsidRPr="00A33B9F">
        <w:rPr>
          <w:rFonts w:ascii="Times New Roman" w:hAnsi="Times New Roman"/>
          <w:noProof/>
          <w:sz w:val="24"/>
        </w:rPr>
        <w:t>022</w:t>
      </w:r>
      <w:r w:rsidR="00A33B9F" w:rsidRPr="00A33B9F">
        <w:rPr>
          <w:rFonts w:ascii="Times New Roman" w:hAnsi="Times New Roman"/>
          <w:noProof/>
          <w:sz w:val="24"/>
        </w:rPr>
        <w:t> </w:t>
      </w:r>
      <w:r w:rsidRPr="00A33B9F">
        <w:rPr>
          <w:rFonts w:ascii="Times New Roman" w:hAnsi="Times New Roman"/>
          <w:noProof/>
          <w:sz w:val="24"/>
        </w:rPr>
        <w:t>r.),</w:t>
      </w:r>
      <w:r w:rsidR="00A33B9F" w:rsidRPr="00A33B9F">
        <w:rPr>
          <w:rFonts w:ascii="Times New Roman" w:hAnsi="Times New Roman"/>
          <w:noProof/>
          <w:sz w:val="24"/>
        </w:rPr>
        <w:t xml:space="preserve"> w kom</w:t>
      </w:r>
      <w:r w:rsidRPr="00A33B9F">
        <w:rPr>
          <w:rFonts w:ascii="Times New Roman" w:hAnsi="Times New Roman"/>
          <w:noProof/>
          <w:sz w:val="24"/>
        </w:rPr>
        <w:t>ponencie przewidziano działania na rzecz obniżenia emisyjności sektora transportu,</w:t>
      </w:r>
      <w:r w:rsidR="00A33B9F" w:rsidRPr="00A33B9F">
        <w:rPr>
          <w:rFonts w:ascii="Times New Roman" w:hAnsi="Times New Roman"/>
          <w:noProof/>
          <w:sz w:val="24"/>
        </w:rPr>
        <w:t xml:space="preserve"> w szc</w:t>
      </w:r>
      <w:r w:rsidRPr="00A33B9F">
        <w:rPr>
          <w:rFonts w:ascii="Times New Roman" w:hAnsi="Times New Roman"/>
          <w:noProof/>
          <w:sz w:val="24"/>
        </w:rPr>
        <w:t>zególności przez zastąpienie zanieczyszczających pojazdów wykorzystywanych</w:t>
      </w:r>
      <w:r w:rsidR="00A33B9F" w:rsidRPr="00A33B9F">
        <w:rPr>
          <w:rFonts w:ascii="Times New Roman" w:hAnsi="Times New Roman"/>
          <w:noProof/>
          <w:sz w:val="24"/>
        </w:rPr>
        <w:t xml:space="preserve"> w ram</w:t>
      </w:r>
      <w:r w:rsidRPr="00A33B9F">
        <w:rPr>
          <w:rFonts w:ascii="Times New Roman" w:hAnsi="Times New Roman"/>
          <w:noProof/>
          <w:sz w:val="24"/>
        </w:rPr>
        <w:t>ach miejskiego transportu publicznego pojazdami bezemisyjnymi</w:t>
      </w:r>
      <w:r w:rsidR="00A33B9F" w:rsidRPr="00A33B9F">
        <w:rPr>
          <w:rFonts w:ascii="Times New Roman" w:hAnsi="Times New Roman"/>
          <w:noProof/>
          <w:sz w:val="24"/>
        </w:rPr>
        <w:t xml:space="preserve"> i prz</w:t>
      </w:r>
      <w:r w:rsidRPr="00A33B9F">
        <w:rPr>
          <w:rFonts w:ascii="Times New Roman" w:hAnsi="Times New Roman"/>
          <w:noProof/>
          <w:sz w:val="24"/>
        </w:rPr>
        <w:t>ez przyjęcie planu działania na rzecz ekologicznego transportu zgodnie</w:t>
      </w:r>
      <w:r w:rsidR="00A33B9F" w:rsidRPr="00A33B9F">
        <w:rPr>
          <w:rFonts w:ascii="Times New Roman" w:hAnsi="Times New Roman"/>
          <w:noProof/>
          <w:sz w:val="24"/>
        </w:rPr>
        <w:t xml:space="preserve"> z uni</w:t>
      </w:r>
      <w:r w:rsidRPr="00A33B9F">
        <w:rPr>
          <w:rFonts w:ascii="Times New Roman" w:hAnsi="Times New Roman"/>
          <w:noProof/>
          <w:sz w:val="24"/>
        </w:rPr>
        <w:t>jnymi celami klimatycznymi. Komponent uwzględnia ponadto działania służące wsparciu świadczenia zintegrowanych usług</w:t>
      </w:r>
      <w:r w:rsidR="00A33B9F" w:rsidRPr="00A33B9F">
        <w:rPr>
          <w:rFonts w:ascii="Times New Roman" w:hAnsi="Times New Roman"/>
          <w:noProof/>
          <w:sz w:val="24"/>
        </w:rPr>
        <w:t xml:space="preserve"> w zak</w:t>
      </w:r>
      <w:r w:rsidRPr="00A33B9F">
        <w:rPr>
          <w:rFonts w:ascii="Times New Roman" w:hAnsi="Times New Roman"/>
          <w:noProof/>
          <w:sz w:val="24"/>
        </w:rPr>
        <w:t>resie renowacji budynków mieszkalnych</w:t>
      </w:r>
      <w:r w:rsidR="00A33B9F" w:rsidRPr="00A33B9F">
        <w:rPr>
          <w:rFonts w:ascii="Times New Roman" w:hAnsi="Times New Roman"/>
          <w:noProof/>
          <w:sz w:val="24"/>
        </w:rPr>
        <w:t xml:space="preserve"> i sto</w:t>
      </w:r>
      <w:r w:rsidRPr="00A33B9F">
        <w:rPr>
          <w:rFonts w:ascii="Times New Roman" w:hAnsi="Times New Roman"/>
          <w:noProof/>
          <w:sz w:val="24"/>
        </w:rPr>
        <w:t>pniowemu odchodzeniu od korzystania</w:t>
      </w:r>
      <w:r w:rsidR="00A33B9F" w:rsidRPr="00A33B9F">
        <w:rPr>
          <w:rFonts w:ascii="Times New Roman" w:hAnsi="Times New Roman"/>
          <w:noProof/>
          <w:sz w:val="24"/>
        </w:rPr>
        <w:t xml:space="preserve"> z pal</w:t>
      </w:r>
      <w:r w:rsidRPr="00A33B9F">
        <w:rPr>
          <w:rFonts w:ascii="Times New Roman" w:hAnsi="Times New Roman"/>
          <w:noProof/>
          <w:sz w:val="24"/>
        </w:rPr>
        <w:t>iw kopalnych do ogrzewania domów zgodnie</w:t>
      </w:r>
      <w:r w:rsidR="00A33B9F" w:rsidRPr="00A33B9F">
        <w:rPr>
          <w:rFonts w:ascii="Times New Roman" w:hAnsi="Times New Roman"/>
          <w:noProof/>
          <w:sz w:val="24"/>
        </w:rPr>
        <w:t xml:space="preserve"> z zal</w:t>
      </w:r>
      <w:r w:rsidRPr="00A33B9F">
        <w:rPr>
          <w:rFonts w:ascii="Times New Roman" w:hAnsi="Times New Roman"/>
          <w:noProof/>
          <w:sz w:val="24"/>
        </w:rPr>
        <w:t>eceniami dotyczącymi propagowania oszczędności energii, zwiększania inwestycji</w:t>
      </w:r>
      <w:r w:rsidR="00A33B9F" w:rsidRPr="00A33B9F">
        <w:rPr>
          <w:rFonts w:ascii="Times New Roman" w:hAnsi="Times New Roman"/>
          <w:noProof/>
          <w:sz w:val="24"/>
        </w:rPr>
        <w:t xml:space="preserve"> w efe</w:t>
      </w:r>
      <w:r w:rsidRPr="00A33B9F">
        <w:rPr>
          <w:rFonts w:ascii="Times New Roman" w:hAnsi="Times New Roman"/>
          <w:noProof/>
          <w:sz w:val="24"/>
        </w:rPr>
        <w:t>ktywność energetyczną budynków</w:t>
      </w:r>
      <w:r w:rsidR="00A33B9F" w:rsidRPr="00A33B9F">
        <w:rPr>
          <w:rFonts w:ascii="Times New Roman" w:hAnsi="Times New Roman"/>
          <w:noProof/>
          <w:sz w:val="24"/>
        </w:rPr>
        <w:t xml:space="preserve"> i obn</w:t>
      </w:r>
      <w:r w:rsidRPr="00A33B9F">
        <w:rPr>
          <w:rFonts w:ascii="Times New Roman" w:hAnsi="Times New Roman"/>
          <w:noProof/>
          <w:sz w:val="24"/>
        </w:rPr>
        <w:t>iżania emisyjności</w:t>
      </w:r>
      <w:r w:rsidR="00A33B9F" w:rsidRPr="00A33B9F">
        <w:rPr>
          <w:rFonts w:ascii="Times New Roman" w:hAnsi="Times New Roman"/>
          <w:noProof/>
          <w:sz w:val="24"/>
        </w:rPr>
        <w:t xml:space="preserve"> w kon</w:t>
      </w:r>
      <w:r w:rsidRPr="00A33B9F">
        <w:rPr>
          <w:rFonts w:ascii="Times New Roman" w:hAnsi="Times New Roman"/>
          <w:noProof/>
          <w:sz w:val="24"/>
        </w:rPr>
        <w:t>tekście dostaw ciepła</w:t>
      </w:r>
      <w:r w:rsidR="00A33B9F" w:rsidRPr="00A33B9F">
        <w:rPr>
          <w:rFonts w:ascii="Times New Roman" w:hAnsi="Times New Roman"/>
          <w:noProof/>
          <w:sz w:val="24"/>
        </w:rPr>
        <w:t xml:space="preserve"> w ram</w:t>
      </w:r>
      <w:r w:rsidRPr="00A33B9F">
        <w:rPr>
          <w:rFonts w:ascii="Times New Roman" w:hAnsi="Times New Roman"/>
          <w:noProof/>
          <w:sz w:val="24"/>
        </w:rPr>
        <w:t>ach systemu ciepłowniczego, aby przeciwdziałać zjawisku ubóstwa energetycznego (zalecenie krajowe 6.3</w:t>
      </w:r>
      <w:r w:rsidR="00A33B9F" w:rsidRPr="00A33B9F">
        <w:rPr>
          <w:rFonts w:ascii="Times New Roman" w:hAnsi="Times New Roman"/>
          <w:noProof/>
          <w:sz w:val="24"/>
        </w:rPr>
        <w:t xml:space="preserve"> w 2</w:t>
      </w:r>
      <w:r w:rsidRPr="00A33B9F">
        <w:rPr>
          <w:rFonts w:ascii="Times New Roman" w:hAnsi="Times New Roman"/>
          <w:noProof/>
          <w:sz w:val="24"/>
        </w:rPr>
        <w:t>022</w:t>
      </w:r>
      <w:r w:rsidR="00A33B9F" w:rsidRPr="00A33B9F">
        <w:rPr>
          <w:rFonts w:ascii="Times New Roman" w:hAnsi="Times New Roman"/>
          <w:noProof/>
          <w:sz w:val="24"/>
        </w:rPr>
        <w:t> </w:t>
      </w:r>
      <w:r w:rsidRPr="00A33B9F">
        <w:rPr>
          <w:rFonts w:ascii="Times New Roman" w:hAnsi="Times New Roman"/>
          <w:noProof/>
          <w:sz w:val="24"/>
        </w:rPr>
        <w:t>r.</w:t>
      </w:r>
      <w:r w:rsidR="00A33B9F" w:rsidRPr="00A33B9F">
        <w:rPr>
          <w:rFonts w:ascii="Times New Roman" w:hAnsi="Times New Roman"/>
          <w:noProof/>
          <w:sz w:val="24"/>
        </w:rPr>
        <w:t xml:space="preserve"> i zal</w:t>
      </w:r>
      <w:r w:rsidRPr="00A33B9F">
        <w:rPr>
          <w:rFonts w:ascii="Times New Roman" w:hAnsi="Times New Roman"/>
          <w:noProof/>
          <w:sz w:val="24"/>
        </w:rPr>
        <w:t>ecenie krajowe 4.3</w:t>
      </w:r>
      <w:r w:rsidR="00A33B9F" w:rsidRPr="00A33B9F">
        <w:rPr>
          <w:rFonts w:ascii="Times New Roman" w:hAnsi="Times New Roman"/>
          <w:noProof/>
          <w:sz w:val="24"/>
        </w:rPr>
        <w:t xml:space="preserve"> w 2</w:t>
      </w:r>
      <w:r w:rsidRPr="00A33B9F">
        <w:rPr>
          <w:rFonts w:ascii="Times New Roman" w:hAnsi="Times New Roman"/>
          <w:noProof/>
          <w:sz w:val="24"/>
        </w:rPr>
        <w:t>023</w:t>
      </w:r>
      <w:r w:rsidR="00A33B9F" w:rsidRPr="00A33B9F">
        <w:rPr>
          <w:rFonts w:ascii="Times New Roman" w:hAnsi="Times New Roman"/>
          <w:noProof/>
          <w:sz w:val="24"/>
        </w:rPr>
        <w:t> </w:t>
      </w:r>
      <w:r w:rsidRPr="00A33B9F">
        <w:rPr>
          <w:rFonts w:ascii="Times New Roman" w:hAnsi="Times New Roman"/>
          <w:noProof/>
          <w:sz w:val="24"/>
        </w:rPr>
        <w:t>r.). Celem komponentu jest również zaktualizowanie sektorowych ram kwalifikacji na rzecz zielonej transformacji, do czego zachęcano</w:t>
      </w:r>
      <w:r w:rsidR="00A33B9F" w:rsidRPr="00A33B9F">
        <w:rPr>
          <w:rFonts w:ascii="Times New Roman" w:hAnsi="Times New Roman"/>
          <w:noProof/>
          <w:sz w:val="24"/>
        </w:rPr>
        <w:t xml:space="preserve"> w zal</w:t>
      </w:r>
      <w:r w:rsidRPr="00A33B9F">
        <w:rPr>
          <w:rFonts w:ascii="Times New Roman" w:hAnsi="Times New Roman"/>
          <w:noProof/>
          <w:sz w:val="24"/>
        </w:rPr>
        <w:t>eceniach dotyczących wzmożenia wysiłków</w:t>
      </w:r>
      <w:r w:rsidR="00A33B9F" w:rsidRPr="00A33B9F">
        <w:rPr>
          <w:rFonts w:ascii="Times New Roman" w:hAnsi="Times New Roman"/>
          <w:noProof/>
          <w:sz w:val="24"/>
        </w:rPr>
        <w:t xml:space="preserve"> w ram</w:t>
      </w:r>
      <w:r w:rsidRPr="00A33B9F">
        <w:rPr>
          <w:rFonts w:ascii="Times New Roman" w:hAnsi="Times New Roman"/>
          <w:noProof/>
          <w:sz w:val="24"/>
        </w:rPr>
        <w:t>ach polityki mających na celu zapewnienie</w:t>
      </w:r>
      <w:r w:rsidR="00A33B9F" w:rsidRPr="00A33B9F">
        <w:rPr>
          <w:rFonts w:ascii="Times New Roman" w:hAnsi="Times New Roman"/>
          <w:noProof/>
          <w:sz w:val="24"/>
        </w:rPr>
        <w:t xml:space="preserve"> i nab</w:t>
      </w:r>
      <w:r w:rsidRPr="00A33B9F">
        <w:rPr>
          <w:rFonts w:ascii="Times New Roman" w:hAnsi="Times New Roman"/>
          <w:noProof/>
          <w:sz w:val="24"/>
        </w:rPr>
        <w:t>ywanie umiejętności</w:t>
      </w:r>
      <w:r w:rsidR="00A33B9F" w:rsidRPr="00A33B9F">
        <w:rPr>
          <w:rFonts w:ascii="Times New Roman" w:hAnsi="Times New Roman"/>
          <w:noProof/>
          <w:sz w:val="24"/>
        </w:rPr>
        <w:t xml:space="preserve"> i kom</w:t>
      </w:r>
      <w:r w:rsidRPr="00A33B9F">
        <w:rPr>
          <w:rFonts w:ascii="Times New Roman" w:hAnsi="Times New Roman"/>
          <w:noProof/>
          <w:sz w:val="24"/>
        </w:rPr>
        <w:t>petencji potrzebnych dla zielonej transformacji (zalecenie krajowe 4.5</w:t>
      </w:r>
      <w:r w:rsidR="00A33B9F" w:rsidRPr="00A33B9F">
        <w:rPr>
          <w:rFonts w:ascii="Times New Roman" w:hAnsi="Times New Roman"/>
          <w:noProof/>
          <w:sz w:val="24"/>
        </w:rPr>
        <w:t xml:space="preserve"> w 2</w:t>
      </w:r>
      <w:r w:rsidRPr="00A33B9F">
        <w:rPr>
          <w:rFonts w:ascii="Times New Roman" w:hAnsi="Times New Roman"/>
          <w:noProof/>
          <w:sz w:val="24"/>
        </w:rPr>
        <w:t>023</w:t>
      </w:r>
      <w:r w:rsidR="00A33B9F" w:rsidRPr="00A33B9F">
        <w:rPr>
          <w:rFonts w:ascii="Times New Roman" w:hAnsi="Times New Roman"/>
          <w:noProof/>
          <w:sz w:val="24"/>
        </w:rPr>
        <w:t> </w:t>
      </w:r>
      <w:r w:rsidRPr="00A33B9F">
        <w:rPr>
          <w:rFonts w:ascii="Times New Roman" w:hAnsi="Times New Roman"/>
          <w:noProof/>
          <w:sz w:val="24"/>
        </w:rPr>
        <w:t>r.). Ukierunkowana inwestycja dotycząca infrastruktury gazowej służy zaspokojeniu najpilniejszych potrzeb Polski</w:t>
      </w:r>
      <w:r w:rsidR="00A33B9F" w:rsidRPr="00A33B9F">
        <w:rPr>
          <w:rFonts w:ascii="Times New Roman" w:hAnsi="Times New Roman"/>
          <w:noProof/>
          <w:sz w:val="24"/>
        </w:rPr>
        <w:t xml:space="preserve"> w zak</w:t>
      </w:r>
      <w:r w:rsidRPr="00A33B9F">
        <w:rPr>
          <w:rFonts w:ascii="Times New Roman" w:hAnsi="Times New Roman"/>
          <w:noProof/>
          <w:sz w:val="24"/>
        </w:rPr>
        <w:t>resie bezpieczeństwa dostaw</w:t>
      </w:r>
      <w:r w:rsidR="00A33B9F" w:rsidRPr="00A33B9F">
        <w:rPr>
          <w:rFonts w:ascii="Times New Roman" w:hAnsi="Times New Roman"/>
          <w:noProof/>
          <w:sz w:val="24"/>
        </w:rPr>
        <w:t xml:space="preserve"> w pro</w:t>
      </w:r>
      <w:r w:rsidRPr="00A33B9F">
        <w:rPr>
          <w:rFonts w:ascii="Times New Roman" w:hAnsi="Times New Roman"/>
          <w:noProof/>
          <w:sz w:val="24"/>
        </w:rPr>
        <w:t>porcjonalny</w:t>
      </w:r>
      <w:r w:rsidR="00A33B9F" w:rsidRPr="00A33B9F">
        <w:rPr>
          <w:rFonts w:ascii="Times New Roman" w:hAnsi="Times New Roman"/>
          <w:noProof/>
          <w:sz w:val="24"/>
        </w:rPr>
        <w:t xml:space="preserve"> i pre</w:t>
      </w:r>
      <w:r w:rsidRPr="00A33B9F">
        <w:rPr>
          <w:rFonts w:ascii="Times New Roman" w:hAnsi="Times New Roman"/>
          <w:noProof/>
          <w:sz w:val="24"/>
        </w:rPr>
        <w:t>cyzyjny sposób. Celem Funduszu Wsparcia Energetyki jest uruchomienie inwestycji prywatnych</w:t>
      </w:r>
      <w:r w:rsidR="00A33B9F" w:rsidRPr="00A33B9F">
        <w:rPr>
          <w:rFonts w:ascii="Times New Roman" w:hAnsi="Times New Roman"/>
          <w:noProof/>
          <w:sz w:val="24"/>
        </w:rPr>
        <w:t xml:space="preserve"> i pop</w:t>
      </w:r>
      <w:r w:rsidRPr="00A33B9F">
        <w:rPr>
          <w:rFonts w:ascii="Times New Roman" w:hAnsi="Times New Roman"/>
          <w:noProof/>
          <w:sz w:val="24"/>
        </w:rPr>
        <w:t>rawa dostępu do finansowania</w:t>
      </w:r>
      <w:r w:rsidR="00A33B9F" w:rsidRPr="00A33B9F">
        <w:rPr>
          <w:rFonts w:ascii="Times New Roman" w:hAnsi="Times New Roman"/>
          <w:noProof/>
          <w:sz w:val="24"/>
        </w:rPr>
        <w:t xml:space="preserve"> w sek</w:t>
      </w:r>
      <w:r w:rsidRPr="00A33B9F">
        <w:rPr>
          <w:rFonts w:ascii="Times New Roman" w:hAnsi="Times New Roman"/>
          <w:noProof/>
          <w:sz w:val="24"/>
        </w:rPr>
        <w:t>torach</w:t>
      </w:r>
      <w:r w:rsidR="00A33B9F" w:rsidRPr="00A33B9F">
        <w:rPr>
          <w:rFonts w:ascii="Times New Roman" w:hAnsi="Times New Roman"/>
          <w:noProof/>
          <w:sz w:val="24"/>
        </w:rPr>
        <w:t xml:space="preserve"> o klu</w:t>
      </w:r>
      <w:r w:rsidRPr="00A33B9F">
        <w:rPr>
          <w:rFonts w:ascii="Times New Roman" w:hAnsi="Times New Roman"/>
          <w:noProof/>
          <w:sz w:val="24"/>
        </w:rPr>
        <w:t>czowym znaczeniu dla transformacji energetycznej. Ułatwi to wdrożenie zaleceń dotyczących konieczności zwiększenia inwestycji publicznych na rzecz transformacji cyfrowej</w:t>
      </w:r>
      <w:r w:rsidR="00A33B9F" w:rsidRPr="00A33B9F">
        <w:rPr>
          <w:rFonts w:ascii="Times New Roman" w:hAnsi="Times New Roman"/>
          <w:noProof/>
          <w:sz w:val="24"/>
        </w:rPr>
        <w:t xml:space="preserve"> i bez</w:t>
      </w:r>
      <w:r w:rsidRPr="00A33B9F">
        <w:rPr>
          <w:rFonts w:ascii="Times New Roman" w:hAnsi="Times New Roman"/>
          <w:noProof/>
          <w:sz w:val="24"/>
        </w:rPr>
        <w:t>pieczeństwa energetycznego, m.in. przez wykorzystanie RRF, REPowerEU</w:t>
      </w:r>
      <w:r w:rsidR="00A33B9F" w:rsidRPr="00A33B9F">
        <w:rPr>
          <w:rFonts w:ascii="Times New Roman" w:hAnsi="Times New Roman"/>
          <w:noProof/>
          <w:sz w:val="24"/>
        </w:rPr>
        <w:t xml:space="preserve"> i inn</w:t>
      </w:r>
      <w:r w:rsidRPr="00A33B9F">
        <w:rPr>
          <w:rFonts w:ascii="Times New Roman" w:hAnsi="Times New Roman"/>
          <w:noProof/>
          <w:sz w:val="24"/>
        </w:rPr>
        <w:t>ych funduszy UE. (zalecenie krajowe 1.2</w:t>
      </w:r>
      <w:r w:rsidR="00A33B9F" w:rsidRPr="00A33B9F">
        <w:rPr>
          <w:rFonts w:ascii="Times New Roman" w:hAnsi="Times New Roman"/>
          <w:noProof/>
          <w:sz w:val="24"/>
        </w:rPr>
        <w:t xml:space="preserve"> w 2</w:t>
      </w:r>
      <w:r w:rsidRPr="00A33B9F">
        <w:rPr>
          <w:rFonts w:ascii="Times New Roman" w:hAnsi="Times New Roman"/>
          <w:noProof/>
          <w:sz w:val="24"/>
        </w:rPr>
        <w:t>022</w:t>
      </w:r>
      <w:r w:rsidR="00A33B9F" w:rsidRPr="00A33B9F">
        <w:rPr>
          <w:rFonts w:ascii="Times New Roman" w:hAnsi="Times New Roman"/>
          <w:noProof/>
          <w:sz w:val="24"/>
        </w:rPr>
        <w:t> </w:t>
      </w:r>
      <w:r w:rsidRPr="00A33B9F">
        <w:rPr>
          <w:rFonts w:ascii="Times New Roman" w:hAnsi="Times New Roman"/>
          <w:noProof/>
          <w:sz w:val="24"/>
        </w:rPr>
        <w:t>r.</w:t>
      </w:r>
      <w:r w:rsidR="00A33B9F" w:rsidRPr="00A33B9F">
        <w:rPr>
          <w:rFonts w:ascii="Times New Roman" w:hAnsi="Times New Roman"/>
          <w:noProof/>
          <w:sz w:val="24"/>
        </w:rPr>
        <w:t xml:space="preserve"> i zal</w:t>
      </w:r>
      <w:r w:rsidRPr="00A33B9F">
        <w:rPr>
          <w:rFonts w:ascii="Times New Roman" w:hAnsi="Times New Roman"/>
          <w:noProof/>
          <w:sz w:val="24"/>
        </w:rPr>
        <w:t>ecenie krajowe 1.3</w:t>
      </w:r>
      <w:r w:rsidR="00A33B9F" w:rsidRPr="00A33B9F">
        <w:rPr>
          <w:rFonts w:ascii="Times New Roman" w:hAnsi="Times New Roman"/>
          <w:noProof/>
          <w:sz w:val="24"/>
        </w:rPr>
        <w:t xml:space="preserve"> w 2</w:t>
      </w:r>
      <w:r w:rsidRPr="00A33B9F">
        <w:rPr>
          <w:rFonts w:ascii="Times New Roman" w:hAnsi="Times New Roman"/>
          <w:noProof/>
          <w:sz w:val="24"/>
        </w:rPr>
        <w:t>023</w:t>
      </w:r>
      <w:r w:rsidR="00A33B9F" w:rsidRPr="00A33B9F">
        <w:rPr>
          <w:rFonts w:ascii="Times New Roman" w:hAnsi="Times New Roman"/>
          <w:noProof/>
          <w:sz w:val="24"/>
        </w:rPr>
        <w:t> </w:t>
      </w:r>
      <w:r w:rsidRPr="00A33B9F">
        <w:rPr>
          <w:rFonts w:ascii="Times New Roman" w:hAnsi="Times New Roman"/>
          <w:noProof/>
          <w:sz w:val="24"/>
        </w:rPr>
        <w:t xml:space="preserve">r.). </w:t>
      </w:r>
    </w:p>
    <w:p w14:paraId="26EAE652" w14:textId="5A273F67" w:rsidR="00AA3924" w:rsidRPr="00A33B9F" w:rsidRDefault="00AA3924" w:rsidP="00AA3924">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Większość działań</w:t>
      </w:r>
      <w:r w:rsidR="00A33B9F" w:rsidRPr="00A33B9F">
        <w:rPr>
          <w:rFonts w:ascii="Times New Roman" w:hAnsi="Times New Roman"/>
          <w:noProof/>
          <w:sz w:val="24"/>
        </w:rPr>
        <w:t xml:space="preserve"> w ram</w:t>
      </w:r>
      <w:r w:rsidRPr="00A33B9F">
        <w:rPr>
          <w:rFonts w:ascii="Times New Roman" w:hAnsi="Times New Roman"/>
          <w:noProof/>
          <w:sz w:val="24"/>
        </w:rPr>
        <w:t>ach tego komponentu ma wymiar transgraniczny lub wielokrajowy. Szereg działań przyczynia się wręcz do zapewnienia bezpieczeństwa dostaw energii</w:t>
      </w:r>
      <w:r w:rsidR="00A33B9F" w:rsidRPr="00A33B9F">
        <w:rPr>
          <w:rFonts w:ascii="Times New Roman" w:hAnsi="Times New Roman"/>
          <w:noProof/>
          <w:sz w:val="24"/>
        </w:rPr>
        <w:t xml:space="preserve"> w cał</w:t>
      </w:r>
      <w:r w:rsidRPr="00A33B9F">
        <w:rPr>
          <w:rFonts w:ascii="Times New Roman" w:hAnsi="Times New Roman"/>
          <w:noProof/>
          <w:sz w:val="24"/>
        </w:rPr>
        <w:t>ej Unii – dotyczy to</w:t>
      </w:r>
      <w:r w:rsidR="00A33B9F" w:rsidRPr="00A33B9F">
        <w:rPr>
          <w:rFonts w:ascii="Times New Roman" w:hAnsi="Times New Roman"/>
          <w:noProof/>
          <w:sz w:val="24"/>
        </w:rPr>
        <w:t xml:space="preserve"> w szc</w:t>
      </w:r>
      <w:r w:rsidRPr="00A33B9F">
        <w:rPr>
          <w:rFonts w:ascii="Times New Roman" w:hAnsi="Times New Roman"/>
          <w:noProof/>
          <w:sz w:val="24"/>
        </w:rPr>
        <w:t>zególności reform mających na celu usprawnienie wdrażania odnawialnych źródeł energii,</w:t>
      </w:r>
      <w:r w:rsidR="00A33B9F" w:rsidRPr="00A33B9F">
        <w:rPr>
          <w:rFonts w:ascii="Times New Roman" w:hAnsi="Times New Roman"/>
          <w:noProof/>
          <w:sz w:val="24"/>
        </w:rPr>
        <w:t xml:space="preserve"> w tym</w:t>
      </w:r>
      <w:r w:rsidRPr="00A33B9F">
        <w:rPr>
          <w:rFonts w:ascii="Times New Roman" w:hAnsi="Times New Roman"/>
          <w:noProof/>
          <w:sz w:val="24"/>
        </w:rPr>
        <w:t xml:space="preserve"> również za pośrednictwem społeczności energetycznych, oraz podłączania tych źródeł energii do sieci elektroenergetycznej. Komponent obejmuje ponadto inwestycje, które mają wnieść wkład</w:t>
      </w:r>
      <w:r w:rsidR="00A33B9F" w:rsidRPr="00A33B9F">
        <w:rPr>
          <w:rFonts w:ascii="Times New Roman" w:hAnsi="Times New Roman"/>
          <w:noProof/>
          <w:sz w:val="24"/>
        </w:rPr>
        <w:t xml:space="preserve"> w rea</w:t>
      </w:r>
      <w:r w:rsidRPr="00A33B9F">
        <w:rPr>
          <w:rFonts w:ascii="Times New Roman" w:hAnsi="Times New Roman"/>
          <w:noProof/>
          <w:sz w:val="24"/>
        </w:rPr>
        <w:t>lizację projektów</w:t>
      </w:r>
      <w:r w:rsidR="00A33B9F" w:rsidRPr="00A33B9F">
        <w:rPr>
          <w:rFonts w:ascii="Times New Roman" w:hAnsi="Times New Roman"/>
          <w:noProof/>
          <w:sz w:val="24"/>
        </w:rPr>
        <w:t xml:space="preserve"> w zak</w:t>
      </w:r>
      <w:r w:rsidRPr="00A33B9F">
        <w:rPr>
          <w:rFonts w:ascii="Times New Roman" w:hAnsi="Times New Roman"/>
          <w:noProof/>
          <w:sz w:val="24"/>
        </w:rPr>
        <w:t>resie energii ze źródeł odnawialnych oraz usprawnić proces integrowania energii ze źródeł odnawialnych</w:t>
      </w:r>
      <w:r w:rsidR="00A33B9F" w:rsidRPr="00A33B9F">
        <w:rPr>
          <w:rFonts w:ascii="Times New Roman" w:hAnsi="Times New Roman"/>
          <w:noProof/>
          <w:sz w:val="24"/>
        </w:rPr>
        <w:t xml:space="preserve"> z sie</w:t>
      </w:r>
      <w:r w:rsidRPr="00A33B9F">
        <w:rPr>
          <w:rFonts w:ascii="Times New Roman" w:hAnsi="Times New Roman"/>
          <w:noProof/>
          <w:sz w:val="24"/>
        </w:rPr>
        <w:t>cią. Inne reformy</w:t>
      </w:r>
      <w:r w:rsidR="00A33B9F" w:rsidRPr="00A33B9F">
        <w:rPr>
          <w:rFonts w:ascii="Times New Roman" w:hAnsi="Times New Roman"/>
          <w:noProof/>
          <w:sz w:val="24"/>
        </w:rPr>
        <w:t xml:space="preserve"> i inw</w:t>
      </w:r>
      <w:r w:rsidRPr="00A33B9F">
        <w:rPr>
          <w:rFonts w:ascii="Times New Roman" w:hAnsi="Times New Roman"/>
          <w:noProof/>
          <w:sz w:val="24"/>
        </w:rPr>
        <w:t>estycje przyczyniają się do przyspieszenia tempa renowacji budynków</w:t>
      </w:r>
      <w:r w:rsidR="00A33B9F" w:rsidRPr="00A33B9F">
        <w:rPr>
          <w:rFonts w:ascii="Times New Roman" w:hAnsi="Times New Roman"/>
          <w:noProof/>
          <w:sz w:val="24"/>
        </w:rPr>
        <w:t xml:space="preserve"> i pop</w:t>
      </w:r>
      <w:r w:rsidRPr="00A33B9F">
        <w:rPr>
          <w:rFonts w:ascii="Times New Roman" w:hAnsi="Times New Roman"/>
          <w:noProof/>
          <w:sz w:val="24"/>
        </w:rPr>
        <w:t>rawy efektywności energetycznej, zmniejszając tym samym zależność od paliw kopalnych</w:t>
      </w:r>
      <w:r w:rsidR="00A33B9F" w:rsidRPr="00A33B9F">
        <w:rPr>
          <w:rFonts w:ascii="Times New Roman" w:hAnsi="Times New Roman"/>
          <w:noProof/>
          <w:sz w:val="24"/>
        </w:rPr>
        <w:t xml:space="preserve"> i zap</w:t>
      </w:r>
      <w:r w:rsidRPr="00A33B9F">
        <w:rPr>
          <w:rFonts w:ascii="Times New Roman" w:hAnsi="Times New Roman"/>
          <w:noProof/>
          <w:sz w:val="24"/>
        </w:rPr>
        <w:t>otrzebowanie na energię. Wspomniane działania wnoszą również wkład</w:t>
      </w:r>
      <w:r w:rsidR="00A33B9F" w:rsidRPr="00A33B9F">
        <w:rPr>
          <w:rFonts w:ascii="Times New Roman" w:hAnsi="Times New Roman"/>
          <w:noProof/>
          <w:sz w:val="24"/>
        </w:rPr>
        <w:t xml:space="preserve"> w </w:t>
      </w:r>
      <w:r w:rsidR="00A33B9F" w:rsidRPr="00A33B9F">
        <w:rPr>
          <w:rFonts w:ascii="Times New Roman" w:hAnsi="Times New Roman"/>
          <w:noProof/>
          <w:color w:val="333333"/>
          <w:sz w:val="24"/>
        </w:rPr>
        <w:t>sze</w:t>
      </w:r>
      <w:r w:rsidRPr="00A33B9F">
        <w:rPr>
          <w:rFonts w:ascii="Times New Roman" w:hAnsi="Times New Roman"/>
          <w:noProof/>
          <w:color w:val="333333"/>
          <w:sz w:val="24"/>
        </w:rPr>
        <w:t>rzej zakrojone działania na rzecz energii</w:t>
      </w:r>
      <w:r w:rsidR="00A33B9F" w:rsidRPr="00A33B9F">
        <w:rPr>
          <w:rFonts w:ascii="Times New Roman" w:hAnsi="Times New Roman"/>
          <w:noProof/>
          <w:color w:val="333333"/>
          <w:sz w:val="24"/>
        </w:rPr>
        <w:t xml:space="preserve"> i kli</w:t>
      </w:r>
      <w:r w:rsidRPr="00A33B9F">
        <w:rPr>
          <w:rFonts w:ascii="Times New Roman" w:hAnsi="Times New Roman"/>
          <w:noProof/>
          <w:color w:val="333333"/>
          <w:sz w:val="24"/>
        </w:rPr>
        <w:t>matu podejmowane na szczeblu UE.</w:t>
      </w:r>
    </w:p>
    <w:p w14:paraId="1C92935C" w14:textId="42FF57A6" w:rsidR="00AA3924" w:rsidRPr="00A33B9F" w:rsidRDefault="00CB0DB1" w:rsidP="00AA392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Oczekuje się, że żadne</w:t>
      </w:r>
      <w:r w:rsidR="00A33B9F" w:rsidRPr="00A33B9F">
        <w:rPr>
          <w:rFonts w:ascii="Times New Roman" w:hAnsi="Times New Roman"/>
          <w:noProof/>
          <w:sz w:val="24"/>
        </w:rPr>
        <w:t xml:space="preserve"> z dzi</w:t>
      </w:r>
      <w:r w:rsidRPr="00A33B9F">
        <w:rPr>
          <w:rFonts w:ascii="Times New Roman" w:hAnsi="Times New Roman"/>
          <w:noProof/>
          <w:sz w:val="24"/>
        </w:rPr>
        <w:t>ałań</w:t>
      </w:r>
      <w:r w:rsidR="00A33B9F" w:rsidRPr="00A33B9F">
        <w:rPr>
          <w:rFonts w:ascii="Times New Roman" w:hAnsi="Times New Roman"/>
          <w:noProof/>
          <w:sz w:val="24"/>
        </w:rPr>
        <w:t xml:space="preserve"> w ram</w:t>
      </w:r>
      <w:r w:rsidRPr="00A33B9F">
        <w:rPr>
          <w:rFonts w:ascii="Times New Roman" w:hAnsi="Times New Roman"/>
          <w:noProof/>
          <w:sz w:val="24"/>
        </w:rPr>
        <w:t>ach tego komponentu nie spowoduje poważnych szkód dla celów środowiskowych</w:t>
      </w:r>
      <w:r w:rsidR="00A33B9F" w:rsidRPr="00A33B9F">
        <w:rPr>
          <w:rFonts w:ascii="Times New Roman" w:hAnsi="Times New Roman"/>
          <w:noProof/>
          <w:sz w:val="24"/>
        </w:rPr>
        <w:t xml:space="preserve"> w roz</w:t>
      </w:r>
      <w:r w:rsidRPr="00A33B9F">
        <w:rPr>
          <w:rFonts w:ascii="Times New Roman" w:hAnsi="Times New Roman"/>
          <w:noProof/>
          <w:sz w:val="24"/>
        </w:rPr>
        <w:t>umieniu art.</w:t>
      </w:r>
      <w:r w:rsidR="00A33B9F" w:rsidRPr="00A33B9F">
        <w:rPr>
          <w:rFonts w:ascii="Times New Roman" w:hAnsi="Times New Roman"/>
          <w:noProof/>
          <w:sz w:val="24"/>
        </w:rPr>
        <w:t> </w:t>
      </w:r>
      <w:r w:rsidRPr="00A33B9F">
        <w:rPr>
          <w:rFonts w:ascii="Times New Roman" w:hAnsi="Times New Roman"/>
          <w:noProof/>
          <w:sz w:val="24"/>
        </w:rPr>
        <w:t>17 rozporządzenia (UE) 2020/852, biorąc pod uwagę opis działań</w:t>
      </w:r>
      <w:r w:rsidR="00A33B9F" w:rsidRPr="00A33B9F">
        <w:rPr>
          <w:rFonts w:ascii="Times New Roman" w:hAnsi="Times New Roman"/>
          <w:noProof/>
          <w:sz w:val="24"/>
        </w:rPr>
        <w:t xml:space="preserve"> i śro</w:t>
      </w:r>
      <w:r w:rsidRPr="00A33B9F">
        <w:rPr>
          <w:rFonts w:ascii="Times New Roman" w:hAnsi="Times New Roman"/>
          <w:noProof/>
          <w:sz w:val="24"/>
        </w:rPr>
        <w:t>dków ograniczających ryzyko</w:t>
      </w:r>
      <w:r w:rsidR="00A33B9F" w:rsidRPr="00A33B9F">
        <w:rPr>
          <w:rFonts w:ascii="Times New Roman" w:hAnsi="Times New Roman"/>
          <w:noProof/>
          <w:sz w:val="24"/>
        </w:rPr>
        <w:t xml:space="preserve"> w pla</w:t>
      </w:r>
      <w:r w:rsidRPr="00A33B9F">
        <w:rPr>
          <w:rFonts w:ascii="Times New Roman" w:hAnsi="Times New Roman"/>
          <w:noProof/>
          <w:sz w:val="24"/>
        </w:rPr>
        <w:t>nie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 zgodnie</w:t>
      </w:r>
      <w:r w:rsidR="00A33B9F" w:rsidRPr="00A33B9F">
        <w:rPr>
          <w:rFonts w:ascii="Times New Roman" w:hAnsi="Times New Roman"/>
          <w:noProof/>
          <w:sz w:val="24"/>
        </w:rPr>
        <w:t xml:space="preserve"> z wyt</w:t>
      </w:r>
      <w:r w:rsidRPr="00A33B9F">
        <w:rPr>
          <w:rFonts w:ascii="Times New Roman" w:hAnsi="Times New Roman"/>
          <w:noProof/>
          <w:sz w:val="24"/>
        </w:rPr>
        <w:t>ycznymi technicznymi dotyczącymi stosowania zasady „nie czyń poważnych szkód” (C(2023) 6454 final),</w:t>
      </w:r>
      <w:r w:rsidRPr="00A33B9F">
        <w:rPr>
          <w:noProof/>
        </w:rPr>
        <w:t xml:space="preserve"> </w:t>
      </w:r>
      <w:r w:rsidRPr="00A33B9F">
        <w:rPr>
          <w:rFonts w:ascii="Times New Roman" w:hAnsi="Times New Roman"/>
          <w:noProof/>
          <w:sz w:val="24"/>
        </w:rPr>
        <w:t>przy czym zasada „nie czyń poważnych szkód” nie ma zastosowania do działania G3.2.1. „Budowa infrastruktury gazu ziemnego</w:t>
      </w:r>
      <w:r w:rsidR="00A33B9F" w:rsidRPr="00A33B9F">
        <w:rPr>
          <w:rFonts w:ascii="Times New Roman" w:hAnsi="Times New Roman"/>
          <w:noProof/>
          <w:sz w:val="24"/>
        </w:rPr>
        <w:t xml:space="preserve"> w cel</w:t>
      </w:r>
      <w:r w:rsidRPr="00A33B9F">
        <w:rPr>
          <w:rFonts w:ascii="Times New Roman" w:hAnsi="Times New Roman"/>
          <w:noProof/>
          <w:sz w:val="24"/>
        </w:rPr>
        <w:t>u zapewnienia bezpieczeństwa energetycznego” zgodnie</w:t>
      </w:r>
      <w:r w:rsidR="00A33B9F" w:rsidRPr="00A33B9F">
        <w:rPr>
          <w:rFonts w:ascii="Times New Roman" w:hAnsi="Times New Roman"/>
          <w:noProof/>
          <w:sz w:val="24"/>
        </w:rPr>
        <w:t xml:space="preserve"> z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21c ust.</w:t>
      </w:r>
      <w:r w:rsidR="00A33B9F" w:rsidRPr="00A33B9F">
        <w:rPr>
          <w:rFonts w:ascii="Times New Roman" w:hAnsi="Times New Roman"/>
          <w:noProof/>
          <w:sz w:val="24"/>
        </w:rPr>
        <w:t> </w:t>
      </w:r>
      <w:r w:rsidRPr="00A33B9F">
        <w:rPr>
          <w:rFonts w:ascii="Times New Roman" w:hAnsi="Times New Roman"/>
          <w:noProof/>
          <w:sz w:val="24"/>
        </w:rPr>
        <w:t>6 rozporządzenia (UE) 2021/241.</w:t>
      </w:r>
    </w:p>
    <w:p w14:paraId="58A87659" w14:textId="266D3048" w:rsidR="00394D5B" w:rsidRPr="00A33B9F" w:rsidRDefault="00394D5B" w:rsidP="00A17291">
      <w:pPr>
        <w:pStyle w:val="Text1"/>
        <w:ind w:left="0"/>
        <w:rPr>
          <w:b/>
          <w:bCs/>
          <w:noProof/>
        </w:rPr>
      </w:pPr>
      <w:r w:rsidRPr="00A33B9F">
        <w:rPr>
          <w:b/>
          <w:noProof/>
        </w:rPr>
        <w:t xml:space="preserve">G1. </w:t>
      </w:r>
      <w:r w:rsidRPr="00A33B9F">
        <w:rPr>
          <w:noProof/>
        </w:rPr>
        <w:tab/>
      </w:r>
      <w:r w:rsidRPr="00A33B9F">
        <w:rPr>
          <w:b/>
          <w:noProof/>
        </w:rPr>
        <w:t>Opis reform</w:t>
      </w:r>
      <w:r w:rsidR="00A33B9F" w:rsidRPr="00A33B9F">
        <w:rPr>
          <w:b/>
          <w:noProof/>
        </w:rPr>
        <w:t xml:space="preserve"> i inw</w:t>
      </w:r>
      <w:r w:rsidRPr="00A33B9F">
        <w:rPr>
          <w:b/>
          <w:noProof/>
        </w:rPr>
        <w:t>estycji, które mają być finansowane</w:t>
      </w:r>
      <w:r w:rsidR="00A33B9F" w:rsidRPr="00A33B9F">
        <w:rPr>
          <w:b/>
          <w:noProof/>
        </w:rPr>
        <w:t xml:space="preserve"> z bez</w:t>
      </w:r>
      <w:r w:rsidRPr="00A33B9F">
        <w:rPr>
          <w:b/>
          <w:noProof/>
        </w:rPr>
        <w:t>zwrotnego wsparcia finansowego</w:t>
      </w:r>
    </w:p>
    <w:p w14:paraId="50582491" w14:textId="77777777" w:rsidR="00672FF3" w:rsidRPr="00A33B9F" w:rsidRDefault="00672FF3" w:rsidP="00672FF3">
      <w:pPr>
        <w:spacing w:before="120" w:after="120" w:line="240" w:lineRule="auto"/>
        <w:rPr>
          <w:noProof/>
        </w:rPr>
      </w:pPr>
    </w:p>
    <w:p w14:paraId="51D1191C" w14:textId="4278DA31" w:rsidR="00394D5B" w:rsidRPr="00A33B9F" w:rsidRDefault="00394D5B" w:rsidP="004D65E7">
      <w:pPr>
        <w:pStyle w:val="Text1"/>
        <w:ind w:left="0"/>
        <w:rPr>
          <w:noProof/>
        </w:rPr>
      </w:pPr>
      <w:r w:rsidRPr="00A33B9F">
        <w:rPr>
          <w:b/>
          <w:noProof/>
        </w:rPr>
        <w:t>Podkomponent G1.1 – Stymulacja inwestycji</w:t>
      </w:r>
      <w:r w:rsidR="00A33B9F" w:rsidRPr="00A33B9F">
        <w:rPr>
          <w:b/>
          <w:noProof/>
        </w:rPr>
        <w:t xml:space="preserve"> w odn</w:t>
      </w:r>
      <w:r w:rsidRPr="00A33B9F">
        <w:rPr>
          <w:b/>
          <w:noProof/>
        </w:rPr>
        <w:t>awialne źródła energii</w:t>
      </w:r>
      <w:r w:rsidRPr="00A33B9F">
        <w:rPr>
          <w:noProof/>
        </w:rPr>
        <w:t xml:space="preserve"> </w:t>
      </w:r>
    </w:p>
    <w:p w14:paraId="5DBD2CC6" w14:textId="7FA81A63"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tego podkomponentu jest zachęcanie do tworzenia instalacji wykorzystujących odnawialne źródła energii prowadzonych przez społeczności energetyczne,</w:t>
      </w:r>
      <w:r w:rsidR="00A33B9F" w:rsidRPr="00A33B9F">
        <w:rPr>
          <w:rFonts w:ascii="Times New Roman" w:hAnsi="Times New Roman"/>
          <w:noProof/>
          <w:sz w:val="24"/>
        </w:rPr>
        <w:t xml:space="preserve"> w szc</w:t>
      </w:r>
      <w:r w:rsidRPr="00A33B9F">
        <w:rPr>
          <w:rFonts w:ascii="Times New Roman" w:hAnsi="Times New Roman"/>
          <w:noProof/>
          <w:sz w:val="24"/>
        </w:rPr>
        <w:t>zególności przez udoskonalenie ram sprzyjających przyspieszeniu procesu zakładania takich społeczności. Omawiany podkomponent obejmuje ponadto działania wspierające wdrażanie środków</w:t>
      </w:r>
      <w:r w:rsidR="00A33B9F" w:rsidRPr="00A33B9F">
        <w:rPr>
          <w:rFonts w:ascii="Times New Roman" w:hAnsi="Times New Roman"/>
          <w:noProof/>
          <w:sz w:val="24"/>
        </w:rPr>
        <w:t xml:space="preserve"> w zak</w:t>
      </w:r>
      <w:r w:rsidRPr="00A33B9F">
        <w:rPr>
          <w:rFonts w:ascii="Times New Roman" w:hAnsi="Times New Roman"/>
          <w:noProof/>
          <w:sz w:val="24"/>
        </w:rPr>
        <w:t>resie magazynowania energii elektrycznej</w:t>
      </w:r>
      <w:r w:rsidR="00A33B9F" w:rsidRPr="00A33B9F">
        <w:rPr>
          <w:rFonts w:ascii="Times New Roman" w:hAnsi="Times New Roman"/>
          <w:noProof/>
          <w:sz w:val="24"/>
        </w:rPr>
        <w:t xml:space="preserve"> w cel</w:t>
      </w:r>
      <w:r w:rsidRPr="00A33B9F">
        <w:rPr>
          <w:rFonts w:ascii="Times New Roman" w:hAnsi="Times New Roman"/>
          <w:noProof/>
          <w:sz w:val="24"/>
        </w:rPr>
        <w:t>u zintegrowania odnawialnych źródeł energii</w:t>
      </w:r>
      <w:r w:rsidR="00A33B9F" w:rsidRPr="00A33B9F">
        <w:rPr>
          <w:rFonts w:ascii="Times New Roman" w:hAnsi="Times New Roman"/>
          <w:noProof/>
          <w:sz w:val="24"/>
        </w:rPr>
        <w:t xml:space="preserve"> z sie</w:t>
      </w:r>
      <w:r w:rsidRPr="00A33B9F">
        <w:rPr>
          <w:rFonts w:ascii="Times New Roman" w:hAnsi="Times New Roman"/>
          <w:noProof/>
          <w:sz w:val="24"/>
        </w:rPr>
        <w:t>cią oraz działania zwiększające zdolność administracyjną</w:t>
      </w:r>
      <w:r w:rsidR="00A33B9F" w:rsidRPr="00A33B9F">
        <w:rPr>
          <w:rFonts w:ascii="Times New Roman" w:hAnsi="Times New Roman"/>
          <w:noProof/>
          <w:sz w:val="24"/>
        </w:rPr>
        <w:t xml:space="preserve"> i org</w:t>
      </w:r>
      <w:r w:rsidRPr="00A33B9F">
        <w:rPr>
          <w:rFonts w:ascii="Times New Roman" w:hAnsi="Times New Roman"/>
          <w:noProof/>
          <w:sz w:val="24"/>
        </w:rPr>
        <w:t>anizacyjną instytucji zaangażowanych</w:t>
      </w:r>
      <w:r w:rsidR="00A33B9F" w:rsidRPr="00A33B9F">
        <w:rPr>
          <w:rFonts w:ascii="Times New Roman" w:hAnsi="Times New Roman"/>
          <w:noProof/>
          <w:sz w:val="24"/>
        </w:rPr>
        <w:t xml:space="preserve"> w rea</w:t>
      </w:r>
      <w:r w:rsidRPr="00A33B9F">
        <w:rPr>
          <w:rFonts w:ascii="Times New Roman" w:hAnsi="Times New Roman"/>
          <w:noProof/>
          <w:sz w:val="24"/>
        </w:rPr>
        <w:t>lizację reform</w:t>
      </w:r>
      <w:r w:rsidR="00A33B9F" w:rsidRPr="00A33B9F">
        <w:rPr>
          <w:rFonts w:ascii="Times New Roman" w:hAnsi="Times New Roman"/>
          <w:noProof/>
          <w:sz w:val="24"/>
        </w:rPr>
        <w:t xml:space="preserve"> i inw</w:t>
      </w:r>
      <w:r w:rsidRPr="00A33B9F">
        <w:rPr>
          <w:rFonts w:ascii="Times New Roman" w:hAnsi="Times New Roman"/>
          <w:noProof/>
          <w:sz w:val="24"/>
        </w:rPr>
        <w:t>estycji</w:t>
      </w:r>
      <w:r w:rsidR="00A33B9F" w:rsidRPr="00A33B9F">
        <w:rPr>
          <w:rFonts w:ascii="Times New Roman" w:hAnsi="Times New Roman"/>
          <w:noProof/>
          <w:sz w:val="24"/>
        </w:rPr>
        <w:t xml:space="preserve"> w ram</w:t>
      </w:r>
      <w:r w:rsidRPr="00A33B9F">
        <w:rPr>
          <w:rFonts w:ascii="Times New Roman" w:hAnsi="Times New Roman"/>
          <w:noProof/>
          <w:sz w:val="24"/>
        </w:rPr>
        <w:t>ach REPowerEU</w:t>
      </w:r>
      <w:r w:rsidR="00A33B9F" w:rsidRPr="00A33B9F">
        <w:rPr>
          <w:rFonts w:ascii="Times New Roman" w:hAnsi="Times New Roman"/>
          <w:noProof/>
          <w:sz w:val="24"/>
        </w:rPr>
        <w:t xml:space="preserve"> i bio</w:t>
      </w:r>
      <w:r w:rsidRPr="00A33B9F">
        <w:rPr>
          <w:rFonts w:ascii="Times New Roman" w:hAnsi="Times New Roman"/>
          <w:noProof/>
          <w:sz w:val="24"/>
        </w:rPr>
        <w:t>rących udział</w:t>
      </w:r>
      <w:r w:rsidR="00A33B9F" w:rsidRPr="00A33B9F">
        <w:rPr>
          <w:rFonts w:ascii="Times New Roman" w:hAnsi="Times New Roman"/>
          <w:noProof/>
          <w:sz w:val="24"/>
        </w:rPr>
        <w:t xml:space="preserve"> w pro</w:t>
      </w:r>
      <w:r w:rsidRPr="00A33B9F">
        <w:rPr>
          <w:rFonts w:ascii="Times New Roman" w:hAnsi="Times New Roman"/>
          <w:noProof/>
          <w:sz w:val="24"/>
        </w:rPr>
        <w:t>cesach związanych</w:t>
      </w:r>
      <w:r w:rsidR="00A33B9F" w:rsidRPr="00A33B9F">
        <w:rPr>
          <w:rFonts w:ascii="Times New Roman" w:hAnsi="Times New Roman"/>
          <w:noProof/>
          <w:sz w:val="24"/>
        </w:rPr>
        <w:t xml:space="preserve"> z pro</w:t>
      </w:r>
      <w:r w:rsidRPr="00A33B9F">
        <w:rPr>
          <w:rFonts w:ascii="Times New Roman" w:hAnsi="Times New Roman"/>
          <w:noProof/>
          <w:sz w:val="24"/>
        </w:rPr>
        <w:t>jektami</w:t>
      </w:r>
      <w:r w:rsidR="00A33B9F" w:rsidRPr="00A33B9F">
        <w:rPr>
          <w:rFonts w:ascii="Times New Roman" w:hAnsi="Times New Roman"/>
          <w:noProof/>
          <w:sz w:val="24"/>
        </w:rPr>
        <w:t xml:space="preserve"> w zak</w:t>
      </w:r>
      <w:r w:rsidRPr="00A33B9F">
        <w:rPr>
          <w:rFonts w:ascii="Times New Roman" w:hAnsi="Times New Roman"/>
          <w:noProof/>
          <w:sz w:val="24"/>
        </w:rPr>
        <w:t>resie energii ze źródeł odnawialnych.</w:t>
      </w:r>
    </w:p>
    <w:p w14:paraId="3D6B8D75" w14:textId="77777777" w:rsidR="00394D5B" w:rsidRPr="00A33B9F" w:rsidRDefault="00394D5B" w:rsidP="00394D5B">
      <w:pPr>
        <w:spacing w:before="120" w:after="120" w:line="240" w:lineRule="auto"/>
        <w:jc w:val="both"/>
        <w:rPr>
          <w:rFonts w:ascii="Times New Roman" w:hAnsi="Times New Roman" w:cs="Times New Roman"/>
          <w:noProof/>
          <w:sz w:val="24"/>
        </w:rPr>
      </w:pPr>
    </w:p>
    <w:p w14:paraId="621EA010" w14:textId="55C45FBA" w:rsidR="00394D5B" w:rsidRPr="00A33B9F" w:rsidRDefault="00394D5B" w:rsidP="00394D5B">
      <w:pPr>
        <w:spacing w:before="120" w:after="120" w:line="240" w:lineRule="auto"/>
        <w:jc w:val="both"/>
        <w:rPr>
          <w:rFonts w:ascii="Times New Roman" w:hAnsi="Times New Roman" w:cs="Times New Roman"/>
          <w:b/>
          <w:noProof/>
          <w:sz w:val="24"/>
          <w:szCs w:val="24"/>
          <w:u w:val="single"/>
        </w:rPr>
      </w:pPr>
      <w:r w:rsidRPr="00A33B9F">
        <w:rPr>
          <w:rFonts w:ascii="Times New Roman" w:hAnsi="Times New Roman"/>
          <w:b/>
          <w:noProof/>
          <w:sz w:val="24"/>
          <w:u w:val="single"/>
        </w:rPr>
        <w:t>G1.1.1 Wspieranie rozwoju lokalnych społeczności energetycznych</w:t>
      </w:r>
    </w:p>
    <w:p w14:paraId="4BEF687E" w14:textId="235DAC4E"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tej reformy jest poprawa otoczenia regulacyjnego dla społeczności energetycznej</w:t>
      </w:r>
      <w:r w:rsidR="00A33B9F" w:rsidRPr="00A33B9F">
        <w:rPr>
          <w:rFonts w:ascii="Times New Roman" w:hAnsi="Times New Roman"/>
          <w:noProof/>
          <w:sz w:val="24"/>
        </w:rPr>
        <w:t xml:space="preserve"> w Pol</w:t>
      </w:r>
      <w:r w:rsidRPr="00A33B9F">
        <w:rPr>
          <w:rFonts w:ascii="Times New Roman" w:hAnsi="Times New Roman"/>
          <w:noProof/>
          <w:sz w:val="24"/>
        </w:rPr>
        <w:t>sce oraz zwiększenie roli obywateli, przedsiębiorstw</w:t>
      </w:r>
      <w:r w:rsidR="00A33B9F" w:rsidRPr="00A33B9F">
        <w:rPr>
          <w:rFonts w:ascii="Times New Roman" w:hAnsi="Times New Roman"/>
          <w:noProof/>
          <w:sz w:val="24"/>
        </w:rPr>
        <w:t xml:space="preserve"> i wła</w:t>
      </w:r>
      <w:r w:rsidRPr="00A33B9F">
        <w:rPr>
          <w:rFonts w:ascii="Times New Roman" w:hAnsi="Times New Roman"/>
          <w:noProof/>
          <w:sz w:val="24"/>
        </w:rPr>
        <w:t>dz lokalnych</w:t>
      </w:r>
      <w:r w:rsidR="00A33B9F" w:rsidRPr="00A33B9F">
        <w:rPr>
          <w:rFonts w:ascii="Times New Roman" w:hAnsi="Times New Roman"/>
          <w:noProof/>
          <w:sz w:val="24"/>
        </w:rPr>
        <w:t xml:space="preserve"> w tra</w:t>
      </w:r>
      <w:r w:rsidRPr="00A33B9F">
        <w:rPr>
          <w:rFonts w:ascii="Times New Roman" w:hAnsi="Times New Roman"/>
          <w:noProof/>
          <w:sz w:val="24"/>
        </w:rPr>
        <w:t xml:space="preserve">nsformacji energetycznej kraju. </w:t>
      </w:r>
    </w:p>
    <w:p w14:paraId="3A888C14" w14:textId="7B68483A"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Reforma obejmuje przeprowadzenie analizy służącej zidentyfikowaniu regulacyjnych</w:t>
      </w:r>
      <w:r w:rsidR="00A33B9F" w:rsidRPr="00A33B9F">
        <w:rPr>
          <w:rFonts w:ascii="Times New Roman" w:hAnsi="Times New Roman"/>
          <w:noProof/>
          <w:sz w:val="24"/>
        </w:rPr>
        <w:t xml:space="preserve"> i adm</w:t>
      </w:r>
      <w:r w:rsidRPr="00A33B9F">
        <w:rPr>
          <w:rFonts w:ascii="Times New Roman" w:hAnsi="Times New Roman"/>
          <w:noProof/>
          <w:sz w:val="24"/>
        </w:rPr>
        <w:t>inistracyjnych wąskich gardeł hamujących rozwój społeczności energetycznych. Wspomniana analiza obejmuje</w:t>
      </w:r>
      <w:r w:rsidR="00A33B9F" w:rsidRPr="00A33B9F">
        <w:rPr>
          <w:rFonts w:ascii="Times New Roman" w:hAnsi="Times New Roman"/>
          <w:noProof/>
          <w:sz w:val="24"/>
        </w:rPr>
        <w:t xml:space="preserve"> w szc</w:t>
      </w:r>
      <w:r w:rsidRPr="00A33B9F">
        <w:rPr>
          <w:rFonts w:ascii="Times New Roman" w:hAnsi="Times New Roman"/>
          <w:noProof/>
          <w:sz w:val="24"/>
        </w:rPr>
        <w:t>zególności ocenę różnic politycznych między ramami regulacyjnymi na szczeblu krajowym</w:t>
      </w:r>
      <w:r w:rsidR="00A33B9F" w:rsidRPr="00A33B9F">
        <w:rPr>
          <w:rFonts w:ascii="Times New Roman" w:hAnsi="Times New Roman"/>
          <w:noProof/>
          <w:sz w:val="24"/>
        </w:rPr>
        <w:t xml:space="preserve"> i uni</w:t>
      </w:r>
      <w:r w:rsidRPr="00A33B9F">
        <w:rPr>
          <w:rFonts w:ascii="Times New Roman" w:hAnsi="Times New Roman"/>
          <w:noProof/>
          <w:sz w:val="24"/>
        </w:rPr>
        <w:t>jnym,</w:t>
      </w:r>
      <w:r w:rsidR="00A33B9F" w:rsidRPr="00A33B9F">
        <w:rPr>
          <w:rFonts w:ascii="Times New Roman" w:hAnsi="Times New Roman"/>
          <w:noProof/>
          <w:sz w:val="24"/>
        </w:rPr>
        <w:t xml:space="preserve"> a tak</w:t>
      </w:r>
      <w:r w:rsidRPr="00A33B9F">
        <w:rPr>
          <w:rFonts w:ascii="Times New Roman" w:hAnsi="Times New Roman"/>
          <w:noProof/>
          <w:sz w:val="24"/>
        </w:rPr>
        <w:t>że zidentyfikowanie barier utrudniających rozwój tych społeczności, które wynikają z (i) definicji społeczności energetycznych, (ii) procedur administracyjnych związanych</w:t>
      </w:r>
      <w:r w:rsidR="00A33B9F" w:rsidRPr="00A33B9F">
        <w:rPr>
          <w:rFonts w:ascii="Times New Roman" w:hAnsi="Times New Roman"/>
          <w:noProof/>
          <w:sz w:val="24"/>
        </w:rPr>
        <w:t xml:space="preserve"> z two</w:t>
      </w:r>
      <w:r w:rsidRPr="00A33B9F">
        <w:rPr>
          <w:rFonts w:ascii="Times New Roman" w:hAnsi="Times New Roman"/>
          <w:noProof/>
          <w:sz w:val="24"/>
        </w:rPr>
        <w:t>rzeniem społeczności energetycznych</w:t>
      </w:r>
      <w:r w:rsidR="00A33B9F" w:rsidRPr="00A33B9F">
        <w:rPr>
          <w:rFonts w:ascii="Times New Roman" w:hAnsi="Times New Roman"/>
          <w:noProof/>
          <w:sz w:val="24"/>
        </w:rPr>
        <w:t xml:space="preserve"> i pro</w:t>
      </w:r>
      <w:r w:rsidRPr="00A33B9F">
        <w:rPr>
          <w:rFonts w:ascii="Times New Roman" w:hAnsi="Times New Roman"/>
          <w:noProof/>
          <w:sz w:val="24"/>
        </w:rPr>
        <w:t>wadzeniem przez nie działalności oraz (iii) obowiązków, praktyk</w:t>
      </w:r>
      <w:r w:rsidR="00A33B9F" w:rsidRPr="00A33B9F">
        <w:rPr>
          <w:rFonts w:ascii="Times New Roman" w:hAnsi="Times New Roman"/>
          <w:noProof/>
          <w:sz w:val="24"/>
        </w:rPr>
        <w:t xml:space="preserve"> i ról</w:t>
      </w:r>
      <w:r w:rsidRPr="00A33B9F">
        <w:rPr>
          <w:rFonts w:ascii="Times New Roman" w:hAnsi="Times New Roman"/>
          <w:noProof/>
          <w:sz w:val="24"/>
        </w:rPr>
        <w:t xml:space="preserve"> operatorów systemów. Analiza doprowadzi również do opracowania zaleceń politycznych mających na celu ustanowienie wspomagających, prostych</w:t>
      </w:r>
      <w:r w:rsidR="00A33B9F" w:rsidRPr="00A33B9F">
        <w:rPr>
          <w:rFonts w:ascii="Times New Roman" w:hAnsi="Times New Roman"/>
          <w:noProof/>
          <w:sz w:val="24"/>
        </w:rPr>
        <w:t xml:space="preserve"> i kom</w:t>
      </w:r>
      <w:r w:rsidRPr="00A33B9F">
        <w:rPr>
          <w:rFonts w:ascii="Times New Roman" w:hAnsi="Times New Roman"/>
          <w:noProof/>
          <w:sz w:val="24"/>
        </w:rPr>
        <w:t xml:space="preserve">pleksowych ram dla społeczności energetycznych. </w:t>
      </w:r>
    </w:p>
    <w:p w14:paraId="2372C118" w14:textId="6DA3CF1F" w:rsidR="00394D5B" w:rsidRPr="00A33B9F" w:rsidRDefault="00394D5B" w:rsidP="00394D5B">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Realizacja reformy zostanie zakończona do dnia 30 czerwca 2024</w:t>
      </w:r>
      <w:r w:rsidR="00A33B9F" w:rsidRPr="00A33B9F">
        <w:rPr>
          <w:rFonts w:ascii="Times New Roman" w:hAnsi="Times New Roman"/>
          <w:noProof/>
          <w:sz w:val="24"/>
        </w:rPr>
        <w:t> </w:t>
      </w:r>
      <w:r w:rsidRPr="00A33B9F">
        <w:rPr>
          <w:rFonts w:ascii="Times New Roman" w:hAnsi="Times New Roman"/>
          <w:noProof/>
          <w:sz w:val="24"/>
        </w:rPr>
        <w:t>r.</w:t>
      </w:r>
    </w:p>
    <w:p w14:paraId="046689CB" w14:textId="77777777" w:rsidR="00394D5B" w:rsidRPr="00A33B9F" w:rsidRDefault="00394D5B" w:rsidP="00394D5B">
      <w:pPr>
        <w:spacing w:before="120" w:after="120" w:line="240" w:lineRule="auto"/>
        <w:jc w:val="both"/>
        <w:rPr>
          <w:noProof/>
        </w:rPr>
      </w:pPr>
    </w:p>
    <w:p w14:paraId="6CC0DC94" w14:textId="36D62648"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b/>
          <w:noProof/>
          <w:sz w:val="24"/>
          <w:u w:val="single"/>
        </w:rPr>
        <w:t>G1.1.2 Instalacje odnawialnych źródeł energii realizowane przez społeczności energetyczne,</w:t>
      </w:r>
      <w:r w:rsidR="00A33B9F" w:rsidRPr="00A33B9F">
        <w:rPr>
          <w:rFonts w:ascii="Times New Roman" w:hAnsi="Times New Roman"/>
          <w:b/>
          <w:noProof/>
          <w:sz w:val="24"/>
          <w:u w:val="single"/>
        </w:rPr>
        <w:t xml:space="preserve"> w tym</w:t>
      </w:r>
      <w:r w:rsidRPr="00A33B9F">
        <w:rPr>
          <w:rFonts w:ascii="Times New Roman" w:hAnsi="Times New Roman"/>
          <w:b/>
          <w:noProof/>
          <w:sz w:val="24"/>
          <w:u w:val="single"/>
        </w:rPr>
        <w:t xml:space="preserve"> inwestycje</w:t>
      </w:r>
      <w:r w:rsidR="00A33B9F" w:rsidRPr="00A33B9F">
        <w:rPr>
          <w:rFonts w:ascii="Times New Roman" w:hAnsi="Times New Roman"/>
          <w:b/>
          <w:noProof/>
          <w:sz w:val="24"/>
          <w:u w:val="single"/>
        </w:rPr>
        <w:t xml:space="preserve"> o zwi</w:t>
      </w:r>
      <w:r w:rsidRPr="00A33B9F">
        <w:rPr>
          <w:rFonts w:ascii="Times New Roman" w:hAnsi="Times New Roman"/>
          <w:b/>
          <w:noProof/>
          <w:sz w:val="24"/>
          <w:u w:val="single"/>
        </w:rPr>
        <w:t>ększonej skali</w:t>
      </w:r>
    </w:p>
    <w:p w14:paraId="3DDAFD92" w14:textId="29026028"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tej inwestycji jest zachęcenie do rozwoju lokalnych źródeł energii odnawialnej realizowanych przez społeczności energetyczne,</w:t>
      </w:r>
      <w:r w:rsidR="00A33B9F" w:rsidRPr="00A33B9F">
        <w:rPr>
          <w:rFonts w:ascii="Times New Roman" w:hAnsi="Times New Roman"/>
          <w:noProof/>
          <w:sz w:val="24"/>
        </w:rPr>
        <w:t xml:space="preserve"> w tym</w:t>
      </w:r>
      <w:r w:rsidRPr="00A33B9F">
        <w:rPr>
          <w:rFonts w:ascii="Times New Roman" w:hAnsi="Times New Roman"/>
          <w:noProof/>
          <w:sz w:val="24"/>
        </w:rPr>
        <w:t xml:space="preserve"> klastry energii, spółdzielnie energetyczne oraz inne społeczności energetyczne wynikające</w:t>
      </w:r>
      <w:r w:rsidR="00A33B9F" w:rsidRPr="00A33B9F">
        <w:rPr>
          <w:rFonts w:ascii="Times New Roman" w:hAnsi="Times New Roman"/>
          <w:noProof/>
          <w:sz w:val="24"/>
        </w:rPr>
        <w:t xml:space="preserve"> z wdr</w:t>
      </w:r>
      <w:r w:rsidRPr="00A33B9F">
        <w:rPr>
          <w:rFonts w:ascii="Times New Roman" w:hAnsi="Times New Roman"/>
          <w:noProof/>
          <w:sz w:val="24"/>
        </w:rPr>
        <w:t>ożenia dyrektywy (UE) 2018/2001</w:t>
      </w:r>
      <w:r w:rsidR="00A33B9F" w:rsidRPr="00A33B9F">
        <w:rPr>
          <w:noProof/>
        </w:rPr>
        <w:t xml:space="preserve"> </w:t>
      </w:r>
      <w:r w:rsidR="00A33B9F" w:rsidRPr="00A33B9F">
        <w:rPr>
          <w:rFonts w:ascii="Times New Roman" w:hAnsi="Times New Roman"/>
          <w:noProof/>
          <w:sz w:val="24"/>
        </w:rPr>
        <w:t>w</w:t>
      </w:r>
      <w:r w:rsidR="00A33B9F" w:rsidRPr="00A33B9F">
        <w:rPr>
          <w:noProof/>
        </w:rPr>
        <w:t> </w:t>
      </w:r>
      <w:r w:rsidR="00A33B9F" w:rsidRPr="00A33B9F">
        <w:rPr>
          <w:rFonts w:ascii="Times New Roman" w:hAnsi="Times New Roman"/>
          <w:noProof/>
          <w:sz w:val="24"/>
        </w:rPr>
        <w:t>spr</w:t>
      </w:r>
      <w:r w:rsidRPr="00A33B9F">
        <w:rPr>
          <w:rFonts w:ascii="Times New Roman" w:hAnsi="Times New Roman"/>
          <w:noProof/>
          <w:sz w:val="24"/>
        </w:rPr>
        <w:t>awie promowania stosowania energii ze źródeł odnawialnych, ze szczególnym uwzględnieniem roli instytucji samorządowych na szczeblu lokalnym (zwłaszcza gmin</w:t>
      </w:r>
      <w:r w:rsidR="00A33B9F" w:rsidRPr="00A33B9F">
        <w:rPr>
          <w:rFonts w:ascii="Times New Roman" w:hAnsi="Times New Roman"/>
          <w:noProof/>
          <w:sz w:val="24"/>
        </w:rPr>
        <w:t xml:space="preserve"> i zwi</w:t>
      </w:r>
      <w:r w:rsidRPr="00A33B9F">
        <w:rPr>
          <w:rFonts w:ascii="Times New Roman" w:hAnsi="Times New Roman"/>
          <w:noProof/>
          <w:sz w:val="24"/>
        </w:rPr>
        <w:t xml:space="preserve">ązków gmin) tworzących tego typu lokalne społeczności energetyczne. </w:t>
      </w:r>
    </w:p>
    <w:p w14:paraId="153EA1C8" w14:textId="2ECD8A22"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Program wsparcia przedinwestycyjnego polega na opracowaniu formuły prawno-organizacyjnej</w:t>
      </w:r>
      <w:r w:rsidR="00A33B9F" w:rsidRPr="00A33B9F">
        <w:rPr>
          <w:rFonts w:ascii="Times New Roman" w:hAnsi="Times New Roman"/>
          <w:noProof/>
          <w:sz w:val="24"/>
        </w:rPr>
        <w:t xml:space="preserve"> i mod</w:t>
      </w:r>
      <w:r w:rsidRPr="00A33B9F">
        <w:rPr>
          <w:rFonts w:ascii="Times New Roman" w:hAnsi="Times New Roman"/>
          <w:noProof/>
          <w:sz w:val="24"/>
        </w:rPr>
        <w:t>elu biznesowego na potrzeby uruchomienia lub rozwoju społeczności energetycznej oraz przygotowanie niezbędnych analiz</w:t>
      </w:r>
      <w:r w:rsidR="00A33B9F" w:rsidRPr="00A33B9F">
        <w:rPr>
          <w:rFonts w:ascii="Times New Roman" w:hAnsi="Times New Roman"/>
          <w:noProof/>
          <w:sz w:val="24"/>
        </w:rPr>
        <w:t xml:space="preserve"> i dok</w:t>
      </w:r>
      <w:r w:rsidRPr="00A33B9F">
        <w:rPr>
          <w:rFonts w:ascii="Times New Roman" w:hAnsi="Times New Roman"/>
          <w:noProof/>
          <w:sz w:val="24"/>
        </w:rPr>
        <w:t>umentacji pod kątem inwestycji</w:t>
      </w:r>
      <w:r w:rsidR="00A33B9F" w:rsidRPr="00A33B9F">
        <w:rPr>
          <w:rFonts w:ascii="Times New Roman" w:hAnsi="Times New Roman"/>
          <w:noProof/>
          <w:sz w:val="24"/>
        </w:rPr>
        <w:t>. W ram</w:t>
      </w:r>
      <w:r w:rsidRPr="00A33B9F">
        <w:rPr>
          <w:rFonts w:ascii="Times New Roman" w:hAnsi="Times New Roman"/>
          <w:noProof/>
          <w:sz w:val="24"/>
        </w:rPr>
        <w:t>ach tego programu wspierane będą m.in. strategie lokalnego rozwoju rynku energii; analizy lokalnego popytu</w:t>
      </w:r>
      <w:r w:rsidR="00A33B9F" w:rsidRPr="00A33B9F">
        <w:rPr>
          <w:rFonts w:ascii="Times New Roman" w:hAnsi="Times New Roman"/>
          <w:noProof/>
          <w:sz w:val="24"/>
        </w:rPr>
        <w:t xml:space="preserve"> i pod</w:t>
      </w:r>
      <w:r w:rsidRPr="00A33B9F">
        <w:rPr>
          <w:rFonts w:ascii="Times New Roman" w:hAnsi="Times New Roman"/>
          <w:noProof/>
          <w:sz w:val="24"/>
        </w:rPr>
        <w:t>aży energii; inwentaryzacje lokalnych zasobów energetycznych (infrastruktury),</w:t>
      </w:r>
      <w:r w:rsidR="00A33B9F" w:rsidRPr="00A33B9F">
        <w:rPr>
          <w:rFonts w:ascii="Times New Roman" w:hAnsi="Times New Roman"/>
          <w:noProof/>
          <w:sz w:val="24"/>
        </w:rPr>
        <w:t xml:space="preserve"> a tak</w:t>
      </w:r>
      <w:r w:rsidRPr="00A33B9F">
        <w:rPr>
          <w:rFonts w:ascii="Times New Roman" w:hAnsi="Times New Roman"/>
          <w:noProof/>
          <w:sz w:val="24"/>
        </w:rPr>
        <w:t xml:space="preserve">że ich potencjału (np. zdolności do udostępniania przyłączy energetycznych); studia wykonalności, biznesplany, dokumenty typu </w:t>
      </w:r>
      <w:r w:rsidRPr="00A33B9F">
        <w:rPr>
          <w:rFonts w:ascii="Times New Roman" w:hAnsi="Times New Roman"/>
          <w:i/>
          <w:noProof/>
          <w:sz w:val="24"/>
        </w:rPr>
        <w:t>due diligence</w:t>
      </w:r>
      <w:r w:rsidRPr="00A33B9F">
        <w:rPr>
          <w:rFonts w:ascii="Times New Roman" w:hAnsi="Times New Roman"/>
          <w:noProof/>
          <w:sz w:val="24"/>
        </w:rPr>
        <w:t>; dokumentacja techniczna</w:t>
      </w:r>
      <w:r w:rsidR="00A33B9F" w:rsidRPr="00A33B9F">
        <w:rPr>
          <w:rFonts w:ascii="Times New Roman" w:hAnsi="Times New Roman"/>
          <w:noProof/>
          <w:sz w:val="24"/>
        </w:rPr>
        <w:t xml:space="preserve"> i pro</w:t>
      </w:r>
      <w:r w:rsidRPr="00A33B9F">
        <w:rPr>
          <w:rFonts w:ascii="Times New Roman" w:hAnsi="Times New Roman"/>
          <w:noProof/>
          <w:sz w:val="24"/>
        </w:rPr>
        <w:t xml:space="preserve">jekty budowlane. </w:t>
      </w:r>
    </w:p>
    <w:p w14:paraId="1ED14409" w14:textId="61FB8C74"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W ramach wsparcia inwestycyjnego finansowanie obejmie m.in. nowe technologie ukierunkowane na wytwarzanie energii elektrycznej ze źródeł odnawialnych; infrastrukturę uzupełniającą dla innych niż energia elektryczna technologii; powiązaną infrastrukturę energii ze źródeł odnawialnych (np. komponenty sieciowe</w:t>
      </w:r>
      <w:r w:rsidR="00A33B9F" w:rsidRPr="00A33B9F">
        <w:rPr>
          <w:rFonts w:ascii="Times New Roman" w:hAnsi="Times New Roman"/>
          <w:noProof/>
          <w:sz w:val="24"/>
        </w:rPr>
        <w:t xml:space="preserve"> i lic</w:t>
      </w:r>
      <w:r w:rsidRPr="00A33B9F">
        <w:rPr>
          <w:rFonts w:ascii="Times New Roman" w:hAnsi="Times New Roman"/>
          <w:noProof/>
          <w:sz w:val="24"/>
        </w:rPr>
        <w:t>zniki); magazyny energii</w:t>
      </w:r>
      <w:r w:rsidR="00A33B9F" w:rsidRPr="00A33B9F">
        <w:rPr>
          <w:rFonts w:ascii="Times New Roman" w:hAnsi="Times New Roman"/>
          <w:noProof/>
          <w:sz w:val="24"/>
        </w:rPr>
        <w:t xml:space="preserve"> i opr</w:t>
      </w:r>
      <w:r w:rsidRPr="00A33B9F">
        <w:rPr>
          <w:rFonts w:ascii="Times New Roman" w:hAnsi="Times New Roman"/>
          <w:noProof/>
          <w:sz w:val="24"/>
        </w:rPr>
        <w:t>ogramowanie IT do zarządzania społecznością energetyczną oraz do optymalizacji energetycznej; Wsparcia</w:t>
      </w:r>
      <w:r w:rsidR="00A33B9F" w:rsidRPr="00A33B9F">
        <w:rPr>
          <w:rFonts w:ascii="Times New Roman" w:hAnsi="Times New Roman"/>
          <w:noProof/>
          <w:sz w:val="24"/>
        </w:rPr>
        <w:t xml:space="preserve"> w ram</w:t>
      </w:r>
      <w:r w:rsidRPr="00A33B9F">
        <w:rPr>
          <w:rFonts w:ascii="Times New Roman" w:hAnsi="Times New Roman"/>
          <w:noProof/>
          <w:sz w:val="24"/>
        </w:rPr>
        <w:t>ach programu inwestycyjnego udziela się na podstawie otwartego</w:t>
      </w:r>
      <w:r w:rsidR="00A33B9F" w:rsidRPr="00A33B9F">
        <w:rPr>
          <w:rFonts w:ascii="Times New Roman" w:hAnsi="Times New Roman"/>
          <w:noProof/>
          <w:sz w:val="24"/>
        </w:rPr>
        <w:t xml:space="preserve"> i kon</w:t>
      </w:r>
      <w:r w:rsidRPr="00A33B9F">
        <w:rPr>
          <w:rFonts w:ascii="Times New Roman" w:hAnsi="Times New Roman"/>
          <w:noProof/>
          <w:sz w:val="24"/>
        </w:rPr>
        <w:t>kurencyjnego zaproszenia do składania wniosków,</w:t>
      </w:r>
      <w:r w:rsidR="00A33B9F" w:rsidRPr="00A33B9F">
        <w:rPr>
          <w:rFonts w:ascii="Times New Roman" w:hAnsi="Times New Roman"/>
          <w:noProof/>
          <w:sz w:val="24"/>
        </w:rPr>
        <w:t xml:space="preserve"> w któ</w:t>
      </w:r>
      <w:r w:rsidRPr="00A33B9F">
        <w:rPr>
          <w:rFonts w:ascii="Times New Roman" w:hAnsi="Times New Roman"/>
          <w:noProof/>
          <w:sz w:val="24"/>
        </w:rPr>
        <w:t>rym mogą wziąć udział społeczności energetyczne zaangażowane</w:t>
      </w:r>
      <w:r w:rsidR="00A33B9F" w:rsidRPr="00A33B9F">
        <w:rPr>
          <w:rFonts w:ascii="Times New Roman" w:hAnsi="Times New Roman"/>
          <w:noProof/>
          <w:sz w:val="24"/>
        </w:rPr>
        <w:t xml:space="preserve"> w dzi</w:t>
      </w:r>
      <w:r w:rsidRPr="00A33B9F">
        <w:rPr>
          <w:rFonts w:ascii="Times New Roman" w:hAnsi="Times New Roman"/>
          <w:noProof/>
          <w:sz w:val="24"/>
        </w:rPr>
        <w:t>ałania podejmowane na etapie przedinwestycyjnym.</w:t>
      </w:r>
    </w:p>
    <w:p w14:paraId="5D2BC098" w14:textId="35FB0A44" w:rsidR="00394D5B" w:rsidRPr="00A33B9F" w:rsidRDefault="00394D5B" w:rsidP="00394D5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Część inwestycji</w:t>
      </w:r>
      <w:r w:rsidR="00A33B9F" w:rsidRPr="00A33B9F">
        <w:rPr>
          <w:rFonts w:ascii="Times New Roman" w:hAnsi="Times New Roman"/>
          <w:noProof/>
          <w:sz w:val="24"/>
        </w:rPr>
        <w:t xml:space="preserve"> o zwi</w:t>
      </w:r>
      <w:r w:rsidRPr="00A33B9F">
        <w:rPr>
          <w:rFonts w:ascii="Times New Roman" w:hAnsi="Times New Roman"/>
          <w:noProof/>
          <w:sz w:val="24"/>
        </w:rPr>
        <w:t xml:space="preserve">ększonej skali obejmuje udzielanie przedinwestycyjnego wsparcia finansowego na rzecz dodatkowych 61 społeczności energetycznych oraz wsparcia inwestycyjnego na rzecz dodatkowych 10 społeczności energetycznych. </w:t>
      </w:r>
    </w:p>
    <w:p w14:paraId="72887150" w14:textId="64E1B3E6" w:rsidR="00394D5B" w:rsidRPr="00A33B9F" w:rsidRDefault="00394D5B" w:rsidP="00394D5B">
      <w:pPr>
        <w:spacing w:before="120" w:after="120" w:line="257" w:lineRule="auto"/>
        <w:jc w:val="both"/>
        <w:rPr>
          <w:rFonts w:ascii="Times New Roman" w:hAnsi="Times New Roman" w:cs="Times New Roman"/>
          <w:noProof/>
          <w:sz w:val="24"/>
          <w:szCs w:val="24"/>
        </w:rPr>
      </w:pPr>
      <w:r w:rsidRPr="00A33B9F">
        <w:rPr>
          <w:rFonts w:ascii="Times New Roman" w:hAnsi="Times New Roman"/>
          <w:noProof/>
          <w:sz w:val="24"/>
        </w:rPr>
        <w:t>Realizacja wsparcia przedinwestycyjnego zostanie zakończona do dnia 31 marca 2025</w:t>
      </w:r>
      <w:r w:rsidR="00A33B9F" w:rsidRPr="00A33B9F">
        <w:rPr>
          <w:rFonts w:ascii="Times New Roman" w:hAnsi="Times New Roman"/>
          <w:noProof/>
          <w:sz w:val="24"/>
        </w:rPr>
        <w:t> </w:t>
      </w:r>
      <w:r w:rsidRPr="00A33B9F">
        <w:rPr>
          <w:rFonts w:ascii="Times New Roman" w:hAnsi="Times New Roman"/>
          <w:noProof/>
          <w:sz w:val="24"/>
        </w:rPr>
        <w:t>r.,</w:t>
      </w:r>
      <w:r w:rsidR="00A33B9F" w:rsidRPr="00A33B9F">
        <w:rPr>
          <w:rFonts w:ascii="Times New Roman" w:hAnsi="Times New Roman"/>
          <w:noProof/>
          <w:sz w:val="24"/>
        </w:rPr>
        <w:t xml:space="preserve"> a wsp</w:t>
      </w:r>
      <w:r w:rsidRPr="00A33B9F">
        <w:rPr>
          <w:rFonts w:ascii="Times New Roman" w:hAnsi="Times New Roman"/>
          <w:noProof/>
          <w:sz w:val="24"/>
        </w:rPr>
        <w:t>arcia inwestycyjnego – do dnia 30 czerwca 2026</w:t>
      </w:r>
      <w:r w:rsidR="00A33B9F" w:rsidRPr="00A33B9F">
        <w:rPr>
          <w:rFonts w:ascii="Times New Roman" w:hAnsi="Times New Roman"/>
          <w:noProof/>
          <w:sz w:val="24"/>
        </w:rPr>
        <w:t> </w:t>
      </w:r>
      <w:r w:rsidRPr="00A33B9F">
        <w:rPr>
          <w:rFonts w:ascii="Times New Roman" w:hAnsi="Times New Roman"/>
          <w:noProof/>
          <w:sz w:val="24"/>
        </w:rPr>
        <w:t xml:space="preserve">r. </w:t>
      </w:r>
    </w:p>
    <w:p w14:paraId="39F1559F" w14:textId="77777777" w:rsidR="00B16F01" w:rsidRPr="00A33B9F" w:rsidRDefault="00B16F01" w:rsidP="00B16F01">
      <w:pPr>
        <w:spacing w:before="120" w:after="120" w:line="240" w:lineRule="auto"/>
        <w:jc w:val="both"/>
        <w:rPr>
          <w:rFonts w:ascii="Times New Roman" w:hAnsi="Times New Roman" w:cs="Times New Roman"/>
          <w:noProof/>
          <w:sz w:val="24"/>
          <w:szCs w:val="24"/>
        </w:rPr>
      </w:pPr>
    </w:p>
    <w:p w14:paraId="7A6E9079" w14:textId="16C0CFFD" w:rsidR="00B16F01" w:rsidRPr="00A33B9F" w:rsidRDefault="00B16F01" w:rsidP="00B16F01">
      <w:pPr>
        <w:keepNext/>
        <w:spacing w:before="120" w:after="120" w:line="240" w:lineRule="auto"/>
        <w:jc w:val="both"/>
        <w:rPr>
          <w:rFonts w:ascii="Times New Roman" w:hAnsi="Times New Roman"/>
          <w:b/>
          <w:noProof/>
          <w:sz w:val="24"/>
          <w:szCs w:val="24"/>
          <w:u w:val="single"/>
        </w:rPr>
      </w:pPr>
      <w:r w:rsidRPr="00A33B9F">
        <w:rPr>
          <w:rFonts w:ascii="Times New Roman" w:hAnsi="Times New Roman"/>
          <w:b/>
          <w:noProof/>
          <w:sz w:val="24"/>
          <w:u w:val="single"/>
        </w:rPr>
        <w:t>G1.1.3 Systemy magazynowania energii (wsparcie bezzwrotne)</w:t>
      </w:r>
    </w:p>
    <w:p w14:paraId="7EA95861" w14:textId="67CFAC64" w:rsidR="00B16F01" w:rsidRPr="00A33B9F" w:rsidRDefault="00B16F01" w:rsidP="00B16F01">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tej inwestycji jest zapewnienie ciągłości dostaw energii elektrycznej do klientów</w:t>
      </w:r>
      <w:r w:rsidR="00A33B9F" w:rsidRPr="00A33B9F">
        <w:rPr>
          <w:rFonts w:ascii="Times New Roman" w:hAnsi="Times New Roman"/>
          <w:noProof/>
          <w:sz w:val="24"/>
        </w:rPr>
        <w:t xml:space="preserve"> i zwi</w:t>
      </w:r>
      <w:r w:rsidRPr="00A33B9F">
        <w:rPr>
          <w:rFonts w:ascii="Times New Roman" w:hAnsi="Times New Roman"/>
          <w:noProof/>
          <w:sz w:val="24"/>
        </w:rPr>
        <w:t>ększenie efektywności wykorzystania źródeł OZE przez inwestycje</w:t>
      </w:r>
      <w:r w:rsidR="00A33B9F" w:rsidRPr="00A33B9F">
        <w:rPr>
          <w:rFonts w:ascii="Times New Roman" w:hAnsi="Times New Roman"/>
          <w:noProof/>
          <w:sz w:val="24"/>
        </w:rPr>
        <w:t xml:space="preserve"> w tec</w:t>
      </w:r>
      <w:r w:rsidRPr="00A33B9F">
        <w:rPr>
          <w:rFonts w:ascii="Times New Roman" w:hAnsi="Times New Roman"/>
          <w:noProof/>
          <w:sz w:val="24"/>
        </w:rPr>
        <w:t>hnologie ułatwiające bilansowanie energii elektrycznej</w:t>
      </w:r>
      <w:r w:rsidR="00A33B9F" w:rsidRPr="00A33B9F">
        <w:rPr>
          <w:rFonts w:ascii="Times New Roman" w:hAnsi="Times New Roman"/>
          <w:noProof/>
          <w:sz w:val="24"/>
        </w:rPr>
        <w:t xml:space="preserve"> w sys</w:t>
      </w:r>
      <w:r w:rsidRPr="00A33B9F">
        <w:rPr>
          <w:rFonts w:ascii="Times New Roman" w:hAnsi="Times New Roman"/>
          <w:noProof/>
          <w:sz w:val="24"/>
        </w:rPr>
        <w:t>temie elektroenergetycznym.</w:t>
      </w:r>
    </w:p>
    <w:p w14:paraId="34350269" w14:textId="27FE53BC" w:rsidR="00B16F01" w:rsidRPr="00A33B9F" w:rsidRDefault="00B16F01" w:rsidP="5865826E">
      <w:pPr>
        <w:pStyle w:val="ListParagraph"/>
        <w:numPr>
          <w:ilvl w:val="1"/>
          <w:numId w:val="26"/>
        </w:numPr>
        <w:spacing w:before="120" w:after="120" w:line="240" w:lineRule="auto"/>
        <w:ind w:left="567"/>
        <w:jc w:val="both"/>
        <w:rPr>
          <w:noProof/>
        </w:rPr>
      </w:pPr>
      <w:r w:rsidRPr="00A33B9F">
        <w:rPr>
          <w:rFonts w:ascii="Times New Roman" w:hAnsi="Times New Roman"/>
          <w:noProof/>
          <w:sz w:val="24"/>
        </w:rPr>
        <w:t>Inwestycja obejmuje wdrożenie wielkoskalowego systemu magazynowania energii (BESS) służącego do przechowywania nadmiaru energii</w:t>
      </w:r>
      <w:r w:rsidR="00A33B9F" w:rsidRPr="00A33B9F">
        <w:rPr>
          <w:rFonts w:ascii="Times New Roman" w:hAnsi="Times New Roman"/>
          <w:noProof/>
          <w:sz w:val="24"/>
        </w:rPr>
        <w:t xml:space="preserve"> w sys</w:t>
      </w:r>
      <w:r w:rsidRPr="00A33B9F">
        <w:rPr>
          <w:rFonts w:ascii="Times New Roman" w:hAnsi="Times New Roman"/>
          <w:noProof/>
          <w:sz w:val="24"/>
        </w:rPr>
        <w:t>temie elektroenergetycznym. Wspomniany system magazynowania energii ma przyczynić się do zrównoważenia odnawialnych źródeł energii pod względem technicznym.</w:t>
      </w:r>
    </w:p>
    <w:p w14:paraId="70AA5454" w14:textId="63C35CA5" w:rsidR="00B16F01" w:rsidRPr="00A33B9F" w:rsidRDefault="00B16F01" w:rsidP="00B16F01">
      <w:pPr>
        <w:spacing w:before="120" w:after="120" w:line="240" w:lineRule="auto"/>
        <w:jc w:val="both"/>
        <w:rPr>
          <w:noProof/>
        </w:rPr>
      </w:pPr>
      <w:r w:rsidRPr="00A33B9F">
        <w:rPr>
          <w:rFonts w:ascii="Times New Roman" w:hAnsi="Times New Roman"/>
          <w:noProof/>
          <w:sz w:val="24"/>
        </w:rPr>
        <w:t>Realizacja inwestycji zostanie zakończona do dnia 30 czerwca 2026</w:t>
      </w:r>
      <w:r w:rsidR="00A33B9F" w:rsidRPr="00A33B9F">
        <w:rPr>
          <w:rFonts w:ascii="Times New Roman" w:hAnsi="Times New Roman"/>
          <w:noProof/>
          <w:sz w:val="24"/>
        </w:rPr>
        <w:t> </w:t>
      </w:r>
      <w:r w:rsidRPr="00A33B9F">
        <w:rPr>
          <w:rFonts w:ascii="Times New Roman" w:hAnsi="Times New Roman"/>
          <w:noProof/>
          <w:sz w:val="24"/>
        </w:rPr>
        <w:t>r.</w:t>
      </w:r>
    </w:p>
    <w:p w14:paraId="517200B8" w14:textId="77777777" w:rsidR="00B16F01" w:rsidRPr="00A33B9F" w:rsidRDefault="00B16F01" w:rsidP="00B16F01">
      <w:pPr>
        <w:spacing w:before="120" w:after="120" w:line="240" w:lineRule="auto"/>
        <w:jc w:val="both"/>
        <w:rPr>
          <w:rFonts w:ascii="Times New Roman" w:hAnsi="Times New Roman" w:cs="Times New Roman"/>
          <w:noProof/>
          <w:sz w:val="24"/>
        </w:rPr>
      </w:pPr>
    </w:p>
    <w:p w14:paraId="1D926365" w14:textId="4F690E35" w:rsidR="00B16F01" w:rsidRPr="00A33B9F" w:rsidRDefault="00B16F01" w:rsidP="00B16F01">
      <w:pPr>
        <w:keepNext/>
        <w:spacing w:before="120" w:after="120" w:line="240" w:lineRule="auto"/>
        <w:jc w:val="both"/>
        <w:rPr>
          <w:rFonts w:ascii="Times New Roman" w:hAnsi="Times New Roman" w:cs="Times New Roman"/>
          <w:b/>
          <w:bCs/>
          <w:noProof/>
          <w:sz w:val="24"/>
          <w:szCs w:val="24"/>
          <w:u w:val="single"/>
        </w:rPr>
      </w:pPr>
      <w:r w:rsidRPr="00A33B9F">
        <w:rPr>
          <w:rFonts w:ascii="Times New Roman" w:hAnsi="Times New Roman"/>
          <w:b/>
          <w:noProof/>
          <w:sz w:val="24"/>
          <w:u w:val="single"/>
        </w:rPr>
        <w:t>G1.1.4 Wsparcie dla instytucji wdrażających reformy</w:t>
      </w:r>
      <w:r w:rsidR="00A33B9F" w:rsidRPr="00A33B9F">
        <w:rPr>
          <w:rFonts w:ascii="Times New Roman" w:hAnsi="Times New Roman"/>
          <w:b/>
          <w:noProof/>
          <w:sz w:val="24"/>
          <w:u w:val="single"/>
        </w:rPr>
        <w:t xml:space="preserve"> i inw</w:t>
      </w:r>
      <w:r w:rsidRPr="00A33B9F">
        <w:rPr>
          <w:rFonts w:ascii="Times New Roman" w:hAnsi="Times New Roman"/>
          <w:b/>
          <w:noProof/>
          <w:sz w:val="24"/>
          <w:u w:val="single"/>
        </w:rPr>
        <w:t>estycje</w:t>
      </w:r>
      <w:r w:rsidR="00A33B9F" w:rsidRPr="00A33B9F">
        <w:rPr>
          <w:rFonts w:ascii="Times New Roman" w:hAnsi="Times New Roman"/>
          <w:b/>
          <w:noProof/>
          <w:sz w:val="24"/>
          <w:u w:val="single"/>
        </w:rPr>
        <w:t xml:space="preserve"> w ram</w:t>
      </w:r>
      <w:r w:rsidRPr="00A33B9F">
        <w:rPr>
          <w:rFonts w:ascii="Times New Roman" w:hAnsi="Times New Roman"/>
          <w:b/>
          <w:noProof/>
          <w:sz w:val="24"/>
          <w:u w:val="single"/>
        </w:rPr>
        <w:t>ach REPowerEU</w:t>
      </w:r>
    </w:p>
    <w:p w14:paraId="13FBD749" w14:textId="5AB239F2" w:rsidR="00B16F01" w:rsidRPr="00A33B9F" w:rsidRDefault="00B16F01" w:rsidP="00B16F01">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Celem tej inwestycji jest zwiększenie zdolności administracyjnych</w:t>
      </w:r>
      <w:r w:rsidR="00A33B9F" w:rsidRPr="00A33B9F">
        <w:rPr>
          <w:rFonts w:ascii="Times New Roman" w:hAnsi="Times New Roman"/>
          <w:noProof/>
          <w:sz w:val="24"/>
        </w:rPr>
        <w:t xml:space="preserve"> i org</w:t>
      </w:r>
      <w:r w:rsidRPr="00A33B9F">
        <w:rPr>
          <w:rFonts w:ascii="Times New Roman" w:hAnsi="Times New Roman"/>
          <w:noProof/>
          <w:sz w:val="24"/>
        </w:rPr>
        <w:t>anizacyjnych najważniejszych instytucji publicznych biorących udział</w:t>
      </w:r>
      <w:r w:rsidR="00A33B9F" w:rsidRPr="00A33B9F">
        <w:rPr>
          <w:rFonts w:ascii="Times New Roman" w:hAnsi="Times New Roman"/>
          <w:noProof/>
          <w:sz w:val="24"/>
        </w:rPr>
        <w:t xml:space="preserve"> w rea</w:t>
      </w:r>
      <w:r w:rsidRPr="00A33B9F">
        <w:rPr>
          <w:rFonts w:ascii="Times New Roman" w:hAnsi="Times New Roman"/>
          <w:noProof/>
          <w:sz w:val="24"/>
        </w:rPr>
        <w:t>lizacji reform</w:t>
      </w:r>
      <w:r w:rsidR="00A33B9F" w:rsidRPr="00A33B9F">
        <w:rPr>
          <w:rFonts w:ascii="Times New Roman" w:hAnsi="Times New Roman"/>
          <w:noProof/>
          <w:sz w:val="24"/>
        </w:rPr>
        <w:t xml:space="preserve"> i inw</w:t>
      </w:r>
      <w:r w:rsidRPr="00A33B9F">
        <w:rPr>
          <w:rFonts w:ascii="Times New Roman" w:hAnsi="Times New Roman"/>
          <w:noProof/>
          <w:sz w:val="24"/>
        </w:rPr>
        <w:t>estycji</w:t>
      </w:r>
      <w:r w:rsidR="00A33B9F" w:rsidRPr="00A33B9F">
        <w:rPr>
          <w:rFonts w:ascii="Times New Roman" w:hAnsi="Times New Roman"/>
          <w:noProof/>
          <w:sz w:val="24"/>
        </w:rPr>
        <w:t xml:space="preserve"> w ram</w:t>
      </w:r>
      <w:r w:rsidRPr="00A33B9F">
        <w:rPr>
          <w:rFonts w:ascii="Times New Roman" w:hAnsi="Times New Roman"/>
          <w:noProof/>
          <w:sz w:val="24"/>
        </w:rPr>
        <w:t>ach REPowerEU. Ma ona również wesprzeć działania regulacyjne, analityczne</w:t>
      </w:r>
      <w:r w:rsidR="00A33B9F" w:rsidRPr="00A33B9F">
        <w:rPr>
          <w:rFonts w:ascii="Times New Roman" w:hAnsi="Times New Roman"/>
          <w:noProof/>
          <w:sz w:val="24"/>
        </w:rPr>
        <w:t xml:space="preserve"> i edu</w:t>
      </w:r>
      <w:r w:rsidRPr="00A33B9F">
        <w:rPr>
          <w:rFonts w:ascii="Times New Roman" w:hAnsi="Times New Roman"/>
          <w:noProof/>
          <w:sz w:val="24"/>
        </w:rPr>
        <w:t>kacyjne dotyczące systemu energetycznego</w:t>
      </w:r>
      <w:r w:rsidR="00A33B9F" w:rsidRPr="00A33B9F">
        <w:rPr>
          <w:rFonts w:ascii="Times New Roman" w:hAnsi="Times New Roman"/>
          <w:noProof/>
          <w:sz w:val="24"/>
        </w:rPr>
        <w:t xml:space="preserve"> w Pol</w:t>
      </w:r>
      <w:r w:rsidRPr="00A33B9F">
        <w:rPr>
          <w:rFonts w:ascii="Times New Roman" w:hAnsi="Times New Roman"/>
          <w:noProof/>
          <w:sz w:val="24"/>
        </w:rPr>
        <w:t>sce, m.in. przez zwiększenie zdolności administracyjnych</w:t>
      </w:r>
      <w:r w:rsidR="00A33B9F" w:rsidRPr="00A33B9F">
        <w:rPr>
          <w:rFonts w:ascii="Times New Roman" w:hAnsi="Times New Roman"/>
          <w:noProof/>
          <w:sz w:val="24"/>
        </w:rPr>
        <w:t xml:space="preserve"> w zak</w:t>
      </w:r>
      <w:r w:rsidRPr="00A33B9F">
        <w:rPr>
          <w:rFonts w:ascii="Times New Roman" w:hAnsi="Times New Roman"/>
          <w:noProof/>
          <w:sz w:val="24"/>
        </w:rPr>
        <w:t>resie procedur wydawania pozwoleń na odnawialne źródła energii</w:t>
      </w:r>
      <w:r w:rsidR="00A33B9F" w:rsidRPr="00A33B9F">
        <w:rPr>
          <w:rFonts w:ascii="Times New Roman" w:hAnsi="Times New Roman"/>
          <w:noProof/>
          <w:sz w:val="24"/>
        </w:rPr>
        <w:t xml:space="preserve"> i sie</w:t>
      </w:r>
      <w:r w:rsidRPr="00A33B9F">
        <w:rPr>
          <w:rFonts w:ascii="Times New Roman" w:hAnsi="Times New Roman"/>
          <w:noProof/>
          <w:sz w:val="24"/>
        </w:rPr>
        <w:t>ci elektroenergetyczne lub cyfryzacji rozwoju sieci</w:t>
      </w:r>
      <w:r w:rsidR="00A33B9F" w:rsidRPr="00A33B9F">
        <w:rPr>
          <w:rFonts w:ascii="Times New Roman" w:hAnsi="Times New Roman"/>
          <w:noProof/>
          <w:sz w:val="24"/>
        </w:rPr>
        <w:t xml:space="preserve"> i pro</w:t>
      </w:r>
      <w:r w:rsidRPr="00A33B9F">
        <w:rPr>
          <w:rFonts w:ascii="Times New Roman" w:hAnsi="Times New Roman"/>
          <w:noProof/>
          <w:sz w:val="24"/>
        </w:rPr>
        <w:t xml:space="preserve">cesu przyłączenia do sieci elektroenergetycznych. </w:t>
      </w:r>
    </w:p>
    <w:p w14:paraId="3F7ECAD6" w14:textId="54C9E37D" w:rsidR="00B16F01" w:rsidRPr="00A33B9F" w:rsidRDefault="33D6E83F" w:rsidP="00B16F01">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Inwestycja zapewnia wsparcie na rzecz zwiększania zdolności administracyjnej organów administracji na szczeblu lokalnym</w:t>
      </w:r>
      <w:r w:rsidR="00A33B9F" w:rsidRPr="00A33B9F">
        <w:rPr>
          <w:rFonts w:ascii="Times New Roman" w:hAnsi="Times New Roman"/>
          <w:noProof/>
          <w:sz w:val="24"/>
        </w:rPr>
        <w:t xml:space="preserve"> i cen</w:t>
      </w:r>
      <w:r w:rsidRPr="00A33B9F">
        <w:rPr>
          <w:rFonts w:ascii="Times New Roman" w:hAnsi="Times New Roman"/>
          <w:noProof/>
          <w:sz w:val="24"/>
        </w:rPr>
        <w:t>tralnym oraz NGO.</w:t>
      </w:r>
    </w:p>
    <w:p w14:paraId="4E1120D0" w14:textId="4C5D14F2" w:rsidR="00B16F01" w:rsidRPr="00A33B9F" w:rsidRDefault="33D6E83F" w:rsidP="00B16F01">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Wspomniane wsparcie obejmuje zwiększenie liczby personelu zajmującego się wdrażaniem REPowerEU</w:t>
      </w:r>
      <w:r w:rsidR="00A33B9F" w:rsidRPr="00A33B9F">
        <w:rPr>
          <w:rFonts w:ascii="Times New Roman" w:hAnsi="Times New Roman"/>
          <w:noProof/>
          <w:sz w:val="24"/>
        </w:rPr>
        <w:t>. W adm</w:t>
      </w:r>
      <w:r w:rsidRPr="00A33B9F">
        <w:rPr>
          <w:rFonts w:ascii="Times New Roman" w:hAnsi="Times New Roman"/>
          <w:noProof/>
          <w:sz w:val="24"/>
        </w:rPr>
        <w:t>inistracji centralnej co najmniej 106 nowych osób</w:t>
      </w:r>
      <w:r w:rsidR="00A33B9F" w:rsidRPr="00A33B9F">
        <w:rPr>
          <w:rFonts w:ascii="Times New Roman" w:hAnsi="Times New Roman"/>
          <w:noProof/>
          <w:sz w:val="24"/>
        </w:rPr>
        <w:t xml:space="preserve"> w ekw</w:t>
      </w:r>
      <w:r w:rsidRPr="00A33B9F">
        <w:rPr>
          <w:rFonts w:ascii="Times New Roman" w:hAnsi="Times New Roman"/>
          <w:noProof/>
          <w:sz w:val="24"/>
        </w:rPr>
        <w:t>iwalentach pełnego czasu pracy zostanie przeznaczonych do wdrożenia reform</w:t>
      </w:r>
      <w:r w:rsidR="00A33B9F" w:rsidRPr="00A33B9F">
        <w:rPr>
          <w:rFonts w:ascii="Times New Roman" w:hAnsi="Times New Roman"/>
          <w:noProof/>
          <w:sz w:val="24"/>
        </w:rPr>
        <w:t xml:space="preserve"> i inw</w:t>
      </w:r>
      <w:r w:rsidRPr="00A33B9F">
        <w:rPr>
          <w:rFonts w:ascii="Times New Roman" w:hAnsi="Times New Roman"/>
          <w:noProof/>
          <w:sz w:val="24"/>
        </w:rPr>
        <w:t>estycji</w:t>
      </w:r>
      <w:r w:rsidR="00A33B9F" w:rsidRPr="00A33B9F">
        <w:rPr>
          <w:rFonts w:ascii="Times New Roman" w:hAnsi="Times New Roman"/>
          <w:noProof/>
          <w:sz w:val="24"/>
        </w:rPr>
        <w:t xml:space="preserve"> w ram</w:t>
      </w:r>
      <w:r w:rsidRPr="00A33B9F">
        <w:rPr>
          <w:rFonts w:ascii="Times New Roman" w:hAnsi="Times New Roman"/>
          <w:noProof/>
          <w:sz w:val="24"/>
        </w:rPr>
        <w:t>ach REPowerEU,</w:t>
      </w:r>
      <w:r w:rsidR="00A33B9F" w:rsidRPr="00A33B9F">
        <w:rPr>
          <w:rFonts w:ascii="Times New Roman" w:hAnsi="Times New Roman"/>
          <w:noProof/>
          <w:sz w:val="24"/>
        </w:rPr>
        <w:t xml:space="preserve"> w tym</w:t>
      </w:r>
      <w:r w:rsidRPr="00A33B9F">
        <w:rPr>
          <w:rFonts w:ascii="Times New Roman" w:hAnsi="Times New Roman"/>
          <w:noProof/>
          <w:sz w:val="24"/>
        </w:rPr>
        <w:t xml:space="preserve"> cyfryzacji procedur wydawania pozwoleń na odnawialne źródła energii</w:t>
      </w:r>
      <w:r w:rsidR="00A33B9F" w:rsidRPr="00A33B9F">
        <w:rPr>
          <w:rFonts w:ascii="Times New Roman" w:hAnsi="Times New Roman"/>
          <w:noProof/>
          <w:sz w:val="24"/>
        </w:rPr>
        <w:t xml:space="preserve"> i sie</w:t>
      </w:r>
      <w:r w:rsidRPr="00A33B9F">
        <w:rPr>
          <w:rFonts w:ascii="Times New Roman" w:hAnsi="Times New Roman"/>
          <w:noProof/>
          <w:sz w:val="24"/>
        </w:rPr>
        <w:t>ci elektroenergetycznej oraz cyfryzacji rozwoju sieci</w:t>
      </w:r>
      <w:r w:rsidR="00A33B9F" w:rsidRPr="00A33B9F">
        <w:rPr>
          <w:rFonts w:ascii="Times New Roman" w:hAnsi="Times New Roman"/>
          <w:noProof/>
          <w:sz w:val="24"/>
        </w:rPr>
        <w:t xml:space="preserve"> i pro</w:t>
      </w:r>
      <w:r w:rsidRPr="00A33B9F">
        <w:rPr>
          <w:rFonts w:ascii="Times New Roman" w:hAnsi="Times New Roman"/>
          <w:noProof/>
          <w:sz w:val="24"/>
        </w:rPr>
        <w:t>cesu przyłączenia do sieci elektroenergetycznych. Inwestycja obejmuje również wsparcie na rzecz NGO działających</w:t>
      </w:r>
      <w:r w:rsidR="00A33B9F" w:rsidRPr="00A33B9F">
        <w:rPr>
          <w:rFonts w:ascii="Times New Roman" w:hAnsi="Times New Roman"/>
          <w:noProof/>
          <w:sz w:val="24"/>
        </w:rPr>
        <w:t xml:space="preserve"> w obs</w:t>
      </w:r>
      <w:r w:rsidRPr="00A33B9F">
        <w:rPr>
          <w:rFonts w:ascii="Times New Roman" w:hAnsi="Times New Roman"/>
          <w:noProof/>
          <w:sz w:val="24"/>
        </w:rPr>
        <w:t>zarze zielonej transformacji, którym powierzono zadanie realizacji projektów</w:t>
      </w:r>
      <w:r w:rsidR="00A33B9F" w:rsidRPr="00A33B9F">
        <w:rPr>
          <w:rFonts w:ascii="Times New Roman" w:hAnsi="Times New Roman"/>
          <w:noProof/>
          <w:sz w:val="24"/>
        </w:rPr>
        <w:t xml:space="preserve"> w zak</w:t>
      </w:r>
      <w:r w:rsidRPr="00A33B9F">
        <w:rPr>
          <w:rFonts w:ascii="Times New Roman" w:hAnsi="Times New Roman"/>
          <w:noProof/>
          <w:sz w:val="24"/>
        </w:rPr>
        <w:t>resie budowania zdolności,</w:t>
      </w:r>
      <w:r w:rsidR="00A33B9F" w:rsidRPr="00A33B9F">
        <w:rPr>
          <w:rFonts w:ascii="Times New Roman" w:hAnsi="Times New Roman"/>
          <w:noProof/>
          <w:sz w:val="24"/>
        </w:rPr>
        <w:t xml:space="preserve"> w tym</w:t>
      </w:r>
      <w:r w:rsidRPr="00A33B9F">
        <w:rPr>
          <w:rFonts w:ascii="Times New Roman" w:hAnsi="Times New Roman"/>
          <w:noProof/>
          <w:sz w:val="24"/>
        </w:rPr>
        <w:t xml:space="preserve"> organizowania szkoleń,</w:t>
      </w:r>
      <w:r w:rsidR="00A33B9F" w:rsidRPr="00A33B9F">
        <w:rPr>
          <w:rFonts w:ascii="Times New Roman" w:hAnsi="Times New Roman"/>
          <w:noProof/>
          <w:sz w:val="24"/>
        </w:rPr>
        <w:t xml:space="preserve"> a tak</w:t>
      </w:r>
      <w:r w:rsidRPr="00A33B9F">
        <w:rPr>
          <w:rFonts w:ascii="Times New Roman" w:hAnsi="Times New Roman"/>
          <w:noProof/>
          <w:sz w:val="24"/>
        </w:rPr>
        <w:t>że prowadzenia działalności doradczej</w:t>
      </w:r>
      <w:r w:rsidR="00A33B9F" w:rsidRPr="00A33B9F">
        <w:rPr>
          <w:rFonts w:ascii="Times New Roman" w:hAnsi="Times New Roman"/>
          <w:noProof/>
          <w:sz w:val="24"/>
        </w:rPr>
        <w:t xml:space="preserve"> i bad</w:t>
      </w:r>
      <w:r w:rsidRPr="00A33B9F">
        <w:rPr>
          <w:rFonts w:ascii="Times New Roman" w:hAnsi="Times New Roman"/>
          <w:noProof/>
          <w:sz w:val="24"/>
        </w:rPr>
        <w:t>awczej</w:t>
      </w:r>
      <w:r w:rsidR="00A33B9F" w:rsidRPr="00A33B9F">
        <w:rPr>
          <w:rFonts w:ascii="Times New Roman" w:hAnsi="Times New Roman"/>
          <w:noProof/>
          <w:sz w:val="24"/>
        </w:rPr>
        <w:t xml:space="preserve"> i prz</w:t>
      </w:r>
      <w:r w:rsidRPr="00A33B9F">
        <w:rPr>
          <w:rFonts w:ascii="Times New Roman" w:hAnsi="Times New Roman"/>
          <w:noProof/>
          <w:sz w:val="24"/>
        </w:rPr>
        <w:t>eprowadzania kampanii społecznych.</w:t>
      </w:r>
    </w:p>
    <w:p w14:paraId="0224AEB2" w14:textId="07D93AAD" w:rsidR="00B16F01" w:rsidRPr="00A33B9F" w:rsidRDefault="732124F9" w:rsidP="00B16F01">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Inwestycja obejmuje także ukończenie</w:t>
      </w:r>
      <w:r w:rsidR="00A33B9F" w:rsidRPr="00A33B9F">
        <w:rPr>
          <w:rFonts w:ascii="Times New Roman" w:hAnsi="Times New Roman"/>
          <w:noProof/>
          <w:sz w:val="24"/>
        </w:rPr>
        <w:t xml:space="preserve"> i roz</w:t>
      </w:r>
      <w:r w:rsidRPr="00A33B9F">
        <w:rPr>
          <w:rFonts w:ascii="Times New Roman" w:hAnsi="Times New Roman"/>
          <w:noProof/>
          <w:sz w:val="24"/>
        </w:rPr>
        <w:t>poczęcie korzystania</w:t>
      </w:r>
      <w:r w:rsidR="00A33B9F" w:rsidRPr="00A33B9F">
        <w:rPr>
          <w:rFonts w:ascii="Times New Roman" w:hAnsi="Times New Roman"/>
          <w:noProof/>
          <w:sz w:val="24"/>
        </w:rPr>
        <w:t xml:space="preserve"> z nar</w:t>
      </w:r>
      <w:r w:rsidRPr="00A33B9F">
        <w:rPr>
          <w:rFonts w:ascii="Times New Roman" w:hAnsi="Times New Roman"/>
          <w:noProof/>
          <w:sz w:val="24"/>
        </w:rPr>
        <w:t>zędzia informatycznego na potrzeby stosowania przez Urząd Regulacji Energetyki nowego modelu regulacyjnego,</w:t>
      </w:r>
      <w:r w:rsidR="00A33B9F" w:rsidRPr="00A33B9F">
        <w:rPr>
          <w:rFonts w:ascii="Times New Roman" w:hAnsi="Times New Roman"/>
          <w:noProof/>
          <w:sz w:val="24"/>
        </w:rPr>
        <w:t xml:space="preserve"> o któ</w:t>
      </w:r>
      <w:r w:rsidRPr="00A33B9F">
        <w:rPr>
          <w:rFonts w:ascii="Times New Roman" w:hAnsi="Times New Roman"/>
          <w:noProof/>
          <w:sz w:val="24"/>
        </w:rPr>
        <w:t>rym mowa</w:t>
      </w:r>
      <w:r w:rsidR="00A33B9F" w:rsidRPr="00A33B9F">
        <w:rPr>
          <w:rFonts w:ascii="Times New Roman" w:hAnsi="Times New Roman"/>
          <w:noProof/>
          <w:sz w:val="24"/>
        </w:rPr>
        <w:t xml:space="preserve"> w dzi</w:t>
      </w:r>
      <w:r w:rsidRPr="00A33B9F">
        <w:rPr>
          <w:rFonts w:ascii="Times New Roman" w:hAnsi="Times New Roman"/>
          <w:noProof/>
          <w:sz w:val="24"/>
        </w:rPr>
        <w:t xml:space="preserve">ałaniu G1.2.1. </w:t>
      </w:r>
    </w:p>
    <w:p w14:paraId="544EA20D" w14:textId="411774A1" w:rsidR="00B16F01" w:rsidRPr="00A33B9F" w:rsidRDefault="00B16F01" w:rsidP="00B16F01">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Realizacja inwestycji zostanie zakończona do dnia 30 czerwca 2026</w:t>
      </w:r>
      <w:r w:rsidR="00A33B9F" w:rsidRPr="00A33B9F">
        <w:rPr>
          <w:rFonts w:ascii="Times New Roman" w:hAnsi="Times New Roman"/>
          <w:noProof/>
          <w:sz w:val="24"/>
        </w:rPr>
        <w:t> </w:t>
      </w:r>
      <w:r w:rsidRPr="00A33B9F">
        <w:rPr>
          <w:rFonts w:ascii="Times New Roman" w:hAnsi="Times New Roman"/>
          <w:noProof/>
          <w:sz w:val="24"/>
        </w:rPr>
        <w:t>r.</w:t>
      </w:r>
    </w:p>
    <w:p w14:paraId="5DE89BD1" w14:textId="77777777" w:rsidR="005F7204" w:rsidRPr="00A33B9F" w:rsidRDefault="005F7204" w:rsidP="005F7204">
      <w:pPr>
        <w:spacing w:before="120" w:after="120" w:line="240" w:lineRule="auto"/>
        <w:jc w:val="both"/>
        <w:rPr>
          <w:rFonts w:ascii="Times New Roman" w:hAnsi="Times New Roman" w:cs="Times New Roman"/>
          <w:noProof/>
          <w:sz w:val="24"/>
          <w:szCs w:val="24"/>
        </w:rPr>
      </w:pPr>
    </w:p>
    <w:p w14:paraId="3FAE7DC3" w14:textId="22DAA3F4" w:rsidR="005F7204" w:rsidRPr="00A33B9F" w:rsidRDefault="005F7204" w:rsidP="008F3899">
      <w:pPr>
        <w:pStyle w:val="Text1"/>
        <w:pageBreakBefore/>
        <w:ind w:left="0"/>
        <w:rPr>
          <w:b/>
          <w:noProof/>
        </w:rPr>
      </w:pPr>
      <w:r w:rsidRPr="00A33B9F">
        <w:rPr>
          <w:b/>
          <w:noProof/>
        </w:rPr>
        <w:t>Podkomponent G1.2 – Przegląd sieci elektroenergetycznych</w:t>
      </w:r>
      <w:r w:rsidR="00A33B9F" w:rsidRPr="00A33B9F">
        <w:rPr>
          <w:b/>
          <w:noProof/>
        </w:rPr>
        <w:t xml:space="preserve"> w cel</w:t>
      </w:r>
      <w:r w:rsidRPr="00A33B9F">
        <w:rPr>
          <w:b/>
          <w:noProof/>
        </w:rPr>
        <w:t>u przyspieszenia integracji odnawialnych źródeł energii</w:t>
      </w:r>
    </w:p>
    <w:p w14:paraId="241B7DB4" w14:textId="21FB2DDA" w:rsidR="005F7204" w:rsidRPr="00A33B9F" w:rsidRDefault="005F7204" w:rsidP="003C352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tego podkomponentu jest wprowadzenie odpowiednich narzędzi</w:t>
      </w:r>
      <w:r w:rsidR="00A33B9F" w:rsidRPr="00A33B9F">
        <w:rPr>
          <w:rFonts w:ascii="Times New Roman" w:hAnsi="Times New Roman"/>
          <w:noProof/>
          <w:sz w:val="24"/>
        </w:rPr>
        <w:t xml:space="preserve"> i usp</w:t>
      </w:r>
      <w:r w:rsidRPr="00A33B9F">
        <w:rPr>
          <w:rFonts w:ascii="Times New Roman" w:hAnsi="Times New Roman"/>
          <w:noProof/>
          <w:sz w:val="24"/>
        </w:rPr>
        <w:t>rawnień na potrzeby przyspieszenia procesu wdrażania nowych instalacji wytwarzających energię elektryczną</w:t>
      </w:r>
      <w:r w:rsidR="00A33B9F" w:rsidRPr="00A33B9F">
        <w:rPr>
          <w:rFonts w:ascii="Times New Roman" w:hAnsi="Times New Roman"/>
          <w:noProof/>
          <w:sz w:val="24"/>
        </w:rPr>
        <w:t xml:space="preserve"> z odn</w:t>
      </w:r>
      <w:r w:rsidRPr="00A33B9F">
        <w:rPr>
          <w:rFonts w:ascii="Times New Roman" w:hAnsi="Times New Roman"/>
          <w:noProof/>
          <w:sz w:val="24"/>
        </w:rPr>
        <w:t>awialnych źródeł energii.</w:t>
      </w:r>
      <w:r w:rsidRPr="00A33B9F">
        <w:rPr>
          <w:noProof/>
        </w:rPr>
        <w:t xml:space="preserve"> </w:t>
      </w:r>
      <w:r w:rsidRPr="00A33B9F">
        <w:rPr>
          <w:rFonts w:ascii="Times New Roman" w:hAnsi="Times New Roman"/>
          <w:noProof/>
          <w:sz w:val="24"/>
        </w:rPr>
        <w:t>Wiąże się to</w:t>
      </w:r>
      <w:r w:rsidR="00A33B9F" w:rsidRPr="00A33B9F">
        <w:rPr>
          <w:rFonts w:ascii="Times New Roman" w:hAnsi="Times New Roman"/>
          <w:noProof/>
          <w:sz w:val="24"/>
        </w:rPr>
        <w:t xml:space="preserve"> z kon</w:t>
      </w:r>
      <w:r w:rsidRPr="00A33B9F">
        <w:rPr>
          <w:rFonts w:ascii="Times New Roman" w:hAnsi="Times New Roman"/>
          <w:noProof/>
          <w:sz w:val="24"/>
        </w:rPr>
        <w:t>iecznością zniesienia barier utrudniających podłączenie się do sieci,</w:t>
      </w:r>
      <w:r w:rsidR="00A33B9F" w:rsidRPr="00A33B9F">
        <w:rPr>
          <w:rFonts w:ascii="Times New Roman" w:hAnsi="Times New Roman"/>
          <w:noProof/>
          <w:sz w:val="24"/>
        </w:rPr>
        <w:t xml:space="preserve"> a tak</w:t>
      </w:r>
      <w:r w:rsidRPr="00A33B9F">
        <w:rPr>
          <w:rFonts w:ascii="Times New Roman" w:hAnsi="Times New Roman"/>
          <w:noProof/>
          <w:sz w:val="24"/>
        </w:rPr>
        <w:t>że zbudowania nowych obiektów infrastrukturalnych</w:t>
      </w:r>
      <w:r w:rsidR="00A33B9F" w:rsidRPr="00A33B9F">
        <w:rPr>
          <w:rFonts w:ascii="Times New Roman" w:hAnsi="Times New Roman"/>
          <w:noProof/>
          <w:sz w:val="24"/>
        </w:rPr>
        <w:t xml:space="preserve"> i zmo</w:t>
      </w:r>
      <w:r w:rsidRPr="00A33B9F">
        <w:rPr>
          <w:rFonts w:ascii="Times New Roman" w:hAnsi="Times New Roman"/>
          <w:noProof/>
          <w:sz w:val="24"/>
        </w:rPr>
        <w:t>dernizowania istniejących sieci, aby zapewnić możliwość przesyłania energii ze źródeł odnawialnych</w:t>
      </w:r>
      <w:r w:rsidR="00A33B9F" w:rsidRPr="00A33B9F">
        <w:rPr>
          <w:rFonts w:ascii="Times New Roman" w:hAnsi="Times New Roman"/>
          <w:noProof/>
          <w:sz w:val="24"/>
        </w:rPr>
        <w:t xml:space="preserve"> z mie</w:t>
      </w:r>
      <w:r w:rsidRPr="00A33B9F">
        <w:rPr>
          <w:rFonts w:ascii="Times New Roman" w:hAnsi="Times New Roman"/>
          <w:noProof/>
          <w:sz w:val="24"/>
        </w:rPr>
        <w:t>jsca,</w:t>
      </w:r>
      <w:r w:rsidR="00A33B9F" w:rsidRPr="00A33B9F">
        <w:rPr>
          <w:rFonts w:ascii="Times New Roman" w:hAnsi="Times New Roman"/>
          <w:noProof/>
          <w:sz w:val="24"/>
        </w:rPr>
        <w:t xml:space="preserve"> w któ</w:t>
      </w:r>
      <w:r w:rsidRPr="00A33B9F">
        <w:rPr>
          <w:rFonts w:ascii="Times New Roman" w:hAnsi="Times New Roman"/>
          <w:noProof/>
          <w:sz w:val="24"/>
        </w:rPr>
        <w:t>rym jest ona wytwarzana, do miejsca,</w:t>
      </w:r>
      <w:r w:rsidR="00A33B9F" w:rsidRPr="00A33B9F">
        <w:rPr>
          <w:rFonts w:ascii="Times New Roman" w:hAnsi="Times New Roman"/>
          <w:noProof/>
          <w:sz w:val="24"/>
        </w:rPr>
        <w:t xml:space="preserve"> w któ</w:t>
      </w:r>
      <w:r w:rsidRPr="00A33B9F">
        <w:rPr>
          <w:rFonts w:ascii="Times New Roman" w:hAnsi="Times New Roman"/>
          <w:noProof/>
          <w:sz w:val="24"/>
        </w:rPr>
        <w:t>rym ma ona zostać wykorzystana.</w:t>
      </w:r>
    </w:p>
    <w:p w14:paraId="4DB23064" w14:textId="77777777" w:rsidR="005F7204" w:rsidRPr="00A33B9F" w:rsidRDefault="005F7204" w:rsidP="003C352B">
      <w:pPr>
        <w:spacing w:before="120" w:after="120" w:line="240" w:lineRule="auto"/>
        <w:jc w:val="both"/>
        <w:rPr>
          <w:rFonts w:ascii="Times New Roman" w:hAnsi="Times New Roman" w:cs="Times New Roman"/>
          <w:noProof/>
          <w:sz w:val="24"/>
          <w:szCs w:val="24"/>
        </w:rPr>
      </w:pPr>
    </w:p>
    <w:p w14:paraId="47F7498A" w14:textId="7B878975" w:rsidR="005F7204" w:rsidRPr="00A33B9F" w:rsidRDefault="005F7204" w:rsidP="003C352B">
      <w:pPr>
        <w:spacing w:before="120" w:after="120" w:line="240" w:lineRule="auto"/>
        <w:jc w:val="both"/>
        <w:rPr>
          <w:rFonts w:ascii="Times New Roman" w:hAnsi="Times New Roman" w:cs="Times New Roman"/>
          <w:b/>
          <w:bCs/>
          <w:noProof/>
          <w:sz w:val="24"/>
          <w:szCs w:val="24"/>
          <w:u w:val="single"/>
        </w:rPr>
      </w:pPr>
      <w:r w:rsidRPr="00A33B9F">
        <w:rPr>
          <w:rFonts w:ascii="Times New Roman" w:hAnsi="Times New Roman"/>
          <w:b/>
          <w:noProof/>
          <w:sz w:val="24"/>
          <w:u w:val="single"/>
        </w:rPr>
        <w:t>G1.2.1 Rozwiązania regulacyjne służące szybszej integracji odnawialnych źródeł energii</w:t>
      </w:r>
      <w:r w:rsidR="00A33B9F" w:rsidRPr="00A33B9F">
        <w:rPr>
          <w:rFonts w:ascii="Times New Roman" w:hAnsi="Times New Roman"/>
          <w:b/>
          <w:noProof/>
          <w:sz w:val="24"/>
          <w:u w:val="single"/>
        </w:rPr>
        <w:t xml:space="preserve"> z sie</w:t>
      </w:r>
      <w:r w:rsidRPr="00A33B9F">
        <w:rPr>
          <w:rFonts w:ascii="Times New Roman" w:hAnsi="Times New Roman"/>
          <w:b/>
          <w:noProof/>
          <w:sz w:val="24"/>
          <w:u w:val="single"/>
        </w:rPr>
        <w:t>ciami dystrybucyjnymi</w:t>
      </w:r>
    </w:p>
    <w:p w14:paraId="74CD0B78" w14:textId="62AFEE1D" w:rsidR="005F7204" w:rsidRPr="00A33B9F" w:rsidRDefault="005F7204" w:rsidP="003C352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tej reformy jest zwiększenie zdolności Urzędu Regulacji Energetyki</w:t>
      </w:r>
      <w:r w:rsidR="00A33B9F" w:rsidRPr="00A33B9F">
        <w:rPr>
          <w:rFonts w:ascii="Times New Roman" w:hAnsi="Times New Roman"/>
          <w:noProof/>
          <w:sz w:val="24"/>
        </w:rPr>
        <w:t xml:space="preserve"> w zak</w:t>
      </w:r>
      <w:r w:rsidRPr="00A33B9F">
        <w:rPr>
          <w:rFonts w:ascii="Times New Roman" w:hAnsi="Times New Roman"/>
          <w:noProof/>
          <w:sz w:val="24"/>
        </w:rPr>
        <w:t>resie oceniania planów rozwoju sieci opracowywanych przez operatorów systemu dystrybucyjnego oraz kształtowania taryf</w:t>
      </w:r>
      <w:r w:rsidR="00A33B9F" w:rsidRPr="00A33B9F">
        <w:rPr>
          <w:rFonts w:ascii="Times New Roman" w:hAnsi="Times New Roman"/>
          <w:noProof/>
          <w:sz w:val="24"/>
        </w:rPr>
        <w:t xml:space="preserve"> w tak</w:t>
      </w:r>
      <w:r w:rsidRPr="00A33B9F">
        <w:rPr>
          <w:rFonts w:ascii="Times New Roman" w:hAnsi="Times New Roman"/>
          <w:noProof/>
          <w:sz w:val="24"/>
        </w:rPr>
        <w:t>i sposób, aby umożliwić odpowiednie finansowanie efektywnych</w:t>
      </w:r>
      <w:r w:rsidR="00A33B9F" w:rsidRPr="00A33B9F">
        <w:rPr>
          <w:rFonts w:ascii="Times New Roman" w:hAnsi="Times New Roman"/>
          <w:noProof/>
          <w:sz w:val="24"/>
        </w:rPr>
        <w:t xml:space="preserve"> i uki</w:t>
      </w:r>
      <w:r w:rsidRPr="00A33B9F">
        <w:rPr>
          <w:rFonts w:ascii="Times New Roman" w:hAnsi="Times New Roman"/>
          <w:noProof/>
          <w:sz w:val="24"/>
        </w:rPr>
        <w:t>erunkowanych inwestycji</w:t>
      </w:r>
      <w:r w:rsidR="00A33B9F" w:rsidRPr="00A33B9F">
        <w:rPr>
          <w:rFonts w:ascii="Times New Roman" w:hAnsi="Times New Roman"/>
          <w:noProof/>
          <w:sz w:val="24"/>
        </w:rPr>
        <w:t xml:space="preserve"> w roz</w:t>
      </w:r>
      <w:r w:rsidRPr="00A33B9F">
        <w:rPr>
          <w:rFonts w:ascii="Times New Roman" w:hAnsi="Times New Roman"/>
          <w:noProof/>
          <w:sz w:val="24"/>
        </w:rPr>
        <w:t>wój sieci dystrybucyjnych za pośrednictwem taryf</w:t>
      </w:r>
      <w:r w:rsidR="00A33B9F" w:rsidRPr="00A33B9F">
        <w:rPr>
          <w:rFonts w:ascii="Times New Roman" w:hAnsi="Times New Roman"/>
          <w:noProof/>
          <w:sz w:val="24"/>
        </w:rPr>
        <w:t xml:space="preserve"> w cel</w:t>
      </w:r>
      <w:r w:rsidRPr="00A33B9F">
        <w:rPr>
          <w:rFonts w:ascii="Times New Roman" w:hAnsi="Times New Roman"/>
          <w:noProof/>
          <w:sz w:val="24"/>
        </w:rPr>
        <w:t xml:space="preserve">u zniesienia barier dla rozwoju OZE. </w:t>
      </w:r>
    </w:p>
    <w:p w14:paraId="2AF71A0E" w14:textId="652D03B4" w:rsidR="009E4957" w:rsidRPr="00A33B9F" w:rsidRDefault="25734294" w:rsidP="003C352B">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Reforma obejmuje przyjęcie nowego modelu regulacyjnego przez krajowy organ regulacyjny ds. energii, tj. Urząd Regulacji Energetyki. Dzięki nowemu modelowi regulacyjnemu krajowy organ regulacyjny ds. energii może dokładniej określać</w:t>
      </w:r>
      <w:r w:rsidR="00A33B9F" w:rsidRPr="00A33B9F">
        <w:rPr>
          <w:rFonts w:ascii="Times New Roman" w:hAnsi="Times New Roman"/>
          <w:noProof/>
          <w:sz w:val="24"/>
        </w:rPr>
        <w:t xml:space="preserve"> i oce</w:t>
      </w:r>
      <w:r w:rsidRPr="00A33B9F">
        <w:rPr>
          <w:rFonts w:ascii="Times New Roman" w:hAnsi="Times New Roman"/>
          <w:noProof/>
          <w:sz w:val="24"/>
        </w:rPr>
        <w:t>niać potrzeby inwestycyjne związane</w:t>
      </w:r>
      <w:r w:rsidR="00A33B9F" w:rsidRPr="00A33B9F">
        <w:rPr>
          <w:rFonts w:ascii="Times New Roman" w:hAnsi="Times New Roman"/>
          <w:noProof/>
          <w:sz w:val="24"/>
        </w:rPr>
        <w:t xml:space="preserve"> z roz</w:t>
      </w:r>
      <w:r w:rsidRPr="00A33B9F">
        <w:rPr>
          <w:rFonts w:ascii="Times New Roman" w:hAnsi="Times New Roman"/>
          <w:noProof/>
          <w:sz w:val="24"/>
        </w:rPr>
        <w:t>wojem sieci dystrybucyjnych</w:t>
      </w:r>
      <w:r w:rsidR="00A33B9F" w:rsidRPr="00A33B9F">
        <w:rPr>
          <w:rFonts w:ascii="Times New Roman" w:hAnsi="Times New Roman"/>
          <w:noProof/>
          <w:sz w:val="24"/>
        </w:rPr>
        <w:t xml:space="preserve"> w kon</w:t>
      </w:r>
      <w:r w:rsidRPr="00A33B9F">
        <w:rPr>
          <w:rFonts w:ascii="Times New Roman" w:hAnsi="Times New Roman"/>
          <w:noProof/>
          <w:sz w:val="24"/>
        </w:rPr>
        <w:t>tekście szybkiego rozwoju odnawialnych źródeł energii oraz odzwierciedlenia ich</w:t>
      </w:r>
      <w:r w:rsidR="00A33B9F" w:rsidRPr="00A33B9F">
        <w:rPr>
          <w:rFonts w:ascii="Times New Roman" w:hAnsi="Times New Roman"/>
          <w:noProof/>
          <w:sz w:val="24"/>
        </w:rPr>
        <w:t xml:space="preserve"> w tar</w:t>
      </w:r>
      <w:r w:rsidRPr="00A33B9F">
        <w:rPr>
          <w:rFonts w:ascii="Times New Roman" w:hAnsi="Times New Roman"/>
          <w:noProof/>
          <w:sz w:val="24"/>
        </w:rPr>
        <w:t>yfach sieci dystrybucyjnych.</w:t>
      </w:r>
    </w:p>
    <w:p w14:paraId="5AAE4BB7" w14:textId="69A7513C" w:rsidR="005F7204" w:rsidRPr="00A33B9F" w:rsidRDefault="005F7204" w:rsidP="005F7204">
      <w:pPr>
        <w:spacing w:before="120" w:after="120" w:line="240" w:lineRule="auto"/>
        <w:jc w:val="both"/>
        <w:rPr>
          <w:noProof/>
        </w:rPr>
      </w:pPr>
      <w:r w:rsidRPr="00A33B9F">
        <w:rPr>
          <w:rFonts w:ascii="Times New Roman" w:hAnsi="Times New Roman"/>
          <w:noProof/>
          <w:sz w:val="24"/>
        </w:rPr>
        <w:t>Realizacja reformy zostanie zakończona do dnia 31 marca 2025</w:t>
      </w:r>
      <w:r w:rsidR="00A33B9F" w:rsidRPr="00A33B9F">
        <w:rPr>
          <w:rFonts w:ascii="Times New Roman" w:hAnsi="Times New Roman"/>
          <w:noProof/>
          <w:sz w:val="24"/>
        </w:rPr>
        <w:t> </w:t>
      </w:r>
      <w:r w:rsidRPr="00A33B9F">
        <w:rPr>
          <w:rFonts w:ascii="Times New Roman" w:hAnsi="Times New Roman"/>
          <w:noProof/>
          <w:sz w:val="24"/>
        </w:rPr>
        <w:t>r.</w:t>
      </w:r>
    </w:p>
    <w:p w14:paraId="6B9B8039" w14:textId="77777777" w:rsidR="005F7204" w:rsidRPr="00A33B9F" w:rsidRDefault="005F7204" w:rsidP="005F7204">
      <w:pPr>
        <w:spacing w:before="120" w:after="120" w:line="240" w:lineRule="auto"/>
        <w:jc w:val="both"/>
        <w:rPr>
          <w:rFonts w:ascii="Times New Roman" w:hAnsi="Times New Roman" w:cs="Times New Roman"/>
          <w:noProof/>
          <w:sz w:val="24"/>
        </w:rPr>
      </w:pPr>
    </w:p>
    <w:p w14:paraId="4792F541" w14:textId="775E1B3A" w:rsidR="005F7204" w:rsidRPr="00A33B9F" w:rsidRDefault="005F7204" w:rsidP="005F7204">
      <w:pPr>
        <w:keepNext/>
        <w:spacing w:before="120" w:after="120" w:line="240" w:lineRule="auto"/>
        <w:jc w:val="both"/>
        <w:rPr>
          <w:rFonts w:ascii="Times New Roman" w:hAnsi="Times New Roman" w:cs="Times New Roman"/>
          <w:b/>
          <w:noProof/>
          <w:sz w:val="24"/>
          <w:szCs w:val="24"/>
          <w:u w:val="single"/>
        </w:rPr>
      </w:pPr>
      <w:r w:rsidRPr="00A33B9F">
        <w:rPr>
          <w:rFonts w:ascii="Times New Roman" w:hAnsi="Times New Roman"/>
          <w:b/>
          <w:noProof/>
          <w:sz w:val="24"/>
          <w:u w:val="single"/>
        </w:rPr>
        <w:t>G1.2.2 Usuwanie barier ograniczających integrację odnawialnych źródeł energii</w:t>
      </w:r>
      <w:r w:rsidR="00A33B9F" w:rsidRPr="00A33B9F">
        <w:rPr>
          <w:rFonts w:ascii="Times New Roman" w:hAnsi="Times New Roman"/>
          <w:b/>
          <w:noProof/>
          <w:sz w:val="24"/>
          <w:u w:val="single"/>
        </w:rPr>
        <w:t xml:space="preserve"> z sie</w:t>
      </w:r>
      <w:r w:rsidRPr="00A33B9F">
        <w:rPr>
          <w:rFonts w:ascii="Times New Roman" w:hAnsi="Times New Roman"/>
          <w:b/>
          <w:noProof/>
          <w:sz w:val="24"/>
          <w:u w:val="single"/>
        </w:rPr>
        <w:t>ciami elektroenergetycznymi</w:t>
      </w:r>
    </w:p>
    <w:p w14:paraId="6BD7A3D7" w14:textId="34507E77" w:rsidR="005F7204" w:rsidRPr="00A33B9F" w:rsidRDefault="005F7204" w:rsidP="005F720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tej reformy jest przyspieszenie wdrażania nowych odnawialnych źródeł energii przez usuwanie barier utrudniających ich integrację</w:t>
      </w:r>
      <w:r w:rsidR="00A33B9F" w:rsidRPr="00A33B9F">
        <w:rPr>
          <w:rFonts w:ascii="Times New Roman" w:hAnsi="Times New Roman"/>
          <w:noProof/>
          <w:sz w:val="24"/>
        </w:rPr>
        <w:t xml:space="preserve"> z sie</w:t>
      </w:r>
      <w:r w:rsidRPr="00A33B9F">
        <w:rPr>
          <w:rFonts w:ascii="Times New Roman" w:hAnsi="Times New Roman"/>
          <w:noProof/>
          <w:sz w:val="24"/>
        </w:rPr>
        <w:t>ciami przesyłowymi</w:t>
      </w:r>
      <w:r w:rsidR="00A33B9F" w:rsidRPr="00A33B9F">
        <w:rPr>
          <w:rFonts w:ascii="Times New Roman" w:hAnsi="Times New Roman"/>
          <w:noProof/>
          <w:sz w:val="24"/>
        </w:rPr>
        <w:t xml:space="preserve"> i dys</w:t>
      </w:r>
      <w:r w:rsidRPr="00A33B9F">
        <w:rPr>
          <w:rFonts w:ascii="Times New Roman" w:hAnsi="Times New Roman"/>
          <w:noProof/>
          <w:sz w:val="24"/>
        </w:rPr>
        <w:t>trybucyjnymi energii elektrycznej.</w:t>
      </w:r>
    </w:p>
    <w:p w14:paraId="4AB55828" w14:textId="4081207F" w:rsidR="005F7204" w:rsidRPr="00A33B9F" w:rsidRDefault="005F7204" w:rsidP="005F720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reformy jest – po pierwsze – ustanowienie ram prawnych dla podłączenia wielu odnawialnych źródeł energii do jednego punktu przyłączenia (łączenie przewodów). Nowe przepisy umożliwią wytwórcom energii ze źródeł odnawialnych, którzy zawarli umowę na warunkach określonych</w:t>
      </w:r>
      <w:r w:rsidR="00A33B9F" w:rsidRPr="00A33B9F">
        <w:rPr>
          <w:rFonts w:ascii="Times New Roman" w:hAnsi="Times New Roman"/>
          <w:noProof/>
          <w:sz w:val="24"/>
        </w:rPr>
        <w:t xml:space="preserve"> w ust</w:t>
      </w:r>
      <w:r w:rsidRPr="00A33B9F">
        <w:rPr>
          <w:rFonts w:ascii="Times New Roman" w:hAnsi="Times New Roman"/>
          <w:noProof/>
          <w:sz w:val="24"/>
        </w:rPr>
        <w:t>awie Prawo energetyczne, współdzielenie przyłączenia, tj. korzystanie</w:t>
      </w:r>
      <w:r w:rsidR="00A33B9F" w:rsidRPr="00A33B9F">
        <w:rPr>
          <w:rFonts w:ascii="Times New Roman" w:hAnsi="Times New Roman"/>
          <w:noProof/>
          <w:sz w:val="24"/>
        </w:rPr>
        <w:t xml:space="preserve"> z tej</w:t>
      </w:r>
      <w:r w:rsidRPr="00A33B9F">
        <w:rPr>
          <w:rFonts w:ascii="Times New Roman" w:hAnsi="Times New Roman"/>
          <w:noProof/>
          <w:sz w:val="24"/>
        </w:rPr>
        <w:t xml:space="preserve"> samej zdolności przyłączenia</w:t>
      </w:r>
      <w:r w:rsidR="00A33B9F" w:rsidRPr="00A33B9F">
        <w:rPr>
          <w:rFonts w:ascii="Times New Roman" w:hAnsi="Times New Roman"/>
          <w:noProof/>
          <w:sz w:val="24"/>
        </w:rPr>
        <w:t xml:space="preserve"> w jed</w:t>
      </w:r>
      <w:r w:rsidRPr="00A33B9F">
        <w:rPr>
          <w:rFonts w:ascii="Times New Roman" w:hAnsi="Times New Roman"/>
          <w:noProof/>
          <w:sz w:val="24"/>
        </w:rPr>
        <w:t>nym punkcie przyłączenia, przy jednoczesnym zachowaniu możliwości zawierania umów sprzedaży wytworzonej energii.</w:t>
      </w:r>
      <w:r w:rsidRPr="00A33B9F">
        <w:rPr>
          <w:noProof/>
        </w:rPr>
        <w:t xml:space="preserve"> </w:t>
      </w:r>
      <w:r w:rsidRPr="00A33B9F">
        <w:rPr>
          <w:rFonts w:ascii="Times New Roman" w:hAnsi="Times New Roman"/>
          <w:noProof/>
          <w:sz w:val="24"/>
        </w:rPr>
        <w:t>Ponadto zmieniona zostanie ustawa</w:t>
      </w:r>
      <w:r w:rsidR="00A33B9F" w:rsidRPr="00A33B9F">
        <w:rPr>
          <w:rFonts w:ascii="Times New Roman" w:hAnsi="Times New Roman"/>
          <w:noProof/>
          <w:sz w:val="24"/>
        </w:rPr>
        <w:t xml:space="preserve"> o odn</w:t>
      </w:r>
      <w:r w:rsidRPr="00A33B9F">
        <w:rPr>
          <w:rFonts w:ascii="Times New Roman" w:hAnsi="Times New Roman"/>
          <w:noProof/>
          <w:sz w:val="24"/>
        </w:rPr>
        <w:t>awialnych źródłach energii. Jej nowelizacja umożliwi podmiotom korzystającym</w:t>
      </w:r>
      <w:r w:rsidR="00A33B9F" w:rsidRPr="00A33B9F">
        <w:rPr>
          <w:rFonts w:ascii="Times New Roman" w:hAnsi="Times New Roman"/>
          <w:noProof/>
          <w:sz w:val="24"/>
        </w:rPr>
        <w:t xml:space="preserve"> z sys</w:t>
      </w:r>
      <w:r w:rsidRPr="00A33B9F">
        <w:rPr>
          <w:rFonts w:ascii="Times New Roman" w:hAnsi="Times New Roman"/>
          <w:noProof/>
          <w:sz w:val="24"/>
        </w:rPr>
        <w:t>temów wsparcia na rzecz odnawialnych źródeł energii współdzielenie zdolności przyłączenia</w:t>
      </w:r>
      <w:r w:rsidR="00A33B9F" w:rsidRPr="00A33B9F">
        <w:rPr>
          <w:rFonts w:ascii="Times New Roman" w:hAnsi="Times New Roman"/>
          <w:noProof/>
          <w:sz w:val="24"/>
        </w:rPr>
        <w:t xml:space="preserve"> z inn</w:t>
      </w:r>
      <w:r w:rsidRPr="00A33B9F">
        <w:rPr>
          <w:rFonts w:ascii="Times New Roman" w:hAnsi="Times New Roman"/>
          <w:noProof/>
          <w:sz w:val="24"/>
        </w:rPr>
        <w:t>ymi instalacjami przyłączonymi</w:t>
      </w:r>
      <w:r w:rsidR="00A33B9F" w:rsidRPr="00A33B9F">
        <w:rPr>
          <w:rFonts w:ascii="Times New Roman" w:hAnsi="Times New Roman"/>
          <w:noProof/>
          <w:sz w:val="24"/>
        </w:rPr>
        <w:t xml:space="preserve"> w tym</w:t>
      </w:r>
      <w:r w:rsidRPr="00A33B9F">
        <w:rPr>
          <w:rFonts w:ascii="Times New Roman" w:hAnsi="Times New Roman"/>
          <w:noProof/>
          <w:sz w:val="24"/>
        </w:rPr>
        <w:t xml:space="preserve"> samym punkcie przyłączenia bez utraty przewidzianego</w:t>
      </w:r>
      <w:r w:rsidR="00A33B9F" w:rsidRPr="00A33B9F">
        <w:rPr>
          <w:rFonts w:ascii="Times New Roman" w:hAnsi="Times New Roman"/>
          <w:noProof/>
          <w:sz w:val="24"/>
        </w:rPr>
        <w:t xml:space="preserve"> w tej</w:t>
      </w:r>
      <w:r w:rsidRPr="00A33B9F">
        <w:rPr>
          <w:rFonts w:ascii="Times New Roman" w:hAnsi="Times New Roman"/>
          <w:noProof/>
          <w:sz w:val="24"/>
        </w:rPr>
        <w:t xml:space="preserve"> ustawie prawa do wsparcia. Spośród instalacji posiadających jeden punkt przyłączenia tylko jedna może korzystać</w:t>
      </w:r>
      <w:r w:rsidR="00A33B9F" w:rsidRPr="00A33B9F">
        <w:rPr>
          <w:rFonts w:ascii="Times New Roman" w:hAnsi="Times New Roman"/>
          <w:noProof/>
          <w:sz w:val="24"/>
        </w:rPr>
        <w:t xml:space="preserve"> z sys</w:t>
      </w:r>
      <w:r w:rsidRPr="00A33B9F">
        <w:rPr>
          <w:rFonts w:ascii="Times New Roman" w:hAnsi="Times New Roman"/>
          <w:noProof/>
          <w:sz w:val="24"/>
        </w:rPr>
        <w:t xml:space="preserve">temu wsparcia. </w:t>
      </w:r>
    </w:p>
    <w:p w14:paraId="2A03C37C" w14:textId="20EDB8A0" w:rsidR="005F7204" w:rsidRPr="00A33B9F" w:rsidRDefault="005F7204" w:rsidP="005F720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Po drugie, reforma ma na celu zwiększenie efektywności rezerwacji zdolności</w:t>
      </w:r>
      <w:r w:rsidR="00A33B9F" w:rsidRPr="00A33B9F">
        <w:rPr>
          <w:rFonts w:ascii="Times New Roman" w:hAnsi="Times New Roman"/>
          <w:noProof/>
          <w:sz w:val="24"/>
        </w:rPr>
        <w:t xml:space="preserve"> i prz</w:t>
      </w:r>
      <w:r w:rsidRPr="00A33B9F">
        <w:rPr>
          <w:rFonts w:ascii="Times New Roman" w:hAnsi="Times New Roman"/>
          <w:noProof/>
          <w:sz w:val="24"/>
        </w:rPr>
        <w:t>yłączenia odnawialnych źródeł energii do sieci elektroenergetycznych. Reforma zostanie przeprowadzona</w:t>
      </w:r>
      <w:r w:rsidR="00A33B9F" w:rsidRPr="00A33B9F">
        <w:rPr>
          <w:rFonts w:ascii="Times New Roman" w:hAnsi="Times New Roman"/>
          <w:noProof/>
          <w:sz w:val="24"/>
        </w:rPr>
        <w:t xml:space="preserve"> w for</w:t>
      </w:r>
      <w:r w:rsidRPr="00A33B9F">
        <w:rPr>
          <w:rFonts w:ascii="Times New Roman" w:hAnsi="Times New Roman"/>
          <w:noProof/>
          <w:sz w:val="24"/>
        </w:rPr>
        <w:t>mie aktów ustawodawczych i,</w:t>
      </w:r>
      <w:r w:rsidR="00A33B9F" w:rsidRPr="00A33B9F">
        <w:rPr>
          <w:rFonts w:ascii="Times New Roman" w:hAnsi="Times New Roman"/>
          <w:noProof/>
          <w:sz w:val="24"/>
        </w:rPr>
        <w:t xml:space="preserve"> w sto</w:t>
      </w:r>
      <w:r w:rsidRPr="00A33B9F">
        <w:rPr>
          <w:rFonts w:ascii="Times New Roman" w:hAnsi="Times New Roman"/>
          <w:noProof/>
          <w:sz w:val="24"/>
        </w:rPr>
        <w:t>sownych przypadkach, aktów</w:t>
      </w:r>
      <w:r w:rsidR="00A33B9F" w:rsidRPr="00A33B9F">
        <w:rPr>
          <w:rFonts w:ascii="Times New Roman" w:hAnsi="Times New Roman"/>
          <w:noProof/>
          <w:sz w:val="24"/>
        </w:rPr>
        <w:t xml:space="preserve"> o cha</w:t>
      </w:r>
      <w:r w:rsidRPr="00A33B9F">
        <w:rPr>
          <w:rFonts w:ascii="Times New Roman" w:hAnsi="Times New Roman"/>
          <w:noProof/>
          <w:sz w:val="24"/>
        </w:rPr>
        <w:t>rakterze nieustawodawczym określających przepisy dotyczące przyłączania instalacji do sieci elektroenergetycznych</w:t>
      </w:r>
      <w:r w:rsidR="00A33B9F" w:rsidRPr="00A33B9F">
        <w:rPr>
          <w:rFonts w:ascii="Times New Roman" w:hAnsi="Times New Roman"/>
          <w:noProof/>
          <w:sz w:val="24"/>
        </w:rPr>
        <w:t xml:space="preserve"> w cel</w:t>
      </w:r>
      <w:r w:rsidRPr="00A33B9F">
        <w:rPr>
          <w:rFonts w:ascii="Times New Roman" w:hAnsi="Times New Roman"/>
          <w:noProof/>
          <w:sz w:val="24"/>
        </w:rPr>
        <w:t>u zwiększenia przejrzystości</w:t>
      </w:r>
      <w:r w:rsidR="00A33B9F" w:rsidRPr="00A33B9F">
        <w:rPr>
          <w:rFonts w:ascii="Times New Roman" w:hAnsi="Times New Roman"/>
          <w:noProof/>
          <w:sz w:val="24"/>
        </w:rPr>
        <w:t xml:space="preserve"> i prz</w:t>
      </w:r>
      <w:r w:rsidRPr="00A33B9F">
        <w:rPr>
          <w:rFonts w:ascii="Times New Roman" w:hAnsi="Times New Roman"/>
          <w:noProof/>
          <w:sz w:val="24"/>
        </w:rPr>
        <w:t xml:space="preserve">ewidywalności procesu przyłączania do sieci elektroenergetycznych. </w:t>
      </w:r>
    </w:p>
    <w:p w14:paraId="6D6F346D" w14:textId="28CEE520" w:rsidR="005F7204" w:rsidRPr="00A33B9F" w:rsidRDefault="005F7204" w:rsidP="005F720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Realizacja tego elementu reformy zostanie zakończona do</w:t>
      </w:r>
      <w:r w:rsidR="00A33B9F" w:rsidRPr="00A33B9F">
        <w:rPr>
          <w:rFonts w:ascii="Times New Roman" w:hAnsi="Times New Roman"/>
          <w:noProof/>
          <w:sz w:val="24"/>
        </w:rPr>
        <w:t> </w:t>
      </w:r>
      <w:r w:rsidRPr="00A33B9F">
        <w:rPr>
          <w:rFonts w:ascii="Times New Roman" w:hAnsi="Times New Roman"/>
          <w:noProof/>
          <w:sz w:val="24"/>
        </w:rPr>
        <w:t>31 grudnia 2025</w:t>
      </w:r>
      <w:r w:rsidR="00A33B9F" w:rsidRPr="00A33B9F">
        <w:rPr>
          <w:rFonts w:ascii="Times New Roman" w:hAnsi="Times New Roman"/>
          <w:noProof/>
          <w:sz w:val="24"/>
        </w:rPr>
        <w:t> </w:t>
      </w:r>
      <w:r w:rsidRPr="00A33B9F">
        <w:rPr>
          <w:rFonts w:ascii="Times New Roman" w:hAnsi="Times New Roman"/>
          <w:noProof/>
          <w:sz w:val="24"/>
        </w:rPr>
        <w:t>r.</w:t>
      </w:r>
    </w:p>
    <w:p w14:paraId="5E3B2545" w14:textId="77777777" w:rsidR="005F7204" w:rsidRPr="00A33B9F" w:rsidRDefault="005F7204" w:rsidP="005F7204">
      <w:pPr>
        <w:spacing w:before="120" w:after="120" w:line="240" w:lineRule="auto"/>
        <w:jc w:val="both"/>
        <w:rPr>
          <w:rFonts w:ascii="Times New Roman" w:hAnsi="Times New Roman" w:cs="Times New Roman"/>
          <w:noProof/>
          <w:sz w:val="24"/>
        </w:rPr>
      </w:pPr>
    </w:p>
    <w:p w14:paraId="1E11A2A8" w14:textId="18B7F4B6" w:rsidR="005F7204" w:rsidRPr="00A33B9F" w:rsidRDefault="005F7204" w:rsidP="008F3899">
      <w:pPr>
        <w:pageBreakBefore/>
        <w:spacing w:before="120" w:after="120" w:line="240" w:lineRule="auto"/>
        <w:jc w:val="both"/>
        <w:rPr>
          <w:rFonts w:ascii="Times New Roman" w:hAnsi="Times New Roman" w:cs="Times New Roman"/>
          <w:b/>
          <w:noProof/>
          <w:sz w:val="24"/>
          <w:szCs w:val="24"/>
          <w:u w:val="single"/>
        </w:rPr>
      </w:pPr>
      <w:r w:rsidRPr="00A33B9F">
        <w:rPr>
          <w:rFonts w:ascii="Times New Roman" w:hAnsi="Times New Roman"/>
          <w:b/>
          <w:noProof/>
          <w:sz w:val="24"/>
          <w:u w:val="single"/>
        </w:rPr>
        <w:t>G1.2.3 Rozwój sieci przesyłowych, inteligentna infrastruktura elektroenergetyczna,</w:t>
      </w:r>
      <w:r w:rsidR="00A33B9F" w:rsidRPr="00A33B9F">
        <w:rPr>
          <w:rFonts w:ascii="Times New Roman" w:hAnsi="Times New Roman"/>
          <w:b/>
          <w:noProof/>
          <w:sz w:val="24"/>
          <w:u w:val="single"/>
        </w:rPr>
        <w:t xml:space="preserve"> w tym</w:t>
      </w:r>
      <w:r w:rsidRPr="00A33B9F">
        <w:rPr>
          <w:rFonts w:ascii="Times New Roman" w:hAnsi="Times New Roman"/>
          <w:b/>
          <w:noProof/>
          <w:sz w:val="24"/>
          <w:u w:val="single"/>
        </w:rPr>
        <w:t xml:space="preserve"> inwestycje</w:t>
      </w:r>
      <w:r w:rsidR="00A33B9F" w:rsidRPr="00A33B9F">
        <w:rPr>
          <w:rFonts w:ascii="Times New Roman" w:hAnsi="Times New Roman"/>
          <w:b/>
          <w:noProof/>
          <w:sz w:val="24"/>
          <w:u w:val="single"/>
        </w:rPr>
        <w:t xml:space="preserve"> o zwi</w:t>
      </w:r>
      <w:r w:rsidRPr="00A33B9F">
        <w:rPr>
          <w:rFonts w:ascii="Times New Roman" w:hAnsi="Times New Roman"/>
          <w:b/>
          <w:noProof/>
          <w:sz w:val="24"/>
          <w:u w:val="single"/>
        </w:rPr>
        <w:t>ększonej skali</w:t>
      </w:r>
    </w:p>
    <w:p w14:paraId="2599D1A9" w14:textId="6923676F" w:rsidR="005F7204" w:rsidRPr="00A33B9F" w:rsidRDefault="005F7204" w:rsidP="005F7204">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color w:val="000000" w:themeColor="text1"/>
          <w:sz w:val="24"/>
        </w:rPr>
        <w:t>Celem tej inwestycji jest rozbudowa, modernizacja</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ryzacja sieci przesyłowych</w:t>
      </w:r>
      <w:r w:rsidR="00A33B9F" w:rsidRPr="00A33B9F">
        <w:rPr>
          <w:rFonts w:ascii="Times New Roman" w:hAnsi="Times New Roman"/>
          <w:noProof/>
          <w:color w:val="000000" w:themeColor="text1"/>
          <w:sz w:val="24"/>
        </w:rPr>
        <w:t xml:space="preserve"> w sze</w:t>
      </w:r>
      <w:r w:rsidRPr="00A33B9F">
        <w:rPr>
          <w:rFonts w:ascii="Times New Roman" w:hAnsi="Times New Roman"/>
          <w:noProof/>
          <w:color w:val="000000" w:themeColor="text1"/>
          <w:sz w:val="24"/>
        </w:rPr>
        <w:t>regu regionów,</w:t>
      </w:r>
      <w:r w:rsidR="00A33B9F" w:rsidRPr="00A33B9F">
        <w:rPr>
          <w:rFonts w:ascii="Times New Roman" w:hAnsi="Times New Roman"/>
          <w:noProof/>
          <w:color w:val="000000" w:themeColor="text1"/>
          <w:sz w:val="24"/>
        </w:rPr>
        <w:t xml:space="preserve"> w tym</w:t>
      </w:r>
      <w:r w:rsidRPr="00A33B9F">
        <w:rPr>
          <w:rFonts w:ascii="Times New Roman" w:hAnsi="Times New Roman"/>
          <w:noProof/>
          <w:color w:val="000000" w:themeColor="text1"/>
          <w:sz w:val="24"/>
        </w:rPr>
        <w:t xml:space="preserve"> rozbudowa połączeń między północną</w:t>
      </w:r>
      <w:r w:rsidR="00A33B9F" w:rsidRPr="00A33B9F">
        <w:rPr>
          <w:rFonts w:ascii="Times New Roman" w:hAnsi="Times New Roman"/>
          <w:noProof/>
          <w:color w:val="000000" w:themeColor="text1"/>
          <w:sz w:val="24"/>
        </w:rPr>
        <w:t xml:space="preserve"> i poł</w:t>
      </w:r>
      <w:r w:rsidRPr="00A33B9F">
        <w:rPr>
          <w:rFonts w:ascii="Times New Roman" w:hAnsi="Times New Roman"/>
          <w:noProof/>
          <w:color w:val="000000" w:themeColor="text1"/>
          <w:sz w:val="24"/>
        </w:rPr>
        <w:t xml:space="preserve">udniową częścią kraju, </w:t>
      </w:r>
      <w:r w:rsidRPr="00A33B9F">
        <w:rPr>
          <w:rFonts w:ascii="Times New Roman" w:hAnsi="Times New Roman"/>
          <w:noProof/>
          <w:sz w:val="24"/>
        </w:rPr>
        <w:t>co ma ułatwić integrację odnawialnych źródeł energii</w:t>
      </w:r>
      <w:r w:rsidR="00A33B9F" w:rsidRPr="00A33B9F">
        <w:rPr>
          <w:rFonts w:ascii="Times New Roman" w:hAnsi="Times New Roman"/>
          <w:noProof/>
          <w:sz w:val="24"/>
        </w:rPr>
        <w:t xml:space="preserve"> z sys</w:t>
      </w:r>
      <w:r w:rsidRPr="00A33B9F">
        <w:rPr>
          <w:rFonts w:ascii="Times New Roman" w:hAnsi="Times New Roman"/>
          <w:noProof/>
          <w:sz w:val="24"/>
        </w:rPr>
        <w:t xml:space="preserve">temem elektroenergetycznym. </w:t>
      </w:r>
    </w:p>
    <w:p w14:paraId="190D16F0" w14:textId="2E0D1732" w:rsidR="005F7204" w:rsidRPr="00A33B9F" w:rsidRDefault="79AC0915" w:rsidP="005F7204">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color w:val="000000" w:themeColor="text1"/>
          <w:sz w:val="24"/>
        </w:rPr>
        <w:t>Inwestycja obejmuje rozbudowę linii przesyłowych 400 kV</w:t>
      </w:r>
      <w:r w:rsidR="00A33B9F" w:rsidRPr="00A33B9F">
        <w:rPr>
          <w:rFonts w:ascii="Times New Roman" w:hAnsi="Times New Roman"/>
          <w:noProof/>
          <w:sz w:val="24"/>
        </w:rPr>
        <w:t xml:space="preserve"> i 2</w:t>
      </w:r>
      <w:r w:rsidRPr="00A33B9F">
        <w:rPr>
          <w:rFonts w:ascii="Times New Roman" w:hAnsi="Times New Roman"/>
          <w:noProof/>
          <w:sz w:val="24"/>
        </w:rPr>
        <w:t>20 kV</w:t>
      </w:r>
      <w:r w:rsidRPr="00A33B9F">
        <w:rPr>
          <w:rFonts w:ascii="Times New Roman" w:hAnsi="Times New Roman"/>
          <w:noProof/>
          <w:color w:val="FF0000"/>
          <w:sz w:val="24"/>
        </w:rPr>
        <w:t xml:space="preserve"> </w:t>
      </w:r>
      <w:r w:rsidRPr="00A33B9F">
        <w:rPr>
          <w:rFonts w:ascii="Times New Roman" w:hAnsi="Times New Roman"/>
          <w:noProof/>
          <w:color w:val="000000" w:themeColor="text1"/>
          <w:sz w:val="24"/>
        </w:rPr>
        <w:t>wraz</w:t>
      </w:r>
      <w:r w:rsidR="00A33B9F" w:rsidRPr="00A33B9F">
        <w:rPr>
          <w:rFonts w:ascii="Times New Roman" w:hAnsi="Times New Roman"/>
          <w:noProof/>
          <w:color w:val="000000" w:themeColor="text1"/>
          <w:sz w:val="24"/>
        </w:rPr>
        <w:t xml:space="preserve"> z bud</w:t>
      </w:r>
      <w:r w:rsidRPr="00A33B9F">
        <w:rPr>
          <w:rFonts w:ascii="Times New Roman" w:hAnsi="Times New Roman"/>
          <w:noProof/>
          <w:color w:val="000000" w:themeColor="text1"/>
          <w:sz w:val="24"/>
        </w:rPr>
        <w:t>ową lub modernizacją odpowiednich stacji</w:t>
      </w:r>
      <w:r w:rsidR="00A33B9F" w:rsidRPr="00A33B9F">
        <w:rPr>
          <w:rFonts w:ascii="Times New Roman" w:hAnsi="Times New Roman"/>
          <w:noProof/>
          <w:color w:val="000000" w:themeColor="text1"/>
          <w:sz w:val="24"/>
        </w:rPr>
        <w:t>. W ram</w:t>
      </w:r>
      <w:r w:rsidRPr="00A33B9F">
        <w:rPr>
          <w:rFonts w:ascii="Times New Roman" w:hAnsi="Times New Roman"/>
          <w:noProof/>
          <w:color w:val="000000" w:themeColor="text1"/>
          <w:sz w:val="24"/>
        </w:rPr>
        <w:t>ach inwestycji wprowadza się nowy Centralny System Informacji Rynku Energii (CSIRE) wraz</w:t>
      </w:r>
      <w:r w:rsidR="00A33B9F" w:rsidRPr="00A33B9F">
        <w:rPr>
          <w:rFonts w:ascii="Times New Roman" w:hAnsi="Times New Roman"/>
          <w:noProof/>
          <w:color w:val="000000" w:themeColor="text1"/>
          <w:sz w:val="24"/>
        </w:rPr>
        <w:t xml:space="preserve"> z sys</w:t>
      </w:r>
      <w:r w:rsidRPr="00A33B9F">
        <w:rPr>
          <w:rFonts w:ascii="Times New Roman" w:hAnsi="Times New Roman"/>
          <w:noProof/>
          <w:color w:val="000000" w:themeColor="text1"/>
          <w:sz w:val="24"/>
        </w:rPr>
        <w:t>temem analizatora jakości energii dodatkowo wspierającym cyfryzację infrastruktury elektroenergetycznej. Wreszcie opracowane zostaną trzy</w:t>
      </w:r>
      <w:r w:rsidRPr="00A33B9F">
        <w:rPr>
          <w:rFonts w:ascii="Times New Roman" w:hAnsi="Times New Roman"/>
          <w:noProof/>
          <w:sz w:val="24"/>
        </w:rPr>
        <w:t xml:space="preserve"> nowe, zmodernizowane lub rozszerzone systemy technologii informacyjno-komunikacyjnych do przetwarzania danych</w:t>
      </w:r>
      <w:r w:rsidR="00A33B9F" w:rsidRPr="00A33B9F">
        <w:rPr>
          <w:rFonts w:ascii="Times New Roman" w:hAnsi="Times New Roman"/>
          <w:noProof/>
          <w:sz w:val="24"/>
        </w:rPr>
        <w:t xml:space="preserve"> i zar</w:t>
      </w:r>
      <w:r w:rsidRPr="00A33B9F">
        <w:rPr>
          <w:rFonts w:ascii="Times New Roman" w:hAnsi="Times New Roman"/>
          <w:noProof/>
          <w:sz w:val="24"/>
        </w:rPr>
        <w:t>ządzania systemami, wspierające operacje sieci przesyłowych</w:t>
      </w:r>
      <w:r w:rsidR="00A33B9F" w:rsidRPr="00A33B9F">
        <w:rPr>
          <w:rFonts w:ascii="Times New Roman" w:hAnsi="Times New Roman"/>
          <w:noProof/>
          <w:sz w:val="24"/>
        </w:rPr>
        <w:t xml:space="preserve"> i cen</w:t>
      </w:r>
      <w:r w:rsidRPr="00A33B9F">
        <w:rPr>
          <w:rFonts w:ascii="Times New Roman" w:hAnsi="Times New Roman"/>
          <w:noProof/>
          <w:sz w:val="24"/>
        </w:rPr>
        <w:t xml:space="preserve">trów danych. </w:t>
      </w:r>
    </w:p>
    <w:p w14:paraId="2635C729" w14:textId="33408823" w:rsidR="005F7204" w:rsidRPr="00A33B9F" w:rsidRDefault="005F7204" w:rsidP="005F720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Realizacja inwestycji zostanie zakończona do dnia 30 czerwca 2026</w:t>
      </w:r>
      <w:r w:rsidR="00A33B9F" w:rsidRPr="00A33B9F">
        <w:rPr>
          <w:rFonts w:ascii="Times New Roman" w:hAnsi="Times New Roman"/>
          <w:noProof/>
          <w:sz w:val="24"/>
        </w:rPr>
        <w:t> </w:t>
      </w:r>
      <w:r w:rsidRPr="00A33B9F">
        <w:rPr>
          <w:rFonts w:ascii="Times New Roman" w:hAnsi="Times New Roman"/>
          <w:noProof/>
          <w:sz w:val="24"/>
        </w:rPr>
        <w:t>r.</w:t>
      </w:r>
    </w:p>
    <w:p w14:paraId="78263ECA" w14:textId="77777777" w:rsidR="005F7204" w:rsidRPr="00A33B9F" w:rsidRDefault="005F7204" w:rsidP="005F7204">
      <w:pPr>
        <w:spacing w:before="120" w:after="120" w:line="240" w:lineRule="auto"/>
        <w:jc w:val="both"/>
        <w:rPr>
          <w:rFonts w:ascii="Times New Roman" w:hAnsi="Times New Roman" w:cs="Times New Roman"/>
          <w:noProof/>
          <w:sz w:val="24"/>
        </w:rPr>
      </w:pPr>
    </w:p>
    <w:p w14:paraId="6E43D5D9" w14:textId="0C183CD4" w:rsidR="005F7204" w:rsidRPr="00A33B9F" w:rsidRDefault="005F7204" w:rsidP="005F7204">
      <w:pPr>
        <w:keepNext/>
        <w:spacing w:before="120" w:after="120" w:line="240" w:lineRule="auto"/>
        <w:jc w:val="both"/>
        <w:rPr>
          <w:rFonts w:ascii="Times New Roman" w:hAnsi="Times New Roman" w:cs="Times New Roman"/>
          <w:b/>
          <w:noProof/>
          <w:sz w:val="24"/>
          <w:szCs w:val="24"/>
          <w:u w:val="single"/>
        </w:rPr>
      </w:pPr>
      <w:r w:rsidRPr="00A33B9F">
        <w:rPr>
          <w:rFonts w:ascii="Times New Roman" w:hAnsi="Times New Roman"/>
          <w:b/>
          <w:noProof/>
          <w:sz w:val="24"/>
          <w:u w:val="single"/>
        </w:rPr>
        <w:t>G1.2.4 Budowa lub modernizacja sieci dystrybucyjnych energii elektrycznej na obszarach wiejskich</w:t>
      </w:r>
      <w:r w:rsidR="00A33B9F" w:rsidRPr="00A33B9F">
        <w:rPr>
          <w:rFonts w:ascii="Times New Roman" w:hAnsi="Times New Roman"/>
          <w:b/>
          <w:noProof/>
          <w:sz w:val="24"/>
          <w:u w:val="single"/>
        </w:rPr>
        <w:t xml:space="preserve"> w cel</w:t>
      </w:r>
      <w:r w:rsidRPr="00A33B9F">
        <w:rPr>
          <w:rFonts w:ascii="Times New Roman" w:hAnsi="Times New Roman"/>
          <w:b/>
          <w:noProof/>
          <w:sz w:val="24"/>
          <w:u w:val="single"/>
        </w:rPr>
        <w:t>u umożliwienia przyłączenia nowych odnawialnych źródeł energii</w:t>
      </w:r>
    </w:p>
    <w:p w14:paraId="4CF5CEBE" w14:textId="0B0E3F2E" w:rsidR="005F7204" w:rsidRPr="00A33B9F" w:rsidRDefault="005F7204" w:rsidP="005F7204">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 xml:space="preserve">Celem tej inwestycji jest wsparcie </w:t>
      </w:r>
      <w:r w:rsidRPr="00A33B9F">
        <w:rPr>
          <w:rFonts w:ascii="Times New Roman" w:hAnsi="Times New Roman"/>
          <w:noProof/>
          <w:color w:val="000000" w:themeColor="text1"/>
          <w:sz w:val="24"/>
        </w:rPr>
        <w:t>budowy, modernizacji</w:t>
      </w:r>
      <w:r w:rsidR="00A33B9F" w:rsidRPr="00A33B9F">
        <w:rPr>
          <w:rFonts w:ascii="Times New Roman" w:hAnsi="Times New Roman"/>
          <w:noProof/>
          <w:color w:val="000000" w:themeColor="text1"/>
          <w:sz w:val="24"/>
        </w:rPr>
        <w:t xml:space="preserve"> i cyf</w:t>
      </w:r>
      <w:r w:rsidRPr="00A33B9F">
        <w:rPr>
          <w:rFonts w:ascii="Times New Roman" w:hAnsi="Times New Roman"/>
          <w:noProof/>
          <w:color w:val="000000" w:themeColor="text1"/>
          <w:sz w:val="24"/>
        </w:rPr>
        <w:t>ryzacji sieci dystrybucyjnych energii elektrycznej na obszarach wiejskich</w:t>
      </w:r>
      <w:r w:rsidR="00A33B9F" w:rsidRPr="00A33B9F">
        <w:rPr>
          <w:rFonts w:ascii="Times New Roman" w:hAnsi="Times New Roman"/>
          <w:noProof/>
          <w:sz w:val="24"/>
        </w:rPr>
        <w:t xml:space="preserve"> w cel</w:t>
      </w:r>
      <w:r w:rsidRPr="00A33B9F">
        <w:rPr>
          <w:rFonts w:ascii="Times New Roman" w:hAnsi="Times New Roman"/>
          <w:noProof/>
          <w:sz w:val="24"/>
        </w:rPr>
        <w:t>u umożliwienia przyłączenia nowych odnawialnych źródeł energii na tych obszarach.</w:t>
      </w:r>
    </w:p>
    <w:p w14:paraId="792679C5" w14:textId="62AF0CFB" w:rsidR="4915CAC2" w:rsidRPr="00A33B9F" w:rsidRDefault="4915CAC2" w:rsidP="1DB7057A">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Inwestycja obejmuje budowę lub modernizację 880 km sieci dystrybucyjnych,</w:t>
      </w:r>
      <w:r w:rsidR="00A33B9F" w:rsidRPr="00A33B9F">
        <w:rPr>
          <w:rFonts w:ascii="Times New Roman" w:hAnsi="Times New Roman"/>
          <w:noProof/>
          <w:sz w:val="24"/>
        </w:rPr>
        <w:t xml:space="preserve"> w tym</w:t>
      </w:r>
      <w:r w:rsidRPr="00A33B9F">
        <w:rPr>
          <w:rFonts w:ascii="Times New Roman" w:hAnsi="Times New Roman"/>
          <w:noProof/>
          <w:sz w:val="24"/>
        </w:rPr>
        <w:t xml:space="preserve"> niezbędnych stacji, oraz integrację funkcji inteligentnych sieci. Władze polskie</w:t>
      </w:r>
      <w:r w:rsidR="00A33B9F" w:rsidRPr="00A33B9F">
        <w:rPr>
          <w:rFonts w:ascii="Times New Roman" w:hAnsi="Times New Roman"/>
          <w:noProof/>
          <w:sz w:val="24"/>
        </w:rPr>
        <w:t xml:space="preserve"> w pie</w:t>
      </w:r>
      <w:r w:rsidRPr="00A33B9F">
        <w:rPr>
          <w:rFonts w:ascii="Times New Roman" w:hAnsi="Times New Roman"/>
          <w:noProof/>
          <w:sz w:val="24"/>
        </w:rPr>
        <w:t>rwszej kolejności określą projekty dotyczące wybudowanych lub zmodernizowanych sieci.</w:t>
      </w:r>
    </w:p>
    <w:p w14:paraId="0D09312F" w14:textId="78778EDA" w:rsidR="005F7204" w:rsidRPr="00A33B9F" w:rsidRDefault="005F7204" w:rsidP="005F7204">
      <w:pPr>
        <w:spacing w:before="120" w:after="120" w:line="240" w:lineRule="auto"/>
        <w:jc w:val="both"/>
        <w:rPr>
          <w:rFonts w:ascii="Times New Roman" w:hAnsi="Times New Roman" w:cs="Times New Roman"/>
          <w:noProof/>
          <w:sz w:val="24"/>
        </w:rPr>
      </w:pPr>
      <w:r w:rsidRPr="00A33B9F">
        <w:rPr>
          <w:rFonts w:ascii="Times New Roman" w:hAnsi="Times New Roman"/>
          <w:noProof/>
          <w:sz w:val="24"/>
        </w:rPr>
        <w:t>Wdrażanie tego działania zostanie zakończone do dnia 30 czerwca 2026</w:t>
      </w:r>
      <w:r w:rsidR="00A33B9F" w:rsidRPr="00A33B9F">
        <w:rPr>
          <w:rFonts w:ascii="Times New Roman" w:hAnsi="Times New Roman"/>
          <w:noProof/>
          <w:sz w:val="24"/>
        </w:rPr>
        <w:t> </w:t>
      </w:r>
      <w:r w:rsidRPr="00A33B9F">
        <w:rPr>
          <w:rFonts w:ascii="Times New Roman" w:hAnsi="Times New Roman"/>
          <w:noProof/>
          <w:sz w:val="24"/>
        </w:rPr>
        <w:t>r.</w:t>
      </w:r>
    </w:p>
    <w:p w14:paraId="04ED9D92" w14:textId="77777777" w:rsidR="005F7204" w:rsidRPr="00A33B9F" w:rsidRDefault="005F7204" w:rsidP="00394D5B">
      <w:pPr>
        <w:spacing w:before="120" w:after="120" w:line="257" w:lineRule="auto"/>
        <w:jc w:val="both"/>
        <w:rPr>
          <w:rFonts w:ascii="Times New Roman" w:hAnsi="Times New Roman" w:cs="Times New Roman"/>
          <w:noProof/>
          <w:sz w:val="24"/>
          <w:szCs w:val="24"/>
        </w:rPr>
      </w:pPr>
    </w:p>
    <w:p w14:paraId="62846599" w14:textId="2B51080D" w:rsidR="002D06A9" w:rsidRPr="00A33B9F" w:rsidRDefault="002D06A9" w:rsidP="00E81E3B">
      <w:pPr>
        <w:pStyle w:val="Text1"/>
        <w:ind w:left="0"/>
        <w:rPr>
          <w:b/>
          <w:noProof/>
        </w:rPr>
      </w:pPr>
      <w:r w:rsidRPr="00A33B9F">
        <w:rPr>
          <w:b/>
          <w:noProof/>
        </w:rPr>
        <w:t>Podkomponent G1.3 – Rozwój zrównoważonego transportu</w:t>
      </w:r>
    </w:p>
    <w:p w14:paraId="0C3A7A86" w14:textId="1BAA7DBC" w:rsidR="002D06A9" w:rsidRPr="00A33B9F" w:rsidRDefault="002D06A9" w:rsidP="002D06A9">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tego podkomponentu jest wspieranie zrównoważonego transportu</w:t>
      </w:r>
      <w:r w:rsidR="00A33B9F" w:rsidRPr="00A33B9F">
        <w:rPr>
          <w:rFonts w:ascii="Times New Roman" w:hAnsi="Times New Roman"/>
          <w:noProof/>
          <w:sz w:val="24"/>
        </w:rPr>
        <w:t xml:space="preserve"> w cel</w:t>
      </w:r>
      <w:r w:rsidRPr="00A33B9F">
        <w:rPr>
          <w:rFonts w:ascii="Times New Roman" w:hAnsi="Times New Roman"/>
          <w:noProof/>
          <w:sz w:val="24"/>
        </w:rPr>
        <w:t>u</w:t>
      </w:r>
      <w:r w:rsidRPr="00A33B9F">
        <w:rPr>
          <w:noProof/>
        </w:rPr>
        <w:t xml:space="preserve"> </w:t>
      </w:r>
      <w:r w:rsidRPr="00A33B9F">
        <w:rPr>
          <w:rFonts w:ascii="Times New Roman" w:hAnsi="Times New Roman"/>
          <w:noProof/>
          <w:sz w:val="24"/>
        </w:rPr>
        <w:t>redukcji emisji gazów cieplarnianych</w:t>
      </w:r>
      <w:r w:rsidR="00A33B9F" w:rsidRPr="00A33B9F">
        <w:rPr>
          <w:rFonts w:ascii="Times New Roman" w:hAnsi="Times New Roman"/>
          <w:noProof/>
          <w:sz w:val="24"/>
        </w:rPr>
        <w:t xml:space="preserve"> i zan</w:t>
      </w:r>
      <w:r w:rsidRPr="00A33B9F">
        <w:rPr>
          <w:rFonts w:ascii="Times New Roman" w:hAnsi="Times New Roman"/>
          <w:noProof/>
          <w:sz w:val="24"/>
        </w:rPr>
        <w:t>ieczyszczenia powietrza</w:t>
      </w:r>
      <w:r w:rsidR="00A33B9F" w:rsidRPr="00A33B9F">
        <w:rPr>
          <w:rFonts w:ascii="Times New Roman" w:hAnsi="Times New Roman"/>
          <w:noProof/>
          <w:sz w:val="24"/>
        </w:rPr>
        <w:t xml:space="preserve"> w Pol</w:t>
      </w:r>
      <w:r w:rsidRPr="00A33B9F">
        <w:rPr>
          <w:rFonts w:ascii="Times New Roman" w:hAnsi="Times New Roman"/>
          <w:noProof/>
          <w:sz w:val="24"/>
        </w:rPr>
        <w:t>sce. Podkomponent ten obejmuje</w:t>
      </w:r>
      <w:r w:rsidR="00A33B9F" w:rsidRPr="00A33B9F">
        <w:rPr>
          <w:rFonts w:ascii="Times New Roman" w:hAnsi="Times New Roman"/>
          <w:noProof/>
          <w:sz w:val="24"/>
        </w:rPr>
        <w:t xml:space="preserve"> w szc</w:t>
      </w:r>
      <w:r w:rsidRPr="00A33B9F">
        <w:rPr>
          <w:rFonts w:ascii="Times New Roman" w:hAnsi="Times New Roman"/>
          <w:noProof/>
          <w:sz w:val="24"/>
        </w:rPr>
        <w:t>zególności działania dotyczące zakupu nowych autobusów elektrycznych,</w:t>
      </w:r>
      <w:r w:rsidR="00A33B9F" w:rsidRPr="00A33B9F">
        <w:rPr>
          <w:rFonts w:ascii="Times New Roman" w:hAnsi="Times New Roman"/>
          <w:noProof/>
          <w:sz w:val="24"/>
        </w:rPr>
        <w:t xml:space="preserve"> a tak</w:t>
      </w:r>
      <w:r w:rsidRPr="00A33B9F">
        <w:rPr>
          <w:rFonts w:ascii="Times New Roman" w:hAnsi="Times New Roman"/>
          <w:noProof/>
          <w:sz w:val="24"/>
        </w:rPr>
        <w:t>że plan działania na rzecz zrównoważonej transformacji sektora transportu.</w:t>
      </w:r>
    </w:p>
    <w:p w14:paraId="3A7B1549" w14:textId="77777777" w:rsidR="002D06A9" w:rsidRPr="00A33B9F" w:rsidRDefault="002D06A9" w:rsidP="002D06A9">
      <w:pPr>
        <w:spacing w:before="120" w:after="120" w:line="240" w:lineRule="auto"/>
        <w:jc w:val="both"/>
        <w:rPr>
          <w:rFonts w:ascii="Times New Roman" w:hAnsi="Times New Roman" w:cs="Times New Roman"/>
          <w:noProof/>
          <w:sz w:val="24"/>
        </w:rPr>
      </w:pPr>
    </w:p>
    <w:p w14:paraId="1EEC6A9D" w14:textId="7E46A23B" w:rsidR="002D06A9" w:rsidRPr="00A33B9F" w:rsidRDefault="002D06A9" w:rsidP="002D06A9">
      <w:pPr>
        <w:spacing w:before="120" w:after="120" w:line="240" w:lineRule="auto"/>
        <w:jc w:val="both"/>
        <w:rPr>
          <w:rFonts w:ascii="Times New Roman" w:hAnsi="Times New Roman" w:cs="Times New Roman"/>
          <w:b/>
          <w:noProof/>
          <w:sz w:val="24"/>
          <w:szCs w:val="24"/>
          <w:u w:val="single"/>
        </w:rPr>
      </w:pPr>
      <w:r w:rsidRPr="00A33B9F">
        <w:rPr>
          <w:rFonts w:ascii="Times New Roman" w:hAnsi="Times New Roman"/>
          <w:b/>
          <w:noProof/>
          <w:sz w:val="24"/>
          <w:u w:val="single"/>
        </w:rPr>
        <w:t>G1.3.1 Wspieranie zrównoważonego transportu</w:t>
      </w:r>
    </w:p>
    <w:p w14:paraId="6EC2BB62" w14:textId="33C75A9C" w:rsidR="002D06A9" w:rsidRPr="00A33B9F" w:rsidRDefault="002D06A9" w:rsidP="002D06A9">
      <w:pPr>
        <w:spacing w:before="120" w:after="120" w:line="240" w:lineRule="auto"/>
        <w:jc w:val="both"/>
        <w:rPr>
          <w:rFonts w:ascii="Times New Roman" w:hAnsi="Times New Roman" w:cs="Times New Roman"/>
          <w:noProof/>
          <w:sz w:val="24"/>
        </w:rPr>
      </w:pPr>
      <w:r w:rsidRPr="00A33B9F">
        <w:rPr>
          <w:rFonts w:ascii="Times New Roman" w:hAnsi="Times New Roman"/>
          <w:noProof/>
          <w:sz w:val="24"/>
        </w:rPr>
        <w:t>Celem reformy jest przyczynienie się do redukcji emisji gazów cieplarnianych</w:t>
      </w:r>
      <w:r w:rsidR="00A33B9F" w:rsidRPr="00A33B9F">
        <w:rPr>
          <w:rFonts w:ascii="Times New Roman" w:hAnsi="Times New Roman"/>
          <w:noProof/>
          <w:sz w:val="24"/>
        </w:rPr>
        <w:t xml:space="preserve"> i zan</w:t>
      </w:r>
      <w:r w:rsidRPr="00A33B9F">
        <w:rPr>
          <w:rFonts w:ascii="Times New Roman" w:hAnsi="Times New Roman"/>
          <w:noProof/>
          <w:sz w:val="24"/>
        </w:rPr>
        <w:t>ieczyszczeń powietrza pochodzących</w:t>
      </w:r>
      <w:r w:rsidR="00A33B9F" w:rsidRPr="00A33B9F">
        <w:rPr>
          <w:rFonts w:ascii="Times New Roman" w:hAnsi="Times New Roman"/>
          <w:noProof/>
          <w:sz w:val="24"/>
        </w:rPr>
        <w:t xml:space="preserve"> z tra</w:t>
      </w:r>
      <w:r w:rsidRPr="00A33B9F">
        <w:rPr>
          <w:rFonts w:ascii="Times New Roman" w:hAnsi="Times New Roman"/>
          <w:noProof/>
          <w:sz w:val="24"/>
        </w:rPr>
        <w:t>nsportu.</w:t>
      </w:r>
      <w:r w:rsidR="00C3621A" w:rsidRPr="00A33B9F">
        <w:rPr>
          <w:rFonts w:ascii="Times New Roman" w:hAnsi="Times New Roman"/>
          <w:noProof/>
          <w:sz w:val="24"/>
        </w:rPr>
        <w:t xml:space="preserve"> </w:t>
      </w:r>
    </w:p>
    <w:p w14:paraId="3F9BA134" w14:textId="52E1D4A5" w:rsidR="002D06A9" w:rsidRPr="00A33B9F" w:rsidRDefault="002D06A9" w:rsidP="002D06A9">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 ten zostanie osiągnięty dzięki opracowaniu planu działania na rzecz zrównoważonego transportu</w:t>
      </w:r>
      <w:r w:rsidR="00A33B9F" w:rsidRPr="00A33B9F">
        <w:rPr>
          <w:rFonts w:ascii="Times New Roman" w:hAnsi="Times New Roman"/>
          <w:noProof/>
          <w:sz w:val="24"/>
        </w:rPr>
        <w:t xml:space="preserve"> w Pol</w:t>
      </w:r>
      <w:r w:rsidRPr="00A33B9F">
        <w:rPr>
          <w:rFonts w:ascii="Times New Roman" w:hAnsi="Times New Roman"/>
          <w:noProof/>
          <w:sz w:val="24"/>
        </w:rPr>
        <w:t>sce, któremu towarzyszyć będzie analiza działań, które zostały już ujęte</w:t>
      </w:r>
      <w:r w:rsidR="00A33B9F" w:rsidRPr="00A33B9F">
        <w:rPr>
          <w:rFonts w:ascii="Times New Roman" w:hAnsi="Times New Roman"/>
          <w:noProof/>
          <w:sz w:val="24"/>
        </w:rPr>
        <w:t xml:space="preserve"> w ist</w:t>
      </w:r>
      <w:r w:rsidRPr="00A33B9F">
        <w:rPr>
          <w:rFonts w:ascii="Times New Roman" w:hAnsi="Times New Roman"/>
          <w:noProof/>
          <w:sz w:val="24"/>
        </w:rPr>
        <w:t>niejących dokumentach strategicznych na szczeblu krajowym</w:t>
      </w:r>
      <w:r w:rsidR="00A33B9F" w:rsidRPr="00A33B9F">
        <w:rPr>
          <w:rFonts w:ascii="Times New Roman" w:hAnsi="Times New Roman"/>
          <w:noProof/>
          <w:sz w:val="24"/>
        </w:rPr>
        <w:t>. W pla</w:t>
      </w:r>
      <w:r w:rsidRPr="00A33B9F">
        <w:rPr>
          <w:rFonts w:ascii="Times New Roman" w:hAnsi="Times New Roman"/>
          <w:noProof/>
          <w:sz w:val="24"/>
        </w:rPr>
        <w:t>nie działania zostaną określone priorytetowe reformy</w:t>
      </w:r>
      <w:r w:rsidR="00A33B9F" w:rsidRPr="00A33B9F">
        <w:rPr>
          <w:rFonts w:ascii="Times New Roman" w:hAnsi="Times New Roman"/>
          <w:noProof/>
          <w:sz w:val="24"/>
        </w:rPr>
        <w:t xml:space="preserve"> i inw</w:t>
      </w:r>
      <w:r w:rsidRPr="00A33B9F">
        <w:rPr>
          <w:rFonts w:ascii="Times New Roman" w:hAnsi="Times New Roman"/>
          <w:noProof/>
          <w:sz w:val="24"/>
        </w:rPr>
        <w:t>estycje niezbędne do zrównoważonej transformacji polskiego sektora transportu zgodnie</w:t>
      </w:r>
      <w:r w:rsidR="00A33B9F" w:rsidRPr="00A33B9F">
        <w:rPr>
          <w:rFonts w:ascii="Times New Roman" w:hAnsi="Times New Roman"/>
          <w:noProof/>
          <w:sz w:val="24"/>
        </w:rPr>
        <w:t xml:space="preserve"> z cel</w:t>
      </w:r>
      <w:r w:rsidRPr="00A33B9F">
        <w:rPr>
          <w:rFonts w:ascii="Times New Roman" w:hAnsi="Times New Roman"/>
          <w:noProof/>
          <w:sz w:val="24"/>
        </w:rPr>
        <w:t xml:space="preserve">ami klimatycznymi UE. </w:t>
      </w:r>
    </w:p>
    <w:p w14:paraId="50841272" w14:textId="0D5F5CAA" w:rsidR="002D06A9" w:rsidRPr="00A33B9F" w:rsidRDefault="002D06A9" w:rsidP="002D06A9">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Realizacja reformy zostanie zakończona do dnia 30 września 2025</w:t>
      </w:r>
      <w:r w:rsidR="00A33B9F" w:rsidRPr="00A33B9F">
        <w:rPr>
          <w:rFonts w:ascii="Times New Roman" w:hAnsi="Times New Roman"/>
          <w:noProof/>
          <w:sz w:val="24"/>
        </w:rPr>
        <w:t> </w:t>
      </w:r>
      <w:r w:rsidRPr="00A33B9F">
        <w:rPr>
          <w:rFonts w:ascii="Times New Roman" w:hAnsi="Times New Roman"/>
          <w:noProof/>
          <w:sz w:val="24"/>
        </w:rPr>
        <w:t>r.</w:t>
      </w:r>
    </w:p>
    <w:p w14:paraId="0BE2B602" w14:textId="05B0354C" w:rsidR="002D06A9" w:rsidRPr="00A33B9F" w:rsidRDefault="002D06A9" w:rsidP="00AD0FC1">
      <w:pPr>
        <w:keepNext/>
        <w:pageBreakBefore/>
        <w:spacing w:before="120" w:after="120" w:line="240" w:lineRule="auto"/>
        <w:jc w:val="both"/>
        <w:rPr>
          <w:rFonts w:ascii="Times New Roman" w:hAnsi="Times New Roman" w:cs="Times New Roman"/>
          <w:b/>
          <w:bCs/>
          <w:noProof/>
          <w:sz w:val="24"/>
          <w:szCs w:val="24"/>
          <w:u w:val="single"/>
        </w:rPr>
      </w:pPr>
      <w:r w:rsidRPr="00A33B9F">
        <w:rPr>
          <w:rFonts w:ascii="Times New Roman" w:hAnsi="Times New Roman"/>
          <w:b/>
          <w:noProof/>
          <w:sz w:val="24"/>
          <w:u w:val="single"/>
        </w:rPr>
        <w:t>G1.3.2 Zeroemisyjny transport zbiorowy (autobusy)</w:t>
      </w:r>
    </w:p>
    <w:p w14:paraId="136D12F7" w14:textId="30ABE16E" w:rsidR="002D06A9" w:rsidRPr="00A33B9F" w:rsidRDefault="002D06A9" w:rsidP="002D06A9">
      <w:pPr>
        <w:spacing w:before="120" w:after="120" w:line="240" w:lineRule="auto"/>
        <w:jc w:val="both"/>
        <w:rPr>
          <w:rFonts w:ascii="Times New Roman" w:hAnsi="Times New Roman" w:cs="Times New Roman"/>
          <w:noProof/>
          <w:sz w:val="24"/>
        </w:rPr>
      </w:pPr>
      <w:r w:rsidRPr="00A33B9F">
        <w:rPr>
          <w:rFonts w:ascii="Times New Roman" w:hAnsi="Times New Roman"/>
          <w:noProof/>
          <w:sz w:val="24"/>
        </w:rPr>
        <w:t>Celem inwestycji jest doprowadzenie do tego, by transport publiczny był bardziej ekologiczny, oraz zwiększenie jego atrakcyjności na obszarach miejskich.</w:t>
      </w:r>
    </w:p>
    <w:p w14:paraId="5A7D55F6" w14:textId="77777777" w:rsidR="002D06A9" w:rsidRPr="00A33B9F" w:rsidDel="006229E5" w:rsidRDefault="002D06A9" w:rsidP="002D06A9">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Inwestycja obejmuje zakup 1 159 autobusów bezemisyjnych (elektrycznych) na potrzeby transportu publicznego.</w:t>
      </w:r>
    </w:p>
    <w:p w14:paraId="15579C1B" w14:textId="2F4D6EDF" w:rsidR="002D06A9" w:rsidRPr="00A33B9F" w:rsidRDefault="002D06A9" w:rsidP="002D06A9">
      <w:pPr>
        <w:spacing w:before="120" w:after="120" w:line="240" w:lineRule="auto"/>
        <w:jc w:val="both"/>
        <w:rPr>
          <w:rFonts w:ascii="Times New Roman" w:hAnsi="Times New Roman" w:cs="Times New Roman"/>
          <w:noProof/>
          <w:sz w:val="24"/>
        </w:rPr>
      </w:pPr>
      <w:r w:rsidRPr="00A33B9F">
        <w:rPr>
          <w:rFonts w:ascii="Times New Roman" w:hAnsi="Times New Roman"/>
          <w:noProof/>
          <w:sz w:val="24"/>
        </w:rPr>
        <w:t>Realizacja inwestycji zostanie zakończona do dnia 30 czerwca 2026</w:t>
      </w:r>
      <w:r w:rsidR="00A33B9F" w:rsidRPr="00A33B9F">
        <w:rPr>
          <w:rFonts w:ascii="Times New Roman" w:hAnsi="Times New Roman"/>
          <w:noProof/>
          <w:sz w:val="24"/>
        </w:rPr>
        <w:t> </w:t>
      </w:r>
      <w:r w:rsidRPr="00A33B9F">
        <w:rPr>
          <w:rFonts w:ascii="Times New Roman" w:hAnsi="Times New Roman"/>
          <w:noProof/>
          <w:sz w:val="24"/>
        </w:rPr>
        <w:t>r.</w:t>
      </w:r>
    </w:p>
    <w:p w14:paraId="3079372C" w14:textId="77777777" w:rsidR="0075062A" w:rsidRPr="00A33B9F" w:rsidRDefault="0075062A" w:rsidP="002D06A9">
      <w:pPr>
        <w:spacing w:before="120" w:after="120" w:line="240" w:lineRule="auto"/>
        <w:jc w:val="both"/>
        <w:rPr>
          <w:rFonts w:ascii="Times New Roman" w:hAnsi="Times New Roman" w:cs="Times New Roman"/>
          <w:noProof/>
          <w:sz w:val="24"/>
          <w:szCs w:val="24"/>
        </w:rPr>
      </w:pPr>
    </w:p>
    <w:p w14:paraId="62D654B5" w14:textId="77777777" w:rsidR="0075062A" w:rsidRPr="00A33B9F" w:rsidRDefault="0075062A" w:rsidP="002D06A9">
      <w:pPr>
        <w:spacing w:before="120" w:after="120" w:line="240" w:lineRule="auto"/>
        <w:jc w:val="both"/>
        <w:rPr>
          <w:rFonts w:ascii="Times New Roman" w:hAnsi="Times New Roman" w:cs="Times New Roman"/>
          <w:noProof/>
          <w:sz w:val="24"/>
          <w:szCs w:val="24"/>
        </w:rPr>
      </w:pPr>
    </w:p>
    <w:p w14:paraId="7D12CB39" w14:textId="34272432" w:rsidR="0075062A" w:rsidRPr="00A33B9F" w:rsidRDefault="0075062A">
      <w:pPr>
        <w:rPr>
          <w:rFonts w:ascii="Times New Roman" w:hAnsi="Times New Roman" w:cs="Times New Roman"/>
          <w:noProof/>
          <w:sz w:val="24"/>
          <w:szCs w:val="24"/>
        </w:rPr>
      </w:pPr>
      <w:r w:rsidRPr="00A33B9F">
        <w:rPr>
          <w:noProof/>
        </w:rPr>
        <w:br w:type="page"/>
      </w:r>
    </w:p>
    <w:p w14:paraId="310557A6" w14:textId="5FE3599C" w:rsidR="001E5F7F" w:rsidRPr="00A33B9F" w:rsidRDefault="001E5F7F" w:rsidP="0000278E">
      <w:pPr>
        <w:pStyle w:val="Heading1"/>
        <w:spacing w:before="120"/>
        <w:ind w:left="0" w:firstLine="0"/>
        <w:rPr>
          <w:noProof/>
        </w:rPr>
        <w:sectPr w:rsidR="001E5F7F" w:rsidRPr="00A33B9F" w:rsidSect="0075062A">
          <w:headerReference w:type="even" r:id="rId163"/>
          <w:headerReference w:type="default" r:id="rId164"/>
          <w:footerReference w:type="even" r:id="rId165"/>
          <w:footerReference w:type="default" r:id="rId166"/>
          <w:headerReference w:type="first" r:id="rId167"/>
          <w:footerReference w:type="first" r:id="rId168"/>
          <w:pgSz w:w="11907" w:h="16839"/>
          <w:pgMar w:top="720" w:right="1417" w:bottom="720" w:left="1418" w:header="709" w:footer="709" w:gutter="0"/>
          <w:cols w:space="720"/>
          <w:docGrid w:linePitch="299"/>
        </w:sectPr>
      </w:pPr>
    </w:p>
    <w:p w14:paraId="1081DF1E" w14:textId="648FE55F" w:rsidR="00797458" w:rsidRPr="00A33B9F" w:rsidRDefault="00797458" w:rsidP="00D64D4B">
      <w:pPr>
        <w:pStyle w:val="Text1"/>
        <w:ind w:left="0"/>
        <w:rPr>
          <w:b/>
          <w:smallCaps/>
          <w:noProof/>
        </w:rPr>
      </w:pPr>
      <w:r w:rsidRPr="00A33B9F">
        <w:rPr>
          <w:b/>
          <w:noProof/>
        </w:rPr>
        <w:t xml:space="preserve">G2. </w:t>
      </w:r>
      <w:r w:rsidRPr="00A33B9F">
        <w:rPr>
          <w:noProof/>
        </w:rPr>
        <w:tab/>
      </w:r>
      <w:r w:rsidRPr="00A33B9F">
        <w:rPr>
          <w:b/>
          <w:noProof/>
        </w:rPr>
        <w:t>Kamienie milowe, wartości docelowe, wskaźniki</w:t>
      </w:r>
      <w:r w:rsidR="00A33B9F" w:rsidRPr="00A33B9F">
        <w:rPr>
          <w:b/>
          <w:noProof/>
        </w:rPr>
        <w:t xml:space="preserve"> i har</w:t>
      </w:r>
      <w:r w:rsidRPr="00A33B9F">
        <w:rPr>
          <w:b/>
          <w:noProof/>
        </w:rPr>
        <w:t>monogram monitorowania</w:t>
      </w:r>
      <w:r w:rsidR="00A33B9F" w:rsidRPr="00A33B9F">
        <w:rPr>
          <w:b/>
          <w:noProof/>
        </w:rPr>
        <w:t xml:space="preserve"> i rea</w:t>
      </w:r>
      <w:r w:rsidRPr="00A33B9F">
        <w:rPr>
          <w:b/>
          <w:noProof/>
        </w:rPr>
        <w:t>lizacji na potrzeby bezzwrotnego wsparcia finansowego</w:t>
      </w:r>
    </w:p>
    <w:p w14:paraId="61592A82" w14:textId="77777777" w:rsidR="00797458" w:rsidRPr="00A33B9F" w:rsidRDefault="00797458" w:rsidP="00797458">
      <w:pPr>
        <w:spacing w:before="120" w:after="120" w:line="240" w:lineRule="auto"/>
        <w:rPr>
          <w:noProof/>
        </w:rPr>
      </w:pPr>
    </w:p>
    <w:p w14:paraId="2E30936F" w14:textId="3F93F1D2" w:rsidR="00A72A44" w:rsidRPr="00A33B9F" w:rsidRDefault="00A72A44" w:rsidP="00D404ED">
      <w:pPr>
        <w:pStyle w:val="Text1"/>
        <w:ind w:left="0"/>
        <w:rPr>
          <w:b/>
          <w:noProof/>
        </w:rPr>
      </w:pPr>
      <w:r w:rsidRPr="00A33B9F">
        <w:rPr>
          <w:b/>
          <w:noProof/>
        </w:rPr>
        <w:t>Podkomponent G1.1 – Stymulacja inwestycji</w:t>
      </w:r>
      <w:r w:rsidR="00A33B9F" w:rsidRPr="00A33B9F">
        <w:rPr>
          <w:b/>
          <w:noProof/>
        </w:rPr>
        <w:t xml:space="preserve"> w odn</w:t>
      </w:r>
      <w:r w:rsidRPr="00A33B9F">
        <w:rPr>
          <w:b/>
          <w:noProof/>
        </w:rPr>
        <w:t xml:space="preserve">awialne źródła energii </w:t>
      </w:r>
    </w:p>
    <w:p w14:paraId="2D6C5469" w14:textId="77777777" w:rsidR="00D54324" w:rsidRPr="00A33B9F" w:rsidRDefault="00D54324" w:rsidP="002D3EDD">
      <w:pPr>
        <w:rPr>
          <w:noProof/>
        </w:rPr>
      </w:pPr>
    </w:p>
    <w:tbl>
      <w:tblPr>
        <w:tblW w:w="15304" w:type="dxa"/>
        <w:jc w:val="center"/>
        <w:tblLayout w:type="fixed"/>
        <w:tblLook w:val="02A0" w:firstRow="1" w:lastRow="0" w:firstColumn="1" w:lastColumn="0" w:noHBand="1" w:noVBand="0"/>
      </w:tblPr>
      <w:tblGrid>
        <w:gridCol w:w="988"/>
        <w:gridCol w:w="1393"/>
        <w:gridCol w:w="1060"/>
        <w:gridCol w:w="1888"/>
        <w:gridCol w:w="1754"/>
        <w:gridCol w:w="1027"/>
        <w:gridCol w:w="957"/>
        <w:gridCol w:w="709"/>
        <w:gridCol w:w="921"/>
        <w:gridCol w:w="922"/>
        <w:gridCol w:w="3685"/>
      </w:tblGrid>
      <w:tr w:rsidR="00B3612A" w:rsidRPr="00A33B9F" w14:paraId="52229367" w14:textId="77777777" w:rsidTr="00AD0FC1">
        <w:trPr>
          <w:trHeight w:val="927"/>
          <w:tblHeader/>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B05203" w14:textId="0FCACFA5" w:rsidR="002D3EDD" w:rsidRPr="00A33B9F" w:rsidRDefault="00D54324" w:rsidP="004C2912">
            <w:pPr>
              <w:spacing w:after="0" w:line="240" w:lineRule="auto"/>
              <w:ind w:left="-25"/>
              <w:jc w:val="center"/>
              <w:rPr>
                <w:rFonts w:ascii="Times New Roman" w:eastAsia="Times New Roman" w:hAnsi="Times New Roman" w:cs="Times New Roman"/>
                <w:b/>
                <w:noProof/>
                <w:sz w:val="18"/>
                <w:szCs w:val="18"/>
              </w:rPr>
            </w:pPr>
            <w:r w:rsidRPr="00A33B9F">
              <w:rPr>
                <w:rFonts w:ascii="Times New Roman" w:hAnsi="Times New Roman"/>
                <w:b/>
                <w:noProof/>
                <w:sz w:val="18"/>
              </w:rPr>
              <w:t>Nr porządkowy</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47398B" w14:textId="77777777" w:rsidR="002D3EDD" w:rsidRPr="00A33B9F" w:rsidRDefault="002D3EDD"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Powiązane działanie (reforma lub inwestycja)</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777E62" w14:textId="77777777" w:rsidR="002D3EDD" w:rsidRPr="00A33B9F" w:rsidRDefault="002D3EDD"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Kamień milowy / wartość docelowa</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385D3A" w14:textId="77777777" w:rsidR="002D3EDD" w:rsidRPr="00A33B9F" w:rsidRDefault="002D3EDD"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Nazwa</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5D5BEE" w14:textId="77777777" w:rsidR="002D3EDD" w:rsidRPr="00A33B9F" w:rsidRDefault="002D3EDD"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A9C757A" w14:textId="77777777" w:rsidR="002D3EDD" w:rsidRPr="00A33B9F" w:rsidRDefault="002D3EDD"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843"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3F53B61E" w14:textId="77777777" w:rsidR="002D3EDD" w:rsidRPr="00A33B9F" w:rsidRDefault="002D3EDD"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 xml:space="preserve">Orientacyjny harmonogram zakończenia działania </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97E6CDA" w14:textId="13657E87" w:rsidR="002D3EDD" w:rsidRPr="00A33B9F" w:rsidRDefault="002D3EDD"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B3612A" w:rsidRPr="00A33B9F" w14:paraId="5608E42C" w14:textId="77777777" w:rsidTr="00AD0FC1">
        <w:trPr>
          <w:trHeight w:val="1013"/>
          <w:tblHeader/>
          <w:jc w:val="center"/>
        </w:trPr>
        <w:tc>
          <w:tcPr>
            <w:tcW w:w="988" w:type="dxa"/>
            <w:vMerge/>
            <w:tcBorders>
              <w:top w:val="single" w:sz="4" w:space="0" w:color="auto"/>
              <w:left w:val="single" w:sz="4" w:space="0" w:color="auto"/>
              <w:bottom w:val="single" w:sz="4" w:space="0" w:color="auto"/>
              <w:right w:val="single" w:sz="4" w:space="0" w:color="auto"/>
            </w:tcBorders>
            <w:hideMark/>
          </w:tcPr>
          <w:p w14:paraId="137DB6B4" w14:textId="77777777" w:rsidR="002D3EDD" w:rsidRPr="00A33B9F" w:rsidRDefault="002D3EDD" w:rsidP="004C2912">
            <w:pPr>
              <w:spacing w:after="0" w:line="240" w:lineRule="auto"/>
              <w:jc w:val="center"/>
              <w:rPr>
                <w:rFonts w:ascii="Times New Roman" w:eastAsia="Times New Roman" w:hAnsi="Times New Roman" w:cs="Times New Roman"/>
                <w:b/>
                <w:noProof/>
                <w:sz w:val="18"/>
                <w:szCs w:val="18"/>
                <w:lang w:eastAsia="en-GB"/>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58D6DA86" w14:textId="77777777" w:rsidR="002D3EDD" w:rsidRPr="00A33B9F" w:rsidRDefault="002D3EDD" w:rsidP="004C2912">
            <w:pPr>
              <w:spacing w:after="0" w:line="240" w:lineRule="auto"/>
              <w:rPr>
                <w:rFonts w:ascii="Times New Roman" w:eastAsia="Times New Roman" w:hAnsi="Times New Roman" w:cs="Times New Roman"/>
                <w:b/>
                <w:bCs/>
                <w:noProof/>
                <w:sz w:val="24"/>
                <w:szCs w:val="24"/>
                <w:lang w:eastAsia="en-GB"/>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458A3D4B" w14:textId="77777777" w:rsidR="002D3EDD" w:rsidRPr="00A33B9F" w:rsidRDefault="002D3EDD" w:rsidP="004C2912">
            <w:pPr>
              <w:spacing w:after="0" w:line="240" w:lineRule="auto"/>
              <w:rPr>
                <w:rFonts w:ascii="Times New Roman" w:eastAsia="Times New Roman" w:hAnsi="Times New Roman" w:cs="Times New Roman"/>
                <w:b/>
                <w:bCs/>
                <w:noProof/>
                <w:sz w:val="24"/>
                <w:szCs w:val="24"/>
                <w:lang w:eastAsia="en-GB"/>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14:paraId="635E2E53" w14:textId="77777777" w:rsidR="002D3EDD" w:rsidRPr="00A33B9F" w:rsidRDefault="002D3EDD" w:rsidP="004C2912">
            <w:pPr>
              <w:spacing w:after="0" w:line="240" w:lineRule="auto"/>
              <w:rPr>
                <w:rFonts w:ascii="Times New Roman" w:eastAsia="Times New Roman" w:hAnsi="Times New Roman" w:cs="Times New Roman"/>
                <w:b/>
                <w:bCs/>
                <w:noProof/>
                <w:sz w:val="24"/>
                <w:szCs w:val="24"/>
                <w:lang w:eastAsia="en-GB"/>
              </w:rPr>
            </w:pPr>
          </w:p>
        </w:tc>
        <w:tc>
          <w:tcPr>
            <w:tcW w:w="1754" w:type="dxa"/>
            <w:vMerge/>
            <w:tcBorders>
              <w:top w:val="single" w:sz="4" w:space="0" w:color="auto"/>
              <w:left w:val="single" w:sz="4" w:space="0" w:color="auto"/>
            </w:tcBorders>
            <w:vAlign w:val="center"/>
            <w:hideMark/>
          </w:tcPr>
          <w:p w14:paraId="2F241C51" w14:textId="77777777" w:rsidR="002D3EDD" w:rsidRPr="00A33B9F" w:rsidRDefault="002D3EDD" w:rsidP="004C2912">
            <w:pPr>
              <w:spacing w:after="0" w:line="240" w:lineRule="auto"/>
              <w:rPr>
                <w:rFonts w:ascii="Times New Roman" w:eastAsia="Times New Roman" w:hAnsi="Times New Roman" w:cs="Times New Roman"/>
                <w:b/>
                <w:bCs/>
                <w:noProof/>
                <w:sz w:val="24"/>
                <w:szCs w:val="24"/>
                <w:lang w:eastAsia="en-GB"/>
              </w:rPr>
            </w:pPr>
          </w:p>
        </w:tc>
        <w:tc>
          <w:tcPr>
            <w:tcW w:w="10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75F1410" w14:textId="77777777" w:rsidR="002D3EDD" w:rsidRPr="00A33B9F" w:rsidRDefault="002D3EDD" w:rsidP="004C2912">
            <w:pPr>
              <w:spacing w:after="0" w:line="240" w:lineRule="auto"/>
              <w:jc w:val="center"/>
              <w:rPr>
                <w:rFonts w:ascii="Times New Roman" w:eastAsia="Times New Roman" w:hAnsi="Times New Roman" w:cs="Times New Roman"/>
                <w:b/>
                <w:noProof/>
              </w:rPr>
            </w:pPr>
            <w:r w:rsidRPr="00A33B9F">
              <w:rPr>
                <w:rFonts w:ascii="Times New Roman" w:hAnsi="Times New Roman"/>
                <w:b/>
                <w:noProof/>
                <w:color w:val="000000"/>
                <w:sz w:val="18"/>
              </w:rPr>
              <w:t>Jednostka miary</w:t>
            </w:r>
          </w:p>
        </w:tc>
        <w:tc>
          <w:tcPr>
            <w:tcW w:w="957" w:type="dxa"/>
            <w:tcBorders>
              <w:top w:val="single" w:sz="4" w:space="0" w:color="auto"/>
              <w:left w:val="nil"/>
              <w:bottom w:val="single" w:sz="4" w:space="0" w:color="auto"/>
              <w:right w:val="single" w:sz="4" w:space="0" w:color="auto"/>
            </w:tcBorders>
            <w:shd w:val="clear" w:color="auto" w:fill="BDD7EE"/>
            <w:vAlign w:val="center"/>
            <w:hideMark/>
          </w:tcPr>
          <w:p w14:paraId="35916BFA" w14:textId="77777777" w:rsidR="002D3EDD" w:rsidRPr="00A33B9F" w:rsidRDefault="002D3EDD" w:rsidP="004C2912">
            <w:pPr>
              <w:spacing w:after="0" w:line="240" w:lineRule="auto"/>
              <w:jc w:val="center"/>
              <w:rPr>
                <w:rFonts w:ascii="Times New Roman" w:eastAsia="Times New Roman" w:hAnsi="Times New Roman" w:cs="Times New Roman"/>
                <w:b/>
                <w:noProof/>
              </w:rPr>
            </w:pPr>
            <w:r w:rsidRPr="00A33B9F">
              <w:rPr>
                <w:rFonts w:ascii="Times New Roman" w:hAnsi="Times New Roman"/>
                <w:b/>
                <w:noProof/>
                <w:color w:val="000000"/>
                <w:sz w:val="18"/>
              </w:rPr>
              <w:t xml:space="preserve">Poziom bazowy </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26E81835" w14:textId="10E77D13" w:rsidR="002D3EDD" w:rsidRPr="00A33B9F" w:rsidRDefault="002D3EDD" w:rsidP="004C2912">
            <w:pPr>
              <w:spacing w:after="0" w:line="240" w:lineRule="auto"/>
              <w:jc w:val="center"/>
              <w:rPr>
                <w:rFonts w:ascii="Times New Roman" w:eastAsia="Times New Roman" w:hAnsi="Times New Roman" w:cs="Times New Roman"/>
                <w:b/>
                <w:noProof/>
              </w:rPr>
            </w:pPr>
            <w:r w:rsidRPr="00A33B9F">
              <w:rPr>
                <w:rFonts w:ascii="Times New Roman" w:hAnsi="Times New Roman"/>
                <w:b/>
                <w:noProof/>
                <w:color w:val="000000"/>
                <w:sz w:val="18"/>
              </w:rPr>
              <w:t>Cel</w:t>
            </w:r>
          </w:p>
        </w:tc>
        <w:tc>
          <w:tcPr>
            <w:tcW w:w="921" w:type="dxa"/>
            <w:tcBorders>
              <w:top w:val="single" w:sz="4" w:space="0" w:color="auto"/>
              <w:left w:val="nil"/>
              <w:bottom w:val="single" w:sz="4" w:space="0" w:color="auto"/>
              <w:right w:val="single" w:sz="4" w:space="0" w:color="auto"/>
            </w:tcBorders>
            <w:shd w:val="clear" w:color="auto" w:fill="BDD7EE"/>
            <w:vAlign w:val="center"/>
            <w:hideMark/>
          </w:tcPr>
          <w:p w14:paraId="30F5808C" w14:textId="77777777" w:rsidR="002D3EDD" w:rsidRPr="00A33B9F" w:rsidRDefault="002D3EDD" w:rsidP="004C2912">
            <w:pPr>
              <w:spacing w:after="0" w:line="240" w:lineRule="auto"/>
              <w:jc w:val="center"/>
              <w:rPr>
                <w:rFonts w:ascii="Times New Roman" w:eastAsia="Times New Roman" w:hAnsi="Times New Roman" w:cs="Times New Roman"/>
                <w:b/>
                <w:noProof/>
              </w:rPr>
            </w:pPr>
            <w:r w:rsidRPr="00A33B9F">
              <w:rPr>
                <w:rFonts w:ascii="Times New Roman" w:hAnsi="Times New Roman"/>
                <w:b/>
                <w:noProof/>
                <w:color w:val="000000"/>
                <w:sz w:val="18"/>
              </w:rPr>
              <w:t>Kwartał</w:t>
            </w:r>
          </w:p>
        </w:tc>
        <w:tc>
          <w:tcPr>
            <w:tcW w:w="922" w:type="dxa"/>
            <w:tcBorders>
              <w:top w:val="single" w:sz="4" w:space="0" w:color="auto"/>
              <w:left w:val="nil"/>
              <w:bottom w:val="single" w:sz="4" w:space="0" w:color="auto"/>
              <w:right w:val="single" w:sz="4" w:space="0" w:color="auto"/>
            </w:tcBorders>
            <w:shd w:val="clear" w:color="auto" w:fill="BDD7EE"/>
            <w:vAlign w:val="center"/>
            <w:hideMark/>
          </w:tcPr>
          <w:p w14:paraId="555145C9" w14:textId="77777777" w:rsidR="002D3EDD" w:rsidRPr="00A33B9F" w:rsidRDefault="002D3EDD" w:rsidP="004C2912">
            <w:pPr>
              <w:spacing w:after="0" w:line="240" w:lineRule="auto"/>
              <w:jc w:val="center"/>
              <w:rPr>
                <w:rFonts w:ascii="Times New Roman" w:eastAsia="Times New Roman" w:hAnsi="Times New Roman" w:cs="Times New Roman"/>
                <w:b/>
                <w:noProof/>
              </w:rPr>
            </w:pPr>
            <w:r w:rsidRPr="00A33B9F">
              <w:rPr>
                <w:rFonts w:ascii="Times New Roman" w:hAnsi="Times New Roman"/>
                <w:b/>
                <w:noProof/>
                <w:color w:val="000000"/>
                <w:sz w:val="18"/>
              </w:rPr>
              <w:t>Rok</w:t>
            </w:r>
          </w:p>
        </w:tc>
        <w:tc>
          <w:tcPr>
            <w:tcW w:w="3685" w:type="dxa"/>
            <w:vMerge/>
            <w:tcBorders>
              <w:top w:val="single" w:sz="4" w:space="0" w:color="auto"/>
              <w:bottom w:val="single" w:sz="4" w:space="0" w:color="auto"/>
              <w:right w:val="single" w:sz="4" w:space="0" w:color="auto"/>
            </w:tcBorders>
            <w:vAlign w:val="center"/>
            <w:hideMark/>
          </w:tcPr>
          <w:p w14:paraId="29EF2270" w14:textId="77777777" w:rsidR="002D3EDD" w:rsidRPr="00A33B9F" w:rsidRDefault="002D3EDD" w:rsidP="004C2912">
            <w:pPr>
              <w:spacing w:after="0" w:line="240" w:lineRule="auto"/>
              <w:rPr>
                <w:rFonts w:ascii="Times New Roman" w:eastAsia="Times New Roman" w:hAnsi="Times New Roman" w:cs="Times New Roman"/>
                <w:b/>
                <w:bCs/>
                <w:noProof/>
                <w:sz w:val="24"/>
                <w:szCs w:val="24"/>
                <w:lang w:eastAsia="en-GB"/>
              </w:rPr>
            </w:pPr>
          </w:p>
        </w:tc>
      </w:tr>
      <w:tr w:rsidR="00B3612A" w:rsidRPr="00A33B9F" w14:paraId="429F8050" w14:textId="77777777" w:rsidTr="00AD0FC1">
        <w:trPr>
          <w:trHeight w:val="945"/>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tcPr>
          <w:p w14:paraId="2E2662BF" w14:textId="132C2E07" w:rsidR="002D3EDD" w:rsidRPr="00A33B9F" w:rsidRDefault="00483FA6"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G1G</w:t>
            </w:r>
          </w:p>
        </w:tc>
        <w:tc>
          <w:tcPr>
            <w:tcW w:w="1393" w:type="dxa"/>
            <w:tcBorders>
              <w:top w:val="single" w:sz="4" w:space="0" w:color="auto"/>
              <w:left w:val="nil"/>
              <w:bottom w:val="single" w:sz="4" w:space="0" w:color="auto"/>
              <w:right w:val="single" w:sz="4" w:space="0" w:color="auto"/>
            </w:tcBorders>
            <w:shd w:val="clear" w:color="auto" w:fill="C6EFCE"/>
            <w:noWrap/>
          </w:tcPr>
          <w:p w14:paraId="11A70F68" w14:textId="33C277FB"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G1.1.1 Wspieranie rozwoju lokalnych społeczności energetycznych</w:t>
            </w:r>
            <w:r w:rsidR="00C3621A" w:rsidRPr="00A33B9F">
              <w:rPr>
                <w:rFonts w:ascii="Times New Roman" w:hAnsi="Times New Roman"/>
                <w:noProof/>
                <w:sz w:val="18"/>
              </w:rPr>
              <w:t xml:space="preserve"> </w:t>
            </w:r>
          </w:p>
        </w:tc>
        <w:tc>
          <w:tcPr>
            <w:tcW w:w="1060" w:type="dxa"/>
            <w:tcBorders>
              <w:top w:val="single" w:sz="4" w:space="0" w:color="auto"/>
              <w:left w:val="nil"/>
              <w:bottom w:val="single" w:sz="4" w:space="0" w:color="auto"/>
              <w:right w:val="single" w:sz="4" w:space="0" w:color="auto"/>
            </w:tcBorders>
            <w:shd w:val="clear" w:color="auto" w:fill="C6EFCE"/>
            <w:noWrap/>
          </w:tcPr>
          <w:p w14:paraId="5106D056"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88" w:type="dxa"/>
            <w:tcBorders>
              <w:top w:val="single" w:sz="4" w:space="0" w:color="auto"/>
              <w:left w:val="nil"/>
              <w:bottom w:val="single" w:sz="4" w:space="0" w:color="auto"/>
              <w:right w:val="single" w:sz="4" w:space="0" w:color="auto"/>
            </w:tcBorders>
            <w:shd w:val="clear" w:color="auto" w:fill="C6EFCE"/>
            <w:noWrap/>
          </w:tcPr>
          <w:p w14:paraId="0D735EFE" w14:textId="1A5BA5B2"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Analiza barier utrudniających rozwój społeczności energetycznych</w:t>
            </w:r>
            <w:r w:rsidR="00A33B9F" w:rsidRPr="00A33B9F">
              <w:rPr>
                <w:rFonts w:ascii="Times New Roman" w:hAnsi="Times New Roman"/>
                <w:noProof/>
                <w:sz w:val="18"/>
              </w:rPr>
              <w:t xml:space="preserve"> i spó</w:t>
            </w:r>
            <w:r w:rsidRPr="00A33B9F">
              <w:rPr>
                <w:rFonts w:ascii="Times New Roman" w:hAnsi="Times New Roman"/>
                <w:noProof/>
                <w:sz w:val="18"/>
              </w:rPr>
              <w:t>łdzielni energetycznych zidentyfikowanych</w:t>
            </w:r>
            <w:r w:rsidR="00A33B9F" w:rsidRPr="00A33B9F">
              <w:rPr>
                <w:rFonts w:ascii="Times New Roman" w:hAnsi="Times New Roman"/>
                <w:noProof/>
                <w:sz w:val="18"/>
              </w:rPr>
              <w:t xml:space="preserve"> w tra</w:t>
            </w:r>
            <w:r w:rsidRPr="00A33B9F">
              <w:rPr>
                <w:rFonts w:ascii="Times New Roman" w:hAnsi="Times New Roman"/>
                <w:noProof/>
                <w:sz w:val="18"/>
              </w:rPr>
              <w:t>kcie programu wsparcia przedinwestycyjnego</w:t>
            </w:r>
            <w:r w:rsidR="00C3621A" w:rsidRPr="00A33B9F">
              <w:rPr>
                <w:rFonts w:ascii="Times New Roman" w:hAnsi="Times New Roman"/>
                <w:noProof/>
                <w:sz w:val="18"/>
              </w:rPr>
              <w:t xml:space="preserve"> </w:t>
            </w:r>
          </w:p>
        </w:tc>
        <w:tc>
          <w:tcPr>
            <w:tcW w:w="1754" w:type="dxa"/>
            <w:tcBorders>
              <w:top w:val="single" w:sz="4" w:space="0" w:color="auto"/>
              <w:left w:val="nil"/>
              <w:bottom w:val="single" w:sz="4" w:space="0" w:color="auto"/>
              <w:right w:val="single" w:sz="4" w:space="0" w:color="auto"/>
            </w:tcBorders>
            <w:shd w:val="clear" w:color="auto" w:fill="C6EFCE"/>
            <w:noWrap/>
          </w:tcPr>
          <w:p w14:paraId="1E0FF165" w14:textId="29A860C5"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Publikacja analizy </w:t>
            </w:r>
          </w:p>
        </w:tc>
        <w:tc>
          <w:tcPr>
            <w:tcW w:w="1027" w:type="dxa"/>
            <w:tcBorders>
              <w:top w:val="nil"/>
              <w:left w:val="nil"/>
              <w:bottom w:val="single" w:sz="4" w:space="0" w:color="auto"/>
              <w:right w:val="single" w:sz="4" w:space="0" w:color="auto"/>
            </w:tcBorders>
            <w:shd w:val="clear" w:color="auto" w:fill="C6EFCE"/>
            <w:noWrap/>
          </w:tcPr>
          <w:p w14:paraId="64AC6F3B"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14:paraId="46340579"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54C2C108"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4E743416" w14:textId="32A887D3"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922" w:type="dxa"/>
            <w:tcBorders>
              <w:top w:val="nil"/>
              <w:left w:val="nil"/>
              <w:bottom w:val="single" w:sz="4" w:space="0" w:color="auto"/>
              <w:right w:val="single" w:sz="4" w:space="0" w:color="auto"/>
            </w:tcBorders>
            <w:shd w:val="clear" w:color="auto" w:fill="C6EFCE"/>
            <w:noWrap/>
          </w:tcPr>
          <w:p w14:paraId="5AFF0436"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3685" w:type="dxa"/>
            <w:tcBorders>
              <w:top w:val="single" w:sz="4" w:space="0" w:color="auto"/>
              <w:left w:val="nil"/>
              <w:bottom w:val="single" w:sz="4" w:space="0" w:color="auto"/>
              <w:right w:val="single" w:sz="4" w:space="0" w:color="auto"/>
            </w:tcBorders>
            <w:shd w:val="clear" w:color="auto" w:fill="C6EFCE"/>
            <w:noWrap/>
          </w:tcPr>
          <w:p w14:paraId="04516BC1" w14:textId="07C1253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Publikacja analizy barier prawnych, organizacyjnych</w:t>
            </w:r>
            <w:r w:rsidR="00A33B9F" w:rsidRPr="00A33B9F">
              <w:rPr>
                <w:rFonts w:ascii="Times New Roman" w:hAnsi="Times New Roman"/>
                <w:noProof/>
                <w:sz w:val="18"/>
              </w:rPr>
              <w:t xml:space="preserve"> i adm</w:t>
            </w:r>
            <w:r w:rsidRPr="00A33B9F">
              <w:rPr>
                <w:rFonts w:ascii="Times New Roman" w:hAnsi="Times New Roman"/>
                <w:noProof/>
                <w:sz w:val="18"/>
              </w:rPr>
              <w:t>inistracyjnych utrudniających rozwój społeczności energetycznych opartej na doświadczeniach zdobytych</w:t>
            </w:r>
            <w:r w:rsidR="00A33B9F" w:rsidRPr="00A33B9F">
              <w:rPr>
                <w:rFonts w:ascii="Times New Roman" w:hAnsi="Times New Roman"/>
                <w:noProof/>
                <w:sz w:val="18"/>
              </w:rPr>
              <w:t xml:space="preserve"> w pro</w:t>
            </w:r>
            <w:r w:rsidRPr="00A33B9F">
              <w:rPr>
                <w:rFonts w:ascii="Times New Roman" w:hAnsi="Times New Roman"/>
                <w:noProof/>
                <w:sz w:val="18"/>
              </w:rPr>
              <w:t>gramach wsparcia przedinwestycyjnego</w:t>
            </w:r>
            <w:r w:rsidR="00A33B9F" w:rsidRPr="00A33B9F">
              <w:rPr>
                <w:rFonts w:ascii="Times New Roman" w:hAnsi="Times New Roman"/>
                <w:noProof/>
                <w:sz w:val="18"/>
              </w:rPr>
              <w:t>. W ana</w:t>
            </w:r>
            <w:r w:rsidRPr="00A33B9F">
              <w:rPr>
                <w:rFonts w:ascii="Times New Roman" w:hAnsi="Times New Roman"/>
                <w:noProof/>
                <w:sz w:val="18"/>
              </w:rPr>
              <w:t>lizie określone zostaną główne wąskie gardła</w:t>
            </w:r>
            <w:r w:rsidR="00A33B9F" w:rsidRPr="00A33B9F">
              <w:rPr>
                <w:rFonts w:ascii="Times New Roman" w:hAnsi="Times New Roman"/>
                <w:noProof/>
                <w:sz w:val="18"/>
              </w:rPr>
              <w:t xml:space="preserve"> w roz</w:t>
            </w:r>
            <w:r w:rsidRPr="00A33B9F">
              <w:rPr>
                <w:rFonts w:ascii="Times New Roman" w:hAnsi="Times New Roman"/>
                <w:noProof/>
                <w:sz w:val="18"/>
              </w:rPr>
              <w:t>woju społeczności energetycznych</w:t>
            </w:r>
            <w:r w:rsidR="00A33B9F" w:rsidRPr="00A33B9F">
              <w:rPr>
                <w:rFonts w:ascii="Times New Roman" w:hAnsi="Times New Roman"/>
                <w:noProof/>
                <w:sz w:val="18"/>
              </w:rPr>
              <w:t xml:space="preserve"> i prz</w:t>
            </w:r>
            <w:r w:rsidRPr="00A33B9F">
              <w:rPr>
                <w:rFonts w:ascii="Times New Roman" w:hAnsi="Times New Roman"/>
                <w:noProof/>
                <w:sz w:val="18"/>
              </w:rPr>
              <w:t>edstawiony zostanie zestaw zaleceń politycznych mających na celu wprowadzenie zmian prawnych harmonizujących ramy prawne</w:t>
            </w:r>
            <w:r w:rsidR="00A33B9F" w:rsidRPr="00A33B9F">
              <w:rPr>
                <w:rFonts w:ascii="Times New Roman" w:hAnsi="Times New Roman"/>
                <w:noProof/>
                <w:sz w:val="18"/>
              </w:rPr>
              <w:t xml:space="preserve"> w tym</w:t>
            </w:r>
            <w:r w:rsidRPr="00A33B9F">
              <w:rPr>
                <w:rFonts w:ascii="Times New Roman" w:hAnsi="Times New Roman"/>
                <w:noProof/>
                <w:sz w:val="18"/>
              </w:rPr>
              <w:t xml:space="preserve"> względzie oraz upraszczających</w:t>
            </w:r>
            <w:r w:rsidR="00A33B9F" w:rsidRPr="00A33B9F">
              <w:rPr>
                <w:rFonts w:ascii="Times New Roman" w:hAnsi="Times New Roman"/>
                <w:noProof/>
                <w:sz w:val="18"/>
              </w:rPr>
              <w:t xml:space="preserve"> i prz</w:t>
            </w:r>
            <w:r w:rsidRPr="00A33B9F">
              <w:rPr>
                <w:rFonts w:ascii="Times New Roman" w:hAnsi="Times New Roman"/>
                <w:noProof/>
                <w:sz w:val="18"/>
              </w:rPr>
              <w:t>yspieszających ich wdrażanie.</w:t>
            </w:r>
          </w:p>
        </w:tc>
      </w:tr>
      <w:tr w:rsidR="00B3612A" w:rsidRPr="00A33B9F" w14:paraId="55BF8F77" w14:textId="77777777" w:rsidTr="00AD0FC1">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7C0A558D" w14:textId="7F0622C0" w:rsidR="002D3EDD" w:rsidRPr="00A33B9F" w:rsidRDefault="00473773"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G2G</w:t>
            </w:r>
          </w:p>
        </w:tc>
        <w:tc>
          <w:tcPr>
            <w:tcW w:w="1393" w:type="dxa"/>
            <w:tcBorders>
              <w:top w:val="nil"/>
              <w:left w:val="nil"/>
              <w:bottom w:val="single" w:sz="4" w:space="0" w:color="auto"/>
              <w:right w:val="single" w:sz="4" w:space="0" w:color="auto"/>
            </w:tcBorders>
            <w:shd w:val="clear" w:color="auto" w:fill="C6EFCE"/>
            <w:noWrap/>
          </w:tcPr>
          <w:p w14:paraId="3380EFEB" w14:textId="25750B90"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G1.1.2 Instalacje odnawialnych źródeł energii realizowane przez społeczności energetyczne</w:t>
            </w:r>
          </w:p>
          <w:p w14:paraId="7480E136" w14:textId="77777777" w:rsidR="002D3EDD" w:rsidRPr="00A33B9F" w:rsidRDefault="002D3EDD" w:rsidP="004C2912">
            <w:pPr>
              <w:spacing w:line="240" w:lineRule="auto"/>
              <w:rPr>
                <w:rFonts w:ascii="Times New Roman" w:eastAsia="Times New Roman" w:hAnsi="Times New Roman" w:cs="Times New Roman"/>
                <w:noProof/>
                <w:sz w:val="18"/>
                <w:szCs w:val="18"/>
                <w:lang w:eastAsia="en-GB"/>
              </w:rPr>
            </w:pPr>
          </w:p>
        </w:tc>
        <w:tc>
          <w:tcPr>
            <w:tcW w:w="1060" w:type="dxa"/>
            <w:tcBorders>
              <w:top w:val="nil"/>
              <w:left w:val="nil"/>
              <w:bottom w:val="single" w:sz="4" w:space="0" w:color="auto"/>
              <w:right w:val="single" w:sz="4" w:space="0" w:color="auto"/>
            </w:tcBorders>
            <w:shd w:val="clear" w:color="auto" w:fill="C6EFCE"/>
            <w:noWrap/>
          </w:tcPr>
          <w:p w14:paraId="0F4CC277" w14:textId="77777777" w:rsidR="002D3EDD" w:rsidRPr="00A33B9F" w:rsidRDefault="002D3EDD" w:rsidP="004C2912">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88" w:type="dxa"/>
            <w:tcBorders>
              <w:top w:val="nil"/>
              <w:left w:val="nil"/>
              <w:bottom w:val="single" w:sz="4" w:space="0" w:color="auto"/>
              <w:right w:val="single" w:sz="4" w:space="0" w:color="auto"/>
            </w:tcBorders>
            <w:shd w:val="clear" w:color="auto" w:fill="C6EFCE"/>
            <w:noWrap/>
          </w:tcPr>
          <w:p w14:paraId="0ECD0DCD" w14:textId="0E86AAE5" w:rsidR="002D3EDD" w:rsidRPr="00A33B9F" w:rsidRDefault="00AE00DE" w:rsidP="004C2912">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Zaproszenie do składania wniosków dotyczących programu wsparcia inwestycyjnego</w:t>
            </w:r>
          </w:p>
        </w:tc>
        <w:tc>
          <w:tcPr>
            <w:tcW w:w="1754" w:type="dxa"/>
            <w:tcBorders>
              <w:top w:val="nil"/>
              <w:left w:val="nil"/>
              <w:bottom w:val="single" w:sz="4" w:space="0" w:color="auto"/>
              <w:right w:val="single" w:sz="4" w:space="0" w:color="auto"/>
            </w:tcBorders>
            <w:shd w:val="clear" w:color="auto" w:fill="C6EFCE"/>
            <w:noWrap/>
          </w:tcPr>
          <w:p w14:paraId="6B971848" w14:textId="6D122112" w:rsidR="002D3EDD" w:rsidRPr="00A33B9F" w:rsidRDefault="002D3EDD" w:rsidP="004C2912">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Ogłoszenie zaproszenia do składania wniosków skierowanego do społeczności energetycznych zainteresowanych otrzymaniem wsparcia</w:t>
            </w:r>
            <w:r w:rsidR="00A33B9F" w:rsidRPr="00A33B9F">
              <w:rPr>
                <w:rFonts w:ascii="Times New Roman" w:hAnsi="Times New Roman"/>
                <w:noProof/>
                <w:sz w:val="18"/>
              </w:rPr>
              <w:t xml:space="preserve"> w ram</w:t>
            </w:r>
            <w:r w:rsidRPr="00A33B9F">
              <w:rPr>
                <w:rFonts w:ascii="Times New Roman" w:hAnsi="Times New Roman"/>
                <w:noProof/>
                <w:sz w:val="18"/>
              </w:rPr>
              <w:t>ach tej części inwestycyjnej</w:t>
            </w:r>
          </w:p>
        </w:tc>
        <w:tc>
          <w:tcPr>
            <w:tcW w:w="1027" w:type="dxa"/>
            <w:tcBorders>
              <w:top w:val="nil"/>
              <w:left w:val="nil"/>
              <w:bottom w:val="single" w:sz="4" w:space="0" w:color="auto"/>
              <w:right w:val="single" w:sz="4" w:space="0" w:color="auto"/>
            </w:tcBorders>
            <w:shd w:val="clear" w:color="auto" w:fill="C6EFCE"/>
            <w:noWrap/>
          </w:tcPr>
          <w:p w14:paraId="1E8B85CF" w14:textId="77777777" w:rsidR="002D3EDD" w:rsidRPr="00A33B9F" w:rsidRDefault="002D3EDD" w:rsidP="004C2912">
            <w:pPr>
              <w:spacing w:line="240" w:lineRule="auto"/>
              <w:rPr>
                <w:rFonts w:ascii="Times New Roman" w:eastAsia="Times New Roman" w:hAnsi="Times New Roman" w:cs="Times New Roman"/>
                <w:noProof/>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14:paraId="69990F38" w14:textId="77777777" w:rsidR="002D3EDD" w:rsidRPr="00A33B9F" w:rsidRDefault="002D3EDD" w:rsidP="004C2912">
            <w:pPr>
              <w:spacing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2FE9B9F3" w14:textId="77777777" w:rsidR="002D3EDD" w:rsidRPr="00A33B9F" w:rsidRDefault="002D3EDD" w:rsidP="004C2912">
            <w:pPr>
              <w:spacing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348F7A9E" w14:textId="77777777" w:rsidR="002D3EDD" w:rsidRPr="00A33B9F" w:rsidRDefault="002D3EDD" w:rsidP="004C2912">
            <w:pPr>
              <w:spacing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7F5FC2FB" w14:textId="77777777" w:rsidR="002D3EDD" w:rsidRPr="00A33B9F" w:rsidRDefault="002D3EDD" w:rsidP="004C2912">
            <w:pPr>
              <w:spacing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2023</w:t>
            </w:r>
          </w:p>
        </w:tc>
        <w:tc>
          <w:tcPr>
            <w:tcW w:w="3685" w:type="dxa"/>
            <w:tcBorders>
              <w:top w:val="nil"/>
              <w:left w:val="nil"/>
              <w:bottom w:val="single" w:sz="4" w:space="0" w:color="auto"/>
              <w:right w:val="single" w:sz="4" w:space="0" w:color="auto"/>
            </w:tcBorders>
            <w:shd w:val="clear" w:color="auto" w:fill="C6EFCE"/>
            <w:noWrap/>
          </w:tcPr>
          <w:p w14:paraId="17C8113F" w14:textId="636AB03A"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Otwarte, przejrzyste</w:t>
            </w:r>
            <w:r w:rsidR="00A33B9F" w:rsidRPr="00A33B9F">
              <w:rPr>
                <w:rFonts w:ascii="Times New Roman" w:hAnsi="Times New Roman"/>
                <w:noProof/>
                <w:sz w:val="18"/>
              </w:rPr>
              <w:t xml:space="preserve"> i kon</w:t>
            </w:r>
            <w:r w:rsidRPr="00A33B9F">
              <w:rPr>
                <w:rFonts w:ascii="Times New Roman" w:hAnsi="Times New Roman"/>
                <w:noProof/>
                <w:sz w:val="18"/>
              </w:rPr>
              <w:t>kurencyjne zaproszenie do składania wniosków dostępne dla spółdzielni energetycznych, społeczności energetycznych</w:t>
            </w:r>
            <w:r w:rsidR="00A33B9F" w:rsidRPr="00A33B9F">
              <w:rPr>
                <w:rFonts w:ascii="Times New Roman" w:hAnsi="Times New Roman"/>
                <w:noProof/>
                <w:sz w:val="18"/>
              </w:rPr>
              <w:t xml:space="preserve"> i kla</w:t>
            </w:r>
            <w:r w:rsidRPr="00A33B9F">
              <w:rPr>
                <w:rFonts w:ascii="Times New Roman" w:hAnsi="Times New Roman"/>
                <w:noProof/>
                <w:sz w:val="18"/>
              </w:rPr>
              <w:t>strów energii zostanie uruchomione</w:t>
            </w:r>
            <w:r w:rsidR="00A33B9F" w:rsidRPr="00A33B9F">
              <w:rPr>
                <w:rFonts w:ascii="Times New Roman" w:hAnsi="Times New Roman"/>
                <w:noProof/>
                <w:sz w:val="18"/>
              </w:rPr>
              <w:t xml:space="preserve"> w cel</w:t>
            </w:r>
            <w:r w:rsidRPr="00A33B9F">
              <w:rPr>
                <w:rFonts w:ascii="Times New Roman" w:hAnsi="Times New Roman"/>
                <w:noProof/>
                <w:sz w:val="18"/>
              </w:rPr>
              <w:t>u przydzielenia wsparcia różnym rodzajom odbiorców</w:t>
            </w:r>
            <w:r w:rsidR="00A33B9F" w:rsidRPr="00A33B9F">
              <w:rPr>
                <w:rFonts w:ascii="Times New Roman" w:hAnsi="Times New Roman"/>
                <w:noProof/>
                <w:sz w:val="18"/>
              </w:rPr>
              <w:t xml:space="preserve"> w zró</w:t>
            </w:r>
            <w:r w:rsidRPr="00A33B9F">
              <w:rPr>
                <w:rFonts w:ascii="Times New Roman" w:hAnsi="Times New Roman"/>
                <w:noProof/>
                <w:sz w:val="18"/>
              </w:rPr>
              <w:t xml:space="preserve">wnoważony sposób. </w:t>
            </w:r>
          </w:p>
          <w:p w14:paraId="213668CB" w14:textId="77777777" w:rsidR="009B5381" w:rsidRPr="00A33B9F" w:rsidRDefault="009B5381" w:rsidP="004C2912">
            <w:pPr>
              <w:spacing w:after="0" w:line="240" w:lineRule="auto"/>
              <w:rPr>
                <w:rFonts w:ascii="Times New Roman" w:eastAsia="Times New Roman" w:hAnsi="Times New Roman" w:cs="Times New Roman"/>
                <w:noProof/>
                <w:sz w:val="18"/>
                <w:szCs w:val="18"/>
                <w:lang w:eastAsia="en-GB"/>
              </w:rPr>
            </w:pPr>
          </w:p>
          <w:p w14:paraId="69C8C1CC" w14:textId="54FDC589" w:rsidR="002D3EDD" w:rsidRPr="00A33B9F" w:rsidRDefault="002D3EDD" w:rsidP="004C2912">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Kryteria kwalifikowalności określone</w:t>
            </w:r>
            <w:r w:rsidR="00A33B9F" w:rsidRPr="00A33B9F">
              <w:rPr>
                <w:rFonts w:ascii="Times New Roman" w:hAnsi="Times New Roman"/>
                <w:noProof/>
                <w:sz w:val="18"/>
              </w:rPr>
              <w:t xml:space="preserve"> w spe</w:t>
            </w:r>
            <w:r w:rsidRPr="00A33B9F">
              <w:rPr>
                <w:rFonts w:ascii="Times New Roman" w:hAnsi="Times New Roman"/>
                <w:noProof/>
                <w:sz w:val="18"/>
              </w:rPr>
              <w:t>cyfikacji istotnych warunków zamówienia zapewnią zgodność inwestycji</w:t>
            </w:r>
            <w:r w:rsidR="00A33B9F" w:rsidRPr="00A33B9F">
              <w:rPr>
                <w:rFonts w:ascii="Times New Roman" w:hAnsi="Times New Roman"/>
                <w:noProof/>
                <w:sz w:val="18"/>
              </w:rPr>
              <w:t xml:space="preserve"> z zas</w:t>
            </w:r>
            <w:r w:rsidRPr="00A33B9F">
              <w:rPr>
                <w:rFonts w:ascii="Times New Roman" w:hAnsi="Times New Roman"/>
                <w:noProof/>
                <w:sz w:val="18"/>
              </w:rPr>
              <w:t>adą „nie czyń poważnych szkód”, jak ustanowiono</w:t>
            </w:r>
            <w:r w:rsidR="00A33B9F" w:rsidRPr="00A33B9F">
              <w:rPr>
                <w:rFonts w:ascii="Times New Roman" w:hAnsi="Times New Roman"/>
                <w:noProof/>
                <w:sz w:val="18"/>
              </w:rPr>
              <w:t xml:space="preserve"> w wyt</w:t>
            </w:r>
            <w:r w:rsidRPr="00A33B9F">
              <w:rPr>
                <w:rFonts w:ascii="Times New Roman" w:hAnsi="Times New Roman"/>
                <w:noProof/>
                <w:sz w:val="18"/>
              </w:rPr>
              <w:t xml:space="preserve">ycznych technicznych dotyczących stosowania zasady „nie czyń poważnych szkód” (C(2023) 6454 final). </w:t>
            </w:r>
          </w:p>
        </w:tc>
      </w:tr>
      <w:tr w:rsidR="00B3612A" w:rsidRPr="00A33B9F" w14:paraId="5245A70C" w14:textId="77777777" w:rsidTr="00AD0FC1">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F6F2659" w14:textId="55FE861B" w:rsidR="002D3EDD" w:rsidRPr="00A33B9F" w:rsidRDefault="00B8314C"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G3G</w:t>
            </w:r>
          </w:p>
        </w:tc>
        <w:tc>
          <w:tcPr>
            <w:tcW w:w="1393" w:type="dxa"/>
            <w:tcBorders>
              <w:top w:val="nil"/>
              <w:left w:val="nil"/>
              <w:bottom w:val="single" w:sz="4" w:space="0" w:color="auto"/>
              <w:right w:val="single" w:sz="4" w:space="0" w:color="auto"/>
            </w:tcBorders>
            <w:shd w:val="clear" w:color="auto" w:fill="C6EFCE"/>
            <w:noWrap/>
          </w:tcPr>
          <w:p w14:paraId="561F0091" w14:textId="0D66A2D5"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G1.1.2 Instalacje odnawialnych źródeł energii realizowane przez społeczności energetyczne</w:t>
            </w:r>
          </w:p>
        </w:tc>
        <w:tc>
          <w:tcPr>
            <w:tcW w:w="1060" w:type="dxa"/>
            <w:tcBorders>
              <w:top w:val="nil"/>
              <w:left w:val="nil"/>
              <w:bottom w:val="single" w:sz="4" w:space="0" w:color="auto"/>
              <w:right w:val="single" w:sz="4" w:space="0" w:color="auto"/>
            </w:tcBorders>
            <w:shd w:val="clear" w:color="auto" w:fill="C6EFCE"/>
            <w:noWrap/>
          </w:tcPr>
          <w:p w14:paraId="7E65AB84"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88" w:type="dxa"/>
            <w:tcBorders>
              <w:top w:val="nil"/>
              <w:left w:val="nil"/>
              <w:bottom w:val="single" w:sz="4" w:space="0" w:color="auto"/>
              <w:right w:val="single" w:sz="4" w:space="0" w:color="auto"/>
            </w:tcBorders>
            <w:shd w:val="clear" w:color="auto" w:fill="C6EFCE"/>
            <w:noWrap/>
          </w:tcPr>
          <w:p w14:paraId="1D71D5ED" w14:textId="157F7DB2"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Podmioty wspierane</w:t>
            </w:r>
            <w:r w:rsidR="00A33B9F" w:rsidRPr="00A33B9F">
              <w:rPr>
                <w:rFonts w:ascii="Times New Roman" w:hAnsi="Times New Roman"/>
                <w:noProof/>
                <w:sz w:val="18"/>
              </w:rPr>
              <w:t xml:space="preserve"> w ram</w:t>
            </w:r>
            <w:r w:rsidRPr="00A33B9F">
              <w:rPr>
                <w:rFonts w:ascii="Times New Roman" w:hAnsi="Times New Roman"/>
                <w:noProof/>
                <w:sz w:val="18"/>
              </w:rPr>
              <w:t>ach części przedinwestycyjnej</w:t>
            </w:r>
          </w:p>
        </w:tc>
        <w:tc>
          <w:tcPr>
            <w:tcW w:w="1754" w:type="dxa"/>
            <w:tcBorders>
              <w:top w:val="single" w:sz="4" w:space="0" w:color="auto"/>
              <w:left w:val="nil"/>
              <w:bottom w:val="single" w:sz="4" w:space="0" w:color="auto"/>
              <w:right w:val="single" w:sz="4" w:space="0" w:color="auto"/>
            </w:tcBorders>
            <w:shd w:val="clear" w:color="auto" w:fill="C6EFCE"/>
            <w:noWrap/>
          </w:tcPr>
          <w:p w14:paraId="33289906"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1027" w:type="dxa"/>
            <w:tcBorders>
              <w:top w:val="nil"/>
              <w:left w:val="nil"/>
              <w:bottom w:val="single" w:sz="4" w:space="0" w:color="auto"/>
              <w:right w:val="single" w:sz="4" w:space="0" w:color="auto"/>
            </w:tcBorders>
            <w:shd w:val="clear" w:color="auto" w:fill="C6EFCE"/>
            <w:noWrap/>
          </w:tcPr>
          <w:p w14:paraId="3783504D"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7" w:type="dxa"/>
            <w:tcBorders>
              <w:top w:val="nil"/>
              <w:left w:val="nil"/>
              <w:bottom w:val="single" w:sz="4" w:space="0" w:color="auto"/>
              <w:right w:val="single" w:sz="4" w:space="0" w:color="auto"/>
            </w:tcBorders>
            <w:shd w:val="clear" w:color="auto" w:fill="C6EFCE"/>
            <w:noWrap/>
          </w:tcPr>
          <w:p w14:paraId="43AC5AA3"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461DEFB0"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200</w:t>
            </w:r>
          </w:p>
        </w:tc>
        <w:tc>
          <w:tcPr>
            <w:tcW w:w="921" w:type="dxa"/>
            <w:tcBorders>
              <w:top w:val="nil"/>
              <w:left w:val="nil"/>
              <w:bottom w:val="single" w:sz="4" w:space="0" w:color="auto"/>
              <w:right w:val="single" w:sz="4" w:space="0" w:color="auto"/>
            </w:tcBorders>
            <w:shd w:val="clear" w:color="auto" w:fill="C6EFCE"/>
            <w:noWrap/>
          </w:tcPr>
          <w:p w14:paraId="05810FED"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 kw.</w:t>
            </w:r>
          </w:p>
        </w:tc>
        <w:tc>
          <w:tcPr>
            <w:tcW w:w="922" w:type="dxa"/>
            <w:tcBorders>
              <w:top w:val="nil"/>
              <w:left w:val="nil"/>
              <w:bottom w:val="single" w:sz="4" w:space="0" w:color="auto"/>
              <w:right w:val="single" w:sz="4" w:space="0" w:color="auto"/>
            </w:tcBorders>
            <w:shd w:val="clear" w:color="auto" w:fill="C6EFCE"/>
            <w:noWrap/>
          </w:tcPr>
          <w:p w14:paraId="434CBA89"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85" w:type="dxa"/>
            <w:tcBorders>
              <w:top w:val="nil"/>
              <w:left w:val="nil"/>
              <w:bottom w:val="single" w:sz="4" w:space="0" w:color="auto"/>
              <w:right w:val="single" w:sz="4" w:space="0" w:color="auto"/>
            </w:tcBorders>
            <w:shd w:val="clear" w:color="auto" w:fill="C6EFCE"/>
            <w:noWrap/>
          </w:tcPr>
          <w:p w14:paraId="719CDF86" w14:textId="022F8B68"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umów</w:t>
            </w:r>
            <w:r w:rsidR="00A33B9F" w:rsidRPr="00A33B9F">
              <w:rPr>
                <w:rFonts w:ascii="Times New Roman" w:hAnsi="Times New Roman"/>
                <w:noProof/>
                <w:sz w:val="18"/>
              </w:rPr>
              <w:t xml:space="preserve"> o udz</w:t>
            </w:r>
            <w:r w:rsidRPr="00A33B9F">
              <w:rPr>
                <w:rFonts w:ascii="Times New Roman" w:hAnsi="Times New Roman"/>
                <w:noProof/>
                <w:sz w:val="18"/>
              </w:rPr>
              <w:t>ielenie dotacji podpisanych</w:t>
            </w:r>
            <w:r w:rsidR="00A33B9F" w:rsidRPr="00A33B9F">
              <w:rPr>
                <w:rFonts w:ascii="Times New Roman" w:hAnsi="Times New Roman"/>
                <w:noProof/>
                <w:sz w:val="18"/>
              </w:rPr>
              <w:t xml:space="preserve"> z odb</w:t>
            </w:r>
            <w:r w:rsidRPr="00A33B9F">
              <w:rPr>
                <w:rFonts w:ascii="Times New Roman" w:hAnsi="Times New Roman"/>
                <w:noProof/>
                <w:sz w:val="18"/>
              </w:rPr>
              <w:t>iorcami, którzy zostaną wybrani</w:t>
            </w:r>
            <w:r w:rsidR="00A33B9F" w:rsidRPr="00A33B9F">
              <w:rPr>
                <w:rFonts w:ascii="Times New Roman" w:hAnsi="Times New Roman"/>
                <w:noProof/>
                <w:sz w:val="18"/>
              </w:rPr>
              <w:t xml:space="preserve"> w dro</w:t>
            </w:r>
            <w:r w:rsidRPr="00A33B9F">
              <w:rPr>
                <w:rFonts w:ascii="Times New Roman" w:hAnsi="Times New Roman"/>
                <w:noProof/>
                <w:sz w:val="18"/>
              </w:rPr>
              <w:t>dze otwartego, konkurencyjnego</w:t>
            </w:r>
            <w:r w:rsidR="00A33B9F" w:rsidRPr="00A33B9F">
              <w:rPr>
                <w:rFonts w:ascii="Times New Roman" w:hAnsi="Times New Roman"/>
                <w:noProof/>
                <w:sz w:val="18"/>
              </w:rPr>
              <w:t xml:space="preserve"> i prz</w:t>
            </w:r>
            <w:r w:rsidRPr="00A33B9F">
              <w:rPr>
                <w:rFonts w:ascii="Times New Roman" w:hAnsi="Times New Roman"/>
                <w:noProof/>
                <w:sz w:val="18"/>
              </w:rPr>
              <w:t>ejrzystego zaproszenia do składania wniosków, mającego na celu przydzielenie wsparcia różnym rodzajom odbiorców</w:t>
            </w:r>
            <w:r w:rsidR="00A33B9F" w:rsidRPr="00A33B9F">
              <w:rPr>
                <w:rFonts w:ascii="Times New Roman" w:hAnsi="Times New Roman"/>
                <w:noProof/>
                <w:sz w:val="18"/>
              </w:rPr>
              <w:t xml:space="preserve"> w zró</w:t>
            </w:r>
            <w:r w:rsidRPr="00A33B9F">
              <w:rPr>
                <w:rFonts w:ascii="Times New Roman" w:hAnsi="Times New Roman"/>
                <w:noProof/>
                <w:sz w:val="18"/>
              </w:rPr>
              <w:t>wnoważony sposób. Przydzielanie projektów podmiotom będącym odbiorcami zapewnia zrównoważony podział między podmioty</w:t>
            </w:r>
            <w:r w:rsidR="00A33B9F" w:rsidRPr="00A33B9F">
              <w:rPr>
                <w:rFonts w:ascii="Times New Roman" w:hAnsi="Times New Roman"/>
                <w:noProof/>
                <w:sz w:val="18"/>
              </w:rPr>
              <w:t xml:space="preserve"> w cał</w:t>
            </w:r>
            <w:r w:rsidRPr="00A33B9F">
              <w:rPr>
                <w:rFonts w:ascii="Times New Roman" w:hAnsi="Times New Roman"/>
                <w:noProof/>
                <w:sz w:val="18"/>
              </w:rPr>
              <w:t>ym kraju</w:t>
            </w:r>
            <w:r w:rsidR="00A33B9F" w:rsidRPr="00A33B9F">
              <w:rPr>
                <w:rFonts w:ascii="Times New Roman" w:hAnsi="Times New Roman"/>
                <w:noProof/>
                <w:sz w:val="18"/>
              </w:rPr>
              <w:t xml:space="preserve"> z uwz</w:t>
            </w:r>
            <w:r w:rsidRPr="00A33B9F">
              <w:rPr>
                <w:rFonts w:ascii="Times New Roman" w:hAnsi="Times New Roman"/>
                <w:noProof/>
                <w:sz w:val="18"/>
              </w:rPr>
              <w:t>ględnieniem liczby ludności</w:t>
            </w:r>
            <w:r w:rsidR="00A33B9F" w:rsidRPr="00A33B9F">
              <w:rPr>
                <w:rFonts w:ascii="Times New Roman" w:hAnsi="Times New Roman"/>
                <w:noProof/>
                <w:sz w:val="18"/>
              </w:rPr>
              <w:t xml:space="preserve"> i zas</w:t>
            </w:r>
            <w:r w:rsidRPr="00A33B9F">
              <w:rPr>
                <w:rFonts w:ascii="Times New Roman" w:hAnsi="Times New Roman"/>
                <w:noProof/>
                <w:sz w:val="18"/>
              </w:rPr>
              <w:t xml:space="preserve">ięgu geograficznego. </w:t>
            </w:r>
          </w:p>
          <w:p w14:paraId="2A381C01"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p w14:paraId="459723CF" w14:textId="7D9E4B38"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Wsparcie zostanie udzielone spółdzielniom energetycznym utworzonym na podstawie ustawy</w:t>
            </w:r>
            <w:r w:rsidR="00A33B9F" w:rsidRPr="00A33B9F">
              <w:rPr>
                <w:rFonts w:ascii="Times New Roman" w:hAnsi="Times New Roman"/>
                <w:noProof/>
                <w:sz w:val="18"/>
              </w:rPr>
              <w:t xml:space="preserve"> o odn</w:t>
            </w:r>
            <w:r w:rsidRPr="00A33B9F">
              <w:rPr>
                <w:rFonts w:ascii="Times New Roman" w:hAnsi="Times New Roman"/>
                <w:noProof/>
                <w:sz w:val="18"/>
              </w:rPr>
              <w:t>awialnych źródłach energii</w:t>
            </w:r>
            <w:r w:rsidR="00A33B9F" w:rsidRPr="00A33B9F">
              <w:rPr>
                <w:rFonts w:ascii="Times New Roman" w:hAnsi="Times New Roman"/>
                <w:noProof/>
                <w:sz w:val="18"/>
              </w:rPr>
              <w:t xml:space="preserve"> i spo</w:t>
            </w:r>
            <w:r w:rsidRPr="00A33B9F">
              <w:rPr>
                <w:rFonts w:ascii="Times New Roman" w:hAnsi="Times New Roman"/>
                <w:noProof/>
                <w:sz w:val="18"/>
              </w:rPr>
              <w:t>łecznościom energetycznym utworzonym na podstawie ustawy Prawo energetyczne oraz podmiotom posiadającym zdolność prawną do zakładania takich spółdzielni</w:t>
            </w:r>
            <w:r w:rsidR="00A33B9F" w:rsidRPr="00A33B9F">
              <w:rPr>
                <w:rFonts w:ascii="Times New Roman" w:hAnsi="Times New Roman"/>
                <w:noProof/>
                <w:sz w:val="18"/>
              </w:rPr>
              <w:t xml:space="preserve"> i spo</w:t>
            </w:r>
            <w:r w:rsidRPr="00A33B9F">
              <w:rPr>
                <w:rFonts w:ascii="Times New Roman" w:hAnsi="Times New Roman"/>
                <w:noProof/>
                <w:sz w:val="18"/>
              </w:rPr>
              <w:t>łeczności, np. gminom,</w:t>
            </w:r>
            <w:r w:rsidR="00A33B9F" w:rsidRPr="00A33B9F">
              <w:rPr>
                <w:rFonts w:ascii="Times New Roman" w:hAnsi="Times New Roman"/>
                <w:noProof/>
                <w:sz w:val="18"/>
              </w:rPr>
              <w:t xml:space="preserve"> a tak</w:t>
            </w:r>
            <w:r w:rsidRPr="00A33B9F">
              <w:rPr>
                <w:rFonts w:ascii="Times New Roman" w:hAnsi="Times New Roman"/>
                <w:noProof/>
                <w:sz w:val="18"/>
              </w:rPr>
              <w:t xml:space="preserve">że klastrom energii. </w:t>
            </w:r>
          </w:p>
        </w:tc>
      </w:tr>
      <w:tr w:rsidR="00B3612A" w:rsidRPr="00A33B9F" w14:paraId="2915D5E5" w14:textId="77777777" w:rsidTr="1CE0CE0C">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552651F2" w14:textId="206B9393" w:rsidR="002D3EDD" w:rsidRPr="00A33B9F" w:rsidRDefault="00B8314C"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G4G</w:t>
            </w:r>
          </w:p>
        </w:tc>
        <w:tc>
          <w:tcPr>
            <w:tcW w:w="1393" w:type="dxa"/>
            <w:tcBorders>
              <w:top w:val="nil"/>
              <w:left w:val="nil"/>
              <w:bottom w:val="single" w:sz="4" w:space="0" w:color="auto"/>
              <w:right w:val="single" w:sz="4" w:space="0" w:color="auto"/>
            </w:tcBorders>
            <w:shd w:val="clear" w:color="auto" w:fill="C6EFCE"/>
            <w:noWrap/>
          </w:tcPr>
          <w:p w14:paraId="3A22A1E8" w14:textId="358182AC"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G1.1.2 Instalacje odnawialnych źródeł energii realizowane przez społeczności energetyczne</w:t>
            </w:r>
          </w:p>
        </w:tc>
        <w:tc>
          <w:tcPr>
            <w:tcW w:w="1060" w:type="dxa"/>
            <w:tcBorders>
              <w:top w:val="nil"/>
              <w:left w:val="nil"/>
              <w:bottom w:val="single" w:sz="4" w:space="0" w:color="auto"/>
              <w:right w:val="single" w:sz="4" w:space="0" w:color="auto"/>
            </w:tcBorders>
            <w:shd w:val="clear" w:color="auto" w:fill="C6EFCE"/>
            <w:noWrap/>
          </w:tcPr>
          <w:p w14:paraId="5DAA17D2"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88" w:type="dxa"/>
            <w:tcBorders>
              <w:top w:val="nil"/>
              <w:left w:val="nil"/>
              <w:bottom w:val="single" w:sz="4" w:space="0" w:color="auto"/>
              <w:right w:val="single" w:sz="4" w:space="0" w:color="auto"/>
            </w:tcBorders>
            <w:shd w:val="clear" w:color="auto" w:fill="C6EFCE"/>
            <w:noWrap/>
          </w:tcPr>
          <w:p w14:paraId="6160CB9F" w14:textId="31F1A8AD"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Podmioty wspierane</w:t>
            </w:r>
            <w:r w:rsidR="00A33B9F" w:rsidRPr="00A33B9F">
              <w:rPr>
                <w:rFonts w:ascii="Times New Roman" w:hAnsi="Times New Roman"/>
                <w:noProof/>
                <w:sz w:val="18"/>
              </w:rPr>
              <w:t xml:space="preserve"> w ram</w:t>
            </w:r>
            <w:r w:rsidRPr="00A33B9F">
              <w:rPr>
                <w:rFonts w:ascii="Times New Roman" w:hAnsi="Times New Roman"/>
                <w:noProof/>
                <w:sz w:val="18"/>
              </w:rPr>
              <w:t>ach części inwestycyjnej</w:t>
            </w:r>
          </w:p>
        </w:tc>
        <w:tc>
          <w:tcPr>
            <w:tcW w:w="1754" w:type="dxa"/>
            <w:tcBorders>
              <w:top w:val="nil"/>
              <w:left w:val="nil"/>
              <w:bottom w:val="single" w:sz="4" w:space="0" w:color="auto"/>
              <w:right w:val="single" w:sz="4" w:space="0" w:color="auto"/>
            </w:tcBorders>
            <w:shd w:val="clear" w:color="auto" w:fill="C6EFCE"/>
            <w:noWrap/>
          </w:tcPr>
          <w:p w14:paraId="59708806"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1027" w:type="dxa"/>
            <w:tcBorders>
              <w:top w:val="nil"/>
              <w:left w:val="nil"/>
              <w:bottom w:val="single" w:sz="4" w:space="0" w:color="auto"/>
              <w:right w:val="single" w:sz="4" w:space="0" w:color="auto"/>
            </w:tcBorders>
            <w:shd w:val="clear" w:color="auto" w:fill="C6EFCE"/>
            <w:noWrap/>
          </w:tcPr>
          <w:p w14:paraId="4D1F3249"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7" w:type="dxa"/>
            <w:tcBorders>
              <w:top w:val="nil"/>
              <w:left w:val="nil"/>
              <w:bottom w:val="single" w:sz="4" w:space="0" w:color="auto"/>
              <w:right w:val="single" w:sz="4" w:space="0" w:color="auto"/>
            </w:tcBorders>
            <w:shd w:val="clear" w:color="auto" w:fill="C6EFCE"/>
            <w:noWrap/>
          </w:tcPr>
          <w:p w14:paraId="40D8E7C5"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5C4054D2"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10</w:t>
            </w:r>
          </w:p>
        </w:tc>
        <w:tc>
          <w:tcPr>
            <w:tcW w:w="921" w:type="dxa"/>
            <w:tcBorders>
              <w:top w:val="nil"/>
              <w:left w:val="nil"/>
              <w:bottom w:val="single" w:sz="4" w:space="0" w:color="auto"/>
              <w:right w:val="single" w:sz="4" w:space="0" w:color="auto"/>
            </w:tcBorders>
            <w:shd w:val="clear" w:color="auto" w:fill="C6EFCE"/>
            <w:noWrap/>
          </w:tcPr>
          <w:p w14:paraId="2B02D77A"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27113F56"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85" w:type="dxa"/>
            <w:tcBorders>
              <w:top w:val="nil"/>
              <w:left w:val="nil"/>
              <w:bottom w:val="single" w:sz="4" w:space="0" w:color="auto"/>
              <w:right w:val="single" w:sz="4" w:space="0" w:color="auto"/>
            </w:tcBorders>
            <w:shd w:val="clear" w:color="auto" w:fill="C6EFCE"/>
            <w:noWrap/>
          </w:tcPr>
          <w:p w14:paraId="5BB77BD1" w14:textId="5644B832"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umów</w:t>
            </w:r>
            <w:r w:rsidR="00A33B9F" w:rsidRPr="00A33B9F">
              <w:rPr>
                <w:rFonts w:ascii="Times New Roman" w:hAnsi="Times New Roman"/>
                <w:noProof/>
                <w:sz w:val="18"/>
              </w:rPr>
              <w:t xml:space="preserve"> o udz</w:t>
            </w:r>
            <w:r w:rsidRPr="00A33B9F">
              <w:rPr>
                <w:rFonts w:ascii="Times New Roman" w:hAnsi="Times New Roman"/>
                <w:noProof/>
                <w:sz w:val="18"/>
              </w:rPr>
              <w:t>ielenie dotacji podpisanych</w:t>
            </w:r>
            <w:r w:rsidR="00A33B9F" w:rsidRPr="00A33B9F">
              <w:rPr>
                <w:rFonts w:ascii="Times New Roman" w:hAnsi="Times New Roman"/>
                <w:noProof/>
                <w:sz w:val="18"/>
              </w:rPr>
              <w:t xml:space="preserve"> z odb</w:t>
            </w:r>
            <w:r w:rsidRPr="00A33B9F">
              <w:rPr>
                <w:rFonts w:ascii="Times New Roman" w:hAnsi="Times New Roman"/>
                <w:noProof/>
                <w:sz w:val="18"/>
              </w:rPr>
              <w:t>iorcami zgodnie</w:t>
            </w:r>
            <w:r w:rsidR="00A33B9F" w:rsidRPr="00A33B9F">
              <w:rPr>
                <w:rFonts w:ascii="Times New Roman" w:hAnsi="Times New Roman"/>
                <w:noProof/>
                <w:sz w:val="18"/>
              </w:rPr>
              <w:t xml:space="preserve"> z zap</w:t>
            </w:r>
            <w:r w:rsidRPr="00A33B9F">
              <w:rPr>
                <w:rFonts w:ascii="Times New Roman" w:hAnsi="Times New Roman"/>
                <w:noProof/>
                <w:sz w:val="18"/>
              </w:rPr>
              <w:t>roszeniem do składania wniosków</w:t>
            </w:r>
            <w:r w:rsidR="00A33B9F" w:rsidRPr="00A33B9F">
              <w:rPr>
                <w:rFonts w:ascii="Times New Roman" w:hAnsi="Times New Roman"/>
                <w:noProof/>
                <w:sz w:val="18"/>
              </w:rPr>
              <w:t xml:space="preserve"> w ram</w:t>
            </w:r>
            <w:r w:rsidRPr="00A33B9F">
              <w:rPr>
                <w:rFonts w:ascii="Times New Roman" w:hAnsi="Times New Roman"/>
                <w:noProof/>
                <w:sz w:val="18"/>
              </w:rPr>
              <w:t>ach kamienia milowego G2G.</w:t>
            </w:r>
          </w:p>
        </w:tc>
      </w:tr>
      <w:tr w:rsidR="00B3612A" w:rsidRPr="00A33B9F" w14:paraId="4CE266E9" w14:textId="77777777" w:rsidTr="00AD0FC1">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5BB8B48" w14:textId="5A09391B" w:rsidR="002D3EDD" w:rsidRPr="00A33B9F" w:rsidRDefault="00B8314C"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G5G</w:t>
            </w:r>
          </w:p>
        </w:tc>
        <w:tc>
          <w:tcPr>
            <w:tcW w:w="1393" w:type="dxa"/>
            <w:tcBorders>
              <w:top w:val="nil"/>
              <w:left w:val="nil"/>
              <w:bottom w:val="single" w:sz="4" w:space="0" w:color="auto"/>
              <w:right w:val="single" w:sz="4" w:space="0" w:color="auto"/>
            </w:tcBorders>
            <w:shd w:val="clear" w:color="auto" w:fill="C6EFCE"/>
            <w:noWrap/>
          </w:tcPr>
          <w:p w14:paraId="46DB21DF" w14:textId="447ECA4A"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G1.1.2 Instalacje odnawialnych źródeł energii realizowane przez społeczności energetyczne</w:t>
            </w:r>
          </w:p>
        </w:tc>
        <w:tc>
          <w:tcPr>
            <w:tcW w:w="1060" w:type="dxa"/>
            <w:tcBorders>
              <w:top w:val="nil"/>
              <w:left w:val="nil"/>
              <w:bottom w:val="single" w:sz="4" w:space="0" w:color="auto"/>
              <w:right w:val="single" w:sz="4" w:space="0" w:color="auto"/>
            </w:tcBorders>
            <w:shd w:val="clear" w:color="auto" w:fill="C6EFCE"/>
            <w:noWrap/>
          </w:tcPr>
          <w:p w14:paraId="5FAF443F"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88" w:type="dxa"/>
            <w:tcBorders>
              <w:top w:val="nil"/>
              <w:left w:val="nil"/>
              <w:bottom w:val="single" w:sz="4" w:space="0" w:color="auto"/>
              <w:right w:val="single" w:sz="4" w:space="0" w:color="auto"/>
            </w:tcBorders>
            <w:shd w:val="clear" w:color="auto" w:fill="C6EFCE"/>
            <w:noWrap/>
          </w:tcPr>
          <w:p w14:paraId="61DA15BA" w14:textId="2B94DB7B" w:rsidR="002D3EDD" w:rsidRPr="00A33B9F" w:rsidRDefault="00E24630"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Podmioty wspierane</w:t>
            </w:r>
            <w:r w:rsidR="00A33B9F" w:rsidRPr="00A33B9F">
              <w:rPr>
                <w:rFonts w:ascii="Times New Roman" w:hAnsi="Times New Roman"/>
                <w:noProof/>
                <w:sz w:val="18"/>
              </w:rPr>
              <w:t xml:space="preserve"> w ram</w:t>
            </w:r>
            <w:r w:rsidRPr="00A33B9F">
              <w:rPr>
                <w:rFonts w:ascii="Times New Roman" w:hAnsi="Times New Roman"/>
                <w:noProof/>
                <w:sz w:val="18"/>
              </w:rPr>
              <w:t>ach części inwestycyjnej</w:t>
            </w:r>
          </w:p>
        </w:tc>
        <w:tc>
          <w:tcPr>
            <w:tcW w:w="1754" w:type="dxa"/>
            <w:tcBorders>
              <w:top w:val="nil"/>
              <w:left w:val="nil"/>
              <w:bottom w:val="single" w:sz="4" w:space="0" w:color="auto"/>
              <w:right w:val="single" w:sz="4" w:space="0" w:color="auto"/>
            </w:tcBorders>
            <w:shd w:val="clear" w:color="auto" w:fill="C6EFCE"/>
            <w:noWrap/>
          </w:tcPr>
          <w:p w14:paraId="06806F8B"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1027" w:type="dxa"/>
            <w:tcBorders>
              <w:top w:val="nil"/>
              <w:left w:val="nil"/>
              <w:bottom w:val="single" w:sz="4" w:space="0" w:color="auto"/>
              <w:right w:val="single" w:sz="4" w:space="0" w:color="auto"/>
            </w:tcBorders>
            <w:shd w:val="clear" w:color="auto" w:fill="C6EFCE"/>
            <w:noWrap/>
          </w:tcPr>
          <w:p w14:paraId="0843DB5A"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7" w:type="dxa"/>
            <w:tcBorders>
              <w:top w:val="nil"/>
              <w:left w:val="nil"/>
              <w:bottom w:val="single" w:sz="4" w:space="0" w:color="auto"/>
              <w:right w:val="single" w:sz="4" w:space="0" w:color="auto"/>
            </w:tcBorders>
            <w:shd w:val="clear" w:color="auto" w:fill="C6EFCE"/>
            <w:noWrap/>
          </w:tcPr>
          <w:p w14:paraId="2E42B37C"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10</w:t>
            </w:r>
          </w:p>
        </w:tc>
        <w:tc>
          <w:tcPr>
            <w:tcW w:w="709" w:type="dxa"/>
            <w:tcBorders>
              <w:top w:val="nil"/>
              <w:left w:val="nil"/>
              <w:bottom w:val="single" w:sz="4" w:space="0" w:color="auto"/>
              <w:right w:val="single" w:sz="4" w:space="0" w:color="auto"/>
            </w:tcBorders>
            <w:shd w:val="clear" w:color="auto" w:fill="C6EFCE"/>
            <w:noWrap/>
          </w:tcPr>
          <w:p w14:paraId="4FEC60D5"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w:t>
            </w:r>
          </w:p>
        </w:tc>
        <w:tc>
          <w:tcPr>
            <w:tcW w:w="921" w:type="dxa"/>
            <w:tcBorders>
              <w:top w:val="nil"/>
              <w:left w:val="nil"/>
              <w:bottom w:val="single" w:sz="4" w:space="0" w:color="auto"/>
              <w:right w:val="single" w:sz="4" w:space="0" w:color="auto"/>
            </w:tcBorders>
            <w:shd w:val="clear" w:color="auto" w:fill="C6EFCE"/>
            <w:noWrap/>
          </w:tcPr>
          <w:p w14:paraId="3A4B9B7A"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019877D5" w14:textId="256D8DCF"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85" w:type="dxa"/>
            <w:tcBorders>
              <w:top w:val="nil"/>
              <w:left w:val="nil"/>
              <w:bottom w:val="single" w:sz="4" w:space="0" w:color="auto"/>
              <w:right w:val="single" w:sz="4" w:space="0" w:color="auto"/>
            </w:tcBorders>
            <w:shd w:val="clear" w:color="auto" w:fill="C6EFCE"/>
            <w:noWrap/>
          </w:tcPr>
          <w:p w14:paraId="33227B56" w14:textId="7E22B1F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umów</w:t>
            </w:r>
            <w:r w:rsidR="00A33B9F" w:rsidRPr="00A33B9F">
              <w:rPr>
                <w:rFonts w:ascii="Times New Roman" w:hAnsi="Times New Roman"/>
                <w:noProof/>
                <w:sz w:val="18"/>
              </w:rPr>
              <w:t xml:space="preserve"> o udz</w:t>
            </w:r>
            <w:r w:rsidRPr="00A33B9F">
              <w:rPr>
                <w:rFonts w:ascii="Times New Roman" w:hAnsi="Times New Roman"/>
                <w:noProof/>
                <w:sz w:val="18"/>
              </w:rPr>
              <w:t>ielenie dotacji podpisanych</w:t>
            </w:r>
            <w:r w:rsidR="00A33B9F" w:rsidRPr="00A33B9F">
              <w:rPr>
                <w:rFonts w:ascii="Times New Roman" w:hAnsi="Times New Roman"/>
                <w:noProof/>
                <w:sz w:val="18"/>
              </w:rPr>
              <w:t xml:space="preserve"> z odb</w:t>
            </w:r>
            <w:r w:rsidRPr="00A33B9F">
              <w:rPr>
                <w:rFonts w:ascii="Times New Roman" w:hAnsi="Times New Roman"/>
                <w:noProof/>
                <w:sz w:val="18"/>
              </w:rPr>
              <w:t>iorcami zgodnie</w:t>
            </w:r>
            <w:r w:rsidR="00A33B9F" w:rsidRPr="00A33B9F">
              <w:rPr>
                <w:rFonts w:ascii="Times New Roman" w:hAnsi="Times New Roman"/>
                <w:noProof/>
                <w:sz w:val="18"/>
              </w:rPr>
              <w:t xml:space="preserve"> z zap</w:t>
            </w:r>
            <w:r w:rsidRPr="00A33B9F">
              <w:rPr>
                <w:rFonts w:ascii="Times New Roman" w:hAnsi="Times New Roman"/>
                <w:noProof/>
                <w:sz w:val="18"/>
              </w:rPr>
              <w:t>roszeniem do składania wniosków</w:t>
            </w:r>
            <w:r w:rsidR="00A33B9F" w:rsidRPr="00A33B9F">
              <w:rPr>
                <w:rFonts w:ascii="Times New Roman" w:hAnsi="Times New Roman"/>
                <w:noProof/>
                <w:sz w:val="18"/>
              </w:rPr>
              <w:t xml:space="preserve"> w ram</w:t>
            </w:r>
            <w:r w:rsidRPr="00A33B9F">
              <w:rPr>
                <w:rFonts w:ascii="Times New Roman" w:hAnsi="Times New Roman"/>
                <w:noProof/>
                <w:sz w:val="18"/>
              </w:rPr>
              <w:t>ach kamienia milowego G2G.</w:t>
            </w:r>
          </w:p>
        </w:tc>
      </w:tr>
      <w:tr w:rsidR="00B3612A" w:rsidRPr="00A33B9F" w14:paraId="03D0F279" w14:textId="77777777" w:rsidTr="00AD0FC1">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78146C2E" w14:textId="54F8A01A" w:rsidR="002D3EDD" w:rsidRPr="00A33B9F" w:rsidRDefault="00B8314C"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G6G</w:t>
            </w:r>
          </w:p>
        </w:tc>
        <w:tc>
          <w:tcPr>
            <w:tcW w:w="1393" w:type="dxa"/>
            <w:tcBorders>
              <w:top w:val="nil"/>
              <w:left w:val="nil"/>
              <w:bottom w:val="single" w:sz="4" w:space="0" w:color="auto"/>
              <w:right w:val="single" w:sz="4" w:space="0" w:color="auto"/>
            </w:tcBorders>
            <w:shd w:val="clear" w:color="auto" w:fill="C6EFCE"/>
            <w:noWrap/>
          </w:tcPr>
          <w:p w14:paraId="428715F9" w14:textId="7B4BBBF1" w:rsidR="002D3EDD" w:rsidRPr="00A33B9F" w:rsidRDefault="002D3EDD" w:rsidP="004C2912">
            <w:pPr>
              <w:spacing w:after="0" w:line="240" w:lineRule="auto"/>
              <w:rPr>
                <w:rFonts w:ascii="Times New Roman" w:hAnsi="Times New Roman"/>
                <w:noProof/>
                <w:sz w:val="18"/>
                <w:szCs w:val="18"/>
              </w:rPr>
            </w:pPr>
            <w:r w:rsidRPr="00A33B9F">
              <w:rPr>
                <w:rFonts w:ascii="Times New Roman" w:hAnsi="Times New Roman"/>
                <w:noProof/>
                <w:sz w:val="18"/>
              </w:rPr>
              <w:t>G1.1.3 Systemy magazynowania energii (wsparcie bezzwrotne)</w:t>
            </w:r>
          </w:p>
        </w:tc>
        <w:tc>
          <w:tcPr>
            <w:tcW w:w="1060" w:type="dxa"/>
            <w:tcBorders>
              <w:top w:val="nil"/>
              <w:left w:val="nil"/>
              <w:bottom w:val="single" w:sz="4" w:space="0" w:color="auto"/>
              <w:right w:val="single" w:sz="4" w:space="0" w:color="auto"/>
            </w:tcBorders>
            <w:shd w:val="clear" w:color="auto" w:fill="C6EFCE"/>
            <w:noWrap/>
          </w:tcPr>
          <w:p w14:paraId="5362D5A3"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88" w:type="dxa"/>
            <w:tcBorders>
              <w:top w:val="nil"/>
              <w:left w:val="nil"/>
              <w:bottom w:val="single" w:sz="4" w:space="0" w:color="auto"/>
              <w:right w:val="single" w:sz="4" w:space="0" w:color="auto"/>
            </w:tcBorders>
            <w:shd w:val="clear" w:color="auto" w:fill="C6EFCE"/>
            <w:noWrap/>
          </w:tcPr>
          <w:p w14:paraId="11AAA270" w14:textId="6122DD42" w:rsidR="002D3EDD" w:rsidRPr="00A33B9F" w:rsidRDefault="25EDD329" w:rsidP="004C2912">
            <w:pPr>
              <w:spacing w:after="0" w:line="240" w:lineRule="auto"/>
              <w:rPr>
                <w:rFonts w:ascii="Times New Roman" w:hAnsi="Times New Roman"/>
                <w:noProof/>
                <w:sz w:val="18"/>
                <w:szCs w:val="18"/>
              </w:rPr>
            </w:pPr>
            <w:r w:rsidRPr="00A33B9F">
              <w:rPr>
                <w:rFonts w:ascii="Times New Roman" w:hAnsi="Times New Roman"/>
                <w:noProof/>
                <w:sz w:val="18"/>
              </w:rPr>
              <w:t>Wdrożenie wielkoskalowego systemu magazynowania energii (BESS)</w:t>
            </w:r>
          </w:p>
        </w:tc>
        <w:tc>
          <w:tcPr>
            <w:tcW w:w="1754" w:type="dxa"/>
            <w:tcBorders>
              <w:top w:val="single" w:sz="4" w:space="0" w:color="auto"/>
              <w:left w:val="nil"/>
              <w:bottom w:val="single" w:sz="4" w:space="0" w:color="auto"/>
              <w:right w:val="single" w:sz="4" w:space="0" w:color="auto"/>
            </w:tcBorders>
            <w:shd w:val="clear" w:color="auto" w:fill="C6EFCE"/>
            <w:noWrap/>
          </w:tcPr>
          <w:p w14:paraId="5A265C75" w14:textId="5C2EFE4A" w:rsidR="002D3EDD" w:rsidRPr="00A33B9F" w:rsidRDefault="002D3EDD" w:rsidP="004C2912">
            <w:pPr>
              <w:spacing w:after="0" w:line="240" w:lineRule="auto"/>
              <w:rPr>
                <w:rFonts w:ascii="Times New Roman" w:hAnsi="Times New Roman"/>
                <w:noProof/>
                <w:sz w:val="18"/>
                <w:szCs w:val="18"/>
              </w:rPr>
            </w:pPr>
            <w:r w:rsidRPr="00A33B9F">
              <w:rPr>
                <w:rFonts w:ascii="Times New Roman" w:hAnsi="Times New Roman"/>
                <w:noProof/>
                <w:sz w:val="18"/>
              </w:rPr>
              <w:t>Rozpoczęcie eksploatacji wielkoskalowego systemu magazynowania energii (BESS)</w:t>
            </w:r>
          </w:p>
        </w:tc>
        <w:tc>
          <w:tcPr>
            <w:tcW w:w="1027" w:type="dxa"/>
            <w:tcBorders>
              <w:top w:val="nil"/>
              <w:left w:val="nil"/>
              <w:bottom w:val="single" w:sz="4" w:space="0" w:color="auto"/>
              <w:right w:val="single" w:sz="4" w:space="0" w:color="auto"/>
            </w:tcBorders>
            <w:shd w:val="clear" w:color="auto" w:fill="C6EFCE"/>
            <w:noWrap/>
          </w:tcPr>
          <w:p w14:paraId="00E1C4F5" w14:textId="6D4F756D" w:rsidR="002D3EDD" w:rsidRPr="00A33B9F" w:rsidRDefault="002D3EDD" w:rsidP="248F6EA0">
            <w:pPr>
              <w:spacing w:after="0" w:line="240" w:lineRule="auto"/>
              <w:rPr>
                <w:rFonts w:ascii="Times New Roman" w:eastAsia="Times New Roman" w:hAnsi="Times New Roman" w:cs="Times New Roman"/>
                <w:noProof/>
                <w:sz w:val="18"/>
                <w:szCs w:val="18"/>
                <w:lang w:eastAsia="en-GB"/>
              </w:rPr>
            </w:pPr>
          </w:p>
          <w:p w14:paraId="0CB5D012" w14:textId="5BDBDF40"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14:paraId="35FBF4AB"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1DE60B75"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1D5237FC"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763A8607"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85" w:type="dxa"/>
            <w:tcBorders>
              <w:top w:val="nil"/>
              <w:left w:val="nil"/>
              <w:bottom w:val="single" w:sz="4" w:space="0" w:color="auto"/>
              <w:right w:val="single" w:sz="4" w:space="0" w:color="auto"/>
            </w:tcBorders>
            <w:shd w:val="clear" w:color="auto" w:fill="C6EFCE"/>
            <w:noWrap/>
          </w:tcPr>
          <w:p w14:paraId="3E349F52" w14:textId="29A3696F"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Rozpoczęcie eksploatacji wielkoskalowego systemu magazynowania energii (BESS)</w:t>
            </w:r>
            <w:r w:rsidR="00A33B9F" w:rsidRPr="00A33B9F">
              <w:rPr>
                <w:rFonts w:ascii="Times New Roman" w:hAnsi="Times New Roman"/>
                <w:noProof/>
                <w:sz w:val="18"/>
              </w:rPr>
              <w:t xml:space="preserve"> o poj</w:t>
            </w:r>
            <w:r w:rsidRPr="00A33B9F">
              <w:rPr>
                <w:rFonts w:ascii="Times New Roman" w:hAnsi="Times New Roman"/>
                <w:noProof/>
                <w:sz w:val="18"/>
              </w:rPr>
              <w:t>emności 0,9 GWh</w:t>
            </w:r>
            <w:r w:rsidR="00A33B9F" w:rsidRPr="00A33B9F">
              <w:rPr>
                <w:rFonts w:ascii="Times New Roman" w:hAnsi="Times New Roman"/>
                <w:noProof/>
                <w:sz w:val="18"/>
              </w:rPr>
              <w:t xml:space="preserve"> i cza</w:t>
            </w:r>
            <w:r w:rsidRPr="00A33B9F">
              <w:rPr>
                <w:rFonts w:ascii="Times New Roman" w:hAnsi="Times New Roman"/>
                <w:noProof/>
                <w:sz w:val="18"/>
              </w:rPr>
              <w:t>sie pracy między 4</w:t>
            </w:r>
            <w:r w:rsidR="00A33B9F" w:rsidRPr="00A33B9F">
              <w:rPr>
                <w:rFonts w:ascii="Times New Roman" w:hAnsi="Times New Roman"/>
                <w:noProof/>
                <w:sz w:val="18"/>
              </w:rPr>
              <w:t xml:space="preserve"> a 5</w:t>
            </w:r>
            <w:r w:rsidRPr="00A33B9F">
              <w:rPr>
                <w:rFonts w:ascii="Times New Roman" w:hAnsi="Times New Roman"/>
                <w:noProof/>
                <w:sz w:val="18"/>
              </w:rPr>
              <w:t xml:space="preserve"> godzin.</w:t>
            </w:r>
            <w:r w:rsidR="00C3621A" w:rsidRPr="00A33B9F">
              <w:rPr>
                <w:rFonts w:ascii="Times New Roman" w:hAnsi="Times New Roman"/>
                <w:noProof/>
                <w:sz w:val="18"/>
              </w:rPr>
              <w:t xml:space="preserve"> </w:t>
            </w:r>
            <w:r w:rsidRPr="00A33B9F">
              <w:rPr>
                <w:rFonts w:ascii="Times New Roman" w:hAnsi="Times New Roman"/>
                <w:noProof/>
                <w:sz w:val="18"/>
              </w:rPr>
              <w:t>Te nowe zdolności magazynowania zostaną</w:t>
            </w:r>
            <w:r w:rsidR="00A33B9F" w:rsidRPr="00A33B9F">
              <w:rPr>
                <w:rFonts w:ascii="Times New Roman" w:hAnsi="Times New Roman"/>
                <w:noProof/>
                <w:sz w:val="18"/>
              </w:rPr>
              <w:t xml:space="preserve"> w peł</w:t>
            </w:r>
            <w:r w:rsidRPr="00A33B9F">
              <w:rPr>
                <w:rFonts w:ascii="Times New Roman" w:hAnsi="Times New Roman"/>
                <w:noProof/>
                <w:sz w:val="18"/>
              </w:rPr>
              <w:t>ni zintegrowane</w:t>
            </w:r>
            <w:r w:rsidR="00A33B9F" w:rsidRPr="00A33B9F">
              <w:rPr>
                <w:rFonts w:ascii="Times New Roman" w:hAnsi="Times New Roman"/>
                <w:noProof/>
                <w:sz w:val="18"/>
              </w:rPr>
              <w:t xml:space="preserve"> w sie</w:t>
            </w:r>
            <w:r w:rsidRPr="00A33B9F">
              <w:rPr>
                <w:rFonts w:ascii="Times New Roman" w:hAnsi="Times New Roman"/>
                <w:noProof/>
                <w:sz w:val="18"/>
              </w:rPr>
              <w:t>ci elektroenergetycznej.</w:t>
            </w:r>
          </w:p>
        </w:tc>
      </w:tr>
      <w:tr w:rsidR="00B3612A" w:rsidRPr="00A33B9F" w14:paraId="731F174C" w14:textId="77777777" w:rsidTr="1CE0CE0C">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313315B1" w14:textId="586D227C" w:rsidR="002D3EDD" w:rsidRPr="00A33B9F" w:rsidRDefault="002D1BAB"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G7G</w:t>
            </w:r>
          </w:p>
        </w:tc>
        <w:tc>
          <w:tcPr>
            <w:tcW w:w="1393" w:type="dxa"/>
            <w:tcBorders>
              <w:top w:val="nil"/>
              <w:left w:val="nil"/>
              <w:bottom w:val="single" w:sz="4" w:space="0" w:color="auto"/>
              <w:right w:val="single" w:sz="4" w:space="0" w:color="auto"/>
            </w:tcBorders>
            <w:shd w:val="clear" w:color="auto" w:fill="C6EFCE"/>
            <w:noWrap/>
          </w:tcPr>
          <w:p w14:paraId="0FD3E4BF" w14:textId="4B24968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G1.1.4 Wsparcie dla instytucji wdrażających reformy</w:t>
            </w:r>
            <w:r w:rsidR="00A33B9F" w:rsidRPr="00A33B9F">
              <w:rPr>
                <w:rFonts w:ascii="Times New Roman" w:hAnsi="Times New Roman"/>
                <w:noProof/>
                <w:sz w:val="18"/>
              </w:rPr>
              <w:t xml:space="preserve"> i inw</w:t>
            </w:r>
            <w:r w:rsidRPr="00A33B9F">
              <w:rPr>
                <w:rFonts w:ascii="Times New Roman" w:hAnsi="Times New Roman"/>
                <w:noProof/>
                <w:sz w:val="18"/>
              </w:rPr>
              <w:t>estycje</w:t>
            </w:r>
            <w:r w:rsidR="00A33B9F" w:rsidRPr="00A33B9F">
              <w:rPr>
                <w:rFonts w:ascii="Times New Roman" w:hAnsi="Times New Roman"/>
                <w:noProof/>
                <w:sz w:val="18"/>
              </w:rPr>
              <w:t xml:space="preserve"> w ram</w:t>
            </w:r>
            <w:r w:rsidRPr="00A33B9F">
              <w:rPr>
                <w:rFonts w:ascii="Times New Roman" w:hAnsi="Times New Roman"/>
                <w:noProof/>
                <w:sz w:val="18"/>
              </w:rPr>
              <w:t>ach REPowerEU</w:t>
            </w:r>
          </w:p>
        </w:tc>
        <w:tc>
          <w:tcPr>
            <w:tcW w:w="1060" w:type="dxa"/>
            <w:tcBorders>
              <w:top w:val="nil"/>
              <w:left w:val="nil"/>
              <w:bottom w:val="single" w:sz="4" w:space="0" w:color="auto"/>
              <w:right w:val="single" w:sz="4" w:space="0" w:color="auto"/>
            </w:tcBorders>
            <w:shd w:val="clear" w:color="auto" w:fill="C6EFCE"/>
            <w:noWrap/>
          </w:tcPr>
          <w:p w14:paraId="4EFB24C4"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88" w:type="dxa"/>
            <w:tcBorders>
              <w:top w:val="nil"/>
              <w:left w:val="nil"/>
              <w:bottom w:val="single" w:sz="4" w:space="0" w:color="auto"/>
              <w:right w:val="single" w:sz="4" w:space="0" w:color="auto"/>
            </w:tcBorders>
            <w:shd w:val="clear" w:color="auto" w:fill="C6EFCE"/>
            <w:noWrap/>
          </w:tcPr>
          <w:p w14:paraId="13BE4195" w14:textId="082B01B5"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Zwiększenie zdolności administracyjnych</w:t>
            </w:r>
            <w:r w:rsidR="00A33B9F" w:rsidRPr="00A33B9F">
              <w:rPr>
                <w:rFonts w:ascii="Times New Roman" w:hAnsi="Times New Roman"/>
                <w:noProof/>
                <w:sz w:val="18"/>
              </w:rPr>
              <w:t xml:space="preserve"> w cel</w:t>
            </w:r>
            <w:r w:rsidRPr="00A33B9F">
              <w:rPr>
                <w:rFonts w:ascii="Times New Roman" w:hAnsi="Times New Roman"/>
                <w:noProof/>
                <w:sz w:val="18"/>
              </w:rPr>
              <w:t>u wdrożenia reform</w:t>
            </w:r>
            <w:r w:rsidR="00A33B9F" w:rsidRPr="00A33B9F">
              <w:rPr>
                <w:rFonts w:ascii="Times New Roman" w:hAnsi="Times New Roman"/>
                <w:noProof/>
                <w:sz w:val="18"/>
              </w:rPr>
              <w:t xml:space="preserve"> i inw</w:t>
            </w:r>
            <w:r w:rsidRPr="00A33B9F">
              <w:rPr>
                <w:rFonts w:ascii="Times New Roman" w:hAnsi="Times New Roman"/>
                <w:noProof/>
                <w:sz w:val="18"/>
              </w:rPr>
              <w:t>estycji</w:t>
            </w:r>
            <w:r w:rsidR="00A33B9F" w:rsidRPr="00A33B9F">
              <w:rPr>
                <w:rFonts w:ascii="Times New Roman" w:hAnsi="Times New Roman"/>
                <w:noProof/>
                <w:sz w:val="18"/>
              </w:rPr>
              <w:t xml:space="preserve"> w ram</w:t>
            </w:r>
            <w:r w:rsidRPr="00A33B9F">
              <w:rPr>
                <w:rFonts w:ascii="Times New Roman" w:hAnsi="Times New Roman"/>
                <w:noProof/>
                <w:sz w:val="18"/>
              </w:rPr>
              <w:t>ach REPowerEU</w:t>
            </w:r>
          </w:p>
        </w:tc>
        <w:tc>
          <w:tcPr>
            <w:tcW w:w="1754" w:type="dxa"/>
            <w:tcBorders>
              <w:top w:val="nil"/>
              <w:left w:val="nil"/>
              <w:bottom w:val="single" w:sz="4" w:space="0" w:color="auto"/>
              <w:right w:val="single" w:sz="4" w:space="0" w:color="auto"/>
            </w:tcBorders>
            <w:shd w:val="clear" w:color="auto" w:fill="C6EFCE"/>
            <w:noWrap/>
          </w:tcPr>
          <w:p w14:paraId="04E6A475" w14:textId="4190C6DA" w:rsidR="002D3EDD" w:rsidRPr="00A33B9F" w:rsidRDefault="002D3EDD" w:rsidP="004C2912">
            <w:pPr>
              <w:spacing w:after="0" w:line="240" w:lineRule="auto"/>
              <w:rPr>
                <w:rFonts w:ascii="Times New Roman" w:hAnsi="Times New Roman"/>
                <w:noProof/>
                <w:sz w:val="18"/>
                <w:szCs w:val="18"/>
              </w:rPr>
            </w:pPr>
          </w:p>
        </w:tc>
        <w:tc>
          <w:tcPr>
            <w:tcW w:w="1027" w:type="dxa"/>
            <w:tcBorders>
              <w:top w:val="nil"/>
              <w:left w:val="nil"/>
              <w:bottom w:val="single" w:sz="4" w:space="0" w:color="auto"/>
              <w:right w:val="single" w:sz="4" w:space="0" w:color="auto"/>
            </w:tcBorders>
            <w:shd w:val="clear" w:color="auto" w:fill="C6EFCE"/>
            <w:noWrap/>
          </w:tcPr>
          <w:p w14:paraId="1F3FE03E"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7" w:type="dxa"/>
            <w:tcBorders>
              <w:top w:val="nil"/>
              <w:left w:val="nil"/>
              <w:bottom w:val="single" w:sz="4" w:space="0" w:color="auto"/>
              <w:right w:val="single" w:sz="4" w:space="0" w:color="auto"/>
            </w:tcBorders>
            <w:shd w:val="clear" w:color="auto" w:fill="C6EFCE"/>
            <w:noWrap/>
          </w:tcPr>
          <w:p w14:paraId="708A65CA"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086FEA3A"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106</w:t>
            </w:r>
          </w:p>
        </w:tc>
        <w:tc>
          <w:tcPr>
            <w:tcW w:w="921" w:type="dxa"/>
            <w:tcBorders>
              <w:top w:val="nil"/>
              <w:left w:val="nil"/>
              <w:bottom w:val="single" w:sz="4" w:space="0" w:color="auto"/>
              <w:right w:val="single" w:sz="4" w:space="0" w:color="auto"/>
            </w:tcBorders>
            <w:shd w:val="clear" w:color="auto" w:fill="C6EFCE"/>
            <w:noWrap/>
          </w:tcPr>
          <w:p w14:paraId="48795FA7" w14:textId="7C3BBCB3" w:rsidR="002D3EDD" w:rsidRPr="00A33B9F" w:rsidRDefault="4CED5458"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7357666D"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3685" w:type="dxa"/>
            <w:tcBorders>
              <w:top w:val="nil"/>
              <w:left w:val="nil"/>
              <w:bottom w:val="single" w:sz="4" w:space="0" w:color="auto"/>
              <w:right w:val="single" w:sz="4" w:space="0" w:color="auto"/>
            </w:tcBorders>
            <w:shd w:val="clear" w:color="auto" w:fill="C6EFCE"/>
            <w:noWrap/>
          </w:tcPr>
          <w:p w14:paraId="0FFDDA27" w14:textId="56777E28" w:rsidR="00892C2D" w:rsidRPr="00A33B9F" w:rsidRDefault="00892C2D" w:rsidP="00643A47">
            <w:pPr>
              <w:spacing w:after="0" w:line="240" w:lineRule="auto"/>
              <w:jc w:val="both"/>
              <w:rPr>
                <w:rFonts w:ascii="Times New Roman" w:hAnsi="Times New Roman" w:cs="Times New Roman"/>
                <w:noProof/>
                <w:color w:val="000000"/>
                <w:sz w:val="18"/>
                <w:szCs w:val="18"/>
              </w:rPr>
            </w:pPr>
            <w:r w:rsidRPr="00A33B9F">
              <w:rPr>
                <w:rFonts w:ascii="Times New Roman" w:hAnsi="Times New Roman"/>
                <w:noProof/>
                <w:color w:val="000000" w:themeColor="text1"/>
                <w:sz w:val="18"/>
              </w:rPr>
              <w:t>W administracji centralnej co najmniej 106 nowych osób</w:t>
            </w:r>
            <w:r w:rsidR="00A33B9F" w:rsidRPr="00A33B9F">
              <w:rPr>
                <w:rFonts w:ascii="Times New Roman" w:hAnsi="Times New Roman"/>
                <w:noProof/>
                <w:color w:val="000000" w:themeColor="text1"/>
                <w:sz w:val="18"/>
              </w:rPr>
              <w:t xml:space="preserve"> w ekw</w:t>
            </w:r>
            <w:r w:rsidRPr="00A33B9F">
              <w:rPr>
                <w:rFonts w:ascii="Times New Roman" w:hAnsi="Times New Roman"/>
                <w:noProof/>
                <w:color w:val="000000" w:themeColor="text1"/>
                <w:sz w:val="18"/>
              </w:rPr>
              <w:t xml:space="preserve">iwalentach pełnego czasu pracy zostanie przeznaczonych do </w:t>
            </w:r>
            <w:r w:rsidRPr="00A33B9F">
              <w:rPr>
                <w:rFonts w:ascii="Times New Roman" w:hAnsi="Times New Roman"/>
                <w:noProof/>
                <w:sz w:val="18"/>
              </w:rPr>
              <w:t>wdrożenia reform</w:t>
            </w:r>
            <w:r w:rsidR="00A33B9F" w:rsidRPr="00A33B9F">
              <w:rPr>
                <w:rFonts w:ascii="Times New Roman" w:hAnsi="Times New Roman"/>
                <w:noProof/>
                <w:sz w:val="18"/>
              </w:rPr>
              <w:t xml:space="preserve"> i inw</w:t>
            </w:r>
            <w:r w:rsidRPr="00A33B9F">
              <w:rPr>
                <w:rFonts w:ascii="Times New Roman" w:hAnsi="Times New Roman"/>
                <w:noProof/>
                <w:sz w:val="18"/>
              </w:rPr>
              <w:t>estycji</w:t>
            </w:r>
            <w:r w:rsidR="00A33B9F" w:rsidRPr="00A33B9F">
              <w:rPr>
                <w:rFonts w:ascii="Times New Roman" w:hAnsi="Times New Roman"/>
                <w:noProof/>
                <w:sz w:val="18"/>
              </w:rPr>
              <w:t xml:space="preserve"> w ram</w:t>
            </w:r>
            <w:r w:rsidRPr="00A33B9F">
              <w:rPr>
                <w:rFonts w:ascii="Times New Roman" w:hAnsi="Times New Roman"/>
                <w:noProof/>
                <w:sz w:val="18"/>
              </w:rPr>
              <w:t>ach REPowerEU,</w:t>
            </w:r>
            <w:r w:rsidR="00A33B9F" w:rsidRPr="00A33B9F">
              <w:rPr>
                <w:rFonts w:ascii="Times New Roman" w:hAnsi="Times New Roman"/>
                <w:noProof/>
                <w:sz w:val="18"/>
              </w:rPr>
              <w:t xml:space="preserve"> w tym</w:t>
            </w:r>
            <w:r w:rsidRPr="00A33B9F">
              <w:rPr>
                <w:rFonts w:ascii="Times New Roman" w:hAnsi="Times New Roman"/>
                <w:noProof/>
                <w:sz w:val="18"/>
              </w:rPr>
              <w:t xml:space="preserve"> cyfryzacji procedur wydawania pozwoleń na odnawialne źródła energii</w:t>
            </w:r>
            <w:r w:rsidR="00A33B9F" w:rsidRPr="00A33B9F">
              <w:rPr>
                <w:rFonts w:ascii="Times New Roman" w:hAnsi="Times New Roman"/>
                <w:noProof/>
                <w:sz w:val="18"/>
              </w:rPr>
              <w:t xml:space="preserve"> i sie</w:t>
            </w:r>
            <w:r w:rsidRPr="00A33B9F">
              <w:rPr>
                <w:rFonts w:ascii="Times New Roman" w:hAnsi="Times New Roman"/>
                <w:noProof/>
                <w:sz w:val="18"/>
              </w:rPr>
              <w:t>ci elektroenergetyczne</w:t>
            </w:r>
            <w:r w:rsidRPr="00A33B9F">
              <w:rPr>
                <w:rFonts w:ascii="Times New Roman" w:hAnsi="Times New Roman"/>
                <w:noProof/>
                <w:color w:val="000000" w:themeColor="text1"/>
                <w:sz w:val="18"/>
              </w:rPr>
              <w:t xml:space="preserve"> lub cyfryzacji rozwoju sieci</w:t>
            </w:r>
            <w:r w:rsidR="00A33B9F" w:rsidRPr="00A33B9F">
              <w:rPr>
                <w:rFonts w:ascii="Times New Roman" w:hAnsi="Times New Roman"/>
                <w:noProof/>
                <w:color w:val="000000" w:themeColor="text1"/>
                <w:sz w:val="18"/>
              </w:rPr>
              <w:t xml:space="preserve"> i pro</w:t>
            </w:r>
            <w:r w:rsidRPr="00A33B9F">
              <w:rPr>
                <w:rFonts w:ascii="Times New Roman" w:hAnsi="Times New Roman"/>
                <w:noProof/>
                <w:color w:val="000000" w:themeColor="text1"/>
                <w:sz w:val="18"/>
              </w:rPr>
              <w:t>cesu przyłączenia do sieci elektroenergetycznych. </w:t>
            </w:r>
          </w:p>
          <w:p w14:paraId="6FDC57BE" w14:textId="5E028D0F" w:rsidR="001C6540" w:rsidRPr="00A33B9F" w:rsidRDefault="001C6540" w:rsidP="00643A47">
            <w:pPr>
              <w:spacing w:after="0" w:line="240" w:lineRule="auto"/>
              <w:jc w:val="both"/>
              <w:rPr>
                <w:rFonts w:ascii="Times New Roman" w:eastAsia="Times New Roman" w:hAnsi="Times New Roman" w:cs="Times New Roman"/>
                <w:noProof/>
                <w:sz w:val="18"/>
                <w:szCs w:val="18"/>
                <w:lang w:eastAsia="en-GB"/>
              </w:rPr>
            </w:pPr>
          </w:p>
        </w:tc>
      </w:tr>
      <w:tr w:rsidR="00B3612A" w:rsidRPr="00A33B9F" w14:paraId="51E04D2B" w14:textId="77777777" w:rsidTr="00AD0FC1">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ACDA172" w14:textId="6DD0C79C" w:rsidR="002D3EDD" w:rsidRPr="00A33B9F" w:rsidRDefault="00BD4532" w:rsidP="00B92A95">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G8G</w:t>
            </w:r>
          </w:p>
        </w:tc>
        <w:tc>
          <w:tcPr>
            <w:tcW w:w="1393" w:type="dxa"/>
            <w:tcBorders>
              <w:top w:val="nil"/>
              <w:left w:val="nil"/>
              <w:bottom w:val="single" w:sz="4" w:space="0" w:color="auto"/>
              <w:right w:val="single" w:sz="4" w:space="0" w:color="auto"/>
            </w:tcBorders>
            <w:shd w:val="clear" w:color="auto" w:fill="C6EFCE"/>
            <w:noWrap/>
          </w:tcPr>
          <w:p w14:paraId="0DB73602" w14:textId="31D5966F"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G1.1.4 Wsparcie dla instytucji wdrażających reformy</w:t>
            </w:r>
            <w:r w:rsidR="00A33B9F" w:rsidRPr="00A33B9F">
              <w:rPr>
                <w:rFonts w:ascii="Times New Roman" w:hAnsi="Times New Roman"/>
                <w:noProof/>
                <w:sz w:val="18"/>
              </w:rPr>
              <w:t xml:space="preserve"> i inw</w:t>
            </w:r>
            <w:r w:rsidRPr="00A33B9F">
              <w:rPr>
                <w:rFonts w:ascii="Times New Roman" w:hAnsi="Times New Roman"/>
                <w:noProof/>
                <w:sz w:val="18"/>
              </w:rPr>
              <w:t>estycje</w:t>
            </w:r>
            <w:r w:rsidR="00A33B9F" w:rsidRPr="00A33B9F">
              <w:rPr>
                <w:rFonts w:ascii="Times New Roman" w:hAnsi="Times New Roman"/>
                <w:noProof/>
                <w:sz w:val="18"/>
              </w:rPr>
              <w:t xml:space="preserve"> w ram</w:t>
            </w:r>
            <w:r w:rsidRPr="00A33B9F">
              <w:rPr>
                <w:rFonts w:ascii="Times New Roman" w:hAnsi="Times New Roman"/>
                <w:noProof/>
                <w:sz w:val="18"/>
              </w:rPr>
              <w:t>ach REPowerEU</w:t>
            </w:r>
          </w:p>
        </w:tc>
        <w:tc>
          <w:tcPr>
            <w:tcW w:w="1060" w:type="dxa"/>
            <w:tcBorders>
              <w:top w:val="nil"/>
              <w:left w:val="nil"/>
              <w:bottom w:val="single" w:sz="4" w:space="0" w:color="auto"/>
              <w:right w:val="single" w:sz="4" w:space="0" w:color="auto"/>
            </w:tcBorders>
            <w:shd w:val="clear" w:color="auto" w:fill="C6EFCE"/>
            <w:noWrap/>
          </w:tcPr>
          <w:p w14:paraId="489FA8EB"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88" w:type="dxa"/>
            <w:tcBorders>
              <w:top w:val="nil"/>
              <w:left w:val="nil"/>
              <w:bottom w:val="single" w:sz="4" w:space="0" w:color="auto"/>
              <w:right w:val="single" w:sz="4" w:space="0" w:color="auto"/>
            </w:tcBorders>
            <w:shd w:val="clear" w:color="auto" w:fill="C6EFCE"/>
            <w:noWrap/>
          </w:tcPr>
          <w:p w14:paraId="30201012" w14:textId="3C89D74E"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Projekty</w:t>
            </w:r>
            <w:r w:rsidR="00A33B9F" w:rsidRPr="00A33B9F">
              <w:rPr>
                <w:rFonts w:ascii="Times New Roman" w:hAnsi="Times New Roman"/>
                <w:noProof/>
                <w:sz w:val="18"/>
              </w:rPr>
              <w:t xml:space="preserve"> w zak</w:t>
            </w:r>
            <w:r w:rsidRPr="00A33B9F">
              <w:rPr>
                <w:rFonts w:ascii="Times New Roman" w:hAnsi="Times New Roman"/>
                <w:noProof/>
                <w:sz w:val="18"/>
              </w:rPr>
              <w:t>resie budowania zdolności, wspierające wdrażanie reform</w:t>
            </w:r>
            <w:r w:rsidR="00A33B9F" w:rsidRPr="00A33B9F">
              <w:rPr>
                <w:rFonts w:ascii="Times New Roman" w:hAnsi="Times New Roman"/>
                <w:noProof/>
                <w:sz w:val="18"/>
              </w:rPr>
              <w:t xml:space="preserve"> i inw</w:t>
            </w:r>
            <w:r w:rsidRPr="00A33B9F">
              <w:rPr>
                <w:rFonts w:ascii="Times New Roman" w:hAnsi="Times New Roman"/>
                <w:noProof/>
                <w:sz w:val="18"/>
              </w:rPr>
              <w:t>estycji</w:t>
            </w:r>
            <w:r w:rsidR="00A33B9F" w:rsidRPr="00A33B9F">
              <w:rPr>
                <w:rFonts w:ascii="Times New Roman" w:hAnsi="Times New Roman"/>
                <w:noProof/>
                <w:sz w:val="18"/>
              </w:rPr>
              <w:t xml:space="preserve"> w ram</w:t>
            </w:r>
            <w:r w:rsidRPr="00A33B9F">
              <w:rPr>
                <w:rFonts w:ascii="Times New Roman" w:hAnsi="Times New Roman"/>
                <w:noProof/>
                <w:sz w:val="18"/>
              </w:rPr>
              <w:t>ach REPowerEU, na rzecz administracji centralnej</w:t>
            </w:r>
            <w:r w:rsidR="00A33B9F" w:rsidRPr="00A33B9F">
              <w:rPr>
                <w:rFonts w:ascii="Times New Roman" w:hAnsi="Times New Roman"/>
                <w:noProof/>
                <w:sz w:val="18"/>
              </w:rPr>
              <w:t xml:space="preserve"> i lok</w:t>
            </w:r>
            <w:r w:rsidRPr="00A33B9F">
              <w:rPr>
                <w:rFonts w:ascii="Times New Roman" w:hAnsi="Times New Roman"/>
                <w:noProof/>
                <w:sz w:val="18"/>
              </w:rPr>
              <w:t>alnej</w:t>
            </w:r>
          </w:p>
        </w:tc>
        <w:tc>
          <w:tcPr>
            <w:tcW w:w="1754" w:type="dxa"/>
            <w:tcBorders>
              <w:top w:val="nil"/>
              <w:left w:val="nil"/>
              <w:bottom w:val="single" w:sz="4" w:space="0" w:color="auto"/>
              <w:right w:val="single" w:sz="4" w:space="0" w:color="auto"/>
            </w:tcBorders>
            <w:shd w:val="clear" w:color="auto" w:fill="C6EFCE"/>
            <w:noWrap/>
          </w:tcPr>
          <w:p w14:paraId="59154E11"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1027" w:type="dxa"/>
            <w:tcBorders>
              <w:top w:val="nil"/>
              <w:left w:val="nil"/>
              <w:bottom w:val="single" w:sz="4" w:space="0" w:color="auto"/>
              <w:right w:val="single" w:sz="4" w:space="0" w:color="auto"/>
            </w:tcBorders>
            <w:shd w:val="clear" w:color="auto" w:fill="C6EFCE"/>
            <w:noWrap/>
          </w:tcPr>
          <w:p w14:paraId="2160BF9D"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7" w:type="dxa"/>
            <w:tcBorders>
              <w:top w:val="nil"/>
              <w:left w:val="nil"/>
              <w:bottom w:val="single" w:sz="4" w:space="0" w:color="auto"/>
              <w:right w:val="single" w:sz="4" w:space="0" w:color="auto"/>
            </w:tcBorders>
            <w:shd w:val="clear" w:color="auto" w:fill="C6EFCE"/>
            <w:noWrap/>
          </w:tcPr>
          <w:p w14:paraId="17A3B0EC"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7DC6FAC3"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107</w:t>
            </w:r>
          </w:p>
        </w:tc>
        <w:tc>
          <w:tcPr>
            <w:tcW w:w="921" w:type="dxa"/>
            <w:tcBorders>
              <w:top w:val="nil"/>
              <w:left w:val="nil"/>
              <w:bottom w:val="single" w:sz="4" w:space="0" w:color="auto"/>
              <w:right w:val="single" w:sz="4" w:space="0" w:color="auto"/>
            </w:tcBorders>
            <w:shd w:val="clear" w:color="auto" w:fill="C6EFCE"/>
            <w:noWrap/>
          </w:tcPr>
          <w:p w14:paraId="558F1169"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6C9BCBAC"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85" w:type="dxa"/>
            <w:tcBorders>
              <w:top w:val="nil"/>
              <w:left w:val="nil"/>
              <w:bottom w:val="single" w:sz="4" w:space="0" w:color="auto"/>
              <w:right w:val="single" w:sz="4" w:space="0" w:color="auto"/>
            </w:tcBorders>
            <w:shd w:val="clear" w:color="auto" w:fill="C6EFCE"/>
            <w:noWrap/>
          </w:tcPr>
          <w:p w14:paraId="2FE18038" w14:textId="4EB8AD2F" w:rsidR="002D3EDD" w:rsidRPr="00A33B9F" w:rsidRDefault="025B8FDF"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Wsparcie zostanie przekazane co najmniej 107 podmiotom realizującym projekty</w:t>
            </w:r>
            <w:r w:rsidR="00A33B9F" w:rsidRPr="00A33B9F">
              <w:rPr>
                <w:rFonts w:ascii="Times New Roman" w:hAnsi="Times New Roman"/>
                <w:noProof/>
                <w:sz w:val="18"/>
              </w:rPr>
              <w:t xml:space="preserve"> w zak</w:t>
            </w:r>
            <w:r w:rsidRPr="00A33B9F">
              <w:rPr>
                <w:rFonts w:ascii="Times New Roman" w:hAnsi="Times New Roman"/>
                <w:noProof/>
                <w:sz w:val="18"/>
              </w:rPr>
              <w:t>resie budowania zdolności wspierające wdrażanie reform</w:t>
            </w:r>
            <w:r w:rsidR="00A33B9F" w:rsidRPr="00A33B9F">
              <w:rPr>
                <w:rFonts w:ascii="Times New Roman" w:hAnsi="Times New Roman"/>
                <w:noProof/>
                <w:sz w:val="18"/>
              </w:rPr>
              <w:t xml:space="preserve"> i inw</w:t>
            </w:r>
            <w:r w:rsidRPr="00A33B9F">
              <w:rPr>
                <w:rFonts w:ascii="Times New Roman" w:hAnsi="Times New Roman"/>
                <w:noProof/>
                <w:sz w:val="18"/>
              </w:rPr>
              <w:t>estycji</w:t>
            </w:r>
            <w:r w:rsidR="00A33B9F" w:rsidRPr="00A33B9F">
              <w:rPr>
                <w:rFonts w:ascii="Times New Roman" w:hAnsi="Times New Roman"/>
                <w:noProof/>
                <w:sz w:val="18"/>
              </w:rPr>
              <w:t xml:space="preserve"> w ram</w:t>
            </w:r>
            <w:r w:rsidRPr="00A33B9F">
              <w:rPr>
                <w:rFonts w:ascii="Times New Roman" w:hAnsi="Times New Roman"/>
                <w:noProof/>
                <w:sz w:val="18"/>
              </w:rPr>
              <w:t>ach REPowerEU. Podmioty te zrealizują takie projekty jak szkolenia, wizyty studyjne, narzędzia informatyczne, analizy</w:t>
            </w:r>
            <w:r w:rsidR="00A33B9F" w:rsidRPr="00A33B9F">
              <w:rPr>
                <w:rFonts w:ascii="Times New Roman" w:hAnsi="Times New Roman"/>
                <w:noProof/>
                <w:sz w:val="18"/>
              </w:rPr>
              <w:t xml:space="preserve"> i bad</w:t>
            </w:r>
            <w:r w:rsidRPr="00A33B9F">
              <w:rPr>
                <w:rFonts w:ascii="Times New Roman" w:hAnsi="Times New Roman"/>
                <w:noProof/>
                <w:sz w:val="18"/>
              </w:rPr>
              <w:t>ania oraz zewnętrzne wsparcie ekspertów na rzecz administracji centralnej</w:t>
            </w:r>
            <w:r w:rsidR="00A33B9F" w:rsidRPr="00A33B9F">
              <w:rPr>
                <w:rFonts w:ascii="Times New Roman" w:hAnsi="Times New Roman"/>
                <w:noProof/>
                <w:sz w:val="18"/>
              </w:rPr>
              <w:t xml:space="preserve"> i lok</w:t>
            </w:r>
            <w:r w:rsidRPr="00A33B9F">
              <w:rPr>
                <w:rFonts w:ascii="Times New Roman" w:hAnsi="Times New Roman"/>
                <w:noProof/>
                <w:sz w:val="18"/>
              </w:rPr>
              <w:t xml:space="preserve">alnej. </w:t>
            </w:r>
          </w:p>
          <w:p w14:paraId="7900AC32" w14:textId="77777777" w:rsidR="002D3EDD" w:rsidRPr="00A33B9F" w:rsidRDefault="002D3EDD" w:rsidP="004C2912">
            <w:pPr>
              <w:spacing w:after="0" w:line="240" w:lineRule="auto"/>
              <w:rPr>
                <w:rFonts w:ascii="Times New Roman" w:hAnsi="Times New Roman" w:cs="Times New Roman"/>
                <w:noProof/>
                <w:sz w:val="18"/>
                <w:szCs w:val="18"/>
              </w:rPr>
            </w:pPr>
            <w:r w:rsidRPr="00A33B9F">
              <w:rPr>
                <w:rFonts w:ascii="Times New Roman" w:hAnsi="Times New Roman"/>
                <w:noProof/>
                <w:sz w:val="18"/>
              </w:rPr>
              <w:t xml:space="preserve"> </w:t>
            </w:r>
          </w:p>
          <w:p w14:paraId="29DB01C9" w14:textId="08365557" w:rsidR="002D3EDD" w:rsidRPr="00A33B9F" w:rsidRDefault="2B0690CA"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Co najmniej 100 projektów zrealizowanych przez te podmioty musi dotyczyć procedur wydawania pozwoleń na wdrażanie odnawialnych źródeł energii</w:t>
            </w:r>
            <w:r w:rsidR="00A33B9F" w:rsidRPr="00A33B9F">
              <w:rPr>
                <w:rFonts w:ascii="Times New Roman" w:hAnsi="Times New Roman"/>
                <w:noProof/>
                <w:sz w:val="18"/>
              </w:rPr>
              <w:t xml:space="preserve"> i sie</w:t>
            </w:r>
            <w:r w:rsidRPr="00A33B9F">
              <w:rPr>
                <w:rFonts w:ascii="Times New Roman" w:hAnsi="Times New Roman"/>
                <w:noProof/>
                <w:sz w:val="18"/>
              </w:rPr>
              <w:t>ci dystrybucyjnych.</w:t>
            </w:r>
          </w:p>
        </w:tc>
      </w:tr>
      <w:tr w:rsidR="00B3612A" w:rsidRPr="00A33B9F" w14:paraId="560B1DA4" w14:textId="77777777" w:rsidTr="00AD0FC1">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4FD3999" w14:textId="173D0C89" w:rsidR="002D3EDD" w:rsidRPr="00A33B9F" w:rsidRDefault="002D1BAB"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G9G</w:t>
            </w:r>
          </w:p>
        </w:tc>
        <w:tc>
          <w:tcPr>
            <w:tcW w:w="1393" w:type="dxa"/>
            <w:tcBorders>
              <w:top w:val="nil"/>
              <w:left w:val="nil"/>
              <w:bottom w:val="single" w:sz="4" w:space="0" w:color="auto"/>
              <w:right w:val="single" w:sz="4" w:space="0" w:color="auto"/>
            </w:tcBorders>
            <w:shd w:val="clear" w:color="auto" w:fill="C6EFCE"/>
            <w:noWrap/>
          </w:tcPr>
          <w:p w14:paraId="2197674B" w14:textId="38E01798"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G1.1.4 Wsparcie dla instytucji wdrażających reformy</w:t>
            </w:r>
            <w:r w:rsidR="00A33B9F" w:rsidRPr="00A33B9F">
              <w:rPr>
                <w:rFonts w:ascii="Times New Roman" w:hAnsi="Times New Roman"/>
                <w:noProof/>
                <w:sz w:val="18"/>
              </w:rPr>
              <w:t xml:space="preserve"> i inw</w:t>
            </w:r>
            <w:r w:rsidRPr="00A33B9F">
              <w:rPr>
                <w:rFonts w:ascii="Times New Roman" w:hAnsi="Times New Roman"/>
                <w:noProof/>
                <w:sz w:val="18"/>
              </w:rPr>
              <w:t>estycje</w:t>
            </w:r>
            <w:r w:rsidR="00A33B9F" w:rsidRPr="00A33B9F">
              <w:rPr>
                <w:rFonts w:ascii="Times New Roman" w:hAnsi="Times New Roman"/>
                <w:noProof/>
                <w:sz w:val="18"/>
              </w:rPr>
              <w:t xml:space="preserve"> w ram</w:t>
            </w:r>
            <w:r w:rsidRPr="00A33B9F">
              <w:rPr>
                <w:rFonts w:ascii="Times New Roman" w:hAnsi="Times New Roman"/>
                <w:noProof/>
                <w:sz w:val="18"/>
              </w:rPr>
              <w:t>ach REPowerEU</w:t>
            </w:r>
          </w:p>
          <w:p w14:paraId="48627160"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1060" w:type="dxa"/>
            <w:tcBorders>
              <w:top w:val="nil"/>
              <w:left w:val="nil"/>
              <w:bottom w:val="single" w:sz="4" w:space="0" w:color="auto"/>
              <w:right w:val="single" w:sz="4" w:space="0" w:color="auto"/>
            </w:tcBorders>
            <w:shd w:val="clear" w:color="auto" w:fill="C6EFCE"/>
            <w:noWrap/>
          </w:tcPr>
          <w:p w14:paraId="03A45482"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Wartość docelowa </w:t>
            </w:r>
          </w:p>
        </w:tc>
        <w:tc>
          <w:tcPr>
            <w:tcW w:w="1888" w:type="dxa"/>
            <w:tcBorders>
              <w:top w:val="nil"/>
              <w:left w:val="nil"/>
              <w:bottom w:val="single" w:sz="4" w:space="0" w:color="auto"/>
              <w:right w:val="single" w:sz="4" w:space="0" w:color="auto"/>
            </w:tcBorders>
            <w:shd w:val="clear" w:color="auto" w:fill="C6EFCE"/>
            <w:noWrap/>
          </w:tcPr>
          <w:p w14:paraId="524AB087" w14:textId="00DF9F75"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Projekty</w:t>
            </w:r>
            <w:r w:rsidR="00A33B9F" w:rsidRPr="00A33B9F">
              <w:rPr>
                <w:rFonts w:ascii="Times New Roman" w:hAnsi="Times New Roman"/>
                <w:noProof/>
                <w:sz w:val="18"/>
              </w:rPr>
              <w:t xml:space="preserve"> w zak</w:t>
            </w:r>
            <w:r w:rsidRPr="00A33B9F">
              <w:rPr>
                <w:rFonts w:ascii="Times New Roman" w:hAnsi="Times New Roman"/>
                <w:noProof/>
                <w:sz w:val="18"/>
              </w:rPr>
              <w:t>resie budowania zdolności, wspierające wdrażanie reform</w:t>
            </w:r>
            <w:r w:rsidR="00A33B9F" w:rsidRPr="00A33B9F">
              <w:rPr>
                <w:rFonts w:ascii="Times New Roman" w:hAnsi="Times New Roman"/>
                <w:noProof/>
                <w:sz w:val="18"/>
              </w:rPr>
              <w:t xml:space="preserve"> i inw</w:t>
            </w:r>
            <w:r w:rsidRPr="00A33B9F">
              <w:rPr>
                <w:rFonts w:ascii="Times New Roman" w:hAnsi="Times New Roman"/>
                <w:noProof/>
                <w:sz w:val="18"/>
              </w:rPr>
              <w:t>estycji</w:t>
            </w:r>
            <w:r w:rsidR="00A33B9F" w:rsidRPr="00A33B9F">
              <w:rPr>
                <w:rFonts w:ascii="Times New Roman" w:hAnsi="Times New Roman"/>
                <w:noProof/>
                <w:sz w:val="18"/>
              </w:rPr>
              <w:t xml:space="preserve"> w ram</w:t>
            </w:r>
            <w:r w:rsidRPr="00A33B9F">
              <w:rPr>
                <w:rFonts w:ascii="Times New Roman" w:hAnsi="Times New Roman"/>
                <w:noProof/>
                <w:sz w:val="18"/>
              </w:rPr>
              <w:t>ach REPowerEU, realizowane przez organizacje pozarządowe</w:t>
            </w:r>
          </w:p>
        </w:tc>
        <w:tc>
          <w:tcPr>
            <w:tcW w:w="1754" w:type="dxa"/>
            <w:tcBorders>
              <w:top w:val="single" w:sz="4" w:space="0" w:color="auto"/>
              <w:left w:val="nil"/>
              <w:bottom w:val="single" w:sz="4" w:space="0" w:color="auto"/>
              <w:right w:val="single" w:sz="4" w:space="0" w:color="auto"/>
            </w:tcBorders>
            <w:shd w:val="clear" w:color="auto" w:fill="C6EFCE"/>
            <w:noWrap/>
          </w:tcPr>
          <w:p w14:paraId="166318D1"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1027" w:type="dxa"/>
            <w:tcBorders>
              <w:top w:val="nil"/>
              <w:left w:val="nil"/>
              <w:bottom w:val="single" w:sz="4" w:space="0" w:color="auto"/>
              <w:right w:val="single" w:sz="4" w:space="0" w:color="auto"/>
            </w:tcBorders>
            <w:shd w:val="clear" w:color="auto" w:fill="C6EFCE"/>
            <w:noWrap/>
          </w:tcPr>
          <w:p w14:paraId="72BBC15F"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57" w:type="dxa"/>
            <w:tcBorders>
              <w:top w:val="nil"/>
              <w:left w:val="nil"/>
              <w:bottom w:val="single" w:sz="4" w:space="0" w:color="auto"/>
              <w:right w:val="single" w:sz="4" w:space="0" w:color="auto"/>
            </w:tcBorders>
            <w:shd w:val="clear" w:color="auto" w:fill="C6EFCE"/>
            <w:noWrap/>
          </w:tcPr>
          <w:p w14:paraId="27F6433D"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2D7E3A07"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10</w:t>
            </w:r>
          </w:p>
        </w:tc>
        <w:tc>
          <w:tcPr>
            <w:tcW w:w="921" w:type="dxa"/>
            <w:tcBorders>
              <w:top w:val="nil"/>
              <w:left w:val="nil"/>
              <w:bottom w:val="single" w:sz="4" w:space="0" w:color="auto"/>
              <w:right w:val="single" w:sz="4" w:space="0" w:color="auto"/>
            </w:tcBorders>
            <w:shd w:val="clear" w:color="auto" w:fill="C6EFCE"/>
            <w:noWrap/>
          </w:tcPr>
          <w:p w14:paraId="5E84E13A"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2AC1613D"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85" w:type="dxa"/>
            <w:tcBorders>
              <w:top w:val="nil"/>
              <w:left w:val="nil"/>
              <w:bottom w:val="single" w:sz="4" w:space="0" w:color="auto"/>
              <w:right w:val="single" w:sz="4" w:space="0" w:color="auto"/>
            </w:tcBorders>
            <w:shd w:val="clear" w:color="auto" w:fill="C6EFCE"/>
            <w:noWrap/>
          </w:tcPr>
          <w:p w14:paraId="57BC1B9A" w14:textId="1C1C5848" w:rsidR="002D3EDD" w:rsidRPr="00A33B9F" w:rsidRDefault="0DB112B8"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Co najmniej 10 projektów</w:t>
            </w:r>
            <w:r w:rsidR="00A33B9F" w:rsidRPr="00A33B9F">
              <w:rPr>
                <w:rFonts w:ascii="Times New Roman" w:hAnsi="Times New Roman"/>
                <w:noProof/>
                <w:sz w:val="18"/>
              </w:rPr>
              <w:t xml:space="preserve"> w zak</w:t>
            </w:r>
            <w:r w:rsidRPr="00A33B9F">
              <w:rPr>
                <w:rFonts w:ascii="Times New Roman" w:hAnsi="Times New Roman"/>
                <w:noProof/>
                <w:sz w:val="18"/>
              </w:rPr>
              <w:t>resie budowania zdolności, wspierających wdrażanie reform</w:t>
            </w:r>
            <w:r w:rsidR="00A33B9F" w:rsidRPr="00A33B9F">
              <w:rPr>
                <w:rFonts w:ascii="Times New Roman" w:hAnsi="Times New Roman"/>
                <w:noProof/>
                <w:sz w:val="18"/>
              </w:rPr>
              <w:t xml:space="preserve"> i inw</w:t>
            </w:r>
            <w:r w:rsidRPr="00A33B9F">
              <w:rPr>
                <w:rFonts w:ascii="Times New Roman" w:hAnsi="Times New Roman"/>
                <w:noProof/>
                <w:sz w:val="18"/>
              </w:rPr>
              <w:t>estycji</w:t>
            </w:r>
            <w:r w:rsidR="00A33B9F" w:rsidRPr="00A33B9F">
              <w:rPr>
                <w:rFonts w:ascii="Times New Roman" w:hAnsi="Times New Roman"/>
                <w:noProof/>
                <w:sz w:val="18"/>
              </w:rPr>
              <w:t xml:space="preserve"> w ram</w:t>
            </w:r>
            <w:r w:rsidRPr="00A33B9F">
              <w:rPr>
                <w:rFonts w:ascii="Times New Roman" w:hAnsi="Times New Roman"/>
                <w:noProof/>
                <w:sz w:val="18"/>
              </w:rPr>
              <w:t>ach REPowerEU zostanie zrealizowanych przez organizacje pozarządowe działające</w:t>
            </w:r>
            <w:r w:rsidR="00A33B9F" w:rsidRPr="00A33B9F">
              <w:rPr>
                <w:rFonts w:ascii="Times New Roman" w:hAnsi="Times New Roman"/>
                <w:noProof/>
                <w:sz w:val="18"/>
              </w:rPr>
              <w:t xml:space="preserve"> w obs</w:t>
            </w:r>
            <w:r w:rsidRPr="00A33B9F">
              <w:rPr>
                <w:rFonts w:ascii="Times New Roman" w:hAnsi="Times New Roman"/>
                <w:noProof/>
                <w:sz w:val="18"/>
              </w:rPr>
              <w:t>zarze zielonej transformacji</w:t>
            </w:r>
            <w:r w:rsidR="00A33B9F" w:rsidRPr="00A33B9F">
              <w:rPr>
                <w:rFonts w:ascii="Times New Roman" w:hAnsi="Times New Roman"/>
                <w:noProof/>
                <w:sz w:val="18"/>
              </w:rPr>
              <w:t xml:space="preserve"> i tra</w:t>
            </w:r>
            <w:r w:rsidRPr="00A33B9F">
              <w:rPr>
                <w:rFonts w:ascii="Times New Roman" w:hAnsi="Times New Roman"/>
                <w:noProof/>
                <w:sz w:val="18"/>
              </w:rPr>
              <w:t>nsformacji energetycznej. Projekty te mają wspierać szkolenia, działania doradcze</w:t>
            </w:r>
            <w:r w:rsidR="00A33B9F" w:rsidRPr="00A33B9F">
              <w:rPr>
                <w:rFonts w:ascii="Times New Roman" w:hAnsi="Times New Roman"/>
                <w:noProof/>
                <w:sz w:val="18"/>
              </w:rPr>
              <w:t xml:space="preserve"> i bad</w:t>
            </w:r>
            <w:r w:rsidRPr="00A33B9F">
              <w:rPr>
                <w:rFonts w:ascii="Times New Roman" w:hAnsi="Times New Roman"/>
                <w:noProof/>
                <w:sz w:val="18"/>
              </w:rPr>
              <w:t>awcze,</w:t>
            </w:r>
            <w:r w:rsidR="00A33B9F" w:rsidRPr="00A33B9F">
              <w:rPr>
                <w:rFonts w:ascii="Times New Roman" w:hAnsi="Times New Roman"/>
                <w:noProof/>
                <w:sz w:val="18"/>
              </w:rPr>
              <w:t xml:space="preserve"> a tak</w:t>
            </w:r>
            <w:r w:rsidRPr="00A33B9F">
              <w:rPr>
                <w:rFonts w:ascii="Times New Roman" w:hAnsi="Times New Roman"/>
                <w:noProof/>
                <w:sz w:val="18"/>
              </w:rPr>
              <w:t>że kampanie społeczne.</w:t>
            </w:r>
            <w:r w:rsidR="00C3621A" w:rsidRPr="00A33B9F">
              <w:rPr>
                <w:rFonts w:ascii="Times New Roman" w:hAnsi="Times New Roman"/>
                <w:noProof/>
                <w:sz w:val="18"/>
              </w:rPr>
              <w:t xml:space="preserve"> </w:t>
            </w:r>
          </w:p>
          <w:p w14:paraId="667BD6DB" w14:textId="77777777" w:rsidR="002D3EDD" w:rsidRPr="00A33B9F" w:rsidRDefault="002D3EDD" w:rsidP="004C2912">
            <w:pPr>
              <w:spacing w:after="0" w:line="240" w:lineRule="auto"/>
              <w:rPr>
                <w:rFonts w:ascii="Times New Roman" w:hAnsi="Times New Roman" w:cs="Times New Roman"/>
                <w:noProof/>
                <w:sz w:val="18"/>
                <w:szCs w:val="18"/>
              </w:rPr>
            </w:pPr>
            <w:r w:rsidRPr="00A33B9F">
              <w:rPr>
                <w:rFonts w:ascii="Times New Roman" w:hAnsi="Times New Roman"/>
                <w:noProof/>
                <w:sz w:val="18"/>
              </w:rPr>
              <w:t xml:space="preserve"> </w:t>
            </w:r>
          </w:p>
          <w:p w14:paraId="37EE8FB0" w14:textId="57AD831F"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Co najmniej dwa projekty muszą dotyczyć budowania zdolności</w:t>
            </w:r>
            <w:r w:rsidR="00A33B9F" w:rsidRPr="00A33B9F">
              <w:rPr>
                <w:rFonts w:ascii="Times New Roman" w:hAnsi="Times New Roman"/>
                <w:noProof/>
                <w:sz w:val="18"/>
              </w:rPr>
              <w:t xml:space="preserve"> w kon</w:t>
            </w:r>
            <w:r w:rsidRPr="00A33B9F">
              <w:rPr>
                <w:rFonts w:ascii="Times New Roman" w:hAnsi="Times New Roman"/>
                <w:noProof/>
                <w:sz w:val="18"/>
              </w:rPr>
              <w:t>tekście procedur wydawania pozwoleń na wdrażanie odnawialnych źródeł energii</w:t>
            </w:r>
            <w:r w:rsidR="00A33B9F" w:rsidRPr="00A33B9F">
              <w:rPr>
                <w:rFonts w:ascii="Times New Roman" w:hAnsi="Times New Roman"/>
                <w:noProof/>
                <w:sz w:val="18"/>
              </w:rPr>
              <w:t xml:space="preserve"> i sie</w:t>
            </w:r>
            <w:r w:rsidRPr="00A33B9F">
              <w:rPr>
                <w:rFonts w:ascii="Times New Roman" w:hAnsi="Times New Roman"/>
                <w:noProof/>
                <w:sz w:val="18"/>
              </w:rPr>
              <w:t>ci dystrybucyjnych.</w:t>
            </w:r>
          </w:p>
        </w:tc>
      </w:tr>
      <w:tr w:rsidR="00B3612A" w:rsidRPr="00A33B9F" w14:paraId="795C2E22" w14:textId="77777777" w:rsidTr="00AD0FC1">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37CFA18" w14:textId="1C16A183" w:rsidR="002D3EDD" w:rsidRPr="00A33B9F" w:rsidRDefault="002D1BAB"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G10G</w:t>
            </w:r>
          </w:p>
        </w:tc>
        <w:tc>
          <w:tcPr>
            <w:tcW w:w="1393" w:type="dxa"/>
            <w:tcBorders>
              <w:top w:val="nil"/>
              <w:left w:val="nil"/>
              <w:bottom w:val="single" w:sz="4" w:space="0" w:color="auto"/>
              <w:right w:val="single" w:sz="4" w:space="0" w:color="auto"/>
            </w:tcBorders>
            <w:shd w:val="clear" w:color="auto" w:fill="C6EFCE"/>
            <w:noWrap/>
          </w:tcPr>
          <w:p w14:paraId="6C931234" w14:textId="52AF2A4E"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G1.1.4 Wsparcie dla instytucji wdrażających reformy</w:t>
            </w:r>
            <w:r w:rsidR="00A33B9F" w:rsidRPr="00A33B9F">
              <w:rPr>
                <w:rFonts w:ascii="Times New Roman" w:hAnsi="Times New Roman"/>
                <w:noProof/>
                <w:sz w:val="18"/>
              </w:rPr>
              <w:t xml:space="preserve"> i inw</w:t>
            </w:r>
            <w:r w:rsidRPr="00A33B9F">
              <w:rPr>
                <w:rFonts w:ascii="Times New Roman" w:hAnsi="Times New Roman"/>
                <w:noProof/>
                <w:sz w:val="18"/>
              </w:rPr>
              <w:t>estycje</w:t>
            </w:r>
            <w:r w:rsidR="00A33B9F" w:rsidRPr="00A33B9F">
              <w:rPr>
                <w:rFonts w:ascii="Times New Roman" w:hAnsi="Times New Roman"/>
                <w:noProof/>
                <w:sz w:val="18"/>
              </w:rPr>
              <w:t xml:space="preserve"> w ram</w:t>
            </w:r>
            <w:r w:rsidRPr="00A33B9F">
              <w:rPr>
                <w:rFonts w:ascii="Times New Roman" w:hAnsi="Times New Roman"/>
                <w:noProof/>
                <w:sz w:val="18"/>
              </w:rPr>
              <w:t xml:space="preserve">ach REPowerEU </w:t>
            </w:r>
          </w:p>
        </w:tc>
        <w:tc>
          <w:tcPr>
            <w:tcW w:w="1060" w:type="dxa"/>
            <w:tcBorders>
              <w:top w:val="nil"/>
              <w:left w:val="nil"/>
              <w:bottom w:val="single" w:sz="4" w:space="0" w:color="auto"/>
              <w:right w:val="single" w:sz="4" w:space="0" w:color="auto"/>
            </w:tcBorders>
            <w:shd w:val="clear" w:color="auto" w:fill="C6EFCE"/>
            <w:noWrap/>
          </w:tcPr>
          <w:p w14:paraId="612E4A87"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88" w:type="dxa"/>
            <w:tcBorders>
              <w:top w:val="nil"/>
              <w:left w:val="nil"/>
              <w:bottom w:val="single" w:sz="4" w:space="0" w:color="auto"/>
              <w:right w:val="single" w:sz="4" w:space="0" w:color="auto"/>
            </w:tcBorders>
            <w:shd w:val="clear" w:color="auto" w:fill="C6EFCE"/>
            <w:noWrap/>
          </w:tcPr>
          <w:p w14:paraId="47EDFDC6"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Publikacja specyfikacji technicznej dotyczącej narzędzia informatycznego na potrzeby stosowania nowego modelu regulacyjnego przez Urząd Regulacji Energetyki</w:t>
            </w:r>
          </w:p>
        </w:tc>
        <w:tc>
          <w:tcPr>
            <w:tcW w:w="1754" w:type="dxa"/>
            <w:tcBorders>
              <w:top w:val="single" w:sz="4" w:space="0" w:color="auto"/>
              <w:left w:val="nil"/>
              <w:bottom w:val="single" w:sz="4" w:space="0" w:color="auto"/>
              <w:right w:val="single" w:sz="4" w:space="0" w:color="auto"/>
            </w:tcBorders>
            <w:shd w:val="clear" w:color="auto" w:fill="C6EFCE"/>
            <w:noWrap/>
          </w:tcPr>
          <w:p w14:paraId="102D81E1" w14:textId="27EA7B5C" w:rsidR="002D3EDD" w:rsidRPr="00A33B9F" w:rsidRDefault="00086159"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Publikacja specyfikacji technicznej </w:t>
            </w:r>
          </w:p>
        </w:tc>
        <w:tc>
          <w:tcPr>
            <w:tcW w:w="1027" w:type="dxa"/>
            <w:tcBorders>
              <w:top w:val="nil"/>
              <w:left w:val="nil"/>
              <w:bottom w:val="single" w:sz="4" w:space="0" w:color="auto"/>
              <w:right w:val="single" w:sz="4" w:space="0" w:color="auto"/>
            </w:tcBorders>
            <w:shd w:val="clear" w:color="auto" w:fill="C6EFCE"/>
            <w:noWrap/>
          </w:tcPr>
          <w:p w14:paraId="3CDC4C43"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14:paraId="6A6670AB"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76FD3126"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6A53879F" w14:textId="16DD9EFB" w:rsidR="002D3EDD" w:rsidRPr="00A33B9F" w:rsidRDefault="007B3C70"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 kw.</w:t>
            </w:r>
          </w:p>
        </w:tc>
        <w:tc>
          <w:tcPr>
            <w:tcW w:w="922" w:type="dxa"/>
            <w:tcBorders>
              <w:top w:val="nil"/>
              <w:left w:val="nil"/>
              <w:bottom w:val="single" w:sz="4" w:space="0" w:color="auto"/>
              <w:right w:val="single" w:sz="4" w:space="0" w:color="auto"/>
            </w:tcBorders>
            <w:shd w:val="clear" w:color="auto" w:fill="C6EFCE"/>
            <w:noWrap/>
          </w:tcPr>
          <w:p w14:paraId="2186D2AE" w14:textId="4F28CE1C" w:rsidR="002D3EDD" w:rsidRPr="00A33B9F" w:rsidRDefault="007B3C70"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85" w:type="dxa"/>
            <w:tcBorders>
              <w:top w:val="nil"/>
              <w:left w:val="nil"/>
              <w:bottom w:val="single" w:sz="4" w:space="0" w:color="auto"/>
              <w:right w:val="single" w:sz="4" w:space="0" w:color="auto"/>
            </w:tcBorders>
            <w:shd w:val="clear" w:color="auto" w:fill="C6EFCE"/>
            <w:noWrap/>
          </w:tcPr>
          <w:p w14:paraId="6F6F26CA" w14:textId="682500BC" w:rsidR="00C85265"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Urząd Regulacji Energetyki sporządzi</w:t>
            </w:r>
            <w:r w:rsidR="00A33B9F" w:rsidRPr="00A33B9F">
              <w:rPr>
                <w:rFonts w:ascii="Times New Roman" w:hAnsi="Times New Roman"/>
                <w:noProof/>
                <w:sz w:val="18"/>
              </w:rPr>
              <w:t xml:space="preserve"> i opu</w:t>
            </w:r>
            <w:r w:rsidRPr="00A33B9F">
              <w:rPr>
                <w:rFonts w:ascii="Times New Roman" w:hAnsi="Times New Roman"/>
                <w:noProof/>
                <w:sz w:val="18"/>
              </w:rPr>
              <w:t>blikuje specyfikację techniczną dotyczącą narzędzia informatycznego dla Urzędu na potrzeby stosowania nowego modelu regulacyjnego.</w:t>
            </w:r>
          </w:p>
          <w:p w14:paraId="68341A22" w14:textId="77777777" w:rsidR="000B49A2" w:rsidRPr="00A33B9F" w:rsidRDefault="000B49A2" w:rsidP="004C2912">
            <w:pPr>
              <w:spacing w:after="0" w:line="240" w:lineRule="auto"/>
              <w:rPr>
                <w:rFonts w:ascii="Times New Roman" w:eastAsia="Times New Roman" w:hAnsi="Times New Roman" w:cs="Times New Roman"/>
                <w:noProof/>
                <w:sz w:val="18"/>
                <w:szCs w:val="18"/>
                <w:lang w:eastAsia="en-GB"/>
              </w:rPr>
            </w:pPr>
          </w:p>
          <w:p w14:paraId="438321BD" w14:textId="565276D6"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Narzędzie informatyczne będzie wspomagać ocenę</w:t>
            </w:r>
            <w:r w:rsidR="00A33B9F" w:rsidRPr="00A33B9F">
              <w:rPr>
                <w:rFonts w:ascii="Times New Roman" w:hAnsi="Times New Roman"/>
                <w:noProof/>
                <w:sz w:val="18"/>
              </w:rPr>
              <w:t xml:space="preserve"> i mon</w:t>
            </w:r>
            <w:r w:rsidRPr="00A33B9F">
              <w:rPr>
                <w:rFonts w:ascii="Times New Roman" w:hAnsi="Times New Roman"/>
                <w:noProof/>
                <w:sz w:val="18"/>
              </w:rPr>
              <w:t>itorowanie planów rozwoju sieci operatorów systemów dystrybucyjnych (OSD) oraz ich wdrażanie,</w:t>
            </w:r>
            <w:r w:rsidR="00A33B9F" w:rsidRPr="00A33B9F">
              <w:rPr>
                <w:rFonts w:ascii="Times New Roman" w:hAnsi="Times New Roman"/>
                <w:noProof/>
                <w:sz w:val="18"/>
              </w:rPr>
              <w:t xml:space="preserve"> a tak</w:t>
            </w:r>
            <w:r w:rsidRPr="00A33B9F">
              <w:rPr>
                <w:rFonts w:ascii="Times New Roman" w:hAnsi="Times New Roman"/>
                <w:noProof/>
                <w:sz w:val="18"/>
              </w:rPr>
              <w:t xml:space="preserve">że rejestrację odnawialnych źródeł energii (OZE). </w:t>
            </w:r>
          </w:p>
          <w:p w14:paraId="18B22D2C"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Narzędzie zapewni następujące funkcje: </w:t>
            </w:r>
          </w:p>
          <w:p w14:paraId="067BBED7" w14:textId="2B55C824" w:rsidR="002D3EDD" w:rsidRPr="00A33B9F" w:rsidRDefault="002D3EDD" w:rsidP="00394B30">
            <w:pPr>
              <w:pStyle w:val="ListParagraph"/>
              <w:numPr>
                <w:ilvl w:val="0"/>
                <w:numId w:val="27"/>
              </w:numPr>
              <w:spacing w:after="0" w:line="240" w:lineRule="auto"/>
              <w:ind w:left="288" w:hanging="283"/>
              <w:rPr>
                <w:rFonts w:ascii="Times New Roman" w:hAnsi="Times New Roman" w:cs="Times New Roman"/>
                <w:noProof/>
                <w:sz w:val="18"/>
                <w:szCs w:val="18"/>
              </w:rPr>
            </w:pPr>
            <w:r w:rsidRPr="00A33B9F">
              <w:rPr>
                <w:rFonts w:ascii="Times New Roman" w:hAnsi="Times New Roman"/>
                <w:noProof/>
                <w:sz w:val="18"/>
              </w:rPr>
              <w:t>gromadzenie</w:t>
            </w:r>
            <w:r w:rsidR="00A33B9F" w:rsidRPr="00A33B9F">
              <w:rPr>
                <w:rFonts w:ascii="Times New Roman" w:hAnsi="Times New Roman"/>
                <w:noProof/>
                <w:sz w:val="18"/>
              </w:rPr>
              <w:t xml:space="preserve"> i ana</w:t>
            </w:r>
            <w:r w:rsidRPr="00A33B9F">
              <w:rPr>
                <w:rFonts w:ascii="Times New Roman" w:hAnsi="Times New Roman"/>
                <w:noProof/>
                <w:sz w:val="18"/>
              </w:rPr>
              <w:t>liza informacji na temat funkcjonowania sieci oraz planów rozwoju sieci</w:t>
            </w:r>
            <w:r w:rsidR="00A33B9F" w:rsidRPr="00A33B9F">
              <w:rPr>
                <w:rFonts w:ascii="Times New Roman" w:hAnsi="Times New Roman"/>
                <w:noProof/>
                <w:sz w:val="18"/>
              </w:rPr>
              <w:t xml:space="preserve"> i wni</w:t>
            </w:r>
            <w:r w:rsidRPr="00A33B9F">
              <w:rPr>
                <w:rFonts w:ascii="Times New Roman" w:hAnsi="Times New Roman"/>
                <w:noProof/>
                <w:sz w:val="18"/>
              </w:rPr>
              <w:t>osków</w:t>
            </w:r>
            <w:r w:rsidR="00A33B9F" w:rsidRPr="00A33B9F">
              <w:rPr>
                <w:rFonts w:ascii="Times New Roman" w:hAnsi="Times New Roman"/>
                <w:noProof/>
                <w:sz w:val="18"/>
              </w:rPr>
              <w:t xml:space="preserve"> o prz</w:t>
            </w:r>
            <w:r w:rsidRPr="00A33B9F">
              <w:rPr>
                <w:rFonts w:ascii="Times New Roman" w:hAnsi="Times New Roman"/>
                <w:noProof/>
                <w:sz w:val="18"/>
              </w:rPr>
              <w:t>yłączenie do sieci;</w:t>
            </w:r>
          </w:p>
          <w:p w14:paraId="5454E704" w14:textId="48413A3F" w:rsidR="002D3EDD" w:rsidRPr="00A33B9F" w:rsidRDefault="002D3EDD" w:rsidP="00394B30">
            <w:pPr>
              <w:pStyle w:val="ListParagraph"/>
              <w:numPr>
                <w:ilvl w:val="0"/>
                <w:numId w:val="27"/>
              </w:numPr>
              <w:spacing w:after="0" w:line="240" w:lineRule="auto"/>
              <w:ind w:left="288" w:hanging="283"/>
              <w:rPr>
                <w:rFonts w:ascii="Times New Roman" w:eastAsia="Times New Roman" w:hAnsi="Times New Roman" w:cs="Times New Roman"/>
                <w:noProof/>
                <w:sz w:val="18"/>
                <w:szCs w:val="18"/>
              </w:rPr>
            </w:pPr>
            <w:r w:rsidRPr="00A33B9F">
              <w:rPr>
                <w:rFonts w:ascii="Times New Roman" w:hAnsi="Times New Roman"/>
                <w:noProof/>
                <w:sz w:val="18"/>
              </w:rPr>
              <w:t>wspieranie oceny efektywności wydatków na budowę</w:t>
            </w:r>
            <w:r w:rsidR="00A33B9F" w:rsidRPr="00A33B9F">
              <w:rPr>
                <w:rFonts w:ascii="Times New Roman" w:hAnsi="Times New Roman"/>
                <w:noProof/>
                <w:sz w:val="18"/>
              </w:rPr>
              <w:t xml:space="preserve"> i mod</w:t>
            </w:r>
            <w:r w:rsidRPr="00A33B9F">
              <w:rPr>
                <w:rFonts w:ascii="Times New Roman" w:hAnsi="Times New Roman"/>
                <w:noProof/>
                <w:sz w:val="18"/>
              </w:rPr>
              <w:t>ernizację sieci;</w:t>
            </w:r>
          </w:p>
          <w:p w14:paraId="582F6509" w14:textId="030D5C27" w:rsidR="002D3EDD" w:rsidRPr="00A33B9F" w:rsidRDefault="002D3EDD" w:rsidP="00394B30">
            <w:pPr>
              <w:pStyle w:val="ListParagraph"/>
              <w:numPr>
                <w:ilvl w:val="0"/>
                <w:numId w:val="27"/>
              </w:numPr>
              <w:spacing w:after="0" w:line="240" w:lineRule="auto"/>
              <w:ind w:left="288" w:hanging="283"/>
              <w:rPr>
                <w:rFonts w:ascii="Times New Roman" w:hAnsi="Times New Roman" w:cs="Times New Roman"/>
                <w:noProof/>
                <w:sz w:val="18"/>
                <w:szCs w:val="18"/>
              </w:rPr>
            </w:pPr>
            <w:r w:rsidRPr="00A33B9F">
              <w:rPr>
                <w:rFonts w:ascii="Times New Roman" w:hAnsi="Times New Roman"/>
                <w:noProof/>
                <w:sz w:val="18"/>
              </w:rPr>
              <w:t>monitorowanie postępów</w:t>
            </w:r>
            <w:r w:rsidR="00A33B9F" w:rsidRPr="00A33B9F">
              <w:rPr>
                <w:rFonts w:ascii="Times New Roman" w:hAnsi="Times New Roman"/>
                <w:noProof/>
                <w:sz w:val="18"/>
              </w:rPr>
              <w:t xml:space="preserve"> w int</w:t>
            </w:r>
            <w:r w:rsidRPr="00A33B9F">
              <w:rPr>
                <w:rFonts w:ascii="Times New Roman" w:hAnsi="Times New Roman"/>
                <w:noProof/>
                <w:sz w:val="18"/>
              </w:rPr>
              <w:t>egracji OZE</w:t>
            </w:r>
            <w:r w:rsidR="00A33B9F" w:rsidRPr="00A33B9F">
              <w:rPr>
                <w:rFonts w:ascii="Times New Roman" w:hAnsi="Times New Roman"/>
                <w:noProof/>
                <w:sz w:val="18"/>
              </w:rPr>
              <w:t xml:space="preserve"> w sie</w:t>
            </w:r>
            <w:r w:rsidRPr="00A33B9F">
              <w:rPr>
                <w:rFonts w:ascii="Times New Roman" w:hAnsi="Times New Roman"/>
                <w:noProof/>
                <w:sz w:val="18"/>
              </w:rPr>
              <w:t>ciach dystrybucyjnych przez analizę planów rozwoju OSD,</w:t>
            </w:r>
            <w:r w:rsidR="00A33B9F" w:rsidRPr="00A33B9F">
              <w:rPr>
                <w:rFonts w:ascii="Times New Roman" w:hAnsi="Times New Roman"/>
                <w:noProof/>
                <w:sz w:val="18"/>
              </w:rPr>
              <w:t xml:space="preserve"> w tym</w:t>
            </w:r>
            <w:r w:rsidRPr="00A33B9F">
              <w:rPr>
                <w:rFonts w:ascii="Times New Roman" w:hAnsi="Times New Roman"/>
                <w:noProof/>
                <w:sz w:val="18"/>
              </w:rPr>
              <w:t xml:space="preserve"> kierunków rozwoju sieci</w:t>
            </w:r>
            <w:r w:rsidR="00A33B9F" w:rsidRPr="00A33B9F">
              <w:rPr>
                <w:rFonts w:ascii="Times New Roman" w:hAnsi="Times New Roman"/>
                <w:noProof/>
                <w:sz w:val="18"/>
              </w:rPr>
              <w:t xml:space="preserve"> i pla</w:t>
            </w:r>
            <w:r w:rsidRPr="00A33B9F">
              <w:rPr>
                <w:rFonts w:ascii="Times New Roman" w:hAnsi="Times New Roman"/>
                <w:noProof/>
                <w:sz w:val="18"/>
              </w:rPr>
              <w:t>nowanych połączeń;</w:t>
            </w:r>
          </w:p>
          <w:p w14:paraId="2D43E948" w14:textId="4874DEED" w:rsidR="002D3EDD" w:rsidRPr="00A33B9F" w:rsidRDefault="002D3EDD" w:rsidP="00394B30">
            <w:pPr>
              <w:pStyle w:val="ListParagraph"/>
              <w:numPr>
                <w:ilvl w:val="0"/>
                <w:numId w:val="27"/>
              </w:numPr>
              <w:spacing w:after="0" w:line="240" w:lineRule="auto"/>
              <w:ind w:left="288" w:hanging="283"/>
              <w:rPr>
                <w:rFonts w:ascii="Times New Roman" w:hAnsi="Times New Roman" w:cs="Times New Roman"/>
                <w:noProof/>
                <w:sz w:val="18"/>
                <w:szCs w:val="18"/>
              </w:rPr>
            </w:pPr>
            <w:r w:rsidRPr="00A33B9F">
              <w:rPr>
                <w:rFonts w:ascii="Times New Roman" w:hAnsi="Times New Roman"/>
                <w:noProof/>
                <w:sz w:val="18"/>
              </w:rPr>
              <w:t>określenie obszarów</w:t>
            </w:r>
            <w:r w:rsidR="00A33B9F" w:rsidRPr="00A33B9F">
              <w:rPr>
                <w:rFonts w:ascii="Times New Roman" w:hAnsi="Times New Roman"/>
                <w:noProof/>
                <w:sz w:val="18"/>
              </w:rPr>
              <w:t xml:space="preserve"> o naj</w:t>
            </w:r>
            <w:r w:rsidRPr="00A33B9F">
              <w:rPr>
                <w:rFonts w:ascii="Times New Roman" w:hAnsi="Times New Roman"/>
                <w:noProof/>
                <w:sz w:val="18"/>
              </w:rPr>
              <w:t>wyższym wskaźniku odmów przyłączenia;</w:t>
            </w:r>
          </w:p>
          <w:p w14:paraId="21592EEC" w14:textId="77777777" w:rsidR="002D3EDD" w:rsidRPr="00A33B9F" w:rsidRDefault="002D3EDD" w:rsidP="00394B30">
            <w:pPr>
              <w:pStyle w:val="ListParagraph"/>
              <w:numPr>
                <w:ilvl w:val="0"/>
                <w:numId w:val="27"/>
              </w:numPr>
              <w:spacing w:after="0" w:line="240" w:lineRule="auto"/>
              <w:ind w:left="288" w:hanging="283"/>
              <w:rPr>
                <w:rFonts w:ascii="Times New Roman" w:hAnsi="Times New Roman" w:cs="Times New Roman"/>
                <w:noProof/>
                <w:sz w:val="18"/>
                <w:szCs w:val="18"/>
              </w:rPr>
            </w:pPr>
            <w:r w:rsidRPr="00A33B9F">
              <w:rPr>
                <w:rFonts w:ascii="Times New Roman" w:hAnsi="Times New Roman"/>
                <w:noProof/>
                <w:sz w:val="18"/>
              </w:rPr>
              <w:t>wspieranie pełnego procesu biznesowego rejestracji wytwórców energii ze źródeł odnawialnych;</w:t>
            </w:r>
          </w:p>
          <w:p w14:paraId="7569DD50" w14:textId="097B9786" w:rsidR="002D3EDD" w:rsidRPr="00A33B9F" w:rsidRDefault="002D3EDD" w:rsidP="00394B30">
            <w:pPr>
              <w:pStyle w:val="ListParagraph"/>
              <w:numPr>
                <w:ilvl w:val="0"/>
                <w:numId w:val="27"/>
              </w:numPr>
              <w:spacing w:after="0" w:line="240" w:lineRule="auto"/>
              <w:ind w:left="288" w:hanging="283"/>
              <w:rPr>
                <w:rFonts w:ascii="Times New Roman" w:hAnsi="Times New Roman" w:cs="Times New Roman"/>
                <w:noProof/>
                <w:sz w:val="18"/>
                <w:szCs w:val="18"/>
              </w:rPr>
            </w:pPr>
            <w:r w:rsidRPr="00A33B9F">
              <w:rPr>
                <w:rFonts w:ascii="Times New Roman" w:hAnsi="Times New Roman"/>
                <w:noProof/>
                <w:sz w:val="18"/>
              </w:rPr>
              <w:t>interaktywna mapa instalacji OZE zintegrowanych</w:t>
            </w:r>
            <w:r w:rsidR="00A33B9F" w:rsidRPr="00A33B9F">
              <w:rPr>
                <w:rFonts w:ascii="Times New Roman" w:hAnsi="Times New Roman"/>
                <w:noProof/>
                <w:sz w:val="18"/>
              </w:rPr>
              <w:t xml:space="preserve"> z sys</w:t>
            </w:r>
            <w:r w:rsidRPr="00A33B9F">
              <w:rPr>
                <w:rFonts w:ascii="Times New Roman" w:hAnsi="Times New Roman"/>
                <w:noProof/>
                <w:sz w:val="18"/>
              </w:rPr>
              <w:t>tem informacji geograficznej.</w:t>
            </w:r>
          </w:p>
        </w:tc>
      </w:tr>
      <w:tr w:rsidR="00B3612A" w:rsidRPr="00A33B9F" w14:paraId="02B7A857" w14:textId="77777777" w:rsidTr="1CE0CE0C">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062DA17" w14:textId="698B539B" w:rsidR="002D3EDD" w:rsidRPr="00A33B9F" w:rsidRDefault="002D1BAB"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G11G</w:t>
            </w:r>
          </w:p>
        </w:tc>
        <w:tc>
          <w:tcPr>
            <w:tcW w:w="1393" w:type="dxa"/>
            <w:tcBorders>
              <w:top w:val="nil"/>
              <w:left w:val="nil"/>
              <w:bottom w:val="single" w:sz="4" w:space="0" w:color="auto"/>
              <w:right w:val="single" w:sz="4" w:space="0" w:color="auto"/>
            </w:tcBorders>
            <w:shd w:val="clear" w:color="auto" w:fill="C6EFCE"/>
            <w:noWrap/>
          </w:tcPr>
          <w:p w14:paraId="4B559B6B" w14:textId="1D83541E"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G1.1.4 Wsparcie dla instytucji wdrażających reformy</w:t>
            </w:r>
            <w:r w:rsidR="00A33B9F" w:rsidRPr="00A33B9F">
              <w:rPr>
                <w:rFonts w:ascii="Times New Roman" w:hAnsi="Times New Roman"/>
                <w:noProof/>
                <w:sz w:val="18"/>
              </w:rPr>
              <w:t xml:space="preserve"> i inw</w:t>
            </w:r>
            <w:r w:rsidRPr="00A33B9F">
              <w:rPr>
                <w:rFonts w:ascii="Times New Roman" w:hAnsi="Times New Roman"/>
                <w:noProof/>
                <w:sz w:val="18"/>
              </w:rPr>
              <w:t>estycje</w:t>
            </w:r>
            <w:r w:rsidR="00A33B9F" w:rsidRPr="00A33B9F">
              <w:rPr>
                <w:rFonts w:ascii="Times New Roman" w:hAnsi="Times New Roman"/>
                <w:noProof/>
                <w:sz w:val="18"/>
              </w:rPr>
              <w:t xml:space="preserve"> w ram</w:t>
            </w:r>
            <w:r w:rsidRPr="00A33B9F">
              <w:rPr>
                <w:rFonts w:ascii="Times New Roman" w:hAnsi="Times New Roman"/>
                <w:noProof/>
                <w:sz w:val="18"/>
              </w:rPr>
              <w:t>ach REPowerEU</w:t>
            </w:r>
          </w:p>
          <w:p w14:paraId="2E382366"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1060" w:type="dxa"/>
            <w:tcBorders>
              <w:top w:val="nil"/>
              <w:left w:val="nil"/>
              <w:bottom w:val="single" w:sz="4" w:space="0" w:color="auto"/>
              <w:right w:val="single" w:sz="4" w:space="0" w:color="auto"/>
            </w:tcBorders>
            <w:shd w:val="clear" w:color="auto" w:fill="C6EFCE"/>
            <w:noWrap/>
          </w:tcPr>
          <w:p w14:paraId="3AB2DD7E"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88" w:type="dxa"/>
            <w:tcBorders>
              <w:top w:val="nil"/>
              <w:left w:val="nil"/>
              <w:bottom w:val="single" w:sz="4" w:space="0" w:color="auto"/>
              <w:right w:val="single" w:sz="4" w:space="0" w:color="auto"/>
            </w:tcBorders>
            <w:shd w:val="clear" w:color="auto" w:fill="C6EFCE"/>
            <w:noWrap/>
          </w:tcPr>
          <w:p w14:paraId="7AE7F1A7" w14:textId="77777777" w:rsidR="002D3EDD" w:rsidRPr="00A33B9F" w:rsidRDefault="002D3EDD"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Wdrożenie narzędzia informatycznego na potrzeby stosowania nowego modelu regulacyjnego przez Urząd Regulacji Energetyki</w:t>
            </w:r>
          </w:p>
        </w:tc>
        <w:tc>
          <w:tcPr>
            <w:tcW w:w="1754" w:type="dxa"/>
            <w:tcBorders>
              <w:top w:val="nil"/>
              <w:left w:val="nil"/>
              <w:bottom w:val="single" w:sz="4" w:space="0" w:color="auto"/>
              <w:right w:val="single" w:sz="4" w:space="0" w:color="auto"/>
            </w:tcBorders>
            <w:shd w:val="clear" w:color="auto" w:fill="C6EFCE"/>
            <w:noWrap/>
          </w:tcPr>
          <w:p w14:paraId="2F2E8D6E" w14:textId="3ECFB982" w:rsidR="002D3EDD" w:rsidRPr="00A33B9F" w:rsidRDefault="6D142964"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Nowe narzędzie informatyczne na potrzeby stosowania nowego modelu regulacyjnego zacznie funkcjonować</w:t>
            </w:r>
            <w:r w:rsidR="00A33B9F" w:rsidRPr="00A33B9F">
              <w:rPr>
                <w:rFonts w:ascii="Times New Roman" w:hAnsi="Times New Roman"/>
                <w:noProof/>
                <w:sz w:val="18"/>
              </w:rPr>
              <w:t xml:space="preserve"> i będ</w:t>
            </w:r>
            <w:r w:rsidRPr="00A33B9F">
              <w:rPr>
                <w:rFonts w:ascii="Times New Roman" w:hAnsi="Times New Roman"/>
                <w:noProof/>
                <w:sz w:val="18"/>
              </w:rPr>
              <w:t>zie wykorzystywane przez Urząd Regulacji Energetyki.</w:t>
            </w:r>
          </w:p>
        </w:tc>
        <w:tc>
          <w:tcPr>
            <w:tcW w:w="1027" w:type="dxa"/>
            <w:tcBorders>
              <w:top w:val="nil"/>
              <w:left w:val="nil"/>
              <w:bottom w:val="single" w:sz="4" w:space="0" w:color="auto"/>
              <w:right w:val="single" w:sz="4" w:space="0" w:color="auto"/>
            </w:tcBorders>
            <w:shd w:val="clear" w:color="auto" w:fill="C6EFCE"/>
            <w:noWrap/>
          </w:tcPr>
          <w:p w14:paraId="27F46EE2" w14:textId="77777777" w:rsidR="002D3EDD" w:rsidRPr="00A33B9F" w:rsidRDefault="002D3EDD" w:rsidP="004C2912">
            <w:pPr>
              <w:spacing w:after="0" w:line="240" w:lineRule="auto"/>
              <w:rPr>
                <w:rFonts w:ascii="Times New Roman" w:eastAsia="Times New Roman" w:hAnsi="Times New Roman" w:cs="Times New Roman"/>
                <w:noProof/>
                <w:sz w:val="18"/>
                <w:szCs w:val="18"/>
                <w:lang w:eastAsia="en-GB"/>
              </w:rPr>
            </w:pPr>
          </w:p>
        </w:tc>
        <w:tc>
          <w:tcPr>
            <w:tcW w:w="957" w:type="dxa"/>
            <w:tcBorders>
              <w:top w:val="nil"/>
              <w:left w:val="nil"/>
              <w:bottom w:val="single" w:sz="4" w:space="0" w:color="auto"/>
              <w:right w:val="single" w:sz="4" w:space="0" w:color="auto"/>
            </w:tcBorders>
            <w:shd w:val="clear" w:color="auto" w:fill="C6EFCE"/>
            <w:noWrap/>
          </w:tcPr>
          <w:p w14:paraId="674E973C"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4D0CCF68"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7F7DB739"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14EAFBDF" w14:textId="77777777" w:rsidR="002D3EDD" w:rsidRPr="00A33B9F" w:rsidRDefault="002D3EDD"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85" w:type="dxa"/>
            <w:tcBorders>
              <w:top w:val="nil"/>
              <w:left w:val="nil"/>
              <w:bottom w:val="single" w:sz="4" w:space="0" w:color="auto"/>
              <w:right w:val="single" w:sz="4" w:space="0" w:color="auto"/>
            </w:tcBorders>
            <w:shd w:val="clear" w:color="auto" w:fill="C6EFCE"/>
            <w:noWrap/>
          </w:tcPr>
          <w:p w14:paraId="15CD5EB9" w14:textId="6AC0D28E" w:rsidR="002D3EDD" w:rsidRPr="00A33B9F" w:rsidRDefault="6D142964"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Urząd Regulacji Energetyki uruchomi narzędzie informatyczne na potrzeby stosowania nowego modelu regulacyjnego. </w:t>
            </w:r>
          </w:p>
        </w:tc>
      </w:tr>
    </w:tbl>
    <w:p w14:paraId="2B197FED" w14:textId="77777777" w:rsidR="00B93DB2" w:rsidRPr="00A33B9F" w:rsidRDefault="00B93DB2" w:rsidP="0044760D">
      <w:pPr>
        <w:pStyle w:val="Text1"/>
        <w:ind w:left="0"/>
        <w:rPr>
          <w:b/>
          <w:noProof/>
        </w:rPr>
      </w:pPr>
    </w:p>
    <w:p w14:paraId="127C5722" w14:textId="1F2B20E5" w:rsidR="004C2912" w:rsidRPr="00A33B9F" w:rsidRDefault="004C2912" w:rsidP="00AD0FC1">
      <w:pPr>
        <w:pStyle w:val="Text1"/>
        <w:pageBreakBefore/>
        <w:ind w:left="0"/>
        <w:rPr>
          <w:b/>
          <w:noProof/>
        </w:rPr>
      </w:pPr>
      <w:r w:rsidRPr="00A33B9F">
        <w:rPr>
          <w:b/>
          <w:noProof/>
        </w:rPr>
        <w:t>Podkomponent G1.2 – Przegląd sieci elektroenergetycznych</w:t>
      </w:r>
      <w:r w:rsidR="00A33B9F" w:rsidRPr="00A33B9F">
        <w:rPr>
          <w:b/>
          <w:noProof/>
        </w:rPr>
        <w:t xml:space="preserve"> w cel</w:t>
      </w:r>
      <w:r w:rsidRPr="00A33B9F">
        <w:rPr>
          <w:b/>
          <w:noProof/>
        </w:rPr>
        <w:t>u przyspieszenia integracji odnawialnych źródeł energii</w:t>
      </w:r>
    </w:p>
    <w:p w14:paraId="472767F3" w14:textId="77777777" w:rsidR="004C2912" w:rsidRPr="00A33B9F" w:rsidRDefault="004C2912" w:rsidP="004C2912">
      <w:pPr>
        <w:keepNext/>
        <w:spacing w:before="120" w:after="120" w:line="240" w:lineRule="auto"/>
        <w:jc w:val="both"/>
        <w:rPr>
          <w:rFonts w:ascii="Times New Roman" w:hAnsi="Times New Roman" w:cs="Times New Roman"/>
          <w:noProof/>
          <w:sz w:val="24"/>
        </w:rPr>
      </w:pPr>
    </w:p>
    <w:tbl>
      <w:tblPr>
        <w:tblW w:w="15309" w:type="dxa"/>
        <w:jc w:val="center"/>
        <w:tblLayout w:type="fixed"/>
        <w:tblLook w:val="04A0" w:firstRow="1" w:lastRow="0" w:firstColumn="1" w:lastColumn="0" w:noHBand="0" w:noVBand="1"/>
      </w:tblPr>
      <w:tblGrid>
        <w:gridCol w:w="846"/>
        <w:gridCol w:w="1559"/>
        <w:gridCol w:w="992"/>
        <w:gridCol w:w="1985"/>
        <w:gridCol w:w="1701"/>
        <w:gridCol w:w="992"/>
        <w:gridCol w:w="992"/>
        <w:gridCol w:w="709"/>
        <w:gridCol w:w="921"/>
        <w:gridCol w:w="922"/>
        <w:gridCol w:w="3690"/>
      </w:tblGrid>
      <w:tr w:rsidR="00B3612A" w:rsidRPr="00A33B9F" w14:paraId="29666553" w14:textId="77777777" w:rsidTr="00AD0FC1">
        <w:trPr>
          <w:trHeight w:val="927"/>
          <w:tblHeader/>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CBC2BF" w14:textId="76D31477" w:rsidR="004C2912" w:rsidRPr="00A33B9F" w:rsidRDefault="002704BB"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Nr porządkowy</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FB01B0" w14:textId="1584B3A0" w:rsidR="004C2912" w:rsidRPr="00A33B9F" w:rsidRDefault="002704BB"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Powiązane działanie (reforma lub inwestycja)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7C90C8" w14:textId="53C9E620" w:rsidR="004C2912" w:rsidRPr="00A33B9F" w:rsidRDefault="002704BB"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Kamień milowy / wartość docelowa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CB2C50" w14:textId="01DA8816" w:rsidR="004C2912" w:rsidRPr="00A33B9F" w:rsidRDefault="002704BB"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Nazwa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6FC2DE" w14:textId="13A84E0E" w:rsidR="004C2912" w:rsidRPr="00A33B9F" w:rsidRDefault="002704BB"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4939544" w14:textId="051B3943" w:rsidR="004C2912" w:rsidRPr="00A33B9F" w:rsidRDefault="002704BB"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1CD22AA5" w14:textId="7741B2F4" w:rsidR="004C2912" w:rsidRPr="00A33B9F" w:rsidRDefault="002704BB"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color w:val="000000"/>
                <w:sz w:val="18"/>
              </w:rPr>
              <w:t xml:space="preserve">Orientacyjny harmonogram zakończenia działania </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5BAC6B8" w14:textId="11B6954D" w:rsidR="004C2912" w:rsidRPr="00A33B9F" w:rsidRDefault="002704BB" w:rsidP="004C29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B3612A" w:rsidRPr="00A33B9F" w14:paraId="5AA6E8B8" w14:textId="77777777" w:rsidTr="00AD0FC1">
        <w:trPr>
          <w:trHeight w:val="1013"/>
          <w:tblHeader/>
          <w:jc w:val="center"/>
        </w:trPr>
        <w:tc>
          <w:tcPr>
            <w:tcW w:w="846" w:type="dxa"/>
            <w:vMerge/>
            <w:tcBorders>
              <w:top w:val="single" w:sz="4" w:space="0" w:color="auto"/>
              <w:left w:val="single" w:sz="4" w:space="0" w:color="auto"/>
              <w:bottom w:val="single" w:sz="4" w:space="0" w:color="auto"/>
              <w:right w:val="single" w:sz="4" w:space="0" w:color="auto"/>
            </w:tcBorders>
            <w:hideMark/>
          </w:tcPr>
          <w:p w14:paraId="5849EAE1" w14:textId="77777777" w:rsidR="004C2912" w:rsidRPr="00A33B9F" w:rsidRDefault="004C2912" w:rsidP="00445843">
            <w:pPr>
              <w:spacing w:after="0" w:line="240" w:lineRule="auto"/>
              <w:jc w:val="center"/>
              <w:rPr>
                <w:rFonts w:ascii="Times New Roman" w:eastAsia="Times New Roman" w:hAnsi="Times New Roman" w:cs="Times New Roman"/>
                <w:b/>
                <w:noProof/>
                <w:sz w:val="18"/>
                <w:szCs w:val="18"/>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6C4AFC1" w14:textId="77777777" w:rsidR="004C2912" w:rsidRPr="00A33B9F" w:rsidRDefault="004C2912" w:rsidP="004C2912">
            <w:pPr>
              <w:spacing w:after="0" w:line="240" w:lineRule="auto"/>
              <w:rPr>
                <w:rFonts w:ascii="Times New Roman" w:eastAsia="Times New Roman" w:hAnsi="Times New Roman" w:cs="Times New Roman"/>
                <w:b/>
                <w:bCs/>
                <w:noProof/>
                <w:sz w:val="24"/>
                <w:szCs w:val="24"/>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9735CF" w14:textId="77777777" w:rsidR="004C2912" w:rsidRPr="00A33B9F" w:rsidRDefault="004C2912" w:rsidP="004C2912">
            <w:pPr>
              <w:spacing w:after="0" w:line="240" w:lineRule="auto"/>
              <w:rPr>
                <w:rFonts w:ascii="Times New Roman" w:eastAsia="Times New Roman" w:hAnsi="Times New Roman" w:cs="Times New Roman"/>
                <w:b/>
                <w:bCs/>
                <w:noProof/>
                <w:sz w:val="24"/>
                <w:szCs w:val="24"/>
                <w:lang w:eastAsia="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DF836F7" w14:textId="77777777" w:rsidR="004C2912" w:rsidRPr="00A33B9F" w:rsidRDefault="004C2912" w:rsidP="004C2912">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6189BC" w14:textId="77777777" w:rsidR="004C2912" w:rsidRPr="00A33B9F" w:rsidRDefault="004C2912" w:rsidP="004C2912">
            <w:pPr>
              <w:spacing w:after="0" w:line="240" w:lineRule="auto"/>
              <w:rPr>
                <w:rFonts w:ascii="Times New Roman" w:eastAsia="Times New Roman" w:hAnsi="Times New Roman" w:cs="Times New Roman"/>
                <w:b/>
                <w:noProof/>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36EDA945" w14:textId="77777777" w:rsidR="004C2912" w:rsidRPr="00A33B9F" w:rsidRDefault="004C2912"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Jednostka miary</w:t>
            </w:r>
          </w:p>
        </w:tc>
        <w:tc>
          <w:tcPr>
            <w:tcW w:w="992" w:type="dxa"/>
            <w:tcBorders>
              <w:top w:val="nil"/>
              <w:left w:val="nil"/>
              <w:bottom w:val="single" w:sz="4" w:space="0" w:color="auto"/>
              <w:right w:val="single" w:sz="4" w:space="0" w:color="auto"/>
            </w:tcBorders>
            <w:shd w:val="clear" w:color="auto" w:fill="BDD7EE"/>
            <w:vAlign w:val="center"/>
            <w:hideMark/>
          </w:tcPr>
          <w:p w14:paraId="568389D7" w14:textId="77777777" w:rsidR="004C2912" w:rsidRPr="00A33B9F" w:rsidRDefault="004C2912"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 xml:space="preserve">Poziom bazowy </w:t>
            </w:r>
          </w:p>
        </w:tc>
        <w:tc>
          <w:tcPr>
            <w:tcW w:w="709" w:type="dxa"/>
            <w:tcBorders>
              <w:top w:val="nil"/>
              <w:left w:val="nil"/>
              <w:bottom w:val="single" w:sz="4" w:space="0" w:color="auto"/>
              <w:right w:val="single" w:sz="4" w:space="0" w:color="auto"/>
            </w:tcBorders>
            <w:shd w:val="clear" w:color="auto" w:fill="BDD7EE"/>
            <w:vAlign w:val="center"/>
            <w:hideMark/>
          </w:tcPr>
          <w:p w14:paraId="0F4BEBC7" w14:textId="77777777" w:rsidR="004C2912" w:rsidRPr="00A33B9F" w:rsidRDefault="004C2912"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 xml:space="preserve">Cel </w:t>
            </w:r>
          </w:p>
        </w:tc>
        <w:tc>
          <w:tcPr>
            <w:tcW w:w="921" w:type="dxa"/>
            <w:tcBorders>
              <w:top w:val="nil"/>
              <w:left w:val="nil"/>
              <w:bottom w:val="single" w:sz="4" w:space="0" w:color="auto"/>
              <w:right w:val="single" w:sz="4" w:space="0" w:color="auto"/>
            </w:tcBorders>
            <w:shd w:val="clear" w:color="auto" w:fill="BDD7EE"/>
            <w:vAlign w:val="center"/>
            <w:hideMark/>
          </w:tcPr>
          <w:p w14:paraId="6EA0EFA1" w14:textId="77777777" w:rsidR="004C2912" w:rsidRPr="00A33B9F" w:rsidRDefault="004C2912"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Kwartał</w:t>
            </w:r>
          </w:p>
        </w:tc>
        <w:tc>
          <w:tcPr>
            <w:tcW w:w="922" w:type="dxa"/>
            <w:tcBorders>
              <w:top w:val="nil"/>
              <w:left w:val="nil"/>
              <w:bottom w:val="single" w:sz="4" w:space="0" w:color="auto"/>
              <w:right w:val="single" w:sz="4" w:space="0" w:color="auto"/>
            </w:tcBorders>
            <w:shd w:val="clear" w:color="auto" w:fill="BDD7EE"/>
            <w:vAlign w:val="center"/>
            <w:hideMark/>
          </w:tcPr>
          <w:p w14:paraId="2F15F87D" w14:textId="77777777" w:rsidR="004C2912" w:rsidRPr="00A33B9F" w:rsidRDefault="004C2912" w:rsidP="004C29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Rok</w:t>
            </w:r>
          </w:p>
        </w:tc>
        <w:tc>
          <w:tcPr>
            <w:tcW w:w="3690" w:type="dxa"/>
            <w:vMerge/>
            <w:tcBorders>
              <w:top w:val="single" w:sz="4" w:space="0" w:color="auto"/>
              <w:bottom w:val="single" w:sz="4" w:space="0" w:color="auto"/>
              <w:right w:val="single" w:sz="4" w:space="0" w:color="auto"/>
            </w:tcBorders>
            <w:vAlign w:val="center"/>
            <w:hideMark/>
          </w:tcPr>
          <w:p w14:paraId="78EA96C4" w14:textId="77777777" w:rsidR="004C2912" w:rsidRPr="00A33B9F" w:rsidRDefault="004C2912" w:rsidP="004C2912">
            <w:pPr>
              <w:spacing w:after="0" w:line="240" w:lineRule="auto"/>
              <w:rPr>
                <w:rFonts w:ascii="Times New Roman" w:eastAsia="Times New Roman" w:hAnsi="Times New Roman" w:cs="Times New Roman"/>
                <w:b/>
                <w:bCs/>
                <w:noProof/>
                <w:sz w:val="24"/>
                <w:szCs w:val="24"/>
                <w:lang w:eastAsia="en-GB"/>
              </w:rPr>
            </w:pPr>
          </w:p>
        </w:tc>
      </w:tr>
      <w:tr w:rsidR="00B3612A" w:rsidRPr="00A33B9F" w14:paraId="2575B9E2" w14:textId="77777777" w:rsidTr="00AD0FC1">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503ABD13" w14:textId="0C4D6C09" w:rsidR="004C2912" w:rsidRPr="00A33B9F" w:rsidRDefault="002D1BAB"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G12G</w:t>
            </w:r>
          </w:p>
        </w:tc>
        <w:tc>
          <w:tcPr>
            <w:tcW w:w="1559" w:type="dxa"/>
            <w:tcBorders>
              <w:top w:val="single" w:sz="4" w:space="0" w:color="auto"/>
              <w:left w:val="nil"/>
              <w:bottom w:val="single" w:sz="4" w:space="0" w:color="auto"/>
              <w:right w:val="single" w:sz="4" w:space="0" w:color="auto"/>
            </w:tcBorders>
            <w:shd w:val="clear" w:color="auto" w:fill="C6EFCE"/>
            <w:noWrap/>
          </w:tcPr>
          <w:p w14:paraId="787460C2" w14:textId="5C6D33DC"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G1.2.1 Rozwiązania regulacyjne służące szybszej integracji odnawialnych źródeł energii</w:t>
            </w:r>
            <w:r w:rsidR="00A33B9F" w:rsidRPr="00A33B9F">
              <w:rPr>
                <w:rFonts w:ascii="Times New Roman" w:hAnsi="Times New Roman"/>
                <w:noProof/>
                <w:sz w:val="18"/>
              </w:rPr>
              <w:t xml:space="preserve"> z sie</w:t>
            </w:r>
            <w:r w:rsidRPr="00A33B9F">
              <w:rPr>
                <w:rFonts w:ascii="Times New Roman" w:hAnsi="Times New Roman"/>
                <w:noProof/>
                <w:sz w:val="18"/>
              </w:rPr>
              <w:t>ciami dystrybucyjnymi</w:t>
            </w:r>
          </w:p>
        </w:tc>
        <w:tc>
          <w:tcPr>
            <w:tcW w:w="992" w:type="dxa"/>
            <w:tcBorders>
              <w:top w:val="single" w:sz="4" w:space="0" w:color="auto"/>
              <w:left w:val="nil"/>
              <w:bottom w:val="single" w:sz="4" w:space="0" w:color="auto"/>
              <w:right w:val="single" w:sz="4" w:space="0" w:color="auto"/>
            </w:tcBorders>
            <w:shd w:val="clear" w:color="auto" w:fill="C6EFCE"/>
            <w:noWrap/>
          </w:tcPr>
          <w:p w14:paraId="23B0F108"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single" w:sz="4" w:space="0" w:color="auto"/>
              <w:left w:val="nil"/>
              <w:bottom w:val="single" w:sz="4" w:space="0" w:color="auto"/>
              <w:right w:val="single" w:sz="4" w:space="0" w:color="auto"/>
            </w:tcBorders>
            <w:shd w:val="clear" w:color="auto" w:fill="C6EFCE"/>
            <w:noWrap/>
          </w:tcPr>
          <w:p w14:paraId="561B91CD"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Przyjęcie nowego modelu regulacyjnego przez Prezesa Urzędu Regulacji Energetyki</w:t>
            </w:r>
          </w:p>
        </w:tc>
        <w:tc>
          <w:tcPr>
            <w:tcW w:w="1701" w:type="dxa"/>
            <w:tcBorders>
              <w:top w:val="single" w:sz="4" w:space="0" w:color="auto"/>
              <w:left w:val="nil"/>
              <w:bottom w:val="single" w:sz="4" w:space="0" w:color="auto"/>
              <w:right w:val="single" w:sz="4" w:space="0" w:color="auto"/>
            </w:tcBorders>
            <w:shd w:val="clear" w:color="auto" w:fill="C6EFCE"/>
            <w:noWrap/>
          </w:tcPr>
          <w:p w14:paraId="7AB553C4" w14:textId="3C2BFAE8"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Publikacja ogłoszenia Prezesa Urzędu Regulacji Energetyki</w:t>
            </w:r>
            <w:r w:rsidR="00A33B9F" w:rsidRPr="00A33B9F">
              <w:rPr>
                <w:rFonts w:ascii="Times New Roman" w:hAnsi="Times New Roman"/>
                <w:noProof/>
                <w:sz w:val="18"/>
              </w:rPr>
              <w:t xml:space="preserve"> o wpr</w:t>
            </w:r>
            <w:r w:rsidRPr="00A33B9F">
              <w:rPr>
                <w:rFonts w:ascii="Times New Roman" w:hAnsi="Times New Roman"/>
                <w:noProof/>
                <w:sz w:val="18"/>
              </w:rPr>
              <w:t>owadzeniu nowego modelu regulacyjnego dla operatorów systemów dystrybucyjnych</w:t>
            </w:r>
          </w:p>
        </w:tc>
        <w:tc>
          <w:tcPr>
            <w:tcW w:w="992" w:type="dxa"/>
            <w:tcBorders>
              <w:top w:val="nil"/>
              <w:left w:val="nil"/>
              <w:bottom w:val="single" w:sz="4" w:space="0" w:color="auto"/>
              <w:right w:val="single" w:sz="4" w:space="0" w:color="auto"/>
            </w:tcBorders>
            <w:shd w:val="clear" w:color="auto" w:fill="C6EFCE"/>
            <w:noWrap/>
          </w:tcPr>
          <w:p w14:paraId="195B6E6E"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63A83EE9"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48825F63"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4C9244A3"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225FFBBB"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3690" w:type="dxa"/>
            <w:tcBorders>
              <w:top w:val="single" w:sz="4" w:space="0" w:color="auto"/>
              <w:left w:val="nil"/>
              <w:bottom w:val="single" w:sz="4" w:space="0" w:color="auto"/>
              <w:right w:val="single" w:sz="4" w:space="0" w:color="auto"/>
            </w:tcBorders>
            <w:shd w:val="clear" w:color="auto" w:fill="C6EFCE"/>
            <w:noWrap/>
          </w:tcPr>
          <w:p w14:paraId="5748F898" w14:textId="46750CB9" w:rsidR="004C2912" w:rsidRPr="00A33B9F" w:rsidRDefault="69FA8C07"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Prezes Urzędu Regulacji Energetyki opublikuje ogłoszenie</w:t>
            </w:r>
            <w:r w:rsidR="00A33B9F" w:rsidRPr="00A33B9F">
              <w:rPr>
                <w:rFonts w:ascii="Times New Roman" w:hAnsi="Times New Roman"/>
                <w:noProof/>
                <w:sz w:val="18"/>
              </w:rPr>
              <w:t xml:space="preserve"> o ust</w:t>
            </w:r>
            <w:r w:rsidRPr="00A33B9F">
              <w:rPr>
                <w:rFonts w:ascii="Times New Roman" w:hAnsi="Times New Roman"/>
                <w:noProof/>
                <w:sz w:val="18"/>
              </w:rPr>
              <w:t xml:space="preserve">anowieniu nowego wiążącego modelu regulacyjnego dla operatorów systemów dystrybucyjnych. </w:t>
            </w:r>
          </w:p>
        </w:tc>
      </w:tr>
      <w:tr w:rsidR="00B3612A" w:rsidRPr="00A33B9F" w:rsidDel="003771EF" w14:paraId="7B99A0A6"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3068E4B3" w14:textId="0E10D7B8" w:rsidR="004C2912" w:rsidRPr="00A33B9F" w:rsidDel="003771E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G13G</w:t>
            </w:r>
          </w:p>
        </w:tc>
        <w:tc>
          <w:tcPr>
            <w:tcW w:w="1559" w:type="dxa"/>
            <w:tcBorders>
              <w:top w:val="nil"/>
              <w:left w:val="nil"/>
              <w:bottom w:val="single" w:sz="4" w:space="0" w:color="auto"/>
              <w:right w:val="single" w:sz="4" w:space="0" w:color="auto"/>
            </w:tcBorders>
            <w:shd w:val="clear" w:color="auto" w:fill="C6EFCE"/>
            <w:noWrap/>
          </w:tcPr>
          <w:p w14:paraId="431A7973" w14:textId="44F96532" w:rsidR="004C2912" w:rsidRPr="00A33B9F" w:rsidDel="003771E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G1.2.2 Usuwanie barier ograniczających integrację odnawialnych źródeł energii</w:t>
            </w:r>
            <w:r w:rsidR="00A33B9F" w:rsidRPr="00A33B9F">
              <w:rPr>
                <w:rFonts w:ascii="Times New Roman" w:hAnsi="Times New Roman"/>
                <w:noProof/>
                <w:sz w:val="18"/>
              </w:rPr>
              <w:t xml:space="preserve"> z sie</w:t>
            </w:r>
            <w:r w:rsidRPr="00A33B9F">
              <w:rPr>
                <w:rFonts w:ascii="Times New Roman" w:hAnsi="Times New Roman"/>
                <w:noProof/>
                <w:sz w:val="18"/>
              </w:rPr>
              <w:t>ciami elektroenergetycznymi</w:t>
            </w:r>
          </w:p>
        </w:tc>
        <w:tc>
          <w:tcPr>
            <w:tcW w:w="992" w:type="dxa"/>
            <w:tcBorders>
              <w:top w:val="nil"/>
              <w:left w:val="nil"/>
              <w:bottom w:val="single" w:sz="4" w:space="0" w:color="auto"/>
              <w:right w:val="single" w:sz="4" w:space="0" w:color="auto"/>
            </w:tcBorders>
            <w:shd w:val="clear" w:color="auto" w:fill="C6EFCE"/>
            <w:noWrap/>
          </w:tcPr>
          <w:p w14:paraId="69B2031F" w14:textId="77777777" w:rsidR="004C2912" w:rsidRPr="00A33B9F" w:rsidDel="003771E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nil"/>
              <w:left w:val="nil"/>
              <w:bottom w:val="single" w:sz="4" w:space="0" w:color="auto"/>
              <w:right w:val="single" w:sz="4" w:space="0" w:color="auto"/>
            </w:tcBorders>
            <w:shd w:val="clear" w:color="auto" w:fill="C6EFCE"/>
            <w:noWrap/>
          </w:tcPr>
          <w:p w14:paraId="6D2EAE00" w14:textId="13698D36" w:rsidR="004C2912" w:rsidRPr="00A33B9F" w:rsidDel="003771E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ram prawnych umożliwiających łączenie przewodów</w:t>
            </w:r>
          </w:p>
        </w:tc>
        <w:tc>
          <w:tcPr>
            <w:tcW w:w="1701" w:type="dxa"/>
            <w:tcBorders>
              <w:top w:val="nil"/>
              <w:left w:val="nil"/>
              <w:bottom w:val="single" w:sz="4" w:space="0" w:color="auto"/>
              <w:right w:val="single" w:sz="4" w:space="0" w:color="auto"/>
            </w:tcBorders>
            <w:shd w:val="clear" w:color="auto" w:fill="C6EFCE"/>
            <w:noWrap/>
          </w:tcPr>
          <w:p w14:paraId="32D62BDD" w14:textId="4C8C5E4A" w:rsidR="004C2912" w:rsidRPr="00A33B9F" w:rsidDel="003771E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Przepis</w:t>
            </w:r>
            <w:r w:rsidR="00A33B9F" w:rsidRPr="00A33B9F">
              <w:rPr>
                <w:rFonts w:ascii="Times New Roman" w:hAnsi="Times New Roman"/>
                <w:noProof/>
                <w:sz w:val="18"/>
              </w:rPr>
              <w:t xml:space="preserve"> w akc</w:t>
            </w:r>
            <w:r w:rsidRPr="00A33B9F">
              <w:rPr>
                <w:rFonts w:ascii="Times New Roman" w:hAnsi="Times New Roman"/>
                <w:noProof/>
                <w:sz w:val="18"/>
              </w:rPr>
              <w:t>ie zmieniającym</w:t>
            </w:r>
          </w:p>
          <w:p w14:paraId="5D5D8C7C" w14:textId="360C423D" w:rsidR="004C2912" w:rsidRPr="00A33B9F" w:rsidDel="003771E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wskazujący na jego wejście</w:t>
            </w:r>
            <w:r w:rsidR="00A33B9F" w:rsidRPr="00A33B9F">
              <w:rPr>
                <w:rFonts w:ascii="Times New Roman" w:hAnsi="Times New Roman"/>
                <w:noProof/>
                <w:sz w:val="18"/>
              </w:rPr>
              <w:t xml:space="preserve"> w życ</w:t>
            </w:r>
            <w:r w:rsidRPr="00A33B9F">
              <w:rPr>
                <w:rFonts w:ascii="Times New Roman" w:hAnsi="Times New Roman"/>
                <w:noProof/>
                <w:sz w:val="18"/>
              </w:rPr>
              <w:t>ie</w:t>
            </w:r>
          </w:p>
        </w:tc>
        <w:tc>
          <w:tcPr>
            <w:tcW w:w="992" w:type="dxa"/>
            <w:tcBorders>
              <w:top w:val="nil"/>
              <w:left w:val="nil"/>
              <w:bottom w:val="single" w:sz="4" w:space="0" w:color="auto"/>
              <w:right w:val="single" w:sz="4" w:space="0" w:color="auto"/>
            </w:tcBorders>
            <w:shd w:val="clear" w:color="auto" w:fill="C6EFCE"/>
            <w:noWrap/>
          </w:tcPr>
          <w:p w14:paraId="68E34AA9" w14:textId="77777777" w:rsidR="004C2912" w:rsidRPr="00A33B9F" w:rsidDel="003771E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72B41886" w14:textId="77777777" w:rsidR="004C2912" w:rsidRPr="00A33B9F" w:rsidDel="003771E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021DB270" w14:textId="77777777" w:rsidR="004C2912" w:rsidRPr="00A33B9F" w:rsidDel="003771E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48531993" w14:textId="77777777" w:rsidR="004C2912" w:rsidRPr="00A33B9F" w:rsidDel="003771E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370900A9" w14:textId="77777777" w:rsidR="004C2912" w:rsidRPr="00A33B9F" w:rsidDel="003771E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2023</w:t>
            </w:r>
          </w:p>
        </w:tc>
        <w:tc>
          <w:tcPr>
            <w:tcW w:w="3690" w:type="dxa"/>
            <w:tcBorders>
              <w:top w:val="nil"/>
              <w:left w:val="nil"/>
              <w:bottom w:val="single" w:sz="4" w:space="0" w:color="auto"/>
              <w:right w:val="single" w:sz="4" w:space="0" w:color="auto"/>
            </w:tcBorders>
            <w:shd w:val="clear" w:color="auto" w:fill="C6EFCE"/>
            <w:noWrap/>
          </w:tcPr>
          <w:p w14:paraId="6F6B1F38" w14:textId="5E2F0618" w:rsidR="004C2912" w:rsidRPr="00A33B9F" w:rsidDel="003771EF" w:rsidRDefault="43A65F4C"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Zmiany</w:t>
            </w:r>
            <w:r w:rsidR="00A33B9F" w:rsidRPr="00A33B9F">
              <w:rPr>
                <w:rFonts w:ascii="Times New Roman" w:hAnsi="Times New Roman"/>
                <w:noProof/>
                <w:sz w:val="18"/>
              </w:rPr>
              <w:t xml:space="preserve"> w ust</w:t>
            </w:r>
            <w:r w:rsidRPr="00A33B9F">
              <w:rPr>
                <w:rFonts w:ascii="Times New Roman" w:hAnsi="Times New Roman"/>
                <w:noProof/>
                <w:sz w:val="18"/>
              </w:rPr>
              <w:t>awie</w:t>
            </w:r>
            <w:r w:rsidR="00A33B9F" w:rsidRPr="00A33B9F">
              <w:rPr>
                <w:rFonts w:ascii="Times New Roman" w:hAnsi="Times New Roman"/>
                <w:noProof/>
                <w:sz w:val="18"/>
              </w:rPr>
              <w:t xml:space="preserve"> o odn</w:t>
            </w:r>
            <w:r w:rsidRPr="00A33B9F">
              <w:rPr>
                <w:rFonts w:ascii="Times New Roman" w:hAnsi="Times New Roman"/>
                <w:noProof/>
                <w:sz w:val="18"/>
              </w:rPr>
              <w:t>awialnych źródłach energii oraz</w:t>
            </w:r>
            <w:r w:rsidR="00A33B9F" w:rsidRPr="00A33B9F">
              <w:rPr>
                <w:rFonts w:ascii="Times New Roman" w:hAnsi="Times New Roman"/>
                <w:noProof/>
                <w:sz w:val="18"/>
              </w:rPr>
              <w:t xml:space="preserve"> w ust</w:t>
            </w:r>
            <w:r w:rsidRPr="00A33B9F">
              <w:rPr>
                <w:rFonts w:ascii="Times New Roman" w:hAnsi="Times New Roman"/>
                <w:noProof/>
                <w:sz w:val="18"/>
              </w:rPr>
              <w:t>awie Prawo energetyczne umożliwiające przyłączenie wielu odnawialnych źródeł energii do sieci elektroenergetycznej</w:t>
            </w:r>
            <w:r w:rsidR="00A33B9F" w:rsidRPr="00A33B9F">
              <w:rPr>
                <w:rFonts w:ascii="Times New Roman" w:hAnsi="Times New Roman"/>
                <w:noProof/>
                <w:sz w:val="18"/>
              </w:rPr>
              <w:t xml:space="preserve"> w poj</w:t>
            </w:r>
            <w:r w:rsidRPr="00A33B9F">
              <w:rPr>
                <w:rFonts w:ascii="Times New Roman" w:hAnsi="Times New Roman"/>
                <w:noProof/>
                <w:sz w:val="18"/>
              </w:rPr>
              <w:t>edynczym punkcie przyłączenia.</w:t>
            </w:r>
          </w:p>
        </w:tc>
      </w:tr>
      <w:tr w:rsidR="00B3612A" w:rsidRPr="00A33B9F" w14:paraId="0AB9EA8C"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4FB50381" w14:textId="37306AC3"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G14G</w:t>
            </w:r>
          </w:p>
        </w:tc>
        <w:tc>
          <w:tcPr>
            <w:tcW w:w="1559" w:type="dxa"/>
            <w:tcBorders>
              <w:top w:val="nil"/>
              <w:left w:val="nil"/>
              <w:bottom w:val="single" w:sz="4" w:space="0" w:color="auto"/>
              <w:right w:val="single" w:sz="4" w:space="0" w:color="auto"/>
            </w:tcBorders>
            <w:shd w:val="clear" w:color="auto" w:fill="C6EFCE"/>
            <w:noWrap/>
          </w:tcPr>
          <w:p w14:paraId="6E5447CC" w14:textId="30071C7A"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G1.2.2 Usuwanie barier ograniczających integrację odnawialnych źródeł energii</w:t>
            </w:r>
            <w:r w:rsidR="00A33B9F" w:rsidRPr="00A33B9F">
              <w:rPr>
                <w:rFonts w:ascii="Times New Roman" w:hAnsi="Times New Roman"/>
                <w:noProof/>
                <w:sz w:val="18"/>
              </w:rPr>
              <w:t xml:space="preserve"> z sie</w:t>
            </w:r>
            <w:r w:rsidRPr="00A33B9F">
              <w:rPr>
                <w:rFonts w:ascii="Times New Roman" w:hAnsi="Times New Roman"/>
                <w:noProof/>
                <w:sz w:val="18"/>
              </w:rPr>
              <w:t>ciami elektroenergetycznymi</w:t>
            </w:r>
          </w:p>
        </w:tc>
        <w:tc>
          <w:tcPr>
            <w:tcW w:w="992" w:type="dxa"/>
            <w:tcBorders>
              <w:top w:val="nil"/>
              <w:left w:val="nil"/>
              <w:bottom w:val="single" w:sz="4" w:space="0" w:color="auto"/>
              <w:right w:val="single" w:sz="4" w:space="0" w:color="auto"/>
            </w:tcBorders>
            <w:shd w:val="clear" w:color="auto" w:fill="C6EFCE"/>
            <w:noWrap/>
          </w:tcPr>
          <w:p w14:paraId="32535871"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nil"/>
              <w:left w:val="nil"/>
              <w:bottom w:val="single" w:sz="4" w:space="0" w:color="auto"/>
              <w:right w:val="single" w:sz="4" w:space="0" w:color="auto"/>
            </w:tcBorders>
            <w:shd w:val="clear" w:color="auto" w:fill="C6EFCE"/>
            <w:noWrap/>
          </w:tcPr>
          <w:p w14:paraId="4274C04A" w14:textId="28CFA06B" w:rsidR="004C2912" w:rsidRPr="00A33B9F" w:rsidRDefault="69FA8C07"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aktów ustawodawczych i,</w:t>
            </w:r>
            <w:r w:rsidR="00A33B9F" w:rsidRPr="00A33B9F">
              <w:rPr>
                <w:rFonts w:ascii="Times New Roman" w:hAnsi="Times New Roman"/>
                <w:noProof/>
                <w:sz w:val="18"/>
              </w:rPr>
              <w:t xml:space="preserve"> w sto</w:t>
            </w:r>
            <w:r w:rsidRPr="00A33B9F">
              <w:rPr>
                <w:rFonts w:ascii="Times New Roman" w:hAnsi="Times New Roman"/>
                <w:noProof/>
                <w:sz w:val="18"/>
              </w:rPr>
              <w:t>sownych przypadkach, aktów</w:t>
            </w:r>
            <w:r w:rsidR="00A33B9F" w:rsidRPr="00A33B9F">
              <w:rPr>
                <w:rFonts w:ascii="Times New Roman" w:hAnsi="Times New Roman"/>
                <w:noProof/>
                <w:sz w:val="18"/>
              </w:rPr>
              <w:t xml:space="preserve"> o cha</w:t>
            </w:r>
            <w:r w:rsidRPr="00A33B9F">
              <w:rPr>
                <w:rFonts w:ascii="Times New Roman" w:hAnsi="Times New Roman"/>
                <w:noProof/>
                <w:sz w:val="18"/>
              </w:rPr>
              <w:t>rakterze nieustawodawczym zwiększających przejrzystość procesu przyłączenia do sieci elektroenergetycznych</w:t>
            </w:r>
            <w:r w:rsidR="00A33B9F" w:rsidRPr="00A33B9F">
              <w:rPr>
                <w:rFonts w:ascii="Times New Roman" w:hAnsi="Times New Roman"/>
                <w:noProof/>
                <w:sz w:val="18"/>
              </w:rPr>
              <w:t xml:space="preserve"> i uła</w:t>
            </w:r>
            <w:r w:rsidRPr="00A33B9F">
              <w:rPr>
                <w:rFonts w:ascii="Times New Roman" w:hAnsi="Times New Roman"/>
                <w:noProof/>
                <w:sz w:val="18"/>
              </w:rPr>
              <w:t>twiających ten proces</w:t>
            </w:r>
          </w:p>
        </w:tc>
        <w:tc>
          <w:tcPr>
            <w:tcW w:w="1701" w:type="dxa"/>
            <w:tcBorders>
              <w:top w:val="nil"/>
              <w:left w:val="nil"/>
              <w:bottom w:val="single" w:sz="4" w:space="0" w:color="auto"/>
              <w:right w:val="single" w:sz="4" w:space="0" w:color="auto"/>
            </w:tcBorders>
            <w:shd w:val="clear" w:color="auto" w:fill="C6EFCE"/>
            <w:noWrap/>
          </w:tcPr>
          <w:p w14:paraId="1401BD8A" w14:textId="04796DDC" w:rsidR="004C2912" w:rsidRPr="00A33B9F" w:rsidRDefault="69FA8C07"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Przepisy zmieniających aktów ustawodawczych i,</w:t>
            </w:r>
            <w:r w:rsidR="00A33B9F" w:rsidRPr="00A33B9F">
              <w:rPr>
                <w:rFonts w:ascii="Times New Roman" w:hAnsi="Times New Roman"/>
                <w:noProof/>
                <w:sz w:val="18"/>
              </w:rPr>
              <w:t xml:space="preserve"> w sto</w:t>
            </w:r>
            <w:r w:rsidRPr="00A33B9F">
              <w:rPr>
                <w:rFonts w:ascii="Times New Roman" w:hAnsi="Times New Roman"/>
                <w:noProof/>
                <w:sz w:val="18"/>
              </w:rPr>
              <w:t>sownych przypadkach, aktów</w:t>
            </w:r>
            <w:r w:rsidR="00A33B9F" w:rsidRPr="00A33B9F">
              <w:rPr>
                <w:rFonts w:ascii="Times New Roman" w:hAnsi="Times New Roman"/>
                <w:noProof/>
                <w:sz w:val="18"/>
              </w:rPr>
              <w:t xml:space="preserve"> o cha</w:t>
            </w:r>
            <w:r w:rsidRPr="00A33B9F">
              <w:rPr>
                <w:rFonts w:ascii="Times New Roman" w:hAnsi="Times New Roman"/>
                <w:noProof/>
                <w:sz w:val="18"/>
              </w:rPr>
              <w:t>rakterze nieustawodawczym, wskazujące na ich wejście</w:t>
            </w:r>
            <w:r w:rsidR="00A33B9F" w:rsidRPr="00A33B9F">
              <w:rPr>
                <w:rFonts w:ascii="Times New Roman" w:hAnsi="Times New Roman"/>
                <w:noProof/>
                <w:sz w:val="18"/>
              </w:rPr>
              <w:t xml:space="preserve"> w życ</w:t>
            </w:r>
            <w:r w:rsidRPr="00A33B9F">
              <w:rPr>
                <w:rFonts w:ascii="Times New Roman" w:hAnsi="Times New Roman"/>
                <w:noProof/>
                <w:sz w:val="18"/>
              </w:rPr>
              <w:t>ie</w:t>
            </w:r>
          </w:p>
        </w:tc>
        <w:tc>
          <w:tcPr>
            <w:tcW w:w="992" w:type="dxa"/>
            <w:tcBorders>
              <w:top w:val="nil"/>
              <w:left w:val="nil"/>
              <w:bottom w:val="single" w:sz="4" w:space="0" w:color="auto"/>
              <w:right w:val="single" w:sz="4" w:space="0" w:color="auto"/>
            </w:tcBorders>
            <w:shd w:val="clear" w:color="auto" w:fill="C6EFCE"/>
            <w:noWrap/>
          </w:tcPr>
          <w:p w14:paraId="21D104C4"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6AB09E6E"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14BAC9E4"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5CDFE0D4"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13C11D47"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90" w:type="dxa"/>
            <w:tcBorders>
              <w:top w:val="nil"/>
              <w:left w:val="nil"/>
              <w:bottom w:val="single" w:sz="4" w:space="0" w:color="auto"/>
              <w:right w:val="single" w:sz="4" w:space="0" w:color="auto"/>
            </w:tcBorders>
            <w:shd w:val="clear" w:color="auto" w:fill="C6EFCE"/>
            <w:noWrap/>
            <w:vAlign w:val="bottom"/>
          </w:tcPr>
          <w:p w14:paraId="47374FEF" w14:textId="4399D995" w:rsidR="00B47CD0"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Wejdą</w:t>
            </w:r>
            <w:r w:rsidR="00A33B9F" w:rsidRPr="00A33B9F">
              <w:rPr>
                <w:rFonts w:ascii="Times New Roman" w:hAnsi="Times New Roman"/>
                <w:noProof/>
                <w:sz w:val="18"/>
              </w:rPr>
              <w:t xml:space="preserve"> w życ</w:t>
            </w:r>
            <w:r w:rsidRPr="00A33B9F">
              <w:rPr>
                <w:rFonts w:ascii="Times New Roman" w:hAnsi="Times New Roman"/>
                <w:noProof/>
                <w:sz w:val="18"/>
              </w:rPr>
              <w:t>ie akty ustawodawcze i,</w:t>
            </w:r>
            <w:r w:rsidR="00A33B9F" w:rsidRPr="00A33B9F">
              <w:rPr>
                <w:rFonts w:ascii="Times New Roman" w:hAnsi="Times New Roman"/>
                <w:noProof/>
                <w:sz w:val="18"/>
              </w:rPr>
              <w:t xml:space="preserve"> w sto</w:t>
            </w:r>
            <w:r w:rsidRPr="00A33B9F">
              <w:rPr>
                <w:rFonts w:ascii="Times New Roman" w:hAnsi="Times New Roman"/>
                <w:noProof/>
                <w:sz w:val="18"/>
              </w:rPr>
              <w:t>sownych przypadkach, akty</w:t>
            </w:r>
            <w:r w:rsidR="00A33B9F" w:rsidRPr="00A33B9F">
              <w:rPr>
                <w:rFonts w:ascii="Times New Roman" w:hAnsi="Times New Roman"/>
                <w:noProof/>
                <w:sz w:val="18"/>
              </w:rPr>
              <w:t xml:space="preserve"> o cha</w:t>
            </w:r>
            <w:r w:rsidRPr="00A33B9F">
              <w:rPr>
                <w:rFonts w:ascii="Times New Roman" w:hAnsi="Times New Roman"/>
                <w:noProof/>
                <w:sz w:val="18"/>
              </w:rPr>
              <w:t>rakterze nieustawodawczym zwiększające przejrzystość</w:t>
            </w:r>
            <w:r w:rsidR="00A33B9F" w:rsidRPr="00A33B9F">
              <w:rPr>
                <w:rFonts w:ascii="Times New Roman" w:hAnsi="Times New Roman"/>
                <w:noProof/>
                <w:sz w:val="18"/>
              </w:rPr>
              <w:t xml:space="preserve"> i prz</w:t>
            </w:r>
            <w:r w:rsidRPr="00A33B9F">
              <w:rPr>
                <w:rFonts w:ascii="Times New Roman" w:hAnsi="Times New Roman"/>
                <w:noProof/>
                <w:sz w:val="18"/>
              </w:rPr>
              <w:t>ewidywalność procesu przyłączenia do sieci elektroenergetycznych</w:t>
            </w:r>
            <w:r w:rsidR="00A33B9F" w:rsidRPr="00A33B9F">
              <w:rPr>
                <w:rFonts w:ascii="Times New Roman" w:hAnsi="Times New Roman"/>
                <w:noProof/>
                <w:sz w:val="18"/>
              </w:rPr>
              <w:t xml:space="preserve"> i uła</w:t>
            </w:r>
            <w:r w:rsidRPr="00A33B9F">
              <w:rPr>
                <w:rFonts w:ascii="Times New Roman" w:hAnsi="Times New Roman"/>
                <w:noProof/>
                <w:sz w:val="18"/>
              </w:rPr>
              <w:t xml:space="preserve">twiające ten proces. </w:t>
            </w:r>
          </w:p>
          <w:p w14:paraId="3C30A085" w14:textId="77777777" w:rsidR="00B47CD0" w:rsidRPr="00A33B9F" w:rsidRDefault="00B47CD0" w:rsidP="004C2912">
            <w:pPr>
              <w:spacing w:after="0" w:line="240" w:lineRule="auto"/>
              <w:rPr>
                <w:rFonts w:ascii="Times New Roman" w:eastAsia="Times New Roman" w:hAnsi="Times New Roman" w:cs="Times New Roman"/>
                <w:noProof/>
                <w:sz w:val="18"/>
                <w:szCs w:val="18"/>
                <w:lang w:eastAsia="en-GB"/>
              </w:rPr>
            </w:pPr>
          </w:p>
          <w:p w14:paraId="2495456F" w14:textId="018F8614" w:rsidR="004C2912" w:rsidRPr="00A33B9F" w:rsidRDefault="3094674C"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 takich aktach zostaną ustanowione nowe lub zmienione obowiązujące przepisy dotyczące procesu przyłączania, obejmujące system przesyłowy</w:t>
            </w:r>
            <w:r w:rsidR="00A33B9F" w:rsidRPr="00A33B9F">
              <w:rPr>
                <w:rFonts w:ascii="Times New Roman" w:hAnsi="Times New Roman"/>
                <w:noProof/>
                <w:sz w:val="18"/>
              </w:rPr>
              <w:t xml:space="preserve"> i ope</w:t>
            </w:r>
            <w:r w:rsidRPr="00A33B9F">
              <w:rPr>
                <w:rFonts w:ascii="Times New Roman" w:hAnsi="Times New Roman"/>
                <w:noProof/>
                <w:sz w:val="18"/>
              </w:rPr>
              <w:t>ratorów systemów dystrybucyjnych,</w:t>
            </w:r>
            <w:r w:rsidR="00A33B9F" w:rsidRPr="00A33B9F">
              <w:rPr>
                <w:rFonts w:ascii="Times New Roman" w:hAnsi="Times New Roman"/>
                <w:noProof/>
                <w:sz w:val="18"/>
              </w:rPr>
              <w:t xml:space="preserve"> w tym</w:t>
            </w:r>
            <w:r w:rsidRPr="00A33B9F">
              <w:rPr>
                <w:rFonts w:ascii="Times New Roman" w:hAnsi="Times New Roman"/>
                <w:noProof/>
                <w:sz w:val="18"/>
              </w:rPr>
              <w:t>:</w:t>
            </w:r>
          </w:p>
          <w:p w14:paraId="614E8C86" w14:textId="00A09D70" w:rsidR="004C2912" w:rsidRPr="00A33B9F" w:rsidRDefault="23DA28A3" w:rsidP="00394B30">
            <w:pPr>
              <w:pStyle w:val="ListParagraph"/>
              <w:numPr>
                <w:ilvl w:val="0"/>
                <w:numId w:val="29"/>
              </w:numPr>
              <w:spacing w:after="0" w:line="240" w:lineRule="auto"/>
              <w:ind w:left="169" w:hanging="175"/>
              <w:rPr>
                <w:rFonts w:ascii="Times New Roman" w:eastAsia="Times New Roman" w:hAnsi="Times New Roman" w:cs="Times New Roman"/>
                <w:noProof/>
                <w:sz w:val="18"/>
                <w:szCs w:val="18"/>
              </w:rPr>
            </w:pPr>
            <w:r w:rsidRPr="00A33B9F">
              <w:rPr>
                <w:rFonts w:ascii="Times New Roman" w:hAnsi="Times New Roman"/>
                <w:noProof/>
                <w:sz w:val="18"/>
              </w:rPr>
              <w:t>Ustanowienie jednolitego zbioru przepisów opisujących procedury</w:t>
            </w:r>
            <w:r w:rsidR="00A33B9F" w:rsidRPr="00A33B9F">
              <w:rPr>
                <w:rFonts w:ascii="Times New Roman" w:hAnsi="Times New Roman"/>
                <w:noProof/>
                <w:sz w:val="18"/>
              </w:rPr>
              <w:t xml:space="preserve"> i ter</w:t>
            </w:r>
            <w:r w:rsidRPr="00A33B9F">
              <w:rPr>
                <w:rFonts w:ascii="Times New Roman" w:hAnsi="Times New Roman"/>
                <w:noProof/>
                <w:sz w:val="18"/>
              </w:rPr>
              <w:t>miny,</w:t>
            </w:r>
            <w:r w:rsidR="00A33B9F" w:rsidRPr="00A33B9F">
              <w:rPr>
                <w:rFonts w:ascii="Times New Roman" w:hAnsi="Times New Roman"/>
                <w:noProof/>
                <w:sz w:val="18"/>
              </w:rPr>
              <w:t xml:space="preserve"> a tak</w:t>
            </w:r>
            <w:r w:rsidRPr="00A33B9F">
              <w:rPr>
                <w:rFonts w:ascii="Times New Roman" w:hAnsi="Times New Roman"/>
                <w:noProof/>
                <w:sz w:val="18"/>
              </w:rPr>
              <w:t>że kryteria stosowane przy ocenie wniosków</w:t>
            </w:r>
            <w:r w:rsidR="00A33B9F" w:rsidRPr="00A33B9F">
              <w:rPr>
                <w:rFonts w:ascii="Times New Roman" w:hAnsi="Times New Roman"/>
                <w:noProof/>
                <w:sz w:val="18"/>
              </w:rPr>
              <w:t xml:space="preserve"> o prz</w:t>
            </w:r>
            <w:r w:rsidRPr="00A33B9F">
              <w:rPr>
                <w:rFonts w:ascii="Times New Roman" w:hAnsi="Times New Roman"/>
                <w:noProof/>
                <w:sz w:val="18"/>
              </w:rPr>
              <w:t>yłączenie</w:t>
            </w:r>
            <w:r w:rsidR="00A33B9F" w:rsidRPr="00A33B9F">
              <w:rPr>
                <w:rFonts w:ascii="Times New Roman" w:hAnsi="Times New Roman"/>
                <w:noProof/>
                <w:sz w:val="18"/>
              </w:rPr>
              <w:t xml:space="preserve"> i dec</w:t>
            </w:r>
            <w:r w:rsidRPr="00A33B9F">
              <w:rPr>
                <w:rFonts w:ascii="Times New Roman" w:hAnsi="Times New Roman"/>
                <w:noProof/>
                <w:sz w:val="18"/>
              </w:rPr>
              <w:t>yzji</w:t>
            </w:r>
            <w:r w:rsidR="00A33B9F" w:rsidRPr="00A33B9F">
              <w:rPr>
                <w:rFonts w:ascii="Times New Roman" w:hAnsi="Times New Roman"/>
                <w:noProof/>
                <w:sz w:val="18"/>
              </w:rPr>
              <w:t xml:space="preserve"> o prz</w:t>
            </w:r>
            <w:r w:rsidRPr="00A33B9F">
              <w:rPr>
                <w:rFonts w:ascii="Times New Roman" w:hAnsi="Times New Roman"/>
                <w:noProof/>
                <w:sz w:val="18"/>
              </w:rPr>
              <w:t>yłączeniu;</w:t>
            </w:r>
          </w:p>
          <w:p w14:paraId="61AA8A87" w14:textId="3BAC7116" w:rsidR="004C2912" w:rsidRPr="00A33B9F" w:rsidRDefault="0565A773" w:rsidP="00394B30">
            <w:pPr>
              <w:pStyle w:val="ListParagraph"/>
              <w:numPr>
                <w:ilvl w:val="0"/>
                <w:numId w:val="29"/>
              </w:numPr>
              <w:spacing w:after="0" w:line="240" w:lineRule="auto"/>
              <w:ind w:left="169" w:hanging="175"/>
              <w:rPr>
                <w:rFonts w:ascii="Times New Roman" w:eastAsia="Times New Roman" w:hAnsi="Times New Roman" w:cs="Times New Roman"/>
                <w:noProof/>
                <w:sz w:val="18"/>
                <w:szCs w:val="18"/>
              </w:rPr>
            </w:pPr>
            <w:r w:rsidRPr="00A33B9F">
              <w:rPr>
                <w:rFonts w:ascii="Times New Roman" w:hAnsi="Times New Roman"/>
                <w:noProof/>
                <w:sz w:val="18"/>
              </w:rPr>
              <w:t>Dostępność online dla ogółu społeczeństwa: (i) regularnie aktualizowanych informacji na temat dostępnych zdolności przyłączeniowych do sieci; (ii) informacji na temat odrzuconych wniosków</w:t>
            </w:r>
            <w:r w:rsidR="00A33B9F" w:rsidRPr="00A33B9F">
              <w:rPr>
                <w:rFonts w:ascii="Times New Roman" w:hAnsi="Times New Roman"/>
                <w:noProof/>
                <w:sz w:val="18"/>
              </w:rPr>
              <w:t xml:space="preserve"> o prz</w:t>
            </w:r>
            <w:r w:rsidRPr="00A33B9F">
              <w:rPr>
                <w:rFonts w:ascii="Times New Roman" w:hAnsi="Times New Roman"/>
                <w:noProof/>
                <w:sz w:val="18"/>
              </w:rPr>
              <w:t>yłączenie,</w:t>
            </w:r>
            <w:r w:rsidR="00A33B9F" w:rsidRPr="00A33B9F">
              <w:rPr>
                <w:rFonts w:ascii="Times New Roman" w:hAnsi="Times New Roman"/>
                <w:noProof/>
                <w:sz w:val="18"/>
              </w:rPr>
              <w:t xml:space="preserve"> w tym</w:t>
            </w:r>
            <w:r w:rsidRPr="00A33B9F">
              <w:rPr>
                <w:rFonts w:ascii="Times New Roman" w:hAnsi="Times New Roman"/>
                <w:noProof/>
                <w:sz w:val="18"/>
              </w:rPr>
              <w:t xml:space="preserve"> uzasadnienia odrzucenia oraz (iii) jednolitego zbioru przepisów;</w:t>
            </w:r>
          </w:p>
          <w:p w14:paraId="78014F4D" w14:textId="6CF414A5" w:rsidR="004C2912" w:rsidRPr="00A33B9F" w:rsidRDefault="008266FE" w:rsidP="00F10C7B">
            <w:pPr>
              <w:pStyle w:val="ListParagraph"/>
              <w:numPr>
                <w:ilvl w:val="0"/>
                <w:numId w:val="29"/>
              </w:numPr>
              <w:spacing w:after="0" w:line="240" w:lineRule="auto"/>
              <w:ind w:left="169" w:hanging="175"/>
              <w:rPr>
                <w:rFonts w:ascii="Times New Roman" w:eastAsia="Times New Roman" w:hAnsi="Times New Roman" w:cs="Times New Roman"/>
                <w:noProof/>
                <w:sz w:val="18"/>
                <w:szCs w:val="18"/>
              </w:rPr>
            </w:pPr>
            <w:r w:rsidRPr="00A33B9F">
              <w:rPr>
                <w:rFonts w:ascii="Times New Roman" w:hAnsi="Times New Roman"/>
                <w:noProof/>
                <w:sz w:val="18"/>
              </w:rPr>
              <w:t>W pełni elektroniczne składanie wniosków</w:t>
            </w:r>
            <w:r w:rsidR="00A33B9F" w:rsidRPr="00A33B9F">
              <w:rPr>
                <w:rFonts w:ascii="Times New Roman" w:hAnsi="Times New Roman"/>
                <w:noProof/>
                <w:sz w:val="18"/>
              </w:rPr>
              <w:t xml:space="preserve"> o prz</w:t>
            </w:r>
            <w:r w:rsidRPr="00A33B9F">
              <w:rPr>
                <w:rFonts w:ascii="Times New Roman" w:hAnsi="Times New Roman"/>
                <w:noProof/>
                <w:sz w:val="18"/>
              </w:rPr>
              <w:t>yłączenie</w:t>
            </w:r>
            <w:r w:rsidR="00A33B9F" w:rsidRPr="00A33B9F">
              <w:rPr>
                <w:rFonts w:ascii="Times New Roman" w:hAnsi="Times New Roman"/>
                <w:noProof/>
                <w:sz w:val="18"/>
              </w:rPr>
              <w:t xml:space="preserve"> i roz</w:t>
            </w:r>
            <w:r w:rsidRPr="00A33B9F">
              <w:rPr>
                <w:rFonts w:ascii="Times New Roman" w:hAnsi="Times New Roman"/>
                <w:noProof/>
                <w:sz w:val="18"/>
              </w:rPr>
              <w:t>patrywanie takich wniosków.</w:t>
            </w:r>
          </w:p>
          <w:p w14:paraId="767F3FA7" w14:textId="1151539C" w:rsidR="004C2912" w:rsidRPr="00A33B9F" w:rsidRDefault="004C2912" w:rsidP="00F10C7B">
            <w:pPr>
              <w:pStyle w:val="ListParagraph"/>
              <w:spacing w:after="0" w:line="240" w:lineRule="auto"/>
              <w:ind w:left="169"/>
              <w:rPr>
                <w:rFonts w:ascii="Times New Roman" w:eastAsia="Times New Roman" w:hAnsi="Times New Roman" w:cs="Times New Roman"/>
                <w:noProof/>
                <w:sz w:val="18"/>
                <w:szCs w:val="18"/>
                <w:lang w:eastAsia="en-GB"/>
              </w:rPr>
            </w:pPr>
          </w:p>
        </w:tc>
      </w:tr>
      <w:tr w:rsidR="00B3612A" w:rsidRPr="00A33B9F" w14:paraId="5C1102C5"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1967C086" w14:textId="644CABC0"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G15G</w:t>
            </w:r>
          </w:p>
        </w:tc>
        <w:tc>
          <w:tcPr>
            <w:tcW w:w="1559" w:type="dxa"/>
            <w:tcBorders>
              <w:top w:val="nil"/>
              <w:left w:val="nil"/>
              <w:bottom w:val="single" w:sz="4" w:space="0" w:color="auto"/>
              <w:right w:val="single" w:sz="4" w:space="0" w:color="auto"/>
            </w:tcBorders>
            <w:shd w:val="clear" w:color="auto" w:fill="C6EFCE"/>
            <w:noWrap/>
          </w:tcPr>
          <w:p w14:paraId="3C5188FB" w14:textId="59487CC3"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1F00D6C8"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nil"/>
              <w:left w:val="nil"/>
              <w:bottom w:val="single" w:sz="4" w:space="0" w:color="auto"/>
              <w:right w:val="single" w:sz="4" w:space="0" w:color="auto"/>
            </w:tcBorders>
            <w:shd w:val="clear" w:color="auto" w:fill="C6EFCE"/>
            <w:noWrap/>
          </w:tcPr>
          <w:p w14:paraId="7E3C8913" w14:textId="5C788A43"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Długość nowo </w:t>
            </w:r>
          </w:p>
          <w:p w14:paraId="7363969C"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wybudowanej lub zmodernizowanej </w:t>
            </w:r>
          </w:p>
          <w:p w14:paraId="4E95D07D"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elektroenergetycznej sieci przesyłowej </w:t>
            </w:r>
          </w:p>
          <w:p w14:paraId="646C21F3"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 km)</w:t>
            </w:r>
          </w:p>
        </w:tc>
        <w:tc>
          <w:tcPr>
            <w:tcW w:w="1701" w:type="dxa"/>
            <w:tcBorders>
              <w:top w:val="nil"/>
              <w:left w:val="nil"/>
              <w:bottom w:val="single" w:sz="4" w:space="0" w:color="auto"/>
              <w:right w:val="single" w:sz="4" w:space="0" w:color="auto"/>
            </w:tcBorders>
            <w:shd w:val="clear" w:color="auto" w:fill="C6EFCE"/>
            <w:noWrap/>
          </w:tcPr>
          <w:p w14:paraId="235F5F9D"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1CE3D8F0"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nil"/>
              <w:left w:val="nil"/>
              <w:bottom w:val="single" w:sz="4" w:space="0" w:color="auto"/>
              <w:right w:val="single" w:sz="4" w:space="0" w:color="auto"/>
            </w:tcBorders>
            <w:shd w:val="clear" w:color="auto" w:fill="C6EFCE"/>
            <w:noWrap/>
          </w:tcPr>
          <w:p w14:paraId="6C062CED"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43F673B6"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70</w:t>
            </w:r>
          </w:p>
        </w:tc>
        <w:tc>
          <w:tcPr>
            <w:tcW w:w="921" w:type="dxa"/>
            <w:tcBorders>
              <w:top w:val="nil"/>
              <w:left w:val="nil"/>
              <w:bottom w:val="single" w:sz="4" w:space="0" w:color="auto"/>
              <w:right w:val="single" w:sz="4" w:space="0" w:color="auto"/>
            </w:tcBorders>
            <w:shd w:val="clear" w:color="auto" w:fill="C6EFCE"/>
            <w:noWrap/>
          </w:tcPr>
          <w:p w14:paraId="60C1F172"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0B588493"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3690" w:type="dxa"/>
            <w:tcBorders>
              <w:top w:val="nil"/>
              <w:left w:val="nil"/>
              <w:bottom w:val="single" w:sz="4" w:space="0" w:color="auto"/>
              <w:right w:val="single" w:sz="4" w:space="0" w:color="auto"/>
            </w:tcBorders>
            <w:shd w:val="clear" w:color="auto" w:fill="C6EFCE"/>
            <w:noWrap/>
          </w:tcPr>
          <w:p w14:paraId="5DE2ACEE" w14:textId="43841D06"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kilometrów nowo wybudowanych lub zmodernizowanych odcinków</w:t>
            </w:r>
            <w:r w:rsidR="00A33B9F" w:rsidRPr="00A33B9F">
              <w:rPr>
                <w:rFonts w:ascii="Times New Roman" w:hAnsi="Times New Roman"/>
                <w:noProof/>
                <w:sz w:val="18"/>
              </w:rPr>
              <w:t xml:space="preserve"> w ram</w:t>
            </w:r>
            <w:r w:rsidRPr="00A33B9F">
              <w:rPr>
                <w:rFonts w:ascii="Times New Roman" w:hAnsi="Times New Roman"/>
                <w:noProof/>
                <w:sz w:val="18"/>
              </w:rPr>
              <w:t>ach projektów elektroenergetycznych sieci przesyłowych (400 kV). Długość każdego odcinka zostanie obliczona tylko raz (niezależnie od tego, czy jest to linia jedno- czy dwutorowa).</w:t>
            </w:r>
          </w:p>
        </w:tc>
      </w:tr>
      <w:tr w:rsidR="00B3612A" w:rsidRPr="00A33B9F" w14:paraId="76CF75EF"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13A43761" w14:textId="6C65C122"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G16G</w:t>
            </w:r>
          </w:p>
        </w:tc>
        <w:tc>
          <w:tcPr>
            <w:tcW w:w="1559" w:type="dxa"/>
            <w:tcBorders>
              <w:top w:val="nil"/>
              <w:left w:val="nil"/>
              <w:bottom w:val="single" w:sz="4" w:space="0" w:color="auto"/>
              <w:right w:val="single" w:sz="4" w:space="0" w:color="auto"/>
            </w:tcBorders>
            <w:shd w:val="clear" w:color="auto" w:fill="C6EFCE"/>
            <w:noWrap/>
          </w:tcPr>
          <w:p w14:paraId="1DED48BA" w14:textId="757267F4"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330BBBCC"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nil"/>
              <w:left w:val="nil"/>
              <w:bottom w:val="single" w:sz="4" w:space="0" w:color="auto"/>
              <w:right w:val="single" w:sz="4" w:space="0" w:color="auto"/>
            </w:tcBorders>
            <w:shd w:val="clear" w:color="auto" w:fill="C6EFCE"/>
            <w:noWrap/>
          </w:tcPr>
          <w:p w14:paraId="64304BBC" w14:textId="175D0C67" w:rsidR="004C2912" w:rsidRPr="00A33B9F" w:rsidRDefault="00B82FB6"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Długość nowo </w:t>
            </w:r>
          </w:p>
          <w:p w14:paraId="2BD66834"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wybudowanej lub zmodernizowanej </w:t>
            </w:r>
          </w:p>
          <w:p w14:paraId="5B6864DC"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elektroenergetycznej sieci przesyłowej </w:t>
            </w:r>
          </w:p>
          <w:p w14:paraId="4EF2412F"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 km)</w:t>
            </w:r>
          </w:p>
        </w:tc>
        <w:tc>
          <w:tcPr>
            <w:tcW w:w="1701" w:type="dxa"/>
            <w:tcBorders>
              <w:top w:val="nil"/>
              <w:left w:val="nil"/>
              <w:bottom w:val="single" w:sz="4" w:space="0" w:color="auto"/>
              <w:right w:val="single" w:sz="4" w:space="0" w:color="auto"/>
            </w:tcBorders>
            <w:shd w:val="clear" w:color="auto" w:fill="C6EFCE"/>
            <w:noWrap/>
          </w:tcPr>
          <w:p w14:paraId="3EBB8C2E"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3BFD8DF6"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nil"/>
              <w:left w:val="nil"/>
              <w:bottom w:val="single" w:sz="4" w:space="0" w:color="auto"/>
              <w:right w:val="single" w:sz="4" w:space="0" w:color="auto"/>
            </w:tcBorders>
            <w:shd w:val="clear" w:color="auto" w:fill="C6EFCE"/>
            <w:noWrap/>
          </w:tcPr>
          <w:p w14:paraId="093BFAA0"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70</w:t>
            </w:r>
          </w:p>
        </w:tc>
        <w:tc>
          <w:tcPr>
            <w:tcW w:w="709" w:type="dxa"/>
            <w:tcBorders>
              <w:top w:val="nil"/>
              <w:left w:val="nil"/>
              <w:bottom w:val="single" w:sz="4" w:space="0" w:color="auto"/>
              <w:right w:val="single" w:sz="4" w:space="0" w:color="auto"/>
            </w:tcBorders>
            <w:shd w:val="clear" w:color="auto" w:fill="C6EFCE"/>
            <w:noWrap/>
          </w:tcPr>
          <w:p w14:paraId="5D0A80F3"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190</w:t>
            </w:r>
          </w:p>
        </w:tc>
        <w:tc>
          <w:tcPr>
            <w:tcW w:w="921" w:type="dxa"/>
            <w:tcBorders>
              <w:top w:val="nil"/>
              <w:left w:val="nil"/>
              <w:bottom w:val="single" w:sz="4" w:space="0" w:color="auto"/>
              <w:right w:val="single" w:sz="4" w:space="0" w:color="auto"/>
            </w:tcBorders>
            <w:shd w:val="clear" w:color="auto" w:fill="C6EFCE"/>
            <w:noWrap/>
          </w:tcPr>
          <w:p w14:paraId="7701C649"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1A20E0D3"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90" w:type="dxa"/>
            <w:tcBorders>
              <w:top w:val="nil"/>
              <w:left w:val="nil"/>
              <w:bottom w:val="single" w:sz="4" w:space="0" w:color="auto"/>
              <w:right w:val="single" w:sz="4" w:space="0" w:color="auto"/>
            </w:tcBorders>
            <w:shd w:val="clear" w:color="auto" w:fill="C6EFCE"/>
            <w:noWrap/>
          </w:tcPr>
          <w:p w14:paraId="7A5DAD54" w14:textId="7424779C"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kilometrów nowo wybudowanych lub zmodernizowanych odcinków</w:t>
            </w:r>
            <w:r w:rsidR="00A33B9F" w:rsidRPr="00A33B9F">
              <w:rPr>
                <w:rFonts w:ascii="Times New Roman" w:hAnsi="Times New Roman"/>
                <w:noProof/>
                <w:sz w:val="18"/>
              </w:rPr>
              <w:t xml:space="preserve"> w ram</w:t>
            </w:r>
            <w:r w:rsidRPr="00A33B9F">
              <w:rPr>
                <w:rFonts w:ascii="Times New Roman" w:hAnsi="Times New Roman"/>
                <w:noProof/>
                <w:sz w:val="18"/>
              </w:rPr>
              <w:t>ach projektów elektroenergetycznych sieci przesyłowych (400 kV). Długość każdego odcinka zostanie obliczona tylko raz (niezależnie od tego, czy jest to linia jedno- czy dwutorowa).</w:t>
            </w:r>
          </w:p>
        </w:tc>
      </w:tr>
      <w:tr w:rsidR="00B3612A" w:rsidRPr="00A33B9F" w14:paraId="5D06295D"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0FEC4CEF" w14:textId="16AF3422"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G17G</w:t>
            </w:r>
          </w:p>
        </w:tc>
        <w:tc>
          <w:tcPr>
            <w:tcW w:w="1559" w:type="dxa"/>
            <w:tcBorders>
              <w:top w:val="nil"/>
              <w:left w:val="nil"/>
              <w:bottom w:val="single" w:sz="4" w:space="0" w:color="auto"/>
              <w:right w:val="single" w:sz="4" w:space="0" w:color="auto"/>
            </w:tcBorders>
            <w:shd w:val="clear" w:color="auto" w:fill="C6EFCE"/>
            <w:noWrap/>
          </w:tcPr>
          <w:p w14:paraId="77503115" w14:textId="78765273"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5A77DEAD"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nil"/>
              <w:left w:val="nil"/>
              <w:bottom w:val="single" w:sz="4" w:space="0" w:color="auto"/>
              <w:right w:val="single" w:sz="4" w:space="0" w:color="auto"/>
            </w:tcBorders>
            <w:shd w:val="clear" w:color="auto" w:fill="C6EFCE"/>
            <w:noWrap/>
          </w:tcPr>
          <w:p w14:paraId="43A669FD" w14:textId="67B179A6"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Długość nowo </w:t>
            </w:r>
          </w:p>
          <w:p w14:paraId="623CF243"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wybudowanej lub zmodernizowanej </w:t>
            </w:r>
          </w:p>
          <w:p w14:paraId="5726EEFF"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elektroenergetycznej sieci przesyłowej </w:t>
            </w:r>
          </w:p>
          <w:p w14:paraId="0BAB93BE"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 km)</w:t>
            </w:r>
          </w:p>
        </w:tc>
        <w:tc>
          <w:tcPr>
            <w:tcW w:w="1701" w:type="dxa"/>
            <w:tcBorders>
              <w:top w:val="nil"/>
              <w:left w:val="nil"/>
              <w:bottom w:val="single" w:sz="4" w:space="0" w:color="auto"/>
              <w:right w:val="single" w:sz="4" w:space="0" w:color="auto"/>
            </w:tcBorders>
            <w:shd w:val="clear" w:color="auto" w:fill="C6EFCE"/>
            <w:noWrap/>
          </w:tcPr>
          <w:p w14:paraId="504F911A"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177E6B50"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nil"/>
              <w:left w:val="nil"/>
              <w:bottom w:val="single" w:sz="4" w:space="0" w:color="auto"/>
              <w:right w:val="single" w:sz="4" w:space="0" w:color="auto"/>
            </w:tcBorders>
            <w:shd w:val="clear" w:color="auto" w:fill="C6EFCE"/>
            <w:noWrap/>
          </w:tcPr>
          <w:p w14:paraId="67E79FDF"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190</w:t>
            </w:r>
          </w:p>
        </w:tc>
        <w:tc>
          <w:tcPr>
            <w:tcW w:w="709" w:type="dxa"/>
            <w:tcBorders>
              <w:top w:val="nil"/>
              <w:left w:val="nil"/>
              <w:bottom w:val="single" w:sz="4" w:space="0" w:color="auto"/>
              <w:right w:val="single" w:sz="4" w:space="0" w:color="auto"/>
            </w:tcBorders>
            <w:shd w:val="clear" w:color="auto" w:fill="C6EFCE"/>
            <w:noWrap/>
          </w:tcPr>
          <w:p w14:paraId="3BED169D"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320</w:t>
            </w:r>
          </w:p>
        </w:tc>
        <w:tc>
          <w:tcPr>
            <w:tcW w:w="921" w:type="dxa"/>
            <w:tcBorders>
              <w:top w:val="nil"/>
              <w:left w:val="nil"/>
              <w:bottom w:val="single" w:sz="4" w:space="0" w:color="auto"/>
              <w:right w:val="single" w:sz="4" w:space="0" w:color="auto"/>
            </w:tcBorders>
            <w:shd w:val="clear" w:color="auto" w:fill="C6EFCE"/>
            <w:noWrap/>
          </w:tcPr>
          <w:p w14:paraId="11894E65"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5B91257F"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90" w:type="dxa"/>
            <w:tcBorders>
              <w:top w:val="nil"/>
              <w:left w:val="nil"/>
              <w:bottom w:val="single" w:sz="4" w:space="0" w:color="auto"/>
              <w:right w:val="single" w:sz="4" w:space="0" w:color="auto"/>
            </w:tcBorders>
            <w:shd w:val="clear" w:color="auto" w:fill="C6EFCE"/>
            <w:noWrap/>
          </w:tcPr>
          <w:p w14:paraId="6A586ACD" w14:textId="6E13D8B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kilometrów nowo wybudowanych lub zmodernizowanych odcinków</w:t>
            </w:r>
            <w:r w:rsidR="00A33B9F" w:rsidRPr="00A33B9F">
              <w:rPr>
                <w:rFonts w:ascii="Times New Roman" w:hAnsi="Times New Roman"/>
                <w:noProof/>
                <w:sz w:val="18"/>
              </w:rPr>
              <w:t xml:space="preserve"> w ram</w:t>
            </w:r>
            <w:r w:rsidRPr="00A33B9F">
              <w:rPr>
                <w:rFonts w:ascii="Times New Roman" w:hAnsi="Times New Roman"/>
                <w:noProof/>
                <w:sz w:val="18"/>
              </w:rPr>
              <w:t>ach projektów elektroenergetycznych sieci przesyłowych (400 kV). Długość każdego odcinka zostanie obliczona tylko raz (niezależnie od tego, czy jest to linia jedno- czy dwutorowa).</w:t>
            </w:r>
          </w:p>
        </w:tc>
      </w:tr>
      <w:tr w:rsidR="00B3612A" w:rsidRPr="00A33B9F" w14:paraId="5A503187"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06DCE65" w14:textId="5A6FBCB7"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G18G</w:t>
            </w:r>
          </w:p>
        </w:tc>
        <w:tc>
          <w:tcPr>
            <w:tcW w:w="1559" w:type="dxa"/>
            <w:tcBorders>
              <w:top w:val="nil"/>
              <w:left w:val="nil"/>
              <w:bottom w:val="single" w:sz="4" w:space="0" w:color="auto"/>
              <w:right w:val="single" w:sz="4" w:space="0" w:color="auto"/>
            </w:tcBorders>
            <w:shd w:val="clear" w:color="auto" w:fill="C6EFCE"/>
            <w:noWrap/>
          </w:tcPr>
          <w:p w14:paraId="1F93CAF7" w14:textId="0F3B468E"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03DE2A25"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nil"/>
              <w:left w:val="nil"/>
              <w:bottom w:val="single" w:sz="4" w:space="0" w:color="auto"/>
              <w:right w:val="single" w:sz="4" w:space="0" w:color="auto"/>
            </w:tcBorders>
            <w:shd w:val="clear" w:color="auto" w:fill="C6EFCE"/>
            <w:noWrap/>
          </w:tcPr>
          <w:p w14:paraId="7D037AB2" w14:textId="05A45608"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Umowy</w:t>
            </w:r>
            <w:r w:rsidR="00A33B9F" w:rsidRPr="00A33B9F">
              <w:rPr>
                <w:rFonts w:ascii="Times New Roman" w:hAnsi="Times New Roman"/>
                <w:noProof/>
                <w:sz w:val="18"/>
              </w:rPr>
              <w:t xml:space="preserve"> o udz</w:t>
            </w:r>
            <w:r w:rsidRPr="00A33B9F">
              <w:rPr>
                <w:rFonts w:ascii="Times New Roman" w:hAnsi="Times New Roman"/>
                <w:noProof/>
                <w:sz w:val="18"/>
              </w:rPr>
              <w:t>ielenie dotacji</w:t>
            </w:r>
          </w:p>
          <w:p w14:paraId="0986F3C8" w14:textId="12BBF34B"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między operatorem systemu przesyłowego (OSP)</w:t>
            </w:r>
            <w:r w:rsidR="00A33B9F" w:rsidRPr="00A33B9F">
              <w:rPr>
                <w:rFonts w:ascii="Times New Roman" w:hAnsi="Times New Roman"/>
                <w:noProof/>
                <w:sz w:val="18"/>
              </w:rPr>
              <w:t xml:space="preserve"> a org</w:t>
            </w:r>
            <w:r w:rsidRPr="00A33B9F">
              <w:rPr>
                <w:rFonts w:ascii="Times New Roman" w:hAnsi="Times New Roman"/>
                <w:noProof/>
                <w:sz w:val="18"/>
              </w:rPr>
              <w:t>anami ds. wdrażania</w:t>
            </w:r>
            <w:r w:rsidR="00A33B9F" w:rsidRPr="00A33B9F">
              <w:rPr>
                <w:rFonts w:ascii="Times New Roman" w:hAnsi="Times New Roman"/>
                <w:noProof/>
                <w:sz w:val="18"/>
              </w:rPr>
              <w:t xml:space="preserve"> i wsp</w:t>
            </w:r>
            <w:r w:rsidRPr="00A33B9F">
              <w:rPr>
                <w:rFonts w:ascii="Times New Roman" w:hAnsi="Times New Roman"/>
                <w:noProof/>
                <w:sz w:val="18"/>
              </w:rPr>
              <w:t>ierania sieci przesyłowych</w:t>
            </w:r>
          </w:p>
        </w:tc>
        <w:tc>
          <w:tcPr>
            <w:tcW w:w="1701" w:type="dxa"/>
            <w:tcBorders>
              <w:top w:val="nil"/>
              <w:left w:val="nil"/>
              <w:bottom w:val="single" w:sz="4" w:space="0" w:color="auto"/>
              <w:right w:val="single" w:sz="4" w:space="0" w:color="auto"/>
            </w:tcBorders>
            <w:shd w:val="clear" w:color="auto" w:fill="C6EFCE"/>
            <w:noWrap/>
          </w:tcPr>
          <w:p w14:paraId="1942EF8A" w14:textId="352CB87F"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Podpisane umowy</w:t>
            </w:r>
            <w:r w:rsidR="00A33B9F" w:rsidRPr="00A33B9F">
              <w:rPr>
                <w:rFonts w:ascii="Times New Roman" w:hAnsi="Times New Roman"/>
                <w:noProof/>
                <w:sz w:val="18"/>
              </w:rPr>
              <w:t xml:space="preserve"> o udz</w:t>
            </w:r>
            <w:r w:rsidRPr="00A33B9F">
              <w:rPr>
                <w:rFonts w:ascii="Times New Roman" w:hAnsi="Times New Roman"/>
                <w:noProof/>
                <w:sz w:val="18"/>
              </w:rPr>
              <w:t>ielenie dotacji</w:t>
            </w:r>
          </w:p>
        </w:tc>
        <w:tc>
          <w:tcPr>
            <w:tcW w:w="992" w:type="dxa"/>
            <w:tcBorders>
              <w:top w:val="nil"/>
              <w:left w:val="nil"/>
              <w:bottom w:val="single" w:sz="4" w:space="0" w:color="auto"/>
              <w:right w:val="single" w:sz="4" w:space="0" w:color="auto"/>
            </w:tcBorders>
            <w:shd w:val="clear" w:color="auto" w:fill="C6EFCE"/>
            <w:noWrap/>
          </w:tcPr>
          <w:p w14:paraId="37EC373B"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7C0FB1D0"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01258189"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16E719BF"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3AD377F9"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3690" w:type="dxa"/>
            <w:tcBorders>
              <w:top w:val="nil"/>
              <w:left w:val="nil"/>
              <w:bottom w:val="single" w:sz="4" w:space="0" w:color="auto"/>
              <w:right w:val="single" w:sz="4" w:space="0" w:color="auto"/>
            </w:tcBorders>
            <w:shd w:val="clear" w:color="auto" w:fill="C6EFCE"/>
            <w:noWrap/>
          </w:tcPr>
          <w:p w14:paraId="5DAE6AA7" w14:textId="3414D1C1"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Podpisanie umów</w:t>
            </w:r>
            <w:r w:rsidR="00A33B9F" w:rsidRPr="00A33B9F">
              <w:rPr>
                <w:rFonts w:ascii="Times New Roman" w:hAnsi="Times New Roman"/>
                <w:noProof/>
                <w:sz w:val="18"/>
              </w:rPr>
              <w:t xml:space="preserve"> o udz</w:t>
            </w:r>
            <w:r w:rsidRPr="00A33B9F">
              <w:rPr>
                <w:rFonts w:ascii="Times New Roman" w:hAnsi="Times New Roman"/>
                <w:noProof/>
                <w:sz w:val="18"/>
              </w:rPr>
              <w:t>ielenie dotacji na projekty budowy lub modernizacji odcinków elektroenergetycznych sieci przesyłowych (220 kV) stanowiących 50 km odcinków</w:t>
            </w:r>
            <w:r w:rsidR="00A33B9F" w:rsidRPr="00A33B9F">
              <w:rPr>
                <w:rFonts w:ascii="Times New Roman" w:hAnsi="Times New Roman"/>
                <w:noProof/>
                <w:sz w:val="18"/>
              </w:rPr>
              <w:t xml:space="preserve"> i 5</w:t>
            </w:r>
            <w:r w:rsidRPr="00A33B9F">
              <w:rPr>
                <w:rFonts w:ascii="Times New Roman" w:hAnsi="Times New Roman"/>
                <w:noProof/>
                <w:sz w:val="18"/>
              </w:rPr>
              <w:t xml:space="preserve"> stacji powiązanych</w:t>
            </w:r>
            <w:r w:rsidR="00A33B9F" w:rsidRPr="00A33B9F">
              <w:rPr>
                <w:rFonts w:ascii="Times New Roman" w:hAnsi="Times New Roman"/>
                <w:noProof/>
                <w:sz w:val="18"/>
              </w:rPr>
              <w:t xml:space="preserve"> z tym</w:t>
            </w:r>
            <w:r w:rsidRPr="00A33B9F">
              <w:rPr>
                <w:rFonts w:ascii="Times New Roman" w:hAnsi="Times New Roman"/>
                <w:noProof/>
                <w:sz w:val="18"/>
              </w:rPr>
              <w:t>i odcinkami.</w:t>
            </w:r>
          </w:p>
          <w:p w14:paraId="073E6D13"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p w14:paraId="00EB34AB" w14:textId="5BFFEDC1"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Projekty wspierane</w:t>
            </w:r>
            <w:r w:rsidR="00A33B9F" w:rsidRPr="00A33B9F">
              <w:rPr>
                <w:rFonts w:ascii="Times New Roman" w:hAnsi="Times New Roman"/>
                <w:noProof/>
                <w:sz w:val="18"/>
              </w:rPr>
              <w:t xml:space="preserve"> w ram</w:t>
            </w:r>
            <w:r w:rsidRPr="00A33B9F">
              <w:rPr>
                <w:rFonts w:ascii="Times New Roman" w:hAnsi="Times New Roman"/>
                <w:noProof/>
                <w:sz w:val="18"/>
              </w:rPr>
              <w:t>ach umów</w:t>
            </w:r>
            <w:r w:rsidR="00A33B9F" w:rsidRPr="00A33B9F">
              <w:rPr>
                <w:rFonts w:ascii="Times New Roman" w:hAnsi="Times New Roman"/>
                <w:noProof/>
                <w:sz w:val="18"/>
              </w:rPr>
              <w:t xml:space="preserve"> o udz</w:t>
            </w:r>
            <w:r w:rsidRPr="00A33B9F">
              <w:rPr>
                <w:rFonts w:ascii="Times New Roman" w:hAnsi="Times New Roman"/>
                <w:noProof/>
                <w:sz w:val="18"/>
              </w:rPr>
              <w:t xml:space="preserve">ielenie dotacji obejmą funkcje inteligentnych sieci, aby przyczynić się do rozwoju odnawialnych źródeł energii. </w:t>
            </w:r>
          </w:p>
        </w:tc>
      </w:tr>
      <w:tr w:rsidR="00B3612A" w:rsidRPr="00A33B9F" w14:paraId="062891DA"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188E4BB" w14:textId="0BA79372"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G19G</w:t>
            </w:r>
          </w:p>
        </w:tc>
        <w:tc>
          <w:tcPr>
            <w:tcW w:w="1559" w:type="dxa"/>
            <w:tcBorders>
              <w:top w:val="nil"/>
              <w:left w:val="nil"/>
              <w:bottom w:val="single" w:sz="4" w:space="0" w:color="auto"/>
              <w:right w:val="single" w:sz="4" w:space="0" w:color="auto"/>
            </w:tcBorders>
            <w:shd w:val="clear" w:color="auto" w:fill="C6EFCE"/>
            <w:noWrap/>
          </w:tcPr>
          <w:p w14:paraId="0BBBB354"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3ADB4561"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nil"/>
              <w:left w:val="nil"/>
              <w:bottom w:val="single" w:sz="4" w:space="0" w:color="auto"/>
              <w:right w:val="single" w:sz="4" w:space="0" w:color="auto"/>
            </w:tcBorders>
            <w:shd w:val="clear" w:color="auto" w:fill="C6EFCE"/>
            <w:noWrap/>
          </w:tcPr>
          <w:p w14:paraId="090165FF" w14:textId="67175670"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Długość nowo </w:t>
            </w:r>
          </w:p>
          <w:p w14:paraId="15B28D41"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wybudowanej lub zmodernizowanej </w:t>
            </w:r>
          </w:p>
          <w:p w14:paraId="7DE1B121" w14:textId="36D04386"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elektroenergetycznej sieci przesyłowej </w:t>
            </w:r>
          </w:p>
          <w:p w14:paraId="565539DF"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 km)</w:t>
            </w:r>
          </w:p>
        </w:tc>
        <w:tc>
          <w:tcPr>
            <w:tcW w:w="1701" w:type="dxa"/>
            <w:tcBorders>
              <w:top w:val="nil"/>
              <w:left w:val="nil"/>
              <w:bottom w:val="single" w:sz="4" w:space="0" w:color="auto"/>
              <w:right w:val="single" w:sz="4" w:space="0" w:color="auto"/>
            </w:tcBorders>
            <w:shd w:val="clear" w:color="auto" w:fill="C6EFCE"/>
            <w:noWrap/>
          </w:tcPr>
          <w:p w14:paraId="1E99F5A8"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1371F91D"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nil"/>
              <w:left w:val="nil"/>
              <w:bottom w:val="single" w:sz="4" w:space="0" w:color="auto"/>
              <w:right w:val="single" w:sz="4" w:space="0" w:color="auto"/>
            </w:tcBorders>
            <w:shd w:val="clear" w:color="auto" w:fill="C6EFCE"/>
            <w:noWrap/>
          </w:tcPr>
          <w:p w14:paraId="166E812A"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285DE181" w14:textId="3D7A2DA4" w:rsidR="004C2912" w:rsidRPr="00A33B9F" w:rsidRDefault="2601DAA1"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50</w:t>
            </w:r>
          </w:p>
        </w:tc>
        <w:tc>
          <w:tcPr>
            <w:tcW w:w="921" w:type="dxa"/>
            <w:tcBorders>
              <w:top w:val="nil"/>
              <w:left w:val="nil"/>
              <w:bottom w:val="single" w:sz="4" w:space="0" w:color="auto"/>
              <w:right w:val="single" w:sz="4" w:space="0" w:color="auto"/>
            </w:tcBorders>
            <w:shd w:val="clear" w:color="auto" w:fill="C6EFCE"/>
            <w:noWrap/>
          </w:tcPr>
          <w:p w14:paraId="34A0E303"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1B31B911"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90" w:type="dxa"/>
            <w:tcBorders>
              <w:top w:val="nil"/>
              <w:left w:val="nil"/>
              <w:bottom w:val="single" w:sz="4" w:space="0" w:color="auto"/>
              <w:right w:val="single" w:sz="4" w:space="0" w:color="auto"/>
            </w:tcBorders>
            <w:shd w:val="clear" w:color="auto" w:fill="C6EFCE"/>
            <w:noWrap/>
          </w:tcPr>
          <w:p w14:paraId="5D9585E2" w14:textId="689EECFB"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kilometrów nowo wybudowanych lub zmodernizowanych odcinków</w:t>
            </w:r>
            <w:r w:rsidR="00A33B9F" w:rsidRPr="00A33B9F">
              <w:rPr>
                <w:rFonts w:ascii="Times New Roman" w:hAnsi="Times New Roman"/>
                <w:noProof/>
                <w:sz w:val="18"/>
              </w:rPr>
              <w:t xml:space="preserve"> w ram</w:t>
            </w:r>
            <w:r w:rsidRPr="00A33B9F">
              <w:rPr>
                <w:rFonts w:ascii="Times New Roman" w:hAnsi="Times New Roman"/>
                <w:noProof/>
                <w:sz w:val="18"/>
              </w:rPr>
              <w:t>ach projektów elektroenergetycznych sieci przesyłowych (220 kV). Długość każdego odcinka zostanie obliczona tylko raz (niezależnie od tego, czy jest to linia jedno- czy dwutorowa).</w:t>
            </w:r>
          </w:p>
          <w:p w14:paraId="4C3E1E98"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r>
      <w:tr w:rsidR="00B3612A" w:rsidRPr="00A33B9F" w14:paraId="559B7987"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D70097F" w14:textId="6EBB2D9D"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G20G</w:t>
            </w:r>
          </w:p>
        </w:tc>
        <w:tc>
          <w:tcPr>
            <w:tcW w:w="1559" w:type="dxa"/>
            <w:tcBorders>
              <w:top w:val="nil"/>
              <w:left w:val="nil"/>
              <w:bottom w:val="single" w:sz="4" w:space="0" w:color="auto"/>
              <w:right w:val="single" w:sz="4" w:space="0" w:color="auto"/>
            </w:tcBorders>
            <w:shd w:val="clear" w:color="auto" w:fill="C6EFCE"/>
            <w:noWrap/>
          </w:tcPr>
          <w:p w14:paraId="2E293AE8" w14:textId="01689A13"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7EC5B417"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nil"/>
              <w:left w:val="nil"/>
              <w:bottom w:val="single" w:sz="4" w:space="0" w:color="auto"/>
              <w:right w:val="single" w:sz="4" w:space="0" w:color="auto"/>
            </w:tcBorders>
            <w:shd w:val="clear" w:color="auto" w:fill="C6EFCE"/>
            <w:noWrap/>
          </w:tcPr>
          <w:p w14:paraId="019AC015" w14:textId="56E02D25"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Rozbudowane lub zmodernizowane elektrownie</w:t>
            </w:r>
            <w:r w:rsidR="00A33B9F" w:rsidRPr="00A33B9F">
              <w:rPr>
                <w:rFonts w:ascii="Times New Roman" w:hAnsi="Times New Roman"/>
                <w:noProof/>
                <w:sz w:val="18"/>
              </w:rPr>
              <w:t xml:space="preserve"> w ram</w:t>
            </w:r>
            <w:r w:rsidRPr="00A33B9F">
              <w:rPr>
                <w:rFonts w:ascii="Times New Roman" w:hAnsi="Times New Roman"/>
                <w:noProof/>
                <w:sz w:val="18"/>
              </w:rPr>
              <w:t>ach sieci przesyłowej</w:t>
            </w:r>
          </w:p>
        </w:tc>
        <w:tc>
          <w:tcPr>
            <w:tcW w:w="1701" w:type="dxa"/>
            <w:tcBorders>
              <w:top w:val="nil"/>
              <w:left w:val="nil"/>
              <w:bottom w:val="single" w:sz="4" w:space="0" w:color="auto"/>
              <w:right w:val="single" w:sz="4" w:space="0" w:color="auto"/>
            </w:tcBorders>
            <w:shd w:val="clear" w:color="auto" w:fill="C6EFCE"/>
            <w:noWrap/>
          </w:tcPr>
          <w:p w14:paraId="28C7A47F"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0DFE5ED4"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nil"/>
              <w:left w:val="nil"/>
              <w:bottom w:val="single" w:sz="4" w:space="0" w:color="auto"/>
              <w:right w:val="single" w:sz="4" w:space="0" w:color="auto"/>
            </w:tcBorders>
            <w:shd w:val="clear" w:color="auto" w:fill="C6EFCE"/>
            <w:noWrap/>
          </w:tcPr>
          <w:p w14:paraId="72889CF4"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7DFA2C18"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5</w:t>
            </w:r>
          </w:p>
        </w:tc>
        <w:tc>
          <w:tcPr>
            <w:tcW w:w="921" w:type="dxa"/>
            <w:tcBorders>
              <w:top w:val="nil"/>
              <w:left w:val="nil"/>
              <w:bottom w:val="single" w:sz="4" w:space="0" w:color="auto"/>
              <w:right w:val="single" w:sz="4" w:space="0" w:color="auto"/>
            </w:tcBorders>
            <w:shd w:val="clear" w:color="auto" w:fill="C6EFCE"/>
            <w:noWrap/>
          </w:tcPr>
          <w:p w14:paraId="017A8916"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54E9C7EA"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90" w:type="dxa"/>
            <w:tcBorders>
              <w:top w:val="nil"/>
              <w:left w:val="nil"/>
              <w:bottom w:val="single" w:sz="4" w:space="0" w:color="auto"/>
              <w:right w:val="single" w:sz="4" w:space="0" w:color="auto"/>
            </w:tcBorders>
            <w:shd w:val="clear" w:color="auto" w:fill="C6EFCE"/>
            <w:noWrap/>
          </w:tcPr>
          <w:p w14:paraId="27A73B52" w14:textId="7DFF5144"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 rozbudowanych lub zmodernizowanych stacji elektroenergetycznej sieci przesyłowej, które przyspieszą integrację nowych zdolności</w:t>
            </w:r>
            <w:r w:rsidR="00A33B9F" w:rsidRPr="00A33B9F">
              <w:rPr>
                <w:rFonts w:ascii="Times New Roman" w:hAnsi="Times New Roman"/>
                <w:noProof/>
                <w:sz w:val="18"/>
              </w:rPr>
              <w:t xml:space="preserve"> w zak</w:t>
            </w:r>
            <w:r w:rsidRPr="00A33B9F">
              <w:rPr>
                <w:rFonts w:ascii="Times New Roman" w:hAnsi="Times New Roman"/>
                <w:noProof/>
                <w:sz w:val="18"/>
              </w:rPr>
              <w:t>resie wytwarzania energii ze źródeł odnawialnych.</w:t>
            </w:r>
          </w:p>
        </w:tc>
      </w:tr>
      <w:tr w:rsidR="00B3612A" w:rsidRPr="00A33B9F" w14:paraId="0225BCDE"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4892077C" w14:textId="1DD1DA3F"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G21G</w:t>
            </w:r>
          </w:p>
        </w:tc>
        <w:tc>
          <w:tcPr>
            <w:tcW w:w="1559" w:type="dxa"/>
            <w:tcBorders>
              <w:top w:val="nil"/>
              <w:left w:val="nil"/>
              <w:bottom w:val="single" w:sz="4" w:space="0" w:color="auto"/>
              <w:right w:val="single" w:sz="4" w:space="0" w:color="auto"/>
            </w:tcBorders>
            <w:shd w:val="clear" w:color="auto" w:fill="C6EFCE"/>
            <w:noWrap/>
          </w:tcPr>
          <w:p w14:paraId="2535F8EA" w14:textId="49D0A252"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229AECD2"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nil"/>
              <w:left w:val="nil"/>
              <w:bottom w:val="single" w:sz="4" w:space="0" w:color="auto"/>
              <w:right w:val="single" w:sz="4" w:space="0" w:color="auto"/>
            </w:tcBorders>
            <w:shd w:val="clear" w:color="auto" w:fill="C6EFCE"/>
            <w:noWrap/>
          </w:tcPr>
          <w:p w14:paraId="2C7BF687"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Utworzenie centrum danych na rynku energii elektrycznej (OIRE/CSIRE)</w:t>
            </w:r>
          </w:p>
        </w:tc>
        <w:tc>
          <w:tcPr>
            <w:tcW w:w="1701" w:type="dxa"/>
            <w:tcBorders>
              <w:top w:val="nil"/>
              <w:left w:val="nil"/>
              <w:bottom w:val="single" w:sz="4" w:space="0" w:color="auto"/>
              <w:right w:val="single" w:sz="4" w:space="0" w:color="auto"/>
            </w:tcBorders>
            <w:shd w:val="clear" w:color="auto" w:fill="C6EFCE"/>
            <w:noWrap/>
          </w:tcPr>
          <w:p w14:paraId="2AAD6266"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Uruchomienie</w:t>
            </w:r>
          </w:p>
        </w:tc>
        <w:tc>
          <w:tcPr>
            <w:tcW w:w="992" w:type="dxa"/>
            <w:tcBorders>
              <w:top w:val="nil"/>
              <w:left w:val="nil"/>
              <w:bottom w:val="single" w:sz="4" w:space="0" w:color="auto"/>
              <w:right w:val="single" w:sz="4" w:space="0" w:color="auto"/>
            </w:tcBorders>
            <w:shd w:val="clear" w:color="auto" w:fill="C6EFCE"/>
            <w:noWrap/>
          </w:tcPr>
          <w:p w14:paraId="58A4B639"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41EF9A60"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20021D68"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0C2EF208"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922" w:type="dxa"/>
            <w:tcBorders>
              <w:top w:val="nil"/>
              <w:left w:val="nil"/>
              <w:bottom w:val="single" w:sz="4" w:space="0" w:color="auto"/>
              <w:right w:val="single" w:sz="4" w:space="0" w:color="auto"/>
            </w:tcBorders>
            <w:shd w:val="clear" w:color="auto" w:fill="C6EFCE"/>
            <w:noWrap/>
          </w:tcPr>
          <w:p w14:paraId="0007C8D2"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90" w:type="dxa"/>
            <w:tcBorders>
              <w:top w:val="nil"/>
              <w:left w:val="nil"/>
              <w:bottom w:val="single" w:sz="4" w:space="0" w:color="auto"/>
              <w:right w:val="single" w:sz="4" w:space="0" w:color="auto"/>
            </w:tcBorders>
            <w:shd w:val="clear" w:color="auto" w:fill="C6EFCE"/>
            <w:noWrap/>
          </w:tcPr>
          <w:p w14:paraId="45AFBE56" w14:textId="16AE6041" w:rsidR="004C2912" w:rsidRPr="00A33B9F" w:rsidRDefault="31B23A9A"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Uruchomienie jednego centrum danych oraz instalacja analizatora jakości energii do pomiaru mocy na rynku energii elektrycznej (OIRE/CSIRE).</w:t>
            </w:r>
          </w:p>
        </w:tc>
      </w:tr>
      <w:tr w:rsidR="00B3612A" w:rsidRPr="00A33B9F" w14:paraId="29B33ADA" w14:textId="77777777" w:rsidTr="1CE0CE0C">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7CCB46AB" w14:textId="3AAF6E63"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G22G</w:t>
            </w:r>
          </w:p>
        </w:tc>
        <w:tc>
          <w:tcPr>
            <w:tcW w:w="1559" w:type="dxa"/>
            <w:tcBorders>
              <w:top w:val="nil"/>
              <w:left w:val="nil"/>
              <w:bottom w:val="single" w:sz="4" w:space="0" w:color="auto"/>
              <w:right w:val="single" w:sz="4" w:space="0" w:color="auto"/>
            </w:tcBorders>
            <w:shd w:val="clear" w:color="auto" w:fill="C6EFCE"/>
            <w:noWrap/>
          </w:tcPr>
          <w:p w14:paraId="1D630CE8" w14:textId="58FE3396"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G1.2.3 Rozwój sieci przesyłowych, inteligentna infrastruktura elektroenergetyczna</w:t>
            </w:r>
          </w:p>
        </w:tc>
        <w:tc>
          <w:tcPr>
            <w:tcW w:w="992" w:type="dxa"/>
            <w:tcBorders>
              <w:top w:val="nil"/>
              <w:left w:val="nil"/>
              <w:bottom w:val="single" w:sz="4" w:space="0" w:color="auto"/>
              <w:right w:val="single" w:sz="4" w:space="0" w:color="auto"/>
            </w:tcBorders>
            <w:shd w:val="clear" w:color="auto" w:fill="C6EFCE"/>
            <w:noWrap/>
          </w:tcPr>
          <w:p w14:paraId="7BF2D15B"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nil"/>
              <w:left w:val="nil"/>
              <w:bottom w:val="single" w:sz="4" w:space="0" w:color="auto"/>
              <w:right w:val="single" w:sz="4" w:space="0" w:color="auto"/>
            </w:tcBorders>
            <w:shd w:val="clear" w:color="auto" w:fill="C6EFCE"/>
            <w:noWrap/>
          </w:tcPr>
          <w:p w14:paraId="2D568F4A" w14:textId="4289076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Wdrażanie systemów ICT</w:t>
            </w:r>
            <w:r w:rsidR="00A33B9F" w:rsidRPr="00A33B9F">
              <w:rPr>
                <w:rFonts w:ascii="Times New Roman" w:hAnsi="Times New Roman"/>
                <w:noProof/>
                <w:sz w:val="18"/>
              </w:rPr>
              <w:t xml:space="preserve"> w sie</w:t>
            </w:r>
            <w:r w:rsidRPr="00A33B9F">
              <w:rPr>
                <w:rFonts w:ascii="Times New Roman" w:hAnsi="Times New Roman"/>
                <w:noProof/>
                <w:sz w:val="18"/>
              </w:rPr>
              <w:t>ci przesyłowej (liczba rozwiązań)</w:t>
            </w:r>
          </w:p>
        </w:tc>
        <w:tc>
          <w:tcPr>
            <w:tcW w:w="1701" w:type="dxa"/>
            <w:tcBorders>
              <w:top w:val="nil"/>
              <w:left w:val="nil"/>
              <w:bottom w:val="single" w:sz="4" w:space="0" w:color="auto"/>
              <w:right w:val="single" w:sz="4" w:space="0" w:color="auto"/>
            </w:tcBorders>
            <w:shd w:val="clear" w:color="auto" w:fill="C6EFCE"/>
            <w:noWrap/>
          </w:tcPr>
          <w:p w14:paraId="6CC3CDD7"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2EBCA7A5"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nil"/>
              <w:left w:val="nil"/>
              <w:bottom w:val="single" w:sz="4" w:space="0" w:color="auto"/>
              <w:right w:val="single" w:sz="4" w:space="0" w:color="auto"/>
            </w:tcBorders>
            <w:shd w:val="clear" w:color="auto" w:fill="C6EFCE"/>
            <w:noWrap/>
          </w:tcPr>
          <w:p w14:paraId="16782635"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1A5E7AC0"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3</w:t>
            </w:r>
          </w:p>
        </w:tc>
        <w:tc>
          <w:tcPr>
            <w:tcW w:w="921" w:type="dxa"/>
            <w:tcBorders>
              <w:top w:val="nil"/>
              <w:left w:val="nil"/>
              <w:bottom w:val="single" w:sz="4" w:space="0" w:color="auto"/>
              <w:right w:val="single" w:sz="4" w:space="0" w:color="auto"/>
            </w:tcBorders>
            <w:shd w:val="clear" w:color="auto" w:fill="C6EFCE"/>
            <w:noWrap/>
          </w:tcPr>
          <w:p w14:paraId="3597D3C5"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nil"/>
              <w:left w:val="nil"/>
              <w:bottom w:val="single" w:sz="4" w:space="0" w:color="auto"/>
              <w:right w:val="single" w:sz="4" w:space="0" w:color="auto"/>
            </w:tcBorders>
            <w:shd w:val="clear" w:color="auto" w:fill="C6EFCE"/>
            <w:noWrap/>
          </w:tcPr>
          <w:p w14:paraId="1CA3F300"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90" w:type="dxa"/>
            <w:tcBorders>
              <w:top w:val="nil"/>
              <w:left w:val="nil"/>
              <w:bottom w:val="single" w:sz="4" w:space="0" w:color="auto"/>
              <w:right w:val="single" w:sz="4" w:space="0" w:color="auto"/>
            </w:tcBorders>
            <w:shd w:val="clear" w:color="auto" w:fill="C6EFCE"/>
            <w:noWrap/>
          </w:tcPr>
          <w:p w14:paraId="58AE16F3" w14:textId="772A9E75" w:rsidR="004C2912" w:rsidRPr="00A33B9F" w:rsidRDefault="31B23A9A"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Uruchomienie co najmniej trzech nowych, zmodernizowanych lub rozbudowanych systemów informatycznych służących cyfryzacji sieci przesyłowej.</w:t>
            </w:r>
          </w:p>
        </w:tc>
      </w:tr>
      <w:tr w:rsidR="00B3612A" w:rsidRPr="00A33B9F" w14:paraId="4A0E947C" w14:textId="77777777" w:rsidTr="00AD0FC1">
        <w:trPr>
          <w:trHeight w:val="309"/>
          <w:jc w:val="center"/>
        </w:trPr>
        <w:tc>
          <w:tcPr>
            <w:tcW w:w="846" w:type="dxa"/>
            <w:tcBorders>
              <w:top w:val="nil"/>
              <w:left w:val="single" w:sz="4" w:space="0" w:color="auto"/>
              <w:bottom w:val="single" w:sz="4" w:space="0" w:color="auto"/>
              <w:right w:val="single" w:sz="4" w:space="0" w:color="auto"/>
            </w:tcBorders>
            <w:shd w:val="clear" w:color="auto" w:fill="C6EFCE"/>
            <w:noWrap/>
          </w:tcPr>
          <w:p w14:paraId="5BE5771D" w14:textId="390DEE2F"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G23G</w:t>
            </w:r>
          </w:p>
        </w:tc>
        <w:tc>
          <w:tcPr>
            <w:tcW w:w="1559" w:type="dxa"/>
            <w:tcBorders>
              <w:top w:val="nil"/>
              <w:left w:val="nil"/>
              <w:bottom w:val="single" w:sz="4" w:space="0" w:color="auto"/>
              <w:right w:val="single" w:sz="4" w:space="0" w:color="auto"/>
            </w:tcBorders>
            <w:shd w:val="clear" w:color="auto" w:fill="C6EFCE"/>
            <w:noWrap/>
          </w:tcPr>
          <w:p w14:paraId="0D177D0A" w14:textId="4278D0D3"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G1.2.4 Budowa lub modernizacja sieci dystrybucyjnych energii elektrycznej na obszarach wiejskich</w:t>
            </w:r>
            <w:r w:rsidR="00A33B9F" w:rsidRPr="00A33B9F">
              <w:rPr>
                <w:rFonts w:ascii="Times New Roman" w:hAnsi="Times New Roman"/>
                <w:noProof/>
                <w:sz w:val="18"/>
              </w:rPr>
              <w:t xml:space="preserve"> w cel</w:t>
            </w:r>
            <w:r w:rsidRPr="00A33B9F">
              <w:rPr>
                <w:rFonts w:ascii="Times New Roman" w:hAnsi="Times New Roman"/>
                <w:noProof/>
                <w:sz w:val="18"/>
              </w:rPr>
              <w:t>u umożliwienia przyłączenia nowych odnawialnych źródeł energii</w:t>
            </w:r>
          </w:p>
        </w:tc>
        <w:tc>
          <w:tcPr>
            <w:tcW w:w="992" w:type="dxa"/>
            <w:tcBorders>
              <w:top w:val="nil"/>
              <w:left w:val="nil"/>
              <w:bottom w:val="single" w:sz="4" w:space="0" w:color="auto"/>
              <w:right w:val="single" w:sz="4" w:space="0" w:color="auto"/>
            </w:tcBorders>
            <w:shd w:val="clear" w:color="auto" w:fill="C6EFCE"/>
            <w:noWrap/>
          </w:tcPr>
          <w:p w14:paraId="59249284"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nil"/>
              <w:left w:val="nil"/>
              <w:bottom w:val="single" w:sz="4" w:space="0" w:color="auto"/>
              <w:right w:val="single" w:sz="4" w:space="0" w:color="auto"/>
            </w:tcBorders>
            <w:shd w:val="clear" w:color="auto" w:fill="C6EFCE"/>
            <w:noWrap/>
          </w:tcPr>
          <w:p w14:paraId="6B15C065" w14:textId="2138C1DB"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Identyfikacja</w:t>
            </w:r>
            <w:r w:rsidR="00A33B9F" w:rsidRPr="00A33B9F">
              <w:rPr>
                <w:rFonts w:ascii="Times New Roman" w:hAnsi="Times New Roman"/>
                <w:noProof/>
                <w:sz w:val="18"/>
              </w:rPr>
              <w:t xml:space="preserve"> i def</w:t>
            </w:r>
            <w:r w:rsidRPr="00A33B9F">
              <w:rPr>
                <w:rFonts w:ascii="Times New Roman" w:hAnsi="Times New Roman"/>
                <w:noProof/>
                <w:sz w:val="18"/>
              </w:rPr>
              <w:t xml:space="preserve">iniowanie projektów </w:t>
            </w:r>
          </w:p>
        </w:tc>
        <w:tc>
          <w:tcPr>
            <w:tcW w:w="1701" w:type="dxa"/>
            <w:tcBorders>
              <w:top w:val="nil"/>
              <w:left w:val="nil"/>
              <w:bottom w:val="single" w:sz="4" w:space="0" w:color="auto"/>
              <w:right w:val="single" w:sz="4" w:space="0" w:color="auto"/>
            </w:tcBorders>
            <w:shd w:val="clear" w:color="auto" w:fill="C6EFCE"/>
            <w:noWrap/>
          </w:tcPr>
          <w:p w14:paraId="3C82D8DB" w14:textId="5A2F6EC5" w:rsidR="004C2912" w:rsidRPr="00A33B9F" w:rsidRDefault="00752463"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Wewnętrzne zatwierdzenie końcowej wersji dokumentu analitycznego,</w:t>
            </w:r>
            <w:r w:rsidR="00A33B9F" w:rsidRPr="00A33B9F">
              <w:rPr>
                <w:rFonts w:ascii="Times New Roman" w:hAnsi="Times New Roman"/>
                <w:noProof/>
                <w:sz w:val="18"/>
              </w:rPr>
              <w:t xml:space="preserve"> w któ</w:t>
            </w:r>
            <w:r w:rsidRPr="00A33B9F">
              <w:rPr>
                <w:rFonts w:ascii="Times New Roman" w:hAnsi="Times New Roman"/>
                <w:noProof/>
                <w:sz w:val="18"/>
              </w:rPr>
              <w:t>rym zidentyfikowano</w:t>
            </w:r>
            <w:r w:rsidR="00A33B9F" w:rsidRPr="00A33B9F">
              <w:rPr>
                <w:rFonts w:ascii="Times New Roman" w:hAnsi="Times New Roman"/>
                <w:noProof/>
                <w:sz w:val="18"/>
              </w:rPr>
              <w:t xml:space="preserve"> i zde</w:t>
            </w:r>
            <w:r w:rsidRPr="00A33B9F">
              <w:rPr>
                <w:rFonts w:ascii="Times New Roman" w:hAnsi="Times New Roman"/>
                <w:noProof/>
                <w:sz w:val="18"/>
              </w:rPr>
              <w:t>finiowano projekty</w:t>
            </w:r>
          </w:p>
        </w:tc>
        <w:tc>
          <w:tcPr>
            <w:tcW w:w="992" w:type="dxa"/>
            <w:tcBorders>
              <w:top w:val="nil"/>
              <w:left w:val="nil"/>
              <w:bottom w:val="single" w:sz="4" w:space="0" w:color="auto"/>
              <w:right w:val="single" w:sz="4" w:space="0" w:color="auto"/>
            </w:tcBorders>
            <w:shd w:val="clear" w:color="auto" w:fill="C6EFCE"/>
            <w:noWrap/>
          </w:tcPr>
          <w:p w14:paraId="02C60E46"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031E3633"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391200CC"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lang w:eastAsia="en-GB"/>
              </w:rPr>
            </w:pPr>
          </w:p>
        </w:tc>
        <w:tc>
          <w:tcPr>
            <w:tcW w:w="921" w:type="dxa"/>
            <w:tcBorders>
              <w:top w:val="nil"/>
              <w:left w:val="nil"/>
              <w:bottom w:val="single" w:sz="4" w:space="0" w:color="auto"/>
              <w:right w:val="single" w:sz="4" w:space="0" w:color="auto"/>
            </w:tcBorders>
            <w:shd w:val="clear" w:color="auto" w:fill="C6EFCE"/>
            <w:noWrap/>
          </w:tcPr>
          <w:p w14:paraId="02B55A6A"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922" w:type="dxa"/>
            <w:tcBorders>
              <w:top w:val="nil"/>
              <w:left w:val="nil"/>
              <w:bottom w:val="single" w:sz="4" w:space="0" w:color="auto"/>
              <w:right w:val="single" w:sz="4" w:space="0" w:color="auto"/>
            </w:tcBorders>
            <w:shd w:val="clear" w:color="auto" w:fill="C6EFCE"/>
            <w:noWrap/>
          </w:tcPr>
          <w:p w14:paraId="025A4B36"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3690" w:type="dxa"/>
            <w:tcBorders>
              <w:top w:val="nil"/>
              <w:left w:val="nil"/>
              <w:bottom w:val="single" w:sz="4" w:space="0" w:color="auto"/>
              <w:right w:val="single" w:sz="4" w:space="0" w:color="auto"/>
            </w:tcBorders>
            <w:shd w:val="clear" w:color="auto" w:fill="C6EFCE"/>
            <w:noWrap/>
            <w:vAlign w:val="bottom"/>
          </w:tcPr>
          <w:p w14:paraId="5D03FAA9" w14:textId="67A2B579"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Projekty mające na celu poprawę sieci dystrybucyjnych, zlokalizowane na obszarach wiejskich, zostaną zidentyfikowane</w:t>
            </w:r>
            <w:r w:rsidR="00A33B9F" w:rsidRPr="00A33B9F">
              <w:rPr>
                <w:rFonts w:ascii="Times New Roman" w:hAnsi="Times New Roman"/>
                <w:noProof/>
                <w:sz w:val="18"/>
              </w:rPr>
              <w:t xml:space="preserve"> i zde</w:t>
            </w:r>
            <w:r w:rsidRPr="00A33B9F">
              <w:rPr>
                <w:rFonts w:ascii="Times New Roman" w:hAnsi="Times New Roman"/>
                <w:noProof/>
                <w:sz w:val="18"/>
              </w:rPr>
              <w:t>finiowane</w:t>
            </w:r>
            <w:r w:rsidR="00A33B9F" w:rsidRPr="00A33B9F">
              <w:rPr>
                <w:rFonts w:ascii="Times New Roman" w:hAnsi="Times New Roman"/>
                <w:noProof/>
                <w:sz w:val="18"/>
              </w:rPr>
              <w:t xml:space="preserve"> w koń</w:t>
            </w:r>
            <w:r w:rsidRPr="00A33B9F">
              <w:rPr>
                <w:rFonts w:ascii="Times New Roman" w:hAnsi="Times New Roman"/>
                <w:noProof/>
                <w:sz w:val="18"/>
              </w:rPr>
              <w:t>cowej wersji dokumentu analitycznego zatwierdzonego wewnętrznie przez właściwy polski organ</w:t>
            </w:r>
            <w:r w:rsidR="00A33B9F" w:rsidRPr="00A33B9F">
              <w:rPr>
                <w:rFonts w:ascii="Times New Roman" w:hAnsi="Times New Roman"/>
                <w:noProof/>
                <w:sz w:val="18"/>
              </w:rPr>
              <w:t>. W dok</w:t>
            </w:r>
            <w:r w:rsidRPr="00A33B9F">
              <w:rPr>
                <w:rFonts w:ascii="Times New Roman" w:hAnsi="Times New Roman"/>
                <w:noProof/>
                <w:sz w:val="18"/>
              </w:rPr>
              <w:t>umencie tym wskazane zostanie również,</w:t>
            </w:r>
            <w:r w:rsidR="00A33B9F" w:rsidRPr="00A33B9F">
              <w:rPr>
                <w:rFonts w:ascii="Times New Roman" w:hAnsi="Times New Roman"/>
                <w:noProof/>
                <w:sz w:val="18"/>
              </w:rPr>
              <w:t xml:space="preserve"> w odn</w:t>
            </w:r>
            <w:r w:rsidRPr="00A33B9F">
              <w:rPr>
                <w:rFonts w:ascii="Times New Roman" w:hAnsi="Times New Roman"/>
                <w:noProof/>
                <w:sz w:val="18"/>
              </w:rPr>
              <w:t>iesieniu do każdego projektu, źródło finansowania, które nie będzie obejmować innych źródeł unijnych.</w:t>
            </w:r>
          </w:p>
          <w:p w14:paraId="7CB3FE07"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p w14:paraId="510FB023" w14:textId="486624D4"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Zidentyfikowane projekty razem doprowadzą do budowy lub modernizacji co najmniej 880 km sieci dystrybucyjnych (niezależnie od napięcia),</w:t>
            </w:r>
            <w:r w:rsidR="00A33B9F" w:rsidRPr="00A33B9F">
              <w:rPr>
                <w:rFonts w:ascii="Times New Roman" w:hAnsi="Times New Roman"/>
                <w:noProof/>
                <w:sz w:val="18"/>
              </w:rPr>
              <w:t xml:space="preserve"> w tym</w:t>
            </w:r>
            <w:r w:rsidRPr="00A33B9F">
              <w:rPr>
                <w:rFonts w:ascii="Times New Roman" w:hAnsi="Times New Roman"/>
                <w:noProof/>
                <w:sz w:val="18"/>
              </w:rPr>
              <w:t xml:space="preserve"> budowy lub modernizacji niezbędnych powiązanych stacji (niezależnie od rodzaju stacji). </w:t>
            </w:r>
          </w:p>
          <w:p w14:paraId="61E51BA9"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p w14:paraId="2D630048" w14:textId="37237ED5"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Zidentyfikowane projekty, wspólnie lub</w:t>
            </w:r>
            <w:r w:rsidR="00A33B9F" w:rsidRPr="00A33B9F">
              <w:rPr>
                <w:rFonts w:ascii="Times New Roman" w:hAnsi="Times New Roman"/>
                <w:noProof/>
                <w:sz w:val="18"/>
              </w:rPr>
              <w:t xml:space="preserve"> w ram</w:t>
            </w:r>
            <w:r w:rsidRPr="00A33B9F">
              <w:rPr>
                <w:rFonts w:ascii="Times New Roman" w:hAnsi="Times New Roman"/>
                <w:noProof/>
                <w:sz w:val="18"/>
              </w:rPr>
              <w:t>ach konkretnych zidentyfikowanych projektów, obejmą działania niezbędne do umożliwienia, aby w co najmniej 880 km nowo wybudowanych lub zmodernizowanych sieci dystrybucyjnych zintegrowano funkcje inteligentnych sieci energetycznych, włączając do nich urządzenia</w:t>
            </w:r>
            <w:r w:rsidR="00A33B9F" w:rsidRPr="00A33B9F">
              <w:rPr>
                <w:rFonts w:ascii="Times New Roman" w:hAnsi="Times New Roman"/>
                <w:noProof/>
                <w:sz w:val="18"/>
              </w:rPr>
              <w:t xml:space="preserve"> i ins</w:t>
            </w:r>
            <w:r w:rsidRPr="00A33B9F">
              <w:rPr>
                <w:rFonts w:ascii="Times New Roman" w:hAnsi="Times New Roman"/>
                <w:noProof/>
                <w:sz w:val="18"/>
              </w:rPr>
              <w:t>talacje umożliwiające dwukierunkową komunikację cyfrową</w:t>
            </w:r>
            <w:r w:rsidR="00A33B9F" w:rsidRPr="00A33B9F">
              <w:rPr>
                <w:rFonts w:ascii="Times New Roman" w:hAnsi="Times New Roman"/>
                <w:noProof/>
                <w:sz w:val="18"/>
              </w:rPr>
              <w:t xml:space="preserve"> w cza</w:t>
            </w:r>
            <w:r w:rsidRPr="00A33B9F">
              <w:rPr>
                <w:rFonts w:ascii="Times New Roman" w:hAnsi="Times New Roman"/>
                <w:noProof/>
                <w:sz w:val="18"/>
              </w:rPr>
              <w:t>sie rzeczywistym lub zbliżonym do rzeczywistego, interaktywne</w:t>
            </w:r>
            <w:r w:rsidR="00A33B9F" w:rsidRPr="00A33B9F">
              <w:rPr>
                <w:rFonts w:ascii="Times New Roman" w:hAnsi="Times New Roman"/>
                <w:noProof/>
                <w:sz w:val="18"/>
              </w:rPr>
              <w:t xml:space="preserve"> i int</w:t>
            </w:r>
            <w:r w:rsidRPr="00A33B9F">
              <w:rPr>
                <w:rFonts w:ascii="Times New Roman" w:hAnsi="Times New Roman"/>
                <w:noProof/>
                <w:sz w:val="18"/>
              </w:rPr>
              <w:t>eligentne monitorowanie produkcji, przesyłu, dystrybucji</w:t>
            </w:r>
            <w:r w:rsidR="00A33B9F" w:rsidRPr="00A33B9F">
              <w:rPr>
                <w:rFonts w:ascii="Times New Roman" w:hAnsi="Times New Roman"/>
                <w:noProof/>
                <w:sz w:val="18"/>
              </w:rPr>
              <w:t xml:space="preserve"> i zuż</w:t>
            </w:r>
            <w:r w:rsidRPr="00A33B9F">
              <w:rPr>
                <w:rFonts w:ascii="Times New Roman" w:hAnsi="Times New Roman"/>
                <w:noProof/>
                <w:sz w:val="18"/>
              </w:rPr>
              <w:t>ycia energii elektrycznej oraz zarządzanie nimi</w:t>
            </w:r>
            <w:r w:rsidR="00A33B9F" w:rsidRPr="00A33B9F">
              <w:rPr>
                <w:rFonts w:ascii="Times New Roman" w:hAnsi="Times New Roman"/>
                <w:noProof/>
                <w:sz w:val="18"/>
              </w:rPr>
              <w:t xml:space="preserve"> w ram</w:t>
            </w:r>
            <w:r w:rsidRPr="00A33B9F">
              <w:rPr>
                <w:rFonts w:ascii="Times New Roman" w:hAnsi="Times New Roman"/>
                <w:noProof/>
                <w:sz w:val="18"/>
              </w:rPr>
              <w:t>ach sieci elektroenergetycznej,</w:t>
            </w:r>
            <w:r w:rsidR="00A33B9F" w:rsidRPr="00A33B9F">
              <w:rPr>
                <w:rFonts w:ascii="Times New Roman" w:hAnsi="Times New Roman"/>
                <w:noProof/>
                <w:sz w:val="18"/>
              </w:rPr>
              <w:t xml:space="preserve"> a tak</w:t>
            </w:r>
            <w:r w:rsidRPr="00A33B9F">
              <w:rPr>
                <w:rFonts w:ascii="Times New Roman" w:hAnsi="Times New Roman"/>
                <w:noProof/>
                <w:sz w:val="18"/>
              </w:rPr>
              <w:t>że</w:t>
            </w:r>
            <w:r w:rsidR="00A33B9F" w:rsidRPr="00A33B9F">
              <w:rPr>
                <w:rFonts w:ascii="Times New Roman" w:hAnsi="Times New Roman"/>
                <w:noProof/>
                <w:sz w:val="18"/>
              </w:rPr>
              <w:t xml:space="preserve"> w spo</w:t>
            </w:r>
            <w:r w:rsidRPr="00A33B9F">
              <w:rPr>
                <w:rFonts w:ascii="Times New Roman" w:hAnsi="Times New Roman"/>
                <w:noProof/>
                <w:sz w:val="18"/>
              </w:rPr>
              <w:t>sób przyczyniający się do rozwoju odnawialnych źródeł energii.</w:t>
            </w:r>
          </w:p>
        </w:tc>
      </w:tr>
      <w:tr w:rsidR="00B3612A" w:rsidRPr="00A33B9F" w14:paraId="1952B946" w14:textId="77777777" w:rsidTr="00AD0FC1">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tcPr>
          <w:p w14:paraId="2C633A15" w14:textId="66774854" w:rsidR="004C2912"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G24G</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75B7F3B8" w14:textId="0B7C690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G1.2.4 Budowa lub modernizacja sieci dystrybucyjnych energii elektrycznej na obszarach wiejskich</w:t>
            </w:r>
            <w:r w:rsidR="00A33B9F" w:rsidRPr="00A33B9F">
              <w:rPr>
                <w:rFonts w:ascii="Times New Roman" w:hAnsi="Times New Roman"/>
                <w:noProof/>
                <w:sz w:val="18"/>
              </w:rPr>
              <w:t xml:space="preserve"> w cel</w:t>
            </w:r>
            <w:r w:rsidRPr="00A33B9F">
              <w:rPr>
                <w:rFonts w:ascii="Times New Roman" w:hAnsi="Times New Roman"/>
                <w:noProof/>
                <w:sz w:val="18"/>
              </w:rPr>
              <w:t>u umożliwienia przyłączenia nowych odnawialnych źródeł energii</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2D0DCD9C"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single" w:sz="4" w:space="0" w:color="auto"/>
              <w:left w:val="single" w:sz="4" w:space="0" w:color="auto"/>
              <w:bottom w:val="single" w:sz="4" w:space="0" w:color="auto"/>
              <w:right w:val="single" w:sz="4" w:space="0" w:color="auto"/>
            </w:tcBorders>
            <w:shd w:val="clear" w:color="auto" w:fill="C6EFCE"/>
            <w:noWrap/>
          </w:tcPr>
          <w:p w14:paraId="0595A594" w14:textId="037A34C3"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Długość nowo wybudowanych lub zmodernizowanych linii</w:t>
            </w:r>
            <w:r w:rsidR="00A33B9F" w:rsidRPr="00A33B9F">
              <w:rPr>
                <w:rFonts w:ascii="Times New Roman" w:hAnsi="Times New Roman"/>
                <w:noProof/>
                <w:sz w:val="18"/>
              </w:rPr>
              <w:t xml:space="preserve"> w sie</w:t>
            </w:r>
            <w:r w:rsidRPr="00A33B9F">
              <w:rPr>
                <w:rFonts w:ascii="Times New Roman" w:hAnsi="Times New Roman"/>
                <w:noProof/>
                <w:sz w:val="18"/>
              </w:rPr>
              <w:t>ciach dystrybucyjnych (km)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tcPr>
          <w:p w14:paraId="58FDD251" w14:textId="77777777" w:rsidR="004C2912" w:rsidRPr="00A33B9F" w:rsidRDefault="004C2912" w:rsidP="004C2912">
            <w:pPr>
              <w:spacing w:after="0" w:line="240" w:lineRule="auto"/>
              <w:rPr>
                <w:rFonts w:ascii="Times New Roman" w:eastAsia="Times New Roman" w:hAnsi="Times New Roman" w:cs="Times New Roman"/>
                <w:noProof/>
                <w:sz w:val="18"/>
                <w:szCs w:val="18"/>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C7A4612"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single" w:sz="4" w:space="0" w:color="auto"/>
              <w:left w:val="single" w:sz="4" w:space="0" w:color="auto"/>
              <w:bottom w:val="single" w:sz="4" w:space="0" w:color="auto"/>
              <w:right w:val="single" w:sz="4" w:space="0" w:color="auto"/>
            </w:tcBorders>
            <w:shd w:val="clear" w:color="auto" w:fill="C6EFCE"/>
            <w:noWrap/>
          </w:tcPr>
          <w:p w14:paraId="19DECF72"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14:paraId="13C91704"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880</w:t>
            </w:r>
          </w:p>
        </w:tc>
        <w:tc>
          <w:tcPr>
            <w:tcW w:w="921" w:type="dxa"/>
            <w:tcBorders>
              <w:top w:val="single" w:sz="4" w:space="0" w:color="auto"/>
              <w:left w:val="single" w:sz="4" w:space="0" w:color="auto"/>
              <w:bottom w:val="single" w:sz="4" w:space="0" w:color="auto"/>
              <w:right w:val="single" w:sz="4" w:space="0" w:color="auto"/>
            </w:tcBorders>
            <w:shd w:val="clear" w:color="auto" w:fill="C6EFCE"/>
            <w:noWrap/>
          </w:tcPr>
          <w:p w14:paraId="2484BCB0"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922" w:type="dxa"/>
            <w:tcBorders>
              <w:top w:val="single" w:sz="4" w:space="0" w:color="auto"/>
              <w:left w:val="single" w:sz="4" w:space="0" w:color="auto"/>
              <w:bottom w:val="single" w:sz="4" w:space="0" w:color="auto"/>
              <w:right w:val="single" w:sz="4" w:space="0" w:color="auto"/>
            </w:tcBorders>
            <w:shd w:val="clear" w:color="auto" w:fill="C6EFCE"/>
            <w:noWrap/>
          </w:tcPr>
          <w:p w14:paraId="13476350" w14:textId="77777777" w:rsidR="004C2912" w:rsidRPr="00A33B9F" w:rsidRDefault="004C2912" w:rsidP="004C29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90" w:type="dxa"/>
            <w:tcBorders>
              <w:top w:val="single" w:sz="4" w:space="0" w:color="auto"/>
              <w:left w:val="single" w:sz="4" w:space="0" w:color="auto"/>
              <w:bottom w:val="single" w:sz="4" w:space="0" w:color="auto"/>
              <w:right w:val="single" w:sz="4" w:space="0" w:color="auto"/>
            </w:tcBorders>
            <w:shd w:val="clear" w:color="auto" w:fill="C6EFCE"/>
            <w:noWrap/>
          </w:tcPr>
          <w:p w14:paraId="34B9B075" w14:textId="77777777" w:rsidR="004C2912" w:rsidRPr="00A33B9F" w:rsidRDefault="004C2912"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Liczba kilometrów nowo wybudowanych lub </w:t>
            </w:r>
          </w:p>
          <w:p w14:paraId="7FE8996C" w14:textId="7188F125" w:rsidR="004C2912" w:rsidRPr="00A33B9F" w:rsidRDefault="31B23A9A" w:rsidP="004C29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zmodernizowanych sieci dystrybucyjnych wraz</w:t>
            </w:r>
            <w:r w:rsidR="00A33B9F" w:rsidRPr="00A33B9F">
              <w:rPr>
                <w:rFonts w:ascii="Times New Roman" w:hAnsi="Times New Roman"/>
                <w:noProof/>
                <w:sz w:val="18"/>
              </w:rPr>
              <w:t xml:space="preserve"> z pow</w:t>
            </w:r>
            <w:r w:rsidRPr="00A33B9F">
              <w:rPr>
                <w:rFonts w:ascii="Times New Roman" w:hAnsi="Times New Roman"/>
                <w:noProof/>
                <w:sz w:val="18"/>
              </w:rPr>
              <w:t>iązanymi stacjami</w:t>
            </w:r>
            <w:r w:rsidR="00A33B9F" w:rsidRPr="00A33B9F">
              <w:rPr>
                <w:rFonts w:ascii="Times New Roman" w:hAnsi="Times New Roman"/>
                <w:noProof/>
                <w:sz w:val="18"/>
              </w:rPr>
              <w:t xml:space="preserve"> i int</w:t>
            </w:r>
            <w:r w:rsidRPr="00A33B9F">
              <w:rPr>
                <w:rFonts w:ascii="Times New Roman" w:hAnsi="Times New Roman"/>
                <w:noProof/>
                <w:sz w:val="18"/>
              </w:rPr>
              <w:t>egrujących funkcje inteligentnych sieci, odpowiadająca wymogom określonych projektów wskazanych</w:t>
            </w:r>
            <w:r w:rsidR="00A33B9F" w:rsidRPr="00A33B9F">
              <w:rPr>
                <w:rFonts w:ascii="Times New Roman" w:hAnsi="Times New Roman"/>
                <w:noProof/>
                <w:sz w:val="18"/>
              </w:rPr>
              <w:t xml:space="preserve"> w kam</w:t>
            </w:r>
            <w:r w:rsidRPr="00A33B9F">
              <w:rPr>
                <w:rFonts w:ascii="Times New Roman" w:hAnsi="Times New Roman"/>
                <w:noProof/>
                <w:sz w:val="18"/>
              </w:rPr>
              <w:t>ieniu milowym G26G lub spełniających te wymogi.</w:t>
            </w:r>
          </w:p>
        </w:tc>
      </w:tr>
    </w:tbl>
    <w:p w14:paraId="62CEE501" w14:textId="323F0FA6" w:rsidR="00E638BE" w:rsidRPr="00A33B9F" w:rsidRDefault="00E638BE" w:rsidP="00E638BE">
      <w:pPr>
        <w:tabs>
          <w:tab w:val="left" w:pos="10781"/>
        </w:tabs>
        <w:rPr>
          <w:rFonts w:ascii="Times New Roman" w:hAnsi="Times New Roman" w:cs="Times New Roman"/>
          <w:noProof/>
          <w:sz w:val="24"/>
        </w:rPr>
      </w:pPr>
    </w:p>
    <w:p w14:paraId="048A5C6A" w14:textId="4D1864C4" w:rsidR="00694848" w:rsidRPr="00A33B9F" w:rsidRDefault="00694848" w:rsidP="00AD0FC1">
      <w:pPr>
        <w:pStyle w:val="Text1"/>
        <w:pageBreakBefore/>
        <w:ind w:left="0"/>
        <w:rPr>
          <w:b/>
          <w:noProof/>
        </w:rPr>
      </w:pPr>
      <w:r w:rsidRPr="00A33B9F">
        <w:rPr>
          <w:b/>
          <w:noProof/>
        </w:rPr>
        <w:t>Podkomponent G1.3 – Rozwój zrównoważonego transportu</w:t>
      </w:r>
    </w:p>
    <w:tbl>
      <w:tblPr>
        <w:tblW w:w="15309" w:type="dxa"/>
        <w:jc w:val="center"/>
        <w:tblLayout w:type="fixed"/>
        <w:tblLook w:val="04A0" w:firstRow="1" w:lastRow="0" w:firstColumn="1" w:lastColumn="0" w:noHBand="0" w:noVBand="1"/>
      </w:tblPr>
      <w:tblGrid>
        <w:gridCol w:w="840"/>
        <w:gridCol w:w="1565"/>
        <w:gridCol w:w="992"/>
        <w:gridCol w:w="1985"/>
        <w:gridCol w:w="1701"/>
        <w:gridCol w:w="992"/>
        <w:gridCol w:w="992"/>
        <w:gridCol w:w="709"/>
        <w:gridCol w:w="992"/>
        <w:gridCol w:w="851"/>
        <w:gridCol w:w="3690"/>
      </w:tblGrid>
      <w:tr w:rsidR="00D83D4C" w:rsidRPr="00A33B9F" w14:paraId="09377D90" w14:textId="77777777" w:rsidTr="00781D11">
        <w:trPr>
          <w:trHeight w:val="927"/>
          <w:tblHeader/>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8E8EBB" w14:textId="0D09A339" w:rsidR="00694848" w:rsidRPr="00A33B9F" w:rsidRDefault="002704BB">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Nr porządkowy</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0652C8" w14:textId="77777777" w:rsidR="00694848" w:rsidRPr="00A33B9F" w:rsidRDefault="00694848">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Powiązane działanie (reforma lub inwestycja)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A29AFF" w14:textId="77777777" w:rsidR="00694848" w:rsidRPr="00A33B9F" w:rsidRDefault="00694848" w:rsidP="00617026">
            <w:pPr>
              <w:keepNext/>
              <w:keepLines/>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Kamień milowy / wartość docelowa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210866" w14:textId="77777777" w:rsidR="00694848" w:rsidRPr="00A33B9F" w:rsidRDefault="00694848">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Nazwa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4BE9C7" w14:textId="77777777" w:rsidR="00694848" w:rsidRPr="00A33B9F" w:rsidRDefault="00694848">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4543E06" w14:textId="77777777" w:rsidR="00694848" w:rsidRPr="00A33B9F" w:rsidRDefault="00694848">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14:paraId="3EDC5800" w14:textId="77777777" w:rsidR="00694848" w:rsidRPr="00A33B9F" w:rsidRDefault="00694848">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 xml:space="preserve">Orientacyjny harmonogram zakończenia działania </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28E074" w14:textId="1AA10CE9" w:rsidR="00694848" w:rsidRPr="00A33B9F" w:rsidRDefault="00694848">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D83D4C" w:rsidRPr="00A33B9F" w14:paraId="1F7FAA36" w14:textId="77777777" w:rsidTr="00781D11">
        <w:trPr>
          <w:trHeight w:val="1013"/>
          <w:tblHeader/>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0D8B25D" w14:textId="77777777" w:rsidR="00694848" w:rsidRPr="00A33B9F" w:rsidRDefault="00694848">
            <w:pPr>
              <w:spacing w:after="0" w:line="240" w:lineRule="auto"/>
              <w:rPr>
                <w:rFonts w:ascii="Times New Roman" w:eastAsia="Times New Roman" w:hAnsi="Times New Roman" w:cs="Times New Roman"/>
                <w:b/>
                <w:noProof/>
                <w:sz w:val="18"/>
                <w:szCs w:val="18"/>
                <w:lang w:eastAsia="en-GB"/>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14:paraId="043F6458" w14:textId="77777777" w:rsidR="00694848" w:rsidRPr="00A33B9F" w:rsidRDefault="00694848">
            <w:pPr>
              <w:spacing w:after="0" w:line="240" w:lineRule="auto"/>
              <w:rPr>
                <w:rFonts w:ascii="Times New Roman" w:eastAsia="Times New Roman" w:hAnsi="Times New Roman" w:cs="Times New Roman"/>
                <w:b/>
                <w:bCs/>
                <w:noProof/>
                <w:sz w:val="24"/>
                <w:szCs w:val="24"/>
                <w:lang w:eastAsia="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F92D2F" w14:textId="77777777" w:rsidR="00694848" w:rsidRPr="00A33B9F" w:rsidRDefault="00694848">
            <w:pPr>
              <w:spacing w:after="0" w:line="240" w:lineRule="auto"/>
              <w:rPr>
                <w:rFonts w:ascii="Times New Roman" w:eastAsia="Times New Roman" w:hAnsi="Times New Roman" w:cs="Times New Roman"/>
                <w:b/>
                <w:bCs/>
                <w:noProof/>
                <w:sz w:val="24"/>
                <w:szCs w:val="24"/>
                <w:lang w:eastAsia="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84713CF" w14:textId="77777777" w:rsidR="00694848" w:rsidRPr="00A33B9F" w:rsidRDefault="00694848">
            <w:pPr>
              <w:spacing w:after="0" w:line="240" w:lineRule="auto"/>
              <w:rPr>
                <w:rFonts w:ascii="Times New Roman" w:eastAsia="Times New Roman" w:hAnsi="Times New Roman" w:cs="Times New Roman"/>
                <w:b/>
                <w:bCs/>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CF945D" w14:textId="77777777" w:rsidR="00694848" w:rsidRPr="00A33B9F" w:rsidRDefault="00694848">
            <w:pPr>
              <w:spacing w:after="0" w:line="240" w:lineRule="auto"/>
              <w:rPr>
                <w:rFonts w:ascii="Times New Roman" w:eastAsia="Times New Roman" w:hAnsi="Times New Roman" w:cs="Times New Roman"/>
                <w:b/>
                <w:bCs/>
                <w:noProof/>
                <w:sz w:val="24"/>
                <w:szCs w:val="24"/>
                <w:lang w:eastAsia="en-GB"/>
              </w:rPr>
            </w:pPr>
          </w:p>
        </w:tc>
        <w:tc>
          <w:tcPr>
            <w:tcW w:w="992" w:type="dxa"/>
            <w:tcBorders>
              <w:top w:val="nil"/>
              <w:left w:val="single" w:sz="4" w:space="0" w:color="auto"/>
              <w:bottom w:val="single" w:sz="4" w:space="0" w:color="auto"/>
              <w:right w:val="single" w:sz="4" w:space="0" w:color="auto"/>
            </w:tcBorders>
            <w:shd w:val="clear" w:color="auto" w:fill="BDD7EE"/>
            <w:vAlign w:val="center"/>
            <w:hideMark/>
          </w:tcPr>
          <w:p w14:paraId="1B7B750D" w14:textId="77777777" w:rsidR="00694848" w:rsidRPr="00A33B9F" w:rsidRDefault="00694848">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Jednostka miary</w:t>
            </w:r>
          </w:p>
        </w:tc>
        <w:tc>
          <w:tcPr>
            <w:tcW w:w="992" w:type="dxa"/>
            <w:tcBorders>
              <w:top w:val="nil"/>
              <w:left w:val="nil"/>
              <w:bottom w:val="single" w:sz="4" w:space="0" w:color="auto"/>
              <w:right w:val="single" w:sz="4" w:space="0" w:color="auto"/>
            </w:tcBorders>
            <w:shd w:val="clear" w:color="auto" w:fill="BDD7EE"/>
            <w:vAlign w:val="center"/>
            <w:hideMark/>
          </w:tcPr>
          <w:p w14:paraId="6A462F37" w14:textId="77777777" w:rsidR="00694848" w:rsidRPr="00A33B9F" w:rsidRDefault="00694848">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 xml:space="preserve">Poziom bazowy </w:t>
            </w:r>
          </w:p>
        </w:tc>
        <w:tc>
          <w:tcPr>
            <w:tcW w:w="709" w:type="dxa"/>
            <w:tcBorders>
              <w:top w:val="nil"/>
              <w:left w:val="nil"/>
              <w:bottom w:val="single" w:sz="4" w:space="0" w:color="auto"/>
              <w:right w:val="single" w:sz="4" w:space="0" w:color="auto"/>
            </w:tcBorders>
            <w:shd w:val="clear" w:color="auto" w:fill="BDD7EE"/>
            <w:vAlign w:val="center"/>
            <w:hideMark/>
          </w:tcPr>
          <w:p w14:paraId="218E335D" w14:textId="77777777" w:rsidR="00694848" w:rsidRPr="00A33B9F" w:rsidRDefault="00694848">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 xml:space="preserve">Cel </w:t>
            </w:r>
          </w:p>
        </w:tc>
        <w:tc>
          <w:tcPr>
            <w:tcW w:w="992" w:type="dxa"/>
            <w:tcBorders>
              <w:top w:val="nil"/>
              <w:left w:val="nil"/>
              <w:bottom w:val="single" w:sz="4" w:space="0" w:color="auto"/>
              <w:right w:val="single" w:sz="4" w:space="0" w:color="auto"/>
            </w:tcBorders>
            <w:shd w:val="clear" w:color="auto" w:fill="BDD7EE"/>
            <w:vAlign w:val="center"/>
            <w:hideMark/>
          </w:tcPr>
          <w:p w14:paraId="67553D37" w14:textId="77777777" w:rsidR="00694848" w:rsidRPr="00A33B9F" w:rsidRDefault="00694848">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Kwartał</w:t>
            </w:r>
          </w:p>
        </w:tc>
        <w:tc>
          <w:tcPr>
            <w:tcW w:w="851" w:type="dxa"/>
            <w:tcBorders>
              <w:top w:val="nil"/>
              <w:left w:val="nil"/>
              <w:bottom w:val="single" w:sz="4" w:space="0" w:color="auto"/>
              <w:right w:val="single" w:sz="4" w:space="0" w:color="auto"/>
            </w:tcBorders>
            <w:shd w:val="clear" w:color="auto" w:fill="BDD7EE"/>
            <w:vAlign w:val="center"/>
            <w:hideMark/>
          </w:tcPr>
          <w:p w14:paraId="4C1A5D4B" w14:textId="77777777" w:rsidR="00694848" w:rsidRPr="00A33B9F" w:rsidRDefault="00694848">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Rok</w:t>
            </w:r>
          </w:p>
        </w:tc>
        <w:tc>
          <w:tcPr>
            <w:tcW w:w="3690" w:type="dxa"/>
            <w:vMerge/>
            <w:tcBorders>
              <w:top w:val="single" w:sz="4" w:space="0" w:color="auto"/>
              <w:bottom w:val="single" w:sz="4" w:space="0" w:color="auto"/>
              <w:right w:val="single" w:sz="4" w:space="0" w:color="auto"/>
            </w:tcBorders>
            <w:vAlign w:val="center"/>
            <w:hideMark/>
          </w:tcPr>
          <w:p w14:paraId="2A79D8D2" w14:textId="77777777" w:rsidR="00694848" w:rsidRPr="00A33B9F" w:rsidRDefault="00694848">
            <w:pPr>
              <w:spacing w:after="0" w:line="240" w:lineRule="auto"/>
              <w:rPr>
                <w:rFonts w:ascii="Times New Roman" w:eastAsia="Times New Roman" w:hAnsi="Times New Roman" w:cs="Times New Roman"/>
                <w:b/>
                <w:bCs/>
                <w:noProof/>
                <w:sz w:val="24"/>
                <w:szCs w:val="24"/>
                <w:lang w:eastAsia="en-GB"/>
              </w:rPr>
            </w:pPr>
          </w:p>
        </w:tc>
      </w:tr>
      <w:tr w:rsidR="00270A93" w:rsidRPr="00A33B9F" w14:paraId="054D7765" w14:textId="77777777" w:rsidTr="00781D11">
        <w:trPr>
          <w:trHeight w:val="309"/>
          <w:jc w:val="center"/>
        </w:trPr>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FB19CC0" w14:textId="091EB4C2" w:rsidR="00694848"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G25G</w:t>
            </w:r>
          </w:p>
        </w:tc>
        <w:tc>
          <w:tcPr>
            <w:tcW w:w="1565" w:type="dxa"/>
            <w:tcBorders>
              <w:top w:val="single" w:sz="4" w:space="0" w:color="auto"/>
              <w:left w:val="nil"/>
              <w:bottom w:val="single" w:sz="4" w:space="0" w:color="auto"/>
              <w:right w:val="single" w:sz="4" w:space="0" w:color="auto"/>
            </w:tcBorders>
            <w:shd w:val="clear" w:color="auto" w:fill="C6EFCE"/>
            <w:noWrap/>
          </w:tcPr>
          <w:p w14:paraId="5BD7685C" w14:textId="03040AE3"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G1.3.1 Wspieranie zrównoważonego transportu</w:t>
            </w:r>
          </w:p>
        </w:tc>
        <w:tc>
          <w:tcPr>
            <w:tcW w:w="992" w:type="dxa"/>
            <w:tcBorders>
              <w:top w:val="single" w:sz="4" w:space="0" w:color="auto"/>
              <w:left w:val="nil"/>
              <w:bottom w:val="single" w:sz="4" w:space="0" w:color="auto"/>
              <w:right w:val="single" w:sz="4" w:space="0" w:color="auto"/>
            </w:tcBorders>
            <w:shd w:val="clear" w:color="auto" w:fill="C6EFCE"/>
            <w:noWrap/>
          </w:tcPr>
          <w:p w14:paraId="71CB7FF0"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single" w:sz="4" w:space="0" w:color="auto"/>
              <w:left w:val="nil"/>
              <w:bottom w:val="single" w:sz="4" w:space="0" w:color="auto"/>
              <w:right w:val="single" w:sz="4" w:space="0" w:color="auto"/>
            </w:tcBorders>
            <w:shd w:val="clear" w:color="auto" w:fill="C6EFCE"/>
            <w:noWrap/>
          </w:tcPr>
          <w:p w14:paraId="26F81752" w14:textId="04D55F53"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Plan działania na rzecz zrównoważonego transportu</w:t>
            </w:r>
            <w:r w:rsidR="00A33B9F" w:rsidRPr="00A33B9F">
              <w:rPr>
                <w:rFonts w:ascii="Times New Roman" w:hAnsi="Times New Roman"/>
                <w:noProof/>
                <w:sz w:val="18"/>
              </w:rPr>
              <w:t xml:space="preserve"> w Pol</w:t>
            </w:r>
            <w:r w:rsidRPr="00A33B9F">
              <w:rPr>
                <w:rFonts w:ascii="Times New Roman" w:hAnsi="Times New Roman"/>
                <w:noProof/>
                <w:sz w:val="18"/>
              </w:rPr>
              <w:t>sce</w:t>
            </w:r>
          </w:p>
        </w:tc>
        <w:tc>
          <w:tcPr>
            <w:tcW w:w="1701" w:type="dxa"/>
            <w:tcBorders>
              <w:top w:val="single" w:sz="4" w:space="0" w:color="auto"/>
              <w:left w:val="nil"/>
              <w:bottom w:val="single" w:sz="4" w:space="0" w:color="auto"/>
              <w:right w:val="single" w:sz="4" w:space="0" w:color="auto"/>
            </w:tcBorders>
            <w:shd w:val="clear" w:color="auto" w:fill="C6EFCE"/>
            <w:noWrap/>
          </w:tcPr>
          <w:p w14:paraId="16A36574"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Opublikowanie przez ministerstwo odpowiedzialne za transport </w:t>
            </w:r>
          </w:p>
        </w:tc>
        <w:tc>
          <w:tcPr>
            <w:tcW w:w="992" w:type="dxa"/>
            <w:tcBorders>
              <w:top w:val="nil"/>
              <w:left w:val="nil"/>
              <w:bottom w:val="single" w:sz="4" w:space="0" w:color="auto"/>
              <w:right w:val="single" w:sz="4" w:space="0" w:color="auto"/>
            </w:tcBorders>
            <w:shd w:val="clear" w:color="auto" w:fill="C6EFCE"/>
            <w:noWrap/>
            <w:vAlign w:val="bottom"/>
          </w:tcPr>
          <w:p w14:paraId="1577E39E" w14:textId="77777777" w:rsidR="00694848" w:rsidRPr="00A33B9F" w:rsidRDefault="00694848">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vAlign w:val="bottom"/>
          </w:tcPr>
          <w:p w14:paraId="3363DB06" w14:textId="77777777" w:rsidR="00694848" w:rsidRPr="00A33B9F" w:rsidRDefault="00694848">
            <w:pPr>
              <w:spacing w:after="0" w:line="240" w:lineRule="auto"/>
              <w:jc w:val="right"/>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vAlign w:val="bottom"/>
          </w:tcPr>
          <w:p w14:paraId="18D6389E" w14:textId="77777777" w:rsidR="00694848" w:rsidRPr="00A33B9F" w:rsidRDefault="00694848">
            <w:pPr>
              <w:spacing w:after="0" w:line="240" w:lineRule="auto"/>
              <w:jc w:val="right"/>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6D46CB27" w14:textId="77777777" w:rsidR="00694848" w:rsidRPr="00A33B9F" w:rsidRDefault="0069484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51" w:type="dxa"/>
            <w:tcBorders>
              <w:top w:val="nil"/>
              <w:left w:val="nil"/>
              <w:bottom w:val="single" w:sz="4" w:space="0" w:color="auto"/>
              <w:right w:val="single" w:sz="4" w:space="0" w:color="auto"/>
            </w:tcBorders>
            <w:shd w:val="clear" w:color="auto" w:fill="C6EFCE"/>
            <w:noWrap/>
          </w:tcPr>
          <w:p w14:paraId="4FEC9B7E" w14:textId="77777777" w:rsidR="00694848" w:rsidRPr="00A33B9F" w:rsidRDefault="0069484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3690" w:type="dxa"/>
            <w:tcBorders>
              <w:top w:val="single" w:sz="4" w:space="0" w:color="auto"/>
              <w:left w:val="nil"/>
              <w:bottom w:val="single" w:sz="4" w:space="0" w:color="auto"/>
              <w:right w:val="single" w:sz="4" w:space="0" w:color="auto"/>
            </w:tcBorders>
            <w:shd w:val="clear" w:color="auto" w:fill="C6EFCE"/>
            <w:noWrap/>
            <w:vAlign w:val="bottom"/>
          </w:tcPr>
          <w:p w14:paraId="43160238" w14:textId="245FD3D4"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Ministerstwo odpowiedzialne za transport przygotuje</w:t>
            </w:r>
            <w:r w:rsidR="00A33B9F" w:rsidRPr="00A33B9F">
              <w:rPr>
                <w:rFonts w:ascii="Times New Roman" w:hAnsi="Times New Roman"/>
                <w:noProof/>
                <w:sz w:val="18"/>
              </w:rPr>
              <w:t xml:space="preserve"> i opu</w:t>
            </w:r>
            <w:r w:rsidRPr="00A33B9F">
              <w:rPr>
                <w:rFonts w:ascii="Times New Roman" w:hAnsi="Times New Roman"/>
                <w:noProof/>
                <w:sz w:val="18"/>
              </w:rPr>
              <w:t>blikuje plan działania na rzecz zrównoważonego transportu</w:t>
            </w:r>
            <w:r w:rsidR="00A33B9F" w:rsidRPr="00A33B9F">
              <w:rPr>
                <w:rFonts w:ascii="Times New Roman" w:hAnsi="Times New Roman"/>
                <w:noProof/>
                <w:sz w:val="18"/>
              </w:rPr>
              <w:t xml:space="preserve"> w Pol</w:t>
            </w:r>
            <w:r w:rsidRPr="00A33B9F">
              <w:rPr>
                <w:rFonts w:ascii="Times New Roman" w:hAnsi="Times New Roman"/>
                <w:noProof/>
                <w:sz w:val="18"/>
              </w:rPr>
              <w:t>sce. Będzie mu towarzyszyć analiza działań, które już ujęto</w:t>
            </w:r>
            <w:r w:rsidR="00A33B9F" w:rsidRPr="00A33B9F">
              <w:rPr>
                <w:rFonts w:ascii="Times New Roman" w:hAnsi="Times New Roman"/>
                <w:noProof/>
                <w:sz w:val="18"/>
              </w:rPr>
              <w:t xml:space="preserve"> w ist</w:t>
            </w:r>
            <w:r w:rsidRPr="00A33B9F">
              <w:rPr>
                <w:rFonts w:ascii="Times New Roman" w:hAnsi="Times New Roman"/>
                <w:noProof/>
                <w:sz w:val="18"/>
              </w:rPr>
              <w:t xml:space="preserve">niejących dokumentach strategicznych na szczeblu krajowym. </w:t>
            </w:r>
          </w:p>
          <w:p w14:paraId="3E600931" w14:textId="0AB25DAF"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 planie działania zostaną określone priorytetowe reformy</w:t>
            </w:r>
            <w:r w:rsidR="00A33B9F" w:rsidRPr="00A33B9F">
              <w:rPr>
                <w:rFonts w:ascii="Times New Roman" w:hAnsi="Times New Roman"/>
                <w:noProof/>
                <w:sz w:val="18"/>
              </w:rPr>
              <w:t xml:space="preserve"> i inw</w:t>
            </w:r>
            <w:r w:rsidRPr="00A33B9F">
              <w:rPr>
                <w:rFonts w:ascii="Times New Roman" w:hAnsi="Times New Roman"/>
                <w:noProof/>
                <w:sz w:val="18"/>
              </w:rPr>
              <w:t>estycje niezbędne do zrównoważonej transformacji polskiego sektora transportu zgodnie</w:t>
            </w:r>
            <w:r w:rsidR="00A33B9F" w:rsidRPr="00A33B9F">
              <w:rPr>
                <w:rFonts w:ascii="Times New Roman" w:hAnsi="Times New Roman"/>
                <w:noProof/>
                <w:sz w:val="18"/>
              </w:rPr>
              <w:t xml:space="preserve"> z cel</w:t>
            </w:r>
            <w:r w:rsidRPr="00A33B9F">
              <w:rPr>
                <w:rFonts w:ascii="Times New Roman" w:hAnsi="Times New Roman"/>
                <w:noProof/>
                <w:sz w:val="18"/>
              </w:rPr>
              <w:t xml:space="preserve">ami klimatycznymi UE. </w:t>
            </w:r>
          </w:p>
        </w:tc>
      </w:tr>
      <w:tr w:rsidR="00270A93" w:rsidRPr="00A33B9F" w14:paraId="22A5363C" w14:textId="77777777" w:rsidTr="426A45D9">
        <w:trPr>
          <w:trHeight w:val="309"/>
          <w:jc w:val="center"/>
        </w:trPr>
        <w:tc>
          <w:tcPr>
            <w:tcW w:w="840" w:type="dxa"/>
            <w:tcBorders>
              <w:top w:val="nil"/>
              <w:left w:val="single" w:sz="4" w:space="0" w:color="auto"/>
              <w:bottom w:val="single" w:sz="4" w:space="0" w:color="auto"/>
              <w:right w:val="single" w:sz="4" w:space="0" w:color="auto"/>
            </w:tcBorders>
            <w:shd w:val="clear" w:color="auto" w:fill="C6EFCE"/>
            <w:noWrap/>
          </w:tcPr>
          <w:p w14:paraId="07EA01F6" w14:textId="7A091BB6" w:rsidR="00694848"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G26G</w:t>
            </w:r>
          </w:p>
        </w:tc>
        <w:tc>
          <w:tcPr>
            <w:tcW w:w="1565" w:type="dxa"/>
            <w:tcBorders>
              <w:top w:val="nil"/>
              <w:left w:val="nil"/>
              <w:bottom w:val="single" w:sz="4" w:space="0" w:color="auto"/>
              <w:right w:val="single" w:sz="4" w:space="0" w:color="auto"/>
            </w:tcBorders>
            <w:shd w:val="clear" w:color="auto" w:fill="C6EFCE"/>
            <w:noWrap/>
          </w:tcPr>
          <w:p w14:paraId="3759EA8C" w14:textId="03A2E698"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G1.3.2 Zeroemisyjny transport zbiorowy (autobusy)</w:t>
            </w:r>
          </w:p>
        </w:tc>
        <w:tc>
          <w:tcPr>
            <w:tcW w:w="992" w:type="dxa"/>
            <w:tcBorders>
              <w:top w:val="nil"/>
              <w:left w:val="nil"/>
              <w:bottom w:val="single" w:sz="4" w:space="0" w:color="auto"/>
              <w:right w:val="single" w:sz="4" w:space="0" w:color="auto"/>
            </w:tcBorders>
            <w:shd w:val="clear" w:color="auto" w:fill="C6EFCE"/>
            <w:noWrap/>
          </w:tcPr>
          <w:p w14:paraId="0F87CED6"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985" w:type="dxa"/>
            <w:tcBorders>
              <w:top w:val="nil"/>
              <w:left w:val="nil"/>
              <w:bottom w:val="single" w:sz="4" w:space="0" w:color="auto"/>
              <w:right w:val="single" w:sz="4" w:space="0" w:color="auto"/>
            </w:tcBorders>
            <w:shd w:val="clear" w:color="auto" w:fill="C6EFCE"/>
            <w:noWrap/>
          </w:tcPr>
          <w:p w14:paraId="68169047"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Pojazdy zeroemisyjne dla transportu miejskiego: wybór beneficjentów</w:t>
            </w:r>
          </w:p>
        </w:tc>
        <w:tc>
          <w:tcPr>
            <w:tcW w:w="1701" w:type="dxa"/>
            <w:tcBorders>
              <w:top w:val="nil"/>
              <w:left w:val="nil"/>
              <w:bottom w:val="single" w:sz="4" w:space="0" w:color="auto"/>
              <w:right w:val="single" w:sz="4" w:space="0" w:color="auto"/>
            </w:tcBorders>
            <w:shd w:val="clear" w:color="auto" w:fill="C6EFCE"/>
            <w:noWrap/>
          </w:tcPr>
          <w:p w14:paraId="44A9D7E6"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Podpisane umowy</w:t>
            </w:r>
          </w:p>
        </w:tc>
        <w:tc>
          <w:tcPr>
            <w:tcW w:w="992" w:type="dxa"/>
            <w:tcBorders>
              <w:top w:val="nil"/>
              <w:left w:val="nil"/>
              <w:bottom w:val="single" w:sz="4" w:space="0" w:color="auto"/>
              <w:right w:val="single" w:sz="4" w:space="0" w:color="auto"/>
            </w:tcBorders>
            <w:shd w:val="clear" w:color="auto" w:fill="C6EFCE"/>
            <w:noWrap/>
          </w:tcPr>
          <w:p w14:paraId="42CC5FCE" w14:textId="77777777" w:rsidR="00694848" w:rsidRPr="00A33B9F" w:rsidRDefault="00694848">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35844617" w14:textId="77777777" w:rsidR="00694848" w:rsidRPr="00A33B9F" w:rsidRDefault="00694848">
            <w:pPr>
              <w:spacing w:after="0" w:line="240" w:lineRule="auto"/>
              <w:jc w:val="right"/>
              <w:rPr>
                <w:rFonts w:ascii="Times New Roman" w:eastAsia="Times New Roman" w:hAnsi="Times New Roman" w:cs="Times New Roman"/>
                <w:noProof/>
                <w:sz w:val="18"/>
                <w:szCs w:val="18"/>
                <w:lang w:eastAsia="en-GB"/>
              </w:rPr>
            </w:pPr>
          </w:p>
        </w:tc>
        <w:tc>
          <w:tcPr>
            <w:tcW w:w="709" w:type="dxa"/>
            <w:tcBorders>
              <w:top w:val="nil"/>
              <w:left w:val="nil"/>
              <w:bottom w:val="single" w:sz="4" w:space="0" w:color="auto"/>
              <w:right w:val="single" w:sz="4" w:space="0" w:color="auto"/>
            </w:tcBorders>
            <w:shd w:val="clear" w:color="auto" w:fill="C6EFCE"/>
            <w:noWrap/>
          </w:tcPr>
          <w:p w14:paraId="2E81BB8B" w14:textId="77777777" w:rsidR="00694848" w:rsidRPr="00A33B9F" w:rsidRDefault="00694848">
            <w:pPr>
              <w:spacing w:after="0" w:line="240" w:lineRule="auto"/>
              <w:jc w:val="right"/>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42049F82" w14:textId="77777777" w:rsidR="00694848" w:rsidRPr="00A33B9F" w:rsidRDefault="0069484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51" w:type="dxa"/>
            <w:tcBorders>
              <w:top w:val="nil"/>
              <w:left w:val="nil"/>
              <w:bottom w:val="single" w:sz="4" w:space="0" w:color="auto"/>
              <w:right w:val="single" w:sz="4" w:space="0" w:color="auto"/>
            </w:tcBorders>
            <w:shd w:val="clear" w:color="auto" w:fill="C6EFCE"/>
            <w:noWrap/>
          </w:tcPr>
          <w:p w14:paraId="46681A2A" w14:textId="77777777" w:rsidR="00694848" w:rsidRPr="00A33B9F" w:rsidRDefault="0069484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3690" w:type="dxa"/>
            <w:tcBorders>
              <w:top w:val="nil"/>
              <w:left w:val="nil"/>
              <w:bottom w:val="single" w:sz="4" w:space="0" w:color="auto"/>
              <w:right w:val="single" w:sz="4" w:space="0" w:color="auto"/>
            </w:tcBorders>
            <w:shd w:val="clear" w:color="auto" w:fill="C6EFCE"/>
            <w:noWrap/>
            <w:vAlign w:val="bottom"/>
          </w:tcPr>
          <w:p w14:paraId="22C0923B" w14:textId="663CCABF"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Podpisane zostaną umowy</w:t>
            </w:r>
            <w:r w:rsidR="00A33B9F" w:rsidRPr="00A33B9F">
              <w:rPr>
                <w:rFonts w:ascii="Times New Roman" w:hAnsi="Times New Roman"/>
                <w:noProof/>
                <w:sz w:val="18"/>
              </w:rPr>
              <w:t xml:space="preserve"> z wyb</w:t>
            </w:r>
            <w:r w:rsidRPr="00A33B9F">
              <w:rPr>
                <w:rFonts w:ascii="Times New Roman" w:hAnsi="Times New Roman"/>
                <w:noProof/>
                <w:sz w:val="18"/>
              </w:rPr>
              <w:t>ranymi podmiotami będącymi beneficjentami (władzami lokalnymi lub podmiotami świadczącymi usługi publiczne) dotyczące 1 159 nowych autobusów zeroemisyjnych.</w:t>
            </w:r>
          </w:p>
          <w:p w14:paraId="50B69429"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 </w:t>
            </w:r>
          </w:p>
          <w:p w14:paraId="15240A20" w14:textId="7FC9E709"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Podmioty będące beneficjentami są wybierane</w:t>
            </w:r>
            <w:r w:rsidR="00A33B9F" w:rsidRPr="00A33B9F">
              <w:rPr>
                <w:rFonts w:ascii="Times New Roman" w:hAnsi="Times New Roman"/>
                <w:noProof/>
                <w:sz w:val="18"/>
              </w:rPr>
              <w:t xml:space="preserve"> w dro</w:t>
            </w:r>
            <w:r w:rsidRPr="00A33B9F">
              <w:rPr>
                <w:rFonts w:ascii="Times New Roman" w:hAnsi="Times New Roman"/>
                <w:noProof/>
                <w:sz w:val="18"/>
              </w:rPr>
              <w:t>dze przejrzystego</w:t>
            </w:r>
            <w:r w:rsidR="00A33B9F" w:rsidRPr="00A33B9F">
              <w:rPr>
                <w:rFonts w:ascii="Times New Roman" w:hAnsi="Times New Roman"/>
                <w:noProof/>
                <w:sz w:val="18"/>
              </w:rPr>
              <w:t xml:space="preserve"> i kon</w:t>
            </w:r>
            <w:r w:rsidRPr="00A33B9F">
              <w:rPr>
                <w:rFonts w:ascii="Times New Roman" w:hAnsi="Times New Roman"/>
                <w:noProof/>
                <w:sz w:val="18"/>
              </w:rPr>
              <w:t>kurencyjnego zaproszenia do składania wniosków otwartego dla wszystkich władz lokalnych</w:t>
            </w:r>
            <w:r w:rsidR="00A33B9F" w:rsidRPr="00A33B9F">
              <w:rPr>
                <w:rFonts w:ascii="Times New Roman" w:hAnsi="Times New Roman"/>
                <w:noProof/>
                <w:sz w:val="18"/>
              </w:rPr>
              <w:t xml:space="preserve"> i pod</w:t>
            </w:r>
            <w:r w:rsidRPr="00A33B9F">
              <w:rPr>
                <w:rFonts w:ascii="Times New Roman" w:hAnsi="Times New Roman"/>
                <w:noProof/>
                <w:sz w:val="18"/>
              </w:rPr>
              <w:t>miotów świadczących usługi publiczne</w:t>
            </w:r>
            <w:r w:rsidR="00A33B9F" w:rsidRPr="00A33B9F">
              <w:rPr>
                <w:rFonts w:ascii="Times New Roman" w:hAnsi="Times New Roman"/>
                <w:noProof/>
                <w:sz w:val="18"/>
              </w:rPr>
              <w:t xml:space="preserve"> w zak</w:t>
            </w:r>
            <w:r w:rsidRPr="00A33B9F">
              <w:rPr>
                <w:rFonts w:ascii="Times New Roman" w:hAnsi="Times New Roman"/>
                <w:noProof/>
                <w:sz w:val="18"/>
              </w:rPr>
              <w:t>resie transportu zeroemisyjnego na obszarach miejskich. Wsparcie zostanie przeznaczone wyłącznie na autobusy elektryczne.</w:t>
            </w:r>
          </w:p>
        </w:tc>
      </w:tr>
      <w:tr w:rsidR="00270A93" w:rsidRPr="00A33B9F" w14:paraId="79A80666" w14:textId="77777777" w:rsidTr="426A45D9">
        <w:trPr>
          <w:trHeight w:val="309"/>
          <w:jc w:val="center"/>
        </w:trPr>
        <w:tc>
          <w:tcPr>
            <w:tcW w:w="840" w:type="dxa"/>
            <w:tcBorders>
              <w:top w:val="nil"/>
              <w:left w:val="single" w:sz="4" w:space="0" w:color="auto"/>
              <w:bottom w:val="single" w:sz="4" w:space="0" w:color="auto"/>
              <w:right w:val="single" w:sz="4" w:space="0" w:color="auto"/>
            </w:tcBorders>
            <w:shd w:val="clear" w:color="auto" w:fill="C6EFCE"/>
            <w:noWrap/>
          </w:tcPr>
          <w:p w14:paraId="371E4FA6" w14:textId="4A791FE2" w:rsidR="00694848"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G27G</w:t>
            </w:r>
          </w:p>
        </w:tc>
        <w:tc>
          <w:tcPr>
            <w:tcW w:w="1565" w:type="dxa"/>
            <w:tcBorders>
              <w:top w:val="nil"/>
              <w:left w:val="nil"/>
              <w:bottom w:val="single" w:sz="4" w:space="0" w:color="auto"/>
              <w:right w:val="single" w:sz="4" w:space="0" w:color="auto"/>
            </w:tcBorders>
            <w:shd w:val="clear" w:color="auto" w:fill="C6EFCE"/>
            <w:noWrap/>
          </w:tcPr>
          <w:p w14:paraId="20E26175"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G1.3.2 Zeroemisyjny transport zbiorowy (autobusy)</w:t>
            </w:r>
          </w:p>
        </w:tc>
        <w:tc>
          <w:tcPr>
            <w:tcW w:w="992" w:type="dxa"/>
            <w:tcBorders>
              <w:top w:val="nil"/>
              <w:left w:val="nil"/>
              <w:bottom w:val="single" w:sz="4" w:space="0" w:color="auto"/>
              <w:right w:val="single" w:sz="4" w:space="0" w:color="auto"/>
            </w:tcBorders>
            <w:shd w:val="clear" w:color="auto" w:fill="C6EFCE"/>
            <w:noWrap/>
          </w:tcPr>
          <w:p w14:paraId="27C18A4A"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985" w:type="dxa"/>
            <w:tcBorders>
              <w:top w:val="nil"/>
              <w:left w:val="nil"/>
              <w:bottom w:val="single" w:sz="4" w:space="0" w:color="auto"/>
              <w:right w:val="single" w:sz="4" w:space="0" w:color="auto"/>
            </w:tcBorders>
            <w:shd w:val="clear" w:color="auto" w:fill="C6EFCE"/>
            <w:noWrap/>
          </w:tcPr>
          <w:p w14:paraId="46E308FB" w14:textId="7FDBB95E"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Nowe pojazdy zeroemisyjne</w:t>
            </w:r>
            <w:r w:rsidR="00A33B9F" w:rsidRPr="00A33B9F">
              <w:rPr>
                <w:rFonts w:ascii="Times New Roman" w:hAnsi="Times New Roman"/>
                <w:noProof/>
                <w:sz w:val="18"/>
              </w:rPr>
              <w:t xml:space="preserve"> w eks</w:t>
            </w:r>
            <w:r w:rsidRPr="00A33B9F">
              <w:rPr>
                <w:rFonts w:ascii="Times New Roman" w:hAnsi="Times New Roman"/>
                <w:noProof/>
                <w:sz w:val="18"/>
              </w:rPr>
              <w:t>ploatacji</w:t>
            </w:r>
          </w:p>
        </w:tc>
        <w:tc>
          <w:tcPr>
            <w:tcW w:w="1701" w:type="dxa"/>
            <w:tcBorders>
              <w:top w:val="nil"/>
              <w:left w:val="nil"/>
              <w:bottom w:val="single" w:sz="4" w:space="0" w:color="auto"/>
              <w:right w:val="single" w:sz="4" w:space="0" w:color="auto"/>
            </w:tcBorders>
            <w:shd w:val="clear" w:color="auto" w:fill="C6EFCE"/>
            <w:noWrap/>
          </w:tcPr>
          <w:p w14:paraId="0EDC65B2" w14:textId="77777777" w:rsidR="00694848" w:rsidRPr="00A33B9F" w:rsidRDefault="00694848">
            <w:pPr>
              <w:spacing w:after="0" w:line="240" w:lineRule="auto"/>
              <w:rPr>
                <w:rFonts w:ascii="Times New Roman" w:eastAsia="Times New Roman" w:hAnsi="Times New Roman" w:cs="Times New Roman"/>
                <w:noProof/>
                <w:sz w:val="18"/>
                <w:szCs w:val="18"/>
                <w:lang w:eastAsia="en-GB"/>
              </w:rPr>
            </w:pPr>
          </w:p>
        </w:tc>
        <w:tc>
          <w:tcPr>
            <w:tcW w:w="992" w:type="dxa"/>
            <w:tcBorders>
              <w:top w:val="nil"/>
              <w:left w:val="nil"/>
              <w:bottom w:val="single" w:sz="4" w:space="0" w:color="auto"/>
              <w:right w:val="single" w:sz="4" w:space="0" w:color="auto"/>
            </w:tcBorders>
            <w:shd w:val="clear" w:color="auto" w:fill="C6EFCE"/>
            <w:noWrap/>
          </w:tcPr>
          <w:p w14:paraId="38360F58"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92" w:type="dxa"/>
            <w:tcBorders>
              <w:top w:val="nil"/>
              <w:left w:val="nil"/>
              <w:bottom w:val="single" w:sz="4" w:space="0" w:color="auto"/>
              <w:right w:val="single" w:sz="4" w:space="0" w:color="auto"/>
            </w:tcBorders>
            <w:shd w:val="clear" w:color="auto" w:fill="C6EFCE"/>
            <w:noWrap/>
          </w:tcPr>
          <w:p w14:paraId="0CF766DB" w14:textId="77777777" w:rsidR="00694848" w:rsidRPr="00A33B9F" w:rsidRDefault="00694848">
            <w:pPr>
              <w:spacing w:after="0" w:line="240" w:lineRule="auto"/>
              <w:jc w:val="right"/>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709" w:type="dxa"/>
            <w:tcBorders>
              <w:top w:val="nil"/>
              <w:left w:val="nil"/>
              <w:bottom w:val="single" w:sz="4" w:space="0" w:color="auto"/>
              <w:right w:val="single" w:sz="4" w:space="0" w:color="auto"/>
            </w:tcBorders>
            <w:shd w:val="clear" w:color="auto" w:fill="C6EFCE"/>
            <w:noWrap/>
          </w:tcPr>
          <w:p w14:paraId="0A31A8C4" w14:textId="77777777" w:rsidR="00694848" w:rsidRPr="00A33B9F" w:rsidRDefault="00694848">
            <w:pPr>
              <w:spacing w:after="0" w:line="240" w:lineRule="auto"/>
              <w:jc w:val="right"/>
              <w:rPr>
                <w:rFonts w:ascii="Times New Roman" w:eastAsia="Times New Roman" w:hAnsi="Times New Roman" w:cs="Times New Roman"/>
                <w:noProof/>
                <w:sz w:val="18"/>
                <w:szCs w:val="18"/>
              </w:rPr>
            </w:pPr>
            <w:r w:rsidRPr="00A33B9F">
              <w:rPr>
                <w:rFonts w:ascii="Times New Roman" w:hAnsi="Times New Roman"/>
                <w:noProof/>
                <w:sz w:val="18"/>
              </w:rPr>
              <w:t>1159</w:t>
            </w:r>
          </w:p>
        </w:tc>
        <w:tc>
          <w:tcPr>
            <w:tcW w:w="992" w:type="dxa"/>
            <w:tcBorders>
              <w:top w:val="nil"/>
              <w:left w:val="nil"/>
              <w:bottom w:val="single" w:sz="4" w:space="0" w:color="auto"/>
              <w:right w:val="single" w:sz="4" w:space="0" w:color="auto"/>
            </w:tcBorders>
            <w:shd w:val="clear" w:color="auto" w:fill="C6EFCE"/>
            <w:noWrap/>
          </w:tcPr>
          <w:p w14:paraId="2E242C70" w14:textId="77777777" w:rsidR="00694848" w:rsidRPr="00A33B9F" w:rsidRDefault="0069484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51" w:type="dxa"/>
            <w:tcBorders>
              <w:top w:val="nil"/>
              <w:left w:val="nil"/>
              <w:bottom w:val="single" w:sz="4" w:space="0" w:color="auto"/>
              <w:right w:val="single" w:sz="4" w:space="0" w:color="auto"/>
            </w:tcBorders>
            <w:shd w:val="clear" w:color="auto" w:fill="C6EFCE"/>
            <w:noWrap/>
          </w:tcPr>
          <w:p w14:paraId="3CC9983C" w14:textId="77777777" w:rsidR="00694848" w:rsidRPr="00A33B9F" w:rsidRDefault="0069484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3690" w:type="dxa"/>
            <w:tcBorders>
              <w:top w:val="nil"/>
              <w:left w:val="nil"/>
              <w:bottom w:val="single" w:sz="4" w:space="0" w:color="auto"/>
              <w:right w:val="single" w:sz="4" w:space="0" w:color="auto"/>
            </w:tcBorders>
            <w:shd w:val="clear" w:color="auto" w:fill="C6EFCE"/>
            <w:noWrap/>
            <w:vAlign w:val="bottom"/>
          </w:tcPr>
          <w:p w14:paraId="1CE1FD95" w14:textId="33981EA2"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Nowe zeroemisyjne autobusy dostarczone na podstawie umów finansowanych</w:t>
            </w:r>
            <w:r w:rsidR="00A33B9F" w:rsidRPr="00A33B9F">
              <w:rPr>
                <w:rFonts w:ascii="Times New Roman" w:hAnsi="Times New Roman"/>
                <w:noProof/>
                <w:sz w:val="18"/>
              </w:rPr>
              <w:t xml:space="preserve"> w ram</w:t>
            </w:r>
            <w:r w:rsidRPr="00A33B9F">
              <w:rPr>
                <w:rFonts w:ascii="Times New Roman" w:hAnsi="Times New Roman"/>
                <w:noProof/>
                <w:sz w:val="18"/>
              </w:rPr>
              <w:t>ach tej inwestycji na potrzeby publicznego transportu miejskiego.</w:t>
            </w:r>
          </w:p>
          <w:p w14:paraId="24C9F10E" w14:textId="77777777" w:rsidR="00694848" w:rsidRPr="00A33B9F" w:rsidRDefault="00694848">
            <w:pPr>
              <w:spacing w:after="0" w:line="240" w:lineRule="auto"/>
              <w:rPr>
                <w:rFonts w:ascii="Times New Roman" w:eastAsia="Times New Roman" w:hAnsi="Times New Roman" w:cs="Times New Roman"/>
                <w:noProof/>
                <w:sz w:val="18"/>
                <w:szCs w:val="18"/>
                <w:lang w:eastAsia="en-GB"/>
              </w:rPr>
            </w:pPr>
          </w:p>
          <w:p w14:paraId="72317B34" w14:textId="13C26D46"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Zamówienia na autobusy będą udzielane</w:t>
            </w:r>
            <w:r w:rsidR="00A33B9F" w:rsidRPr="00A33B9F">
              <w:rPr>
                <w:rFonts w:ascii="Times New Roman" w:hAnsi="Times New Roman"/>
                <w:noProof/>
                <w:sz w:val="18"/>
              </w:rPr>
              <w:t xml:space="preserve"> w dro</w:t>
            </w:r>
            <w:r w:rsidRPr="00A33B9F">
              <w:rPr>
                <w:rFonts w:ascii="Times New Roman" w:hAnsi="Times New Roman"/>
                <w:noProof/>
                <w:sz w:val="18"/>
              </w:rPr>
              <w:t>dze przetargów otwartych</w:t>
            </w:r>
            <w:r w:rsidR="00A33B9F" w:rsidRPr="00A33B9F">
              <w:rPr>
                <w:rFonts w:ascii="Times New Roman" w:hAnsi="Times New Roman"/>
                <w:noProof/>
                <w:sz w:val="18"/>
              </w:rPr>
              <w:t xml:space="preserve"> i kon</w:t>
            </w:r>
            <w:r w:rsidRPr="00A33B9F">
              <w:rPr>
                <w:rFonts w:ascii="Times New Roman" w:hAnsi="Times New Roman"/>
                <w:noProof/>
                <w:sz w:val="18"/>
              </w:rPr>
              <w:t xml:space="preserve">kurencyjnych. </w:t>
            </w:r>
          </w:p>
          <w:p w14:paraId="6F5060EA" w14:textId="77777777" w:rsidR="00694848" w:rsidRPr="00A33B9F" w:rsidRDefault="00694848">
            <w:pPr>
              <w:spacing w:after="0" w:line="240" w:lineRule="auto"/>
              <w:rPr>
                <w:rFonts w:ascii="Times New Roman" w:eastAsia="Times New Roman" w:hAnsi="Times New Roman" w:cs="Times New Roman"/>
                <w:noProof/>
                <w:sz w:val="18"/>
                <w:szCs w:val="18"/>
                <w:lang w:eastAsia="en-GB"/>
              </w:rPr>
            </w:pPr>
          </w:p>
          <w:p w14:paraId="79A2E7EA" w14:textId="77777777" w:rsidR="00694848" w:rsidRPr="00A33B9F" w:rsidRDefault="0069484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Zakupione zostaną wyłącznie autobusy elektryczne.</w:t>
            </w:r>
          </w:p>
        </w:tc>
      </w:tr>
    </w:tbl>
    <w:p w14:paraId="71B5501B" w14:textId="3ACC3A2A" w:rsidR="00C06196" w:rsidRPr="00A33B9F" w:rsidRDefault="00C06196">
      <w:pPr>
        <w:rPr>
          <w:rFonts w:ascii="Times New Roman" w:hAnsi="Times New Roman" w:cs="Times New Roman"/>
          <w:noProof/>
          <w:sz w:val="24"/>
          <w:szCs w:val="24"/>
        </w:rPr>
      </w:pPr>
    </w:p>
    <w:p w14:paraId="5CA4C5D3" w14:textId="77777777" w:rsidR="00C06196" w:rsidRPr="00A33B9F" w:rsidRDefault="00C06196" w:rsidP="00277459">
      <w:pPr>
        <w:rPr>
          <w:rFonts w:ascii="Times New Roman" w:eastAsia="Times New Roman" w:hAnsi="Times New Roman" w:cs="Times New Roman"/>
          <w:noProof/>
          <w:color w:val="000000" w:themeColor="text1"/>
        </w:rPr>
        <w:sectPr w:rsidR="00C06196" w:rsidRPr="00A33B9F" w:rsidSect="001E5F7F">
          <w:headerReference w:type="even" r:id="rId169"/>
          <w:headerReference w:type="default" r:id="rId170"/>
          <w:footerReference w:type="even" r:id="rId171"/>
          <w:footerReference w:type="default" r:id="rId172"/>
          <w:headerReference w:type="first" r:id="rId173"/>
          <w:footerReference w:type="first" r:id="rId174"/>
          <w:pgSz w:w="16839" w:h="11907" w:orient="landscape"/>
          <w:pgMar w:top="1418" w:right="720" w:bottom="1418" w:left="720" w:header="709" w:footer="709" w:gutter="0"/>
          <w:cols w:space="720"/>
          <w:docGrid w:linePitch="299"/>
        </w:sectPr>
      </w:pPr>
    </w:p>
    <w:p w14:paraId="1A51F0D2" w14:textId="62C8BB1F" w:rsidR="00425A15" w:rsidRPr="00A33B9F" w:rsidRDefault="00425A15" w:rsidP="00BC143C">
      <w:pPr>
        <w:pStyle w:val="Text1"/>
        <w:ind w:left="0"/>
        <w:rPr>
          <w:smallCaps/>
          <w:noProof/>
        </w:rPr>
      </w:pPr>
      <w:r w:rsidRPr="00A33B9F">
        <w:rPr>
          <w:b/>
          <w:noProof/>
        </w:rPr>
        <w:t xml:space="preserve">G3. </w:t>
      </w:r>
      <w:r w:rsidRPr="00A33B9F">
        <w:rPr>
          <w:noProof/>
        </w:rPr>
        <w:tab/>
      </w:r>
      <w:r w:rsidRPr="00A33B9F">
        <w:rPr>
          <w:b/>
          <w:noProof/>
        </w:rPr>
        <w:t>Opis reform</w:t>
      </w:r>
      <w:r w:rsidR="00A33B9F" w:rsidRPr="00A33B9F">
        <w:rPr>
          <w:b/>
          <w:noProof/>
        </w:rPr>
        <w:t xml:space="preserve"> i inw</w:t>
      </w:r>
      <w:r w:rsidRPr="00A33B9F">
        <w:rPr>
          <w:b/>
          <w:noProof/>
        </w:rPr>
        <w:t>estycji, które mają być finansowane</w:t>
      </w:r>
      <w:r w:rsidR="00A33B9F" w:rsidRPr="00A33B9F">
        <w:rPr>
          <w:b/>
          <w:noProof/>
        </w:rPr>
        <w:t xml:space="preserve"> z poż</w:t>
      </w:r>
      <w:r w:rsidRPr="00A33B9F">
        <w:rPr>
          <w:b/>
          <w:noProof/>
        </w:rPr>
        <w:t xml:space="preserve">yczki </w:t>
      </w:r>
    </w:p>
    <w:p w14:paraId="54907098" w14:textId="77777777" w:rsidR="00425A15" w:rsidRPr="00A33B9F" w:rsidRDefault="00425A15" w:rsidP="00C23FDF">
      <w:pPr>
        <w:spacing w:before="120" w:after="120" w:line="240" w:lineRule="auto"/>
        <w:rPr>
          <w:noProof/>
        </w:rPr>
      </w:pPr>
    </w:p>
    <w:p w14:paraId="443C5BEC" w14:textId="5B22D10D" w:rsidR="00425A15" w:rsidRPr="00A33B9F" w:rsidRDefault="00425A15" w:rsidP="0006001F">
      <w:pPr>
        <w:pStyle w:val="Text1"/>
        <w:ind w:left="0"/>
        <w:rPr>
          <w:b/>
          <w:noProof/>
        </w:rPr>
      </w:pPr>
      <w:r w:rsidRPr="00A33B9F">
        <w:rPr>
          <w:b/>
          <w:noProof/>
        </w:rPr>
        <w:t>Podkomponent G3.1 – Poprawa wdrażania rozwiązań</w:t>
      </w:r>
      <w:r w:rsidR="00A33B9F" w:rsidRPr="00A33B9F">
        <w:rPr>
          <w:b/>
          <w:noProof/>
        </w:rPr>
        <w:t xml:space="preserve"> w zak</w:t>
      </w:r>
      <w:r w:rsidRPr="00A33B9F">
        <w:rPr>
          <w:b/>
          <w:noProof/>
        </w:rPr>
        <w:t>resie energii ze źródeł odnawialnych, umiejętności ekologicznych</w:t>
      </w:r>
      <w:r w:rsidR="00A33B9F" w:rsidRPr="00A33B9F">
        <w:rPr>
          <w:b/>
          <w:noProof/>
        </w:rPr>
        <w:t xml:space="preserve"> i efe</w:t>
      </w:r>
      <w:r w:rsidRPr="00A33B9F">
        <w:rPr>
          <w:b/>
          <w:noProof/>
        </w:rPr>
        <w:t>ktywności energetycznej</w:t>
      </w:r>
    </w:p>
    <w:p w14:paraId="5A9F4B5E" w14:textId="3A314742" w:rsidR="00425A15" w:rsidRPr="00A33B9F" w:rsidRDefault="00425A15" w:rsidP="00425A15">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Podkomponent ten ma na celu usprawnienie procedury wydawania pozwoleń</w:t>
      </w:r>
      <w:r w:rsidR="00A33B9F" w:rsidRPr="00A33B9F">
        <w:rPr>
          <w:rFonts w:ascii="Times New Roman" w:hAnsi="Times New Roman"/>
          <w:noProof/>
          <w:sz w:val="24"/>
        </w:rPr>
        <w:t xml:space="preserve"> w cel</w:t>
      </w:r>
      <w:r w:rsidRPr="00A33B9F">
        <w:rPr>
          <w:rFonts w:ascii="Times New Roman" w:hAnsi="Times New Roman"/>
          <w:noProof/>
          <w:sz w:val="24"/>
        </w:rPr>
        <w:t>u przyspieszenia wdrażania energii ze źródeł odnawialnych, zwiększenie tempa renowacji poprawiających efektywność energetyczną oraz zachęcanie pracowników do przekwalifikowywania się</w:t>
      </w:r>
      <w:r w:rsidR="00A33B9F" w:rsidRPr="00A33B9F">
        <w:rPr>
          <w:rFonts w:ascii="Times New Roman" w:hAnsi="Times New Roman"/>
          <w:noProof/>
          <w:sz w:val="24"/>
        </w:rPr>
        <w:t xml:space="preserve"> i nab</w:t>
      </w:r>
      <w:r w:rsidRPr="00A33B9F">
        <w:rPr>
          <w:rFonts w:ascii="Times New Roman" w:hAnsi="Times New Roman"/>
          <w:noProof/>
          <w:sz w:val="24"/>
        </w:rPr>
        <w:t>ywania umiejętności ekologicznych. Oczekuje się również, że zapewni zachętę do inwestycji prywatnych</w:t>
      </w:r>
      <w:r w:rsidR="00A33B9F" w:rsidRPr="00A33B9F">
        <w:rPr>
          <w:rFonts w:ascii="Times New Roman" w:hAnsi="Times New Roman"/>
          <w:noProof/>
          <w:sz w:val="24"/>
        </w:rPr>
        <w:t xml:space="preserve"> i pop</w:t>
      </w:r>
      <w:r w:rsidRPr="00A33B9F">
        <w:rPr>
          <w:rFonts w:ascii="Times New Roman" w:hAnsi="Times New Roman"/>
          <w:noProof/>
          <w:sz w:val="24"/>
        </w:rPr>
        <w:t>rawi dostęp do finansowania</w:t>
      </w:r>
      <w:r w:rsidR="00A33B9F" w:rsidRPr="00A33B9F">
        <w:rPr>
          <w:rFonts w:ascii="Times New Roman" w:hAnsi="Times New Roman"/>
          <w:noProof/>
          <w:sz w:val="24"/>
        </w:rPr>
        <w:t xml:space="preserve"> w sek</w:t>
      </w:r>
      <w:r w:rsidRPr="00A33B9F">
        <w:rPr>
          <w:rFonts w:ascii="Times New Roman" w:hAnsi="Times New Roman"/>
          <w:noProof/>
          <w:sz w:val="24"/>
        </w:rPr>
        <w:t>torze energetycznym,</w:t>
      </w:r>
      <w:r w:rsidR="00A33B9F" w:rsidRPr="00A33B9F">
        <w:rPr>
          <w:rFonts w:ascii="Times New Roman" w:hAnsi="Times New Roman"/>
          <w:noProof/>
          <w:sz w:val="24"/>
        </w:rPr>
        <w:t xml:space="preserve"> z uwz</w:t>
      </w:r>
      <w:r w:rsidRPr="00A33B9F">
        <w:rPr>
          <w:rFonts w:ascii="Times New Roman" w:hAnsi="Times New Roman"/>
          <w:noProof/>
          <w:sz w:val="24"/>
        </w:rPr>
        <w:t xml:space="preserve">ględnieniem morskiej energii wiatrowej. </w:t>
      </w:r>
    </w:p>
    <w:p w14:paraId="1DCF4AE3" w14:textId="77777777" w:rsidR="00CD71BC" w:rsidRPr="00A33B9F" w:rsidRDefault="00CD71BC" w:rsidP="00CD71BC">
      <w:pPr>
        <w:spacing w:before="120" w:after="120" w:line="240" w:lineRule="auto"/>
        <w:jc w:val="both"/>
        <w:rPr>
          <w:rFonts w:ascii="Times New Roman" w:hAnsi="Times New Roman" w:cs="Times New Roman"/>
          <w:noProof/>
          <w:sz w:val="24"/>
        </w:rPr>
      </w:pPr>
    </w:p>
    <w:p w14:paraId="3478AB06" w14:textId="7B41500E" w:rsidR="00CD71BC" w:rsidRPr="00A33B9F" w:rsidRDefault="00CD71BC" w:rsidP="00CD71BC">
      <w:pPr>
        <w:spacing w:before="120" w:after="120" w:line="240" w:lineRule="auto"/>
        <w:jc w:val="both"/>
        <w:rPr>
          <w:rFonts w:ascii="Times New Roman" w:hAnsi="Times New Roman" w:cs="Times New Roman"/>
          <w:b/>
          <w:bCs/>
          <w:noProof/>
          <w:sz w:val="24"/>
          <w:szCs w:val="24"/>
          <w:u w:val="single"/>
        </w:rPr>
      </w:pPr>
      <w:r w:rsidRPr="00A33B9F">
        <w:rPr>
          <w:rFonts w:ascii="Times New Roman" w:hAnsi="Times New Roman"/>
          <w:b/>
          <w:noProof/>
          <w:sz w:val="24"/>
          <w:u w:val="single"/>
        </w:rPr>
        <w:t>G3.1.1 Usprawnienie procesu wydawania pozwoleń dotyczących odnawialnych źródeł energii</w:t>
      </w:r>
    </w:p>
    <w:p w14:paraId="58B1A72B" w14:textId="223586B0" w:rsidR="00CD71BC" w:rsidRPr="00A33B9F" w:rsidRDefault="00CD71BC" w:rsidP="00CD71BC">
      <w:pPr>
        <w:pStyle w:val="Text1"/>
        <w:ind w:left="0"/>
        <w:rPr>
          <w:noProof/>
        </w:rPr>
      </w:pPr>
      <w:r w:rsidRPr="00A33B9F">
        <w:rPr>
          <w:noProof/>
        </w:rPr>
        <w:t>Celem tej reformy jest przyspieszenie wdrażania odnawialnych źródeł energii przez usprawnienie procedur wydawania pozwoleń</w:t>
      </w:r>
      <w:r w:rsidR="00A33B9F" w:rsidRPr="00A33B9F">
        <w:rPr>
          <w:noProof/>
        </w:rPr>
        <w:t xml:space="preserve"> i zap</w:t>
      </w:r>
      <w:r w:rsidRPr="00A33B9F">
        <w:rPr>
          <w:noProof/>
        </w:rPr>
        <w:t>ewnienie całkowitej mocy zainstalowanej fotowoltaicznych</w:t>
      </w:r>
      <w:r w:rsidR="00A33B9F" w:rsidRPr="00A33B9F">
        <w:rPr>
          <w:noProof/>
        </w:rPr>
        <w:t xml:space="preserve"> i ląd</w:t>
      </w:r>
      <w:r w:rsidRPr="00A33B9F">
        <w:rPr>
          <w:noProof/>
        </w:rPr>
        <w:t>owych instalacji wiatrowych</w:t>
      </w:r>
      <w:r w:rsidR="00A33B9F" w:rsidRPr="00A33B9F">
        <w:rPr>
          <w:noProof/>
        </w:rPr>
        <w:t xml:space="preserve"> w Pol</w:t>
      </w:r>
      <w:r w:rsidRPr="00A33B9F">
        <w:rPr>
          <w:noProof/>
        </w:rPr>
        <w:t xml:space="preserve">sce na poziomie 30 GW. </w:t>
      </w:r>
    </w:p>
    <w:p w14:paraId="3299C395" w14:textId="3799C70E" w:rsidR="00CD71BC" w:rsidRPr="00A33B9F" w:rsidRDefault="00CD71BC" w:rsidP="00073F2E">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Pierwsza część obejmuje mapowanie potencjału energii ze źródeł odnawialnych</w:t>
      </w:r>
      <w:r w:rsidR="00A33B9F" w:rsidRPr="00A33B9F">
        <w:rPr>
          <w:rFonts w:ascii="Times New Roman" w:hAnsi="Times New Roman"/>
          <w:noProof/>
          <w:sz w:val="24"/>
        </w:rPr>
        <w:t xml:space="preserve"> w odn</w:t>
      </w:r>
      <w:r w:rsidRPr="00A33B9F">
        <w:rPr>
          <w:rFonts w:ascii="Times New Roman" w:hAnsi="Times New Roman"/>
          <w:noProof/>
          <w:sz w:val="24"/>
        </w:rPr>
        <w:t>iesieniu do fotowoltaicznych</w:t>
      </w:r>
      <w:r w:rsidR="00A33B9F" w:rsidRPr="00A33B9F">
        <w:rPr>
          <w:rFonts w:ascii="Times New Roman" w:hAnsi="Times New Roman"/>
          <w:noProof/>
          <w:sz w:val="24"/>
        </w:rPr>
        <w:t xml:space="preserve"> i ląd</w:t>
      </w:r>
      <w:r w:rsidRPr="00A33B9F">
        <w:rPr>
          <w:rFonts w:ascii="Times New Roman" w:hAnsi="Times New Roman"/>
          <w:noProof/>
          <w:sz w:val="24"/>
        </w:rPr>
        <w:t>owych instalacji wiatrowych. Powstała</w:t>
      </w:r>
      <w:r w:rsidR="00A33B9F" w:rsidRPr="00A33B9F">
        <w:rPr>
          <w:rFonts w:ascii="Times New Roman" w:hAnsi="Times New Roman"/>
          <w:noProof/>
          <w:sz w:val="24"/>
        </w:rPr>
        <w:t xml:space="preserve"> w ten</w:t>
      </w:r>
      <w:r w:rsidRPr="00A33B9F">
        <w:rPr>
          <w:rFonts w:ascii="Times New Roman" w:hAnsi="Times New Roman"/>
          <w:noProof/>
          <w:sz w:val="24"/>
        </w:rPr>
        <w:t xml:space="preserve"> sposób mapa zasobów zostanie udostępniona publicznie, aby ułatwić realizację procedur planowania</w:t>
      </w:r>
      <w:r w:rsidR="00A33B9F" w:rsidRPr="00A33B9F">
        <w:rPr>
          <w:rFonts w:ascii="Times New Roman" w:hAnsi="Times New Roman"/>
          <w:noProof/>
          <w:sz w:val="24"/>
        </w:rPr>
        <w:t xml:space="preserve"> i wyd</w:t>
      </w:r>
      <w:r w:rsidRPr="00A33B9F">
        <w:rPr>
          <w:rFonts w:ascii="Times New Roman" w:hAnsi="Times New Roman"/>
          <w:noProof/>
          <w:sz w:val="24"/>
        </w:rPr>
        <w:t>awania pozwoleń na takie instalacje.</w:t>
      </w:r>
    </w:p>
    <w:p w14:paraId="4FF10BC9" w14:textId="13BA2088" w:rsidR="00CD71BC" w:rsidRPr="00A33B9F" w:rsidRDefault="00CD71BC" w:rsidP="001E4280">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Druga część obejmuje wyznaczanie obszarów przyspieszonego rozwoju energii źródeł odnawialnych</w:t>
      </w:r>
      <w:r w:rsidR="00A33B9F" w:rsidRPr="00A33B9F">
        <w:rPr>
          <w:rFonts w:ascii="Times New Roman" w:hAnsi="Times New Roman"/>
          <w:noProof/>
          <w:sz w:val="24"/>
        </w:rPr>
        <w:t xml:space="preserve"> w odn</w:t>
      </w:r>
      <w:r w:rsidRPr="00A33B9F">
        <w:rPr>
          <w:rFonts w:ascii="Times New Roman" w:hAnsi="Times New Roman"/>
          <w:noProof/>
          <w:sz w:val="24"/>
        </w:rPr>
        <w:t>iesieniu do fotowoltaicznych</w:t>
      </w:r>
      <w:r w:rsidR="00A33B9F" w:rsidRPr="00A33B9F">
        <w:rPr>
          <w:rFonts w:ascii="Times New Roman" w:hAnsi="Times New Roman"/>
          <w:noProof/>
          <w:sz w:val="24"/>
        </w:rPr>
        <w:t xml:space="preserve"> i ląd</w:t>
      </w:r>
      <w:r w:rsidRPr="00A33B9F">
        <w:rPr>
          <w:rFonts w:ascii="Times New Roman" w:hAnsi="Times New Roman"/>
          <w:noProof/>
          <w:sz w:val="24"/>
        </w:rPr>
        <w:t xml:space="preserve">owych instalacji wiatrowych. </w:t>
      </w:r>
    </w:p>
    <w:p w14:paraId="4BF8C1E4" w14:textId="7C3A1062" w:rsidR="00916F32" w:rsidRPr="00A33B9F" w:rsidRDefault="00916F32" w:rsidP="00916F32">
      <w:pPr>
        <w:pStyle w:val="Text1"/>
        <w:ind w:left="0"/>
        <w:rPr>
          <w:noProof/>
        </w:rPr>
      </w:pPr>
      <w:r w:rsidRPr="00A33B9F">
        <w:rPr>
          <w:noProof/>
        </w:rPr>
        <w:t>Trzecia część reformy obejmuje ustanowienie jednolitej platformy cyfrowej na potrzeby wydawania pozwoleń</w:t>
      </w:r>
      <w:r w:rsidR="00A33B9F" w:rsidRPr="00A33B9F">
        <w:rPr>
          <w:noProof/>
        </w:rPr>
        <w:t xml:space="preserve"> w zak</w:t>
      </w:r>
      <w:r w:rsidRPr="00A33B9F">
        <w:rPr>
          <w:noProof/>
        </w:rPr>
        <w:t>resie odnawialnych źródeł energii.</w:t>
      </w:r>
    </w:p>
    <w:p w14:paraId="6D5E03FF" w14:textId="67DA117C" w:rsidR="00CD71BC" w:rsidRPr="00A33B9F" w:rsidRDefault="00CD71BC" w:rsidP="00CD71BC">
      <w:pPr>
        <w:pStyle w:val="Text1"/>
        <w:ind w:left="0"/>
        <w:rPr>
          <w:noProof/>
        </w:rPr>
      </w:pPr>
      <w:r w:rsidRPr="00A33B9F">
        <w:rPr>
          <w:noProof/>
        </w:rPr>
        <w:t>Realizacja reformy zostanie zakończona do dnia 30 czerwca 2026</w:t>
      </w:r>
      <w:r w:rsidR="00A33B9F" w:rsidRPr="00A33B9F">
        <w:rPr>
          <w:noProof/>
        </w:rPr>
        <w:t> </w:t>
      </w:r>
      <w:r w:rsidRPr="00A33B9F">
        <w:rPr>
          <w:noProof/>
        </w:rPr>
        <w:t xml:space="preserve">r. </w:t>
      </w:r>
    </w:p>
    <w:p w14:paraId="4ACC2FA5" w14:textId="2639E901" w:rsidR="00CD71BC" w:rsidRPr="00A33B9F" w:rsidRDefault="00CD71BC" w:rsidP="00CD71BC">
      <w:pPr>
        <w:pStyle w:val="Text1"/>
        <w:ind w:left="0"/>
        <w:rPr>
          <w:noProof/>
        </w:rPr>
      </w:pPr>
      <w:r w:rsidRPr="00A33B9F">
        <w:rPr>
          <w:noProof/>
        </w:rPr>
        <w:t>Cel zakładający zapewnienie fotowoltaicznych</w:t>
      </w:r>
      <w:r w:rsidR="00A33B9F" w:rsidRPr="00A33B9F">
        <w:rPr>
          <w:noProof/>
        </w:rPr>
        <w:t xml:space="preserve"> i ląd</w:t>
      </w:r>
      <w:r w:rsidRPr="00A33B9F">
        <w:rPr>
          <w:noProof/>
        </w:rPr>
        <w:t>owych instalacji wiatrowych</w:t>
      </w:r>
      <w:r w:rsidR="00A33B9F" w:rsidRPr="00A33B9F">
        <w:rPr>
          <w:noProof/>
        </w:rPr>
        <w:t xml:space="preserve"> w Pol</w:t>
      </w:r>
      <w:r w:rsidRPr="00A33B9F">
        <w:rPr>
          <w:noProof/>
        </w:rPr>
        <w:t>sce</w:t>
      </w:r>
      <w:r w:rsidR="00A33B9F" w:rsidRPr="00A33B9F">
        <w:rPr>
          <w:noProof/>
        </w:rPr>
        <w:t xml:space="preserve"> o moc</w:t>
      </w:r>
      <w:r w:rsidRPr="00A33B9F">
        <w:rPr>
          <w:noProof/>
        </w:rPr>
        <w:t>y 30 GW zostanie osiągnięty do</w:t>
      </w:r>
      <w:r w:rsidR="00A33B9F" w:rsidRPr="00A33B9F">
        <w:rPr>
          <w:noProof/>
        </w:rPr>
        <w:t> </w:t>
      </w:r>
      <w:r w:rsidRPr="00A33B9F">
        <w:rPr>
          <w:noProof/>
        </w:rPr>
        <w:t>30 czerwca 2026</w:t>
      </w:r>
      <w:r w:rsidR="00A33B9F" w:rsidRPr="00A33B9F">
        <w:rPr>
          <w:noProof/>
        </w:rPr>
        <w:t> </w:t>
      </w:r>
      <w:r w:rsidRPr="00A33B9F">
        <w:rPr>
          <w:noProof/>
        </w:rPr>
        <w:t>r.</w:t>
      </w:r>
    </w:p>
    <w:p w14:paraId="164C96E6" w14:textId="77777777" w:rsidR="00CD71BC" w:rsidRPr="00A33B9F" w:rsidRDefault="00CD71BC" w:rsidP="00CD71BC">
      <w:pPr>
        <w:spacing w:before="120" w:after="120" w:line="240" w:lineRule="auto"/>
        <w:jc w:val="both"/>
        <w:rPr>
          <w:rFonts w:ascii="Times New Roman" w:hAnsi="Times New Roman" w:cs="Times New Roman"/>
          <w:noProof/>
          <w:sz w:val="24"/>
        </w:rPr>
      </w:pPr>
    </w:p>
    <w:p w14:paraId="1345B3C0" w14:textId="4A394A61" w:rsidR="00CD71BC" w:rsidRPr="00A33B9F" w:rsidRDefault="00CD71BC" w:rsidP="00CD71BC">
      <w:pPr>
        <w:keepNext/>
        <w:spacing w:before="120" w:after="120" w:line="240" w:lineRule="auto"/>
        <w:jc w:val="both"/>
        <w:rPr>
          <w:rFonts w:ascii="Times New Roman" w:hAnsi="Times New Roman" w:cs="Times New Roman"/>
          <w:b/>
          <w:noProof/>
          <w:sz w:val="24"/>
          <w:szCs w:val="24"/>
          <w:u w:val="single"/>
        </w:rPr>
      </w:pPr>
      <w:r w:rsidRPr="00A33B9F">
        <w:rPr>
          <w:rFonts w:ascii="Times New Roman" w:hAnsi="Times New Roman"/>
          <w:b/>
          <w:noProof/>
          <w:sz w:val="24"/>
          <w:u w:val="single"/>
        </w:rPr>
        <w:t>G3.1.2. Umiejętności na potrzeby zielonej transformacji</w:t>
      </w:r>
    </w:p>
    <w:p w14:paraId="740D7715" w14:textId="34520AF2" w:rsidR="00CD71BC" w:rsidRPr="00A33B9F" w:rsidRDefault="00CD71BC" w:rsidP="004F4717">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Celem reformy jest zmiana sektorowych ram kwalifikacji</w:t>
      </w:r>
      <w:r w:rsidR="00A33B9F" w:rsidRPr="00A33B9F">
        <w:rPr>
          <w:rFonts w:ascii="Times New Roman" w:hAnsi="Times New Roman"/>
          <w:noProof/>
          <w:sz w:val="24"/>
        </w:rPr>
        <w:t xml:space="preserve"> w naj</w:t>
      </w:r>
      <w:r w:rsidRPr="00A33B9F">
        <w:rPr>
          <w:rFonts w:ascii="Times New Roman" w:hAnsi="Times New Roman"/>
          <w:noProof/>
          <w:sz w:val="24"/>
        </w:rPr>
        <w:t>bardziej krytycznych sektorach zielonej transformacji</w:t>
      </w:r>
      <w:r w:rsidR="00A33B9F" w:rsidRPr="00A33B9F">
        <w:rPr>
          <w:rFonts w:ascii="Times New Roman" w:hAnsi="Times New Roman"/>
          <w:noProof/>
          <w:sz w:val="24"/>
        </w:rPr>
        <w:t xml:space="preserve"> w cel</w:t>
      </w:r>
      <w:r w:rsidRPr="00A33B9F">
        <w:rPr>
          <w:rFonts w:ascii="Times New Roman" w:hAnsi="Times New Roman"/>
          <w:noProof/>
          <w:sz w:val="24"/>
        </w:rPr>
        <w:t>u zaspokojenia rosnącego zapotrzebowania na zielone miejsca pracy na rynku pracy, aby osiągnąć cele Europejskiego Zielonego Ładu</w:t>
      </w:r>
      <w:r w:rsidR="00A33B9F" w:rsidRPr="00A33B9F">
        <w:rPr>
          <w:rFonts w:ascii="Times New Roman" w:hAnsi="Times New Roman"/>
          <w:noProof/>
          <w:sz w:val="24"/>
        </w:rPr>
        <w:t xml:space="preserve"> i neu</w:t>
      </w:r>
      <w:r w:rsidRPr="00A33B9F">
        <w:rPr>
          <w:rFonts w:ascii="Times New Roman" w:hAnsi="Times New Roman"/>
          <w:noProof/>
          <w:sz w:val="24"/>
        </w:rPr>
        <w:t>tralność klimatyczną do</w:t>
      </w:r>
      <w:r w:rsidR="00A33B9F" w:rsidRPr="00A33B9F">
        <w:rPr>
          <w:rFonts w:ascii="Times New Roman" w:hAnsi="Times New Roman"/>
          <w:noProof/>
          <w:sz w:val="24"/>
        </w:rPr>
        <w:t> </w:t>
      </w:r>
      <w:r w:rsidRPr="00A33B9F">
        <w:rPr>
          <w:rFonts w:ascii="Times New Roman" w:hAnsi="Times New Roman"/>
          <w:noProof/>
          <w:sz w:val="24"/>
        </w:rPr>
        <w:t>2050</w:t>
      </w:r>
      <w:r w:rsidR="00A33B9F" w:rsidRPr="00A33B9F">
        <w:rPr>
          <w:rFonts w:ascii="Times New Roman" w:hAnsi="Times New Roman"/>
          <w:noProof/>
          <w:sz w:val="24"/>
        </w:rPr>
        <w:t> </w:t>
      </w:r>
      <w:r w:rsidRPr="00A33B9F">
        <w:rPr>
          <w:rFonts w:ascii="Times New Roman" w:hAnsi="Times New Roman"/>
          <w:noProof/>
          <w:sz w:val="24"/>
        </w:rPr>
        <w:t xml:space="preserve">r. </w:t>
      </w:r>
    </w:p>
    <w:p w14:paraId="43C63560" w14:textId="1DFE7BA8" w:rsidR="0085267F" w:rsidRPr="00A33B9F" w:rsidRDefault="00CD71BC" w:rsidP="004F4717">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Reforma polega na zmianie istniejących sektorowych ram kwalifikacji</w:t>
      </w:r>
      <w:r w:rsidR="00A33B9F" w:rsidRPr="00A33B9F">
        <w:rPr>
          <w:rFonts w:ascii="Times New Roman" w:hAnsi="Times New Roman"/>
          <w:noProof/>
          <w:sz w:val="24"/>
        </w:rPr>
        <w:t xml:space="preserve"> w obs</w:t>
      </w:r>
      <w:r w:rsidRPr="00A33B9F">
        <w:rPr>
          <w:rFonts w:ascii="Times New Roman" w:hAnsi="Times New Roman"/>
          <w:noProof/>
          <w:sz w:val="24"/>
        </w:rPr>
        <w:t>zarach budownictwa, gospodarki wodnej</w:t>
      </w:r>
      <w:r w:rsidR="00A33B9F" w:rsidRPr="00A33B9F">
        <w:rPr>
          <w:rFonts w:ascii="Times New Roman" w:hAnsi="Times New Roman"/>
          <w:noProof/>
          <w:sz w:val="24"/>
        </w:rPr>
        <w:t xml:space="preserve"> i gos</w:t>
      </w:r>
      <w:r w:rsidRPr="00A33B9F">
        <w:rPr>
          <w:rFonts w:ascii="Times New Roman" w:hAnsi="Times New Roman"/>
          <w:noProof/>
          <w:sz w:val="24"/>
        </w:rPr>
        <w:t>podarowania odpadami przez dodanie nowych kwalifikacji</w:t>
      </w:r>
      <w:r w:rsidR="00A33B9F" w:rsidRPr="00A33B9F">
        <w:rPr>
          <w:rFonts w:ascii="Times New Roman" w:hAnsi="Times New Roman"/>
          <w:noProof/>
          <w:sz w:val="24"/>
        </w:rPr>
        <w:t xml:space="preserve"> w cel</w:t>
      </w:r>
      <w:r w:rsidRPr="00A33B9F">
        <w:rPr>
          <w:rFonts w:ascii="Times New Roman" w:hAnsi="Times New Roman"/>
          <w:noProof/>
          <w:sz w:val="24"/>
        </w:rPr>
        <w:t>u zapewnienia zdobywania niezbędnych umiejętności</w:t>
      </w:r>
      <w:r w:rsidR="00A33B9F" w:rsidRPr="00A33B9F">
        <w:rPr>
          <w:rFonts w:ascii="Times New Roman" w:hAnsi="Times New Roman"/>
          <w:noProof/>
          <w:sz w:val="24"/>
        </w:rPr>
        <w:t xml:space="preserve"> w tyc</w:t>
      </w:r>
      <w:r w:rsidRPr="00A33B9F">
        <w:rPr>
          <w:rFonts w:ascii="Times New Roman" w:hAnsi="Times New Roman"/>
          <w:noProof/>
          <w:sz w:val="24"/>
        </w:rPr>
        <w:t>h sektorach.</w:t>
      </w:r>
      <w:r w:rsidRPr="00A33B9F">
        <w:rPr>
          <w:noProof/>
        </w:rPr>
        <w:t xml:space="preserve"> </w:t>
      </w:r>
      <w:r w:rsidRPr="00A33B9F">
        <w:rPr>
          <w:rFonts w:ascii="Times New Roman" w:hAnsi="Times New Roman"/>
          <w:noProof/>
          <w:sz w:val="24"/>
        </w:rPr>
        <w:t>Ponadto zmienione zostaną ramy kwalifikacji dotyczące energii, aby odzwierciedlały one kwalifikacje dotyczące odnawialnych źródeł energii. Ramy kwalifikacji zostaną opracowane we współpracy</w:t>
      </w:r>
      <w:r w:rsidR="00A33B9F" w:rsidRPr="00A33B9F">
        <w:rPr>
          <w:rFonts w:ascii="Times New Roman" w:hAnsi="Times New Roman"/>
          <w:noProof/>
          <w:sz w:val="24"/>
        </w:rPr>
        <w:t xml:space="preserve"> z odp</w:t>
      </w:r>
      <w:r w:rsidRPr="00A33B9F">
        <w:rPr>
          <w:rFonts w:ascii="Times New Roman" w:hAnsi="Times New Roman"/>
          <w:noProof/>
          <w:sz w:val="24"/>
        </w:rPr>
        <w:t>owiednimi zainteresowanymi stronami,</w:t>
      </w:r>
      <w:r w:rsidR="00A33B9F" w:rsidRPr="00A33B9F">
        <w:rPr>
          <w:rFonts w:ascii="Times New Roman" w:hAnsi="Times New Roman"/>
          <w:noProof/>
          <w:sz w:val="24"/>
        </w:rPr>
        <w:t xml:space="preserve"> w tym z Sek</w:t>
      </w:r>
      <w:r w:rsidRPr="00A33B9F">
        <w:rPr>
          <w:rFonts w:ascii="Times New Roman" w:hAnsi="Times New Roman"/>
          <w:noProof/>
          <w:sz w:val="24"/>
        </w:rPr>
        <w:t>torowymi Radami ds. Kompetencji.</w:t>
      </w:r>
    </w:p>
    <w:p w14:paraId="2BD095C1" w14:textId="55DD749B" w:rsidR="00CD71BC" w:rsidRPr="00A33B9F" w:rsidRDefault="0058171A" w:rsidP="004F4717">
      <w:pPr>
        <w:spacing w:before="120" w:after="120"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Wyżej wymienione sektorowe ramy kwalifikacji zostaną włączone do zintegrowanego systemu kwalifikacji</w:t>
      </w:r>
      <w:r w:rsidR="00A33B9F" w:rsidRPr="00A33B9F">
        <w:rPr>
          <w:rFonts w:ascii="Times New Roman" w:hAnsi="Times New Roman"/>
          <w:noProof/>
          <w:sz w:val="24"/>
        </w:rPr>
        <w:t xml:space="preserve"> w dro</w:t>
      </w:r>
      <w:r w:rsidRPr="00A33B9F">
        <w:rPr>
          <w:rFonts w:ascii="Times New Roman" w:hAnsi="Times New Roman"/>
          <w:noProof/>
          <w:sz w:val="24"/>
        </w:rPr>
        <w:t xml:space="preserve">dze rozporządzeń. </w:t>
      </w:r>
    </w:p>
    <w:p w14:paraId="398AB108" w14:textId="569A14DB" w:rsidR="00CD71BC" w:rsidRPr="00A33B9F" w:rsidRDefault="00CD71BC" w:rsidP="00CD71BC">
      <w:pPr>
        <w:spacing w:before="120" w:line="257" w:lineRule="auto"/>
        <w:jc w:val="both"/>
        <w:rPr>
          <w:noProof/>
        </w:rPr>
      </w:pPr>
      <w:r w:rsidRPr="00A33B9F">
        <w:rPr>
          <w:rFonts w:ascii="Times New Roman" w:hAnsi="Times New Roman"/>
          <w:noProof/>
          <w:sz w:val="24"/>
        </w:rPr>
        <w:t>Realizacja reformy zostanie zakończona do dnia 31 grudnia 2025</w:t>
      </w:r>
      <w:r w:rsidR="00A33B9F" w:rsidRPr="00A33B9F">
        <w:rPr>
          <w:rFonts w:ascii="Times New Roman" w:hAnsi="Times New Roman"/>
          <w:noProof/>
          <w:sz w:val="24"/>
        </w:rPr>
        <w:t> </w:t>
      </w:r>
      <w:r w:rsidRPr="00A33B9F">
        <w:rPr>
          <w:rFonts w:ascii="Times New Roman" w:hAnsi="Times New Roman"/>
          <w:noProof/>
          <w:sz w:val="24"/>
        </w:rPr>
        <w:t>r.</w:t>
      </w:r>
    </w:p>
    <w:p w14:paraId="18B66031" w14:textId="77777777" w:rsidR="00CD71BC" w:rsidRPr="00A33B9F" w:rsidRDefault="00CD71BC" w:rsidP="00CD71BC">
      <w:pPr>
        <w:spacing w:before="120" w:after="120" w:line="240" w:lineRule="auto"/>
        <w:jc w:val="both"/>
        <w:rPr>
          <w:rFonts w:ascii="Times New Roman" w:hAnsi="Times New Roman" w:cs="Times New Roman"/>
          <w:noProof/>
          <w:sz w:val="24"/>
        </w:rPr>
      </w:pPr>
    </w:p>
    <w:p w14:paraId="2794FAF0" w14:textId="7CE383F4" w:rsidR="00CD71BC" w:rsidRPr="00A33B9F" w:rsidRDefault="00CD71BC" w:rsidP="00CD71BC">
      <w:pPr>
        <w:keepNext/>
        <w:spacing w:before="120" w:after="120" w:line="240" w:lineRule="auto"/>
        <w:jc w:val="both"/>
        <w:rPr>
          <w:rFonts w:ascii="Times New Roman" w:hAnsi="Times New Roman" w:cs="Times New Roman"/>
          <w:b/>
          <w:bCs/>
          <w:noProof/>
          <w:sz w:val="24"/>
          <w:szCs w:val="24"/>
          <w:u w:val="single"/>
        </w:rPr>
      </w:pPr>
      <w:r w:rsidRPr="00A33B9F">
        <w:rPr>
          <w:rFonts w:ascii="Times New Roman" w:hAnsi="Times New Roman"/>
          <w:b/>
          <w:noProof/>
          <w:sz w:val="24"/>
          <w:u w:val="single"/>
        </w:rPr>
        <w:t>G3.1.3. Zwiększenie efektywności energetycznej oraz przyspieszenie stopniowego wycofywania paliw kopalnych</w:t>
      </w:r>
      <w:r w:rsidR="00A33B9F" w:rsidRPr="00A33B9F">
        <w:rPr>
          <w:rFonts w:ascii="Times New Roman" w:hAnsi="Times New Roman"/>
          <w:b/>
          <w:noProof/>
          <w:sz w:val="24"/>
          <w:u w:val="single"/>
        </w:rPr>
        <w:t xml:space="preserve"> w ogr</w:t>
      </w:r>
      <w:r w:rsidRPr="00A33B9F">
        <w:rPr>
          <w:rFonts w:ascii="Times New Roman" w:hAnsi="Times New Roman"/>
          <w:b/>
          <w:noProof/>
          <w:sz w:val="24"/>
          <w:u w:val="single"/>
        </w:rPr>
        <w:t>zewaniu budynków mieszkalnych</w:t>
      </w:r>
    </w:p>
    <w:p w14:paraId="196B9970" w14:textId="67BEC3C8" w:rsidR="00CD71BC" w:rsidRPr="00A33B9F" w:rsidRDefault="00CD71BC" w:rsidP="00CD71BC">
      <w:pPr>
        <w:pStyle w:val="Text1"/>
        <w:ind w:left="0"/>
        <w:rPr>
          <w:rFonts w:eastAsia="Times New Roman"/>
          <w:noProof/>
          <w:color w:val="000000" w:themeColor="text1"/>
        </w:rPr>
      </w:pPr>
      <w:r w:rsidRPr="00A33B9F">
        <w:rPr>
          <w:noProof/>
          <w:color w:val="000000" w:themeColor="text1"/>
        </w:rPr>
        <w:t>Celem reformy jest zmniejszenie zależności od paliw kopalnych</w:t>
      </w:r>
      <w:r w:rsidR="00A33B9F" w:rsidRPr="00A33B9F">
        <w:rPr>
          <w:noProof/>
          <w:color w:val="000000" w:themeColor="text1"/>
        </w:rPr>
        <w:t xml:space="preserve"> i ich</w:t>
      </w:r>
      <w:r w:rsidRPr="00A33B9F">
        <w:rPr>
          <w:noProof/>
          <w:color w:val="000000" w:themeColor="text1"/>
        </w:rPr>
        <w:t xml:space="preserve"> zużycia przez przyspieszenie renowacji budynków mieszkalnych</w:t>
      </w:r>
      <w:r w:rsidR="00A33B9F" w:rsidRPr="00A33B9F">
        <w:rPr>
          <w:noProof/>
          <w:color w:val="000000" w:themeColor="text1"/>
        </w:rPr>
        <w:t xml:space="preserve"> i sto</w:t>
      </w:r>
      <w:r w:rsidRPr="00A33B9F">
        <w:rPr>
          <w:noProof/>
          <w:color w:val="000000" w:themeColor="text1"/>
        </w:rPr>
        <w:t>pniowe wycofywanie paliw kopalnych</w:t>
      </w:r>
      <w:r w:rsidR="00A33B9F" w:rsidRPr="00A33B9F">
        <w:rPr>
          <w:noProof/>
          <w:color w:val="000000" w:themeColor="text1"/>
        </w:rPr>
        <w:t xml:space="preserve"> w ogr</w:t>
      </w:r>
      <w:r w:rsidRPr="00A33B9F">
        <w:rPr>
          <w:noProof/>
          <w:color w:val="000000" w:themeColor="text1"/>
        </w:rPr>
        <w:t>zewaniu przy jednoczesnym ograniczeniu ubóstwa energetycznego.</w:t>
      </w:r>
    </w:p>
    <w:p w14:paraId="4FEA25C5" w14:textId="538E5FFA" w:rsidR="00CD71BC" w:rsidRPr="00A33B9F" w:rsidRDefault="00CD71BC" w:rsidP="00CD71BC">
      <w:pPr>
        <w:pStyle w:val="Text1"/>
        <w:ind w:left="0"/>
        <w:rPr>
          <w:rFonts w:eastAsia="Times New Roman"/>
          <w:noProof/>
          <w:color w:val="000000" w:themeColor="text1"/>
        </w:rPr>
      </w:pPr>
      <w:r w:rsidRPr="00A33B9F">
        <w:rPr>
          <w:noProof/>
          <w:color w:val="000000" w:themeColor="text1"/>
        </w:rPr>
        <w:t>Reforma będzie polegać na aktualizacji istniejących programów priorytetowych lub przyjęciu nowego programu priorytetowego mającego na celu wsparcie zintegrowanych usług</w:t>
      </w:r>
      <w:r w:rsidR="00A33B9F" w:rsidRPr="00A33B9F">
        <w:rPr>
          <w:noProof/>
          <w:color w:val="000000" w:themeColor="text1"/>
        </w:rPr>
        <w:t xml:space="preserve"> w zak</w:t>
      </w:r>
      <w:r w:rsidRPr="00A33B9F">
        <w:rPr>
          <w:noProof/>
          <w:color w:val="000000" w:themeColor="text1"/>
        </w:rPr>
        <w:t>resie renowacji budynków mieszkalnych. Reforma będzie opierać się na doświadczeniach</w:t>
      </w:r>
      <w:r w:rsidR="00A33B9F" w:rsidRPr="00A33B9F">
        <w:rPr>
          <w:noProof/>
          <w:color w:val="000000" w:themeColor="text1"/>
        </w:rPr>
        <w:t xml:space="preserve"> z pil</w:t>
      </w:r>
      <w:r w:rsidRPr="00A33B9F">
        <w:rPr>
          <w:noProof/>
          <w:color w:val="000000" w:themeColor="text1"/>
        </w:rPr>
        <w:t>otażowego wdrażania „podmiotów prowadzących renowacje budynków mieszkalnych”</w:t>
      </w:r>
      <w:r w:rsidR="00A33B9F" w:rsidRPr="00A33B9F">
        <w:rPr>
          <w:noProof/>
          <w:color w:val="000000" w:themeColor="text1"/>
        </w:rPr>
        <w:t xml:space="preserve"> i ofe</w:t>
      </w:r>
      <w:r w:rsidRPr="00A33B9F">
        <w:rPr>
          <w:noProof/>
          <w:color w:val="000000" w:themeColor="text1"/>
        </w:rPr>
        <w:t>rować wsparcie podmiotom prowadzącym renowacje budynków mieszkalnych</w:t>
      </w:r>
      <w:r w:rsidR="00A33B9F" w:rsidRPr="00A33B9F">
        <w:rPr>
          <w:noProof/>
          <w:color w:val="000000" w:themeColor="text1"/>
        </w:rPr>
        <w:t xml:space="preserve"> w cał</w:t>
      </w:r>
      <w:r w:rsidRPr="00A33B9F">
        <w:rPr>
          <w:noProof/>
          <w:color w:val="000000" w:themeColor="text1"/>
        </w:rPr>
        <w:t>ej Polsce.</w:t>
      </w:r>
    </w:p>
    <w:p w14:paraId="64B7C65D" w14:textId="709BCDA7" w:rsidR="00CD71BC" w:rsidRPr="00A33B9F" w:rsidRDefault="00CD71BC" w:rsidP="00CD71BC">
      <w:pPr>
        <w:pStyle w:val="Text1"/>
        <w:ind w:left="0"/>
        <w:rPr>
          <w:rFonts w:eastAsia="Times New Roman"/>
          <w:noProof/>
          <w:color w:val="000000" w:themeColor="text1"/>
          <w:szCs w:val="24"/>
        </w:rPr>
      </w:pPr>
      <w:r w:rsidRPr="00A33B9F">
        <w:rPr>
          <w:noProof/>
          <w:color w:val="000000" w:themeColor="text1"/>
        </w:rPr>
        <w:t>Realizacja reformy zostanie zakończona do dnia 31 grudnia 2024</w:t>
      </w:r>
      <w:r w:rsidR="00A33B9F" w:rsidRPr="00A33B9F">
        <w:rPr>
          <w:noProof/>
          <w:color w:val="000000" w:themeColor="text1"/>
        </w:rPr>
        <w:t> </w:t>
      </w:r>
      <w:r w:rsidRPr="00A33B9F">
        <w:rPr>
          <w:noProof/>
          <w:color w:val="000000" w:themeColor="text1"/>
        </w:rPr>
        <w:t>r.</w:t>
      </w:r>
    </w:p>
    <w:p w14:paraId="7C2E1745" w14:textId="77777777" w:rsidR="00CD71BC" w:rsidRPr="00A33B9F" w:rsidRDefault="00CD71BC" w:rsidP="00277459">
      <w:pPr>
        <w:rPr>
          <w:rFonts w:ascii="Times New Roman" w:eastAsia="Times New Roman" w:hAnsi="Times New Roman" w:cs="Times New Roman"/>
          <w:noProof/>
          <w:color w:val="000000" w:themeColor="text1"/>
        </w:rPr>
      </w:pPr>
    </w:p>
    <w:p w14:paraId="7C34D8FA" w14:textId="4AD5DE54" w:rsidR="00E06C79" w:rsidRPr="00A33B9F" w:rsidRDefault="00E06C79" w:rsidP="00E06C79">
      <w:pPr>
        <w:spacing w:before="120" w:after="120" w:line="240" w:lineRule="auto"/>
        <w:jc w:val="both"/>
        <w:rPr>
          <w:rFonts w:ascii="Times New Roman" w:hAnsi="Times New Roman" w:cs="Times New Roman"/>
          <w:b/>
          <w:bCs/>
          <w:noProof/>
          <w:sz w:val="24"/>
          <w:u w:val="single"/>
        </w:rPr>
      </w:pPr>
      <w:r w:rsidRPr="00A33B9F">
        <w:rPr>
          <w:rFonts w:ascii="Times New Roman" w:hAnsi="Times New Roman"/>
          <w:b/>
          <w:noProof/>
          <w:sz w:val="24"/>
          <w:u w:val="single"/>
        </w:rPr>
        <w:t>G3.1.4. Wsparcie na rzecz krajowego systemu energetycznego (Fundusz wsparcia energetyki)</w:t>
      </w:r>
    </w:p>
    <w:p w14:paraId="2CAED795" w14:textId="2B1677FE" w:rsidR="00E06C79" w:rsidRPr="00A33B9F" w:rsidRDefault="00E06C79" w:rsidP="00E06C79">
      <w:pPr>
        <w:pStyle w:val="paragraph"/>
        <w:spacing w:before="0" w:beforeAutospacing="0" w:after="0" w:afterAutospacing="0"/>
        <w:jc w:val="both"/>
        <w:rPr>
          <w:rStyle w:val="eop"/>
          <w:noProof/>
        </w:rPr>
      </w:pPr>
      <w:r w:rsidRPr="00A33B9F">
        <w:rPr>
          <w:rStyle w:val="normaltextrun"/>
          <w:noProof/>
        </w:rPr>
        <w:t>Działanie to obejmuje inwestycje publiczne</w:t>
      </w:r>
      <w:r w:rsidR="00A33B9F" w:rsidRPr="00A33B9F">
        <w:rPr>
          <w:rStyle w:val="normaltextrun"/>
          <w:noProof/>
        </w:rPr>
        <w:t xml:space="preserve"> w okr</w:t>
      </w:r>
      <w:r w:rsidRPr="00A33B9F">
        <w:rPr>
          <w:rStyle w:val="normaltextrun"/>
          <w:noProof/>
        </w:rPr>
        <w:t>eślony instrument – Fundusz Wsparcia Energetyki –</w:t>
      </w:r>
      <w:r w:rsidR="00A33B9F" w:rsidRPr="00A33B9F">
        <w:rPr>
          <w:rStyle w:val="normaltextrun"/>
          <w:noProof/>
        </w:rPr>
        <w:t xml:space="preserve"> w cel</w:t>
      </w:r>
      <w:r w:rsidRPr="00A33B9F">
        <w:rPr>
          <w:rStyle w:val="normaltextrun"/>
          <w:noProof/>
        </w:rPr>
        <w:t>u zachęcenia do realizacji inwestycji prywatnych oraz poprawy dostępu do finansowania</w:t>
      </w:r>
      <w:r w:rsidR="00A33B9F" w:rsidRPr="00A33B9F">
        <w:rPr>
          <w:rStyle w:val="normaltextrun"/>
          <w:noProof/>
        </w:rPr>
        <w:t xml:space="preserve"> w tyc</w:t>
      </w:r>
      <w:r w:rsidRPr="00A33B9F">
        <w:rPr>
          <w:rStyle w:val="normaltextrun"/>
          <w:noProof/>
        </w:rPr>
        <w:t>h sektorach polskiej gospodarki, które bezpośrednio ponoszą koszty transformacji energetycznej</w:t>
      </w:r>
      <w:r w:rsidR="00A33B9F" w:rsidRPr="00A33B9F">
        <w:rPr>
          <w:rStyle w:val="normaltextrun"/>
          <w:noProof/>
        </w:rPr>
        <w:t>. W ram</w:t>
      </w:r>
      <w:r w:rsidRPr="00A33B9F">
        <w:rPr>
          <w:rStyle w:val="normaltextrun"/>
          <w:noProof/>
        </w:rPr>
        <w:t>ach Instrumentu udzielane będą pożyczki podmiotom sektora prywatnego</w:t>
      </w:r>
      <w:r w:rsidR="00A33B9F" w:rsidRPr="00A33B9F">
        <w:rPr>
          <w:rStyle w:val="normaltextrun"/>
          <w:noProof/>
        </w:rPr>
        <w:t xml:space="preserve"> i gos</w:t>
      </w:r>
      <w:r w:rsidRPr="00A33B9F">
        <w:rPr>
          <w:rStyle w:val="normaltextrun"/>
          <w:noProof/>
        </w:rPr>
        <w:t>podarstwom domowym,</w:t>
      </w:r>
      <w:r w:rsidR="00A33B9F" w:rsidRPr="00A33B9F">
        <w:rPr>
          <w:rStyle w:val="normaltextrun"/>
          <w:noProof/>
        </w:rPr>
        <w:t xml:space="preserve"> a tak</w:t>
      </w:r>
      <w:r w:rsidRPr="00A33B9F">
        <w:rPr>
          <w:rStyle w:val="normaltextrun"/>
          <w:noProof/>
        </w:rPr>
        <w:t>że podmiotom sektora publicznego prowadzącym podobną działalność. Wszelkie inwestycje wspierane</w:t>
      </w:r>
      <w:r w:rsidR="00A33B9F" w:rsidRPr="00A33B9F">
        <w:rPr>
          <w:rStyle w:val="normaltextrun"/>
          <w:noProof/>
        </w:rPr>
        <w:t xml:space="preserve"> w ram</w:t>
      </w:r>
      <w:r w:rsidRPr="00A33B9F">
        <w:rPr>
          <w:rStyle w:val="normaltextrun"/>
          <w:noProof/>
        </w:rPr>
        <w:t>ach Instrumentu muszą być zgodne</w:t>
      </w:r>
      <w:r w:rsidR="00A33B9F" w:rsidRPr="00A33B9F">
        <w:rPr>
          <w:rStyle w:val="normaltextrun"/>
          <w:noProof/>
        </w:rPr>
        <w:t xml:space="preserve"> z odp</w:t>
      </w:r>
      <w:r w:rsidRPr="00A33B9F">
        <w:rPr>
          <w:rStyle w:val="normaltextrun"/>
          <w:noProof/>
        </w:rPr>
        <w:t>owiednimi celami REPowerEU określonymi</w:t>
      </w:r>
      <w:r w:rsidR="00A33B9F" w:rsidRPr="00A33B9F">
        <w:rPr>
          <w:rStyle w:val="normaltextrun"/>
          <w:noProof/>
        </w:rPr>
        <w:t xml:space="preserve"> w art</w:t>
      </w:r>
      <w:r w:rsidRPr="00A33B9F">
        <w:rPr>
          <w:rStyle w:val="normaltextrun"/>
          <w:noProof/>
        </w:rPr>
        <w:t>.</w:t>
      </w:r>
      <w:r w:rsidR="00A33B9F" w:rsidRPr="00A33B9F">
        <w:rPr>
          <w:rStyle w:val="normaltextrun"/>
          <w:noProof/>
        </w:rPr>
        <w:t> </w:t>
      </w:r>
      <w:r w:rsidRPr="00A33B9F">
        <w:rPr>
          <w:rStyle w:val="normaltextrun"/>
          <w:noProof/>
        </w:rPr>
        <w:t>21c ust.</w:t>
      </w:r>
      <w:r w:rsidR="00A33B9F" w:rsidRPr="00A33B9F">
        <w:rPr>
          <w:rStyle w:val="normaltextrun"/>
          <w:noProof/>
        </w:rPr>
        <w:t> </w:t>
      </w:r>
      <w:r w:rsidRPr="00A33B9F">
        <w:rPr>
          <w:rStyle w:val="normaltextrun"/>
          <w:noProof/>
        </w:rPr>
        <w:t>3 rozporządzenia</w:t>
      </w:r>
      <w:r w:rsidR="00A33B9F" w:rsidRPr="00A33B9F">
        <w:rPr>
          <w:rStyle w:val="normaltextrun"/>
          <w:noProof/>
        </w:rPr>
        <w:t xml:space="preserve"> w spr</w:t>
      </w:r>
      <w:r w:rsidRPr="00A33B9F">
        <w:rPr>
          <w:rStyle w:val="normaltextrun"/>
          <w:noProof/>
        </w:rPr>
        <w:t>awie RRF,</w:t>
      </w:r>
      <w:r w:rsidR="00A33B9F" w:rsidRPr="00A33B9F">
        <w:rPr>
          <w:rStyle w:val="normaltextrun"/>
          <w:noProof/>
        </w:rPr>
        <w:t xml:space="preserve"> z wyj</w:t>
      </w:r>
      <w:r w:rsidRPr="00A33B9F">
        <w:rPr>
          <w:rStyle w:val="normaltextrun"/>
          <w:noProof/>
        </w:rPr>
        <w:t>ątkiem art.</w:t>
      </w:r>
      <w:r w:rsidR="00A33B9F" w:rsidRPr="00A33B9F">
        <w:rPr>
          <w:rStyle w:val="normaltextrun"/>
          <w:noProof/>
        </w:rPr>
        <w:t> </w:t>
      </w:r>
      <w:r w:rsidRPr="00A33B9F">
        <w:rPr>
          <w:rStyle w:val="normaltextrun"/>
          <w:noProof/>
        </w:rPr>
        <w:t>21c ust.</w:t>
      </w:r>
      <w:r w:rsidR="00A33B9F" w:rsidRPr="00A33B9F">
        <w:rPr>
          <w:rStyle w:val="normaltextrun"/>
          <w:noProof/>
        </w:rPr>
        <w:t> </w:t>
      </w:r>
      <w:r w:rsidRPr="00A33B9F">
        <w:rPr>
          <w:rStyle w:val="normaltextrun"/>
          <w:noProof/>
        </w:rPr>
        <w:t>3 lit.</w:t>
      </w:r>
      <w:r w:rsidR="00A33B9F" w:rsidRPr="00A33B9F">
        <w:rPr>
          <w:rStyle w:val="normaltextrun"/>
          <w:noProof/>
        </w:rPr>
        <w:t> </w:t>
      </w:r>
      <w:r w:rsidRPr="00A33B9F">
        <w:rPr>
          <w:rStyle w:val="normaltextrun"/>
          <w:noProof/>
        </w:rPr>
        <w:t>a). Na podstawie inwestycji</w:t>
      </w:r>
      <w:r w:rsidR="00A33B9F" w:rsidRPr="00A33B9F">
        <w:rPr>
          <w:rStyle w:val="normaltextrun"/>
          <w:noProof/>
        </w:rPr>
        <w:t xml:space="preserve"> w ram</w:t>
      </w:r>
      <w:r w:rsidRPr="00A33B9F">
        <w:rPr>
          <w:rStyle w:val="normaltextrun"/>
          <w:noProof/>
        </w:rPr>
        <w:t>ach RRF celem Instrumentu na początkowym etapie jest wypłacenie finansowania</w:t>
      </w:r>
      <w:r w:rsidR="00A33B9F" w:rsidRPr="00A33B9F">
        <w:rPr>
          <w:rStyle w:val="normaltextrun"/>
          <w:noProof/>
        </w:rPr>
        <w:t xml:space="preserve"> w wys</w:t>
      </w:r>
      <w:r w:rsidRPr="00A33B9F">
        <w:rPr>
          <w:rStyle w:val="normaltextrun"/>
          <w:noProof/>
        </w:rPr>
        <w:t>okości co najmniej 17 068 511 631 EUR. </w:t>
      </w:r>
    </w:p>
    <w:p w14:paraId="4A91484B" w14:textId="77777777" w:rsidR="00E06C79" w:rsidRPr="00A33B9F" w:rsidRDefault="00E06C79" w:rsidP="00E06C79">
      <w:pPr>
        <w:pStyle w:val="paragraph"/>
        <w:spacing w:before="0" w:beforeAutospacing="0" w:after="0" w:afterAutospacing="0"/>
        <w:jc w:val="both"/>
        <w:textAlignment w:val="baseline"/>
        <w:rPr>
          <w:rStyle w:val="normaltextrun"/>
          <w:rFonts w:eastAsiaTheme="majorEastAsia"/>
          <w:noProof/>
        </w:rPr>
      </w:pPr>
      <w:r w:rsidRPr="00A33B9F">
        <w:rPr>
          <w:rStyle w:val="normaltextrun"/>
          <w:noProof/>
        </w:rPr>
        <w:t xml:space="preserve">Instrumentem zarządza Bank Gospodarstwa Krajowego (BGK) pełniący funkcję partnera wykonawczego. </w:t>
      </w:r>
    </w:p>
    <w:p w14:paraId="428F44EE" w14:textId="77777777" w:rsidR="00E06C79" w:rsidRPr="00A33B9F" w:rsidRDefault="00E06C79" w:rsidP="00E06C79">
      <w:pPr>
        <w:pStyle w:val="paragraph"/>
        <w:spacing w:before="0" w:beforeAutospacing="0" w:after="0" w:afterAutospacing="0"/>
        <w:jc w:val="both"/>
        <w:rPr>
          <w:rStyle w:val="normaltextrun"/>
          <w:rFonts w:eastAsiaTheme="majorEastAsia"/>
          <w:noProof/>
        </w:rPr>
      </w:pPr>
    </w:p>
    <w:p w14:paraId="0D543694" w14:textId="77777777" w:rsidR="00E06C79" w:rsidRPr="00A33B9F" w:rsidRDefault="00E06C79" w:rsidP="00E06C79">
      <w:pPr>
        <w:pStyle w:val="paragraph"/>
        <w:spacing w:before="0" w:beforeAutospacing="0" w:after="0" w:afterAutospacing="0"/>
        <w:jc w:val="both"/>
        <w:textAlignment w:val="baseline"/>
        <w:rPr>
          <w:rFonts w:ascii="Segoe UI" w:hAnsi="Segoe UI" w:cs="Segoe UI"/>
          <w:noProof/>
          <w:sz w:val="18"/>
          <w:szCs w:val="18"/>
        </w:rPr>
      </w:pPr>
      <w:r w:rsidRPr="00A33B9F">
        <w:rPr>
          <w:rStyle w:val="normaltextrun"/>
          <w:noProof/>
        </w:rPr>
        <w:t>Instrument obejmuje następujące linie produktowe:</w:t>
      </w:r>
      <w:r w:rsidRPr="00A33B9F">
        <w:rPr>
          <w:rStyle w:val="eop"/>
          <w:noProof/>
        </w:rPr>
        <w:t xml:space="preserve"> </w:t>
      </w:r>
    </w:p>
    <w:p w14:paraId="1C6A4898" w14:textId="2A3667CC" w:rsidR="00E06C79" w:rsidRPr="00A33B9F" w:rsidRDefault="00E06C79" w:rsidP="0059052E">
      <w:pPr>
        <w:pStyle w:val="paragraph"/>
        <w:numPr>
          <w:ilvl w:val="0"/>
          <w:numId w:val="49"/>
        </w:numPr>
        <w:spacing w:before="0" w:beforeAutospacing="0" w:after="0" w:afterAutospacing="0"/>
        <w:jc w:val="both"/>
        <w:textAlignment w:val="baseline"/>
        <w:rPr>
          <w:rStyle w:val="eop"/>
          <w:noProof/>
        </w:rPr>
      </w:pPr>
      <w:r w:rsidRPr="00A33B9F">
        <w:rPr>
          <w:rStyle w:val="normaltextrun"/>
          <w:noProof/>
        </w:rPr>
        <w:t>bezpośrednie finansowanie BGK: linia ta zapewnia beneficjentom końcowym bezpośrednie pożyczki na finansowanie zielonych projektów inwestycyjnych. Pożyczek udziela bezpośrednio BGK,</w:t>
      </w:r>
      <w:r w:rsidR="00A33B9F" w:rsidRPr="00A33B9F">
        <w:rPr>
          <w:rStyle w:val="normaltextrun"/>
          <w:noProof/>
        </w:rPr>
        <w:t xml:space="preserve"> a każ</w:t>
      </w:r>
      <w:r w:rsidRPr="00A33B9F">
        <w:rPr>
          <w:rStyle w:val="normaltextrun"/>
          <w:noProof/>
        </w:rPr>
        <w:t>dy projekt jest współfinansowany przez prywatnego inwestora lub prywatnych inwestorów będących osobami trzecimi lub podmiot lub podmioty sektora publicznego prowadzące podobną działalność.</w:t>
      </w:r>
      <w:r w:rsidR="00C3621A" w:rsidRPr="00A33B9F">
        <w:rPr>
          <w:rStyle w:val="normaltextrun"/>
          <w:noProof/>
        </w:rPr>
        <w:t xml:space="preserve"> </w:t>
      </w:r>
    </w:p>
    <w:p w14:paraId="346FA6D1" w14:textId="77777777" w:rsidR="00E06C79" w:rsidRPr="00A33B9F" w:rsidRDefault="00E06C79" w:rsidP="00E06C79">
      <w:pPr>
        <w:pStyle w:val="paragraph"/>
        <w:spacing w:before="0" w:beforeAutospacing="0" w:after="0" w:afterAutospacing="0"/>
        <w:jc w:val="both"/>
        <w:textAlignment w:val="baseline"/>
        <w:rPr>
          <w:rStyle w:val="normaltextrun"/>
          <w:rFonts w:eastAsiaTheme="majorEastAsia"/>
          <w:noProof/>
        </w:rPr>
      </w:pPr>
    </w:p>
    <w:p w14:paraId="3A5F7139" w14:textId="77777777" w:rsidR="00E06C79" w:rsidRPr="00A33B9F" w:rsidRDefault="00E06C79" w:rsidP="00E06C79">
      <w:pPr>
        <w:pStyle w:val="paragraph"/>
        <w:spacing w:before="0" w:beforeAutospacing="0" w:after="0" w:afterAutospacing="0"/>
        <w:jc w:val="both"/>
        <w:textAlignment w:val="baseline"/>
        <w:rPr>
          <w:rStyle w:val="eop"/>
          <w:noProof/>
        </w:rPr>
      </w:pPr>
      <w:r w:rsidRPr="00A33B9F">
        <w:rPr>
          <w:rStyle w:val="normaltextrun"/>
          <w:noProof/>
        </w:rPr>
        <w:t>Aby objąć inwestycję Instrumentem, Polska i BGK podpisują umowę wykonawczą zawierającą:</w:t>
      </w:r>
      <w:r w:rsidRPr="00A33B9F">
        <w:rPr>
          <w:rStyle w:val="eop"/>
          <w:noProof/>
        </w:rPr>
        <w:t xml:space="preserve"> </w:t>
      </w:r>
    </w:p>
    <w:p w14:paraId="7A87749D" w14:textId="77777777" w:rsidR="00E06C79" w:rsidRPr="00A33B9F" w:rsidRDefault="00E06C79" w:rsidP="00E06C79">
      <w:pPr>
        <w:pStyle w:val="paragraph"/>
        <w:spacing w:before="0" w:beforeAutospacing="0" w:after="0" w:afterAutospacing="0"/>
        <w:jc w:val="both"/>
        <w:textAlignment w:val="baseline"/>
        <w:rPr>
          <w:rFonts w:ascii="Segoe UI" w:hAnsi="Segoe UI" w:cs="Segoe UI"/>
          <w:noProof/>
          <w:sz w:val="18"/>
          <w:szCs w:val="18"/>
        </w:rPr>
      </w:pPr>
    </w:p>
    <w:p w14:paraId="3991B43B" w14:textId="13E841A3" w:rsidR="00E06C79" w:rsidRPr="00A33B9F" w:rsidRDefault="00E06C79" w:rsidP="00AD2493">
      <w:pPr>
        <w:pStyle w:val="paragraph"/>
        <w:numPr>
          <w:ilvl w:val="0"/>
          <w:numId w:val="100"/>
        </w:numPr>
        <w:spacing w:before="0" w:beforeAutospacing="0" w:after="0" w:afterAutospacing="0"/>
        <w:jc w:val="both"/>
        <w:rPr>
          <w:rStyle w:val="eop"/>
          <w:noProof/>
        </w:rPr>
      </w:pPr>
      <w:r w:rsidRPr="00A33B9F">
        <w:rPr>
          <w:rStyle w:val="normaltextrun"/>
          <w:noProof/>
        </w:rPr>
        <w:t>Opis procesu decyzyjnego</w:t>
      </w:r>
      <w:r w:rsidR="00A33B9F" w:rsidRPr="00A33B9F">
        <w:rPr>
          <w:rStyle w:val="normaltextrun"/>
          <w:noProof/>
        </w:rPr>
        <w:t xml:space="preserve"> w ram</w:t>
      </w:r>
      <w:r w:rsidRPr="00A33B9F">
        <w:rPr>
          <w:rStyle w:val="normaltextrun"/>
          <w:noProof/>
        </w:rPr>
        <w:t>ach Instrumentu: Ostateczną decyzję inwestycyjną</w:t>
      </w:r>
      <w:r w:rsidR="00A33B9F" w:rsidRPr="00A33B9F">
        <w:rPr>
          <w:rStyle w:val="normaltextrun"/>
          <w:noProof/>
        </w:rPr>
        <w:t xml:space="preserve"> w ram</w:t>
      </w:r>
      <w:r w:rsidRPr="00A33B9F">
        <w:rPr>
          <w:rStyle w:val="normaltextrun"/>
          <w:noProof/>
        </w:rPr>
        <w:t>ach Instrumentu podejmuje komitet inwestycyjny lub inny odpowiedni równoważny organ zarządzający – musi ona zostać następnie zatwierdzona większością głosów członków niezależnych od rządu.</w:t>
      </w:r>
      <w:r w:rsidRPr="00A33B9F">
        <w:rPr>
          <w:rStyle w:val="eop"/>
          <w:noProof/>
        </w:rPr>
        <w:t xml:space="preserve"> </w:t>
      </w:r>
    </w:p>
    <w:p w14:paraId="25BC0564" w14:textId="77777777" w:rsidR="00E06C79" w:rsidRPr="00A33B9F" w:rsidRDefault="00E06C79" w:rsidP="00E06C79">
      <w:pPr>
        <w:pStyle w:val="paragraph"/>
        <w:spacing w:before="0" w:beforeAutospacing="0" w:after="0" w:afterAutospacing="0"/>
        <w:jc w:val="both"/>
        <w:textAlignment w:val="baseline"/>
        <w:rPr>
          <w:noProof/>
        </w:rPr>
      </w:pPr>
    </w:p>
    <w:p w14:paraId="39278B85" w14:textId="58B990B7" w:rsidR="00E06C79" w:rsidRPr="00A33B9F" w:rsidRDefault="00E06C79" w:rsidP="00AD2493">
      <w:pPr>
        <w:pStyle w:val="paragraph"/>
        <w:numPr>
          <w:ilvl w:val="0"/>
          <w:numId w:val="100"/>
        </w:numPr>
        <w:spacing w:before="0" w:beforeAutospacing="0" w:after="0" w:afterAutospacing="0"/>
        <w:jc w:val="both"/>
        <w:rPr>
          <w:noProof/>
        </w:rPr>
      </w:pPr>
      <w:r w:rsidRPr="00A33B9F">
        <w:rPr>
          <w:rStyle w:val="normaltextrun"/>
          <w:noProof/>
        </w:rPr>
        <w:t>Najważniejsze wymogi ustanowione</w:t>
      </w:r>
      <w:r w:rsidR="00A33B9F" w:rsidRPr="00A33B9F">
        <w:rPr>
          <w:rStyle w:val="normaltextrun"/>
          <w:noProof/>
        </w:rPr>
        <w:t xml:space="preserve"> w pow</w:t>
      </w:r>
      <w:r w:rsidRPr="00A33B9F">
        <w:rPr>
          <w:rStyle w:val="normaltextrun"/>
          <w:noProof/>
        </w:rPr>
        <w:t>iązanej polityce inwestycyjnej,</w:t>
      </w:r>
      <w:r w:rsidRPr="00A33B9F">
        <w:rPr>
          <w:rStyle w:val="normaltextrun"/>
          <w:b/>
          <w:noProof/>
        </w:rPr>
        <w:t xml:space="preserve"> </w:t>
      </w:r>
      <w:r w:rsidRPr="00A33B9F">
        <w:rPr>
          <w:rStyle w:val="normaltextrun"/>
          <w:noProof/>
        </w:rPr>
        <w:t>które obejmują:</w:t>
      </w:r>
      <w:r w:rsidRPr="00A33B9F">
        <w:rPr>
          <w:rStyle w:val="eop"/>
          <w:noProof/>
        </w:rPr>
        <w:t xml:space="preserve"> </w:t>
      </w:r>
    </w:p>
    <w:p w14:paraId="3D203E04" w14:textId="58DE3F19" w:rsidR="00E06C79" w:rsidRPr="00A33B9F" w:rsidRDefault="00E06C79" w:rsidP="0059052E">
      <w:pPr>
        <w:pStyle w:val="paragraph"/>
        <w:numPr>
          <w:ilvl w:val="0"/>
          <w:numId w:val="47"/>
        </w:numPr>
        <w:spacing w:before="0" w:beforeAutospacing="0" w:after="0" w:afterAutospacing="0"/>
        <w:ind w:left="1080"/>
        <w:jc w:val="both"/>
        <w:textAlignment w:val="baseline"/>
        <w:rPr>
          <w:rStyle w:val="eop"/>
          <w:noProof/>
        </w:rPr>
      </w:pPr>
      <w:r w:rsidRPr="00A33B9F">
        <w:rPr>
          <w:rStyle w:val="normaltextrun"/>
          <w:noProof/>
        </w:rPr>
        <w:t>Opis produktów finansowych</w:t>
      </w:r>
      <w:r w:rsidR="00A33B9F" w:rsidRPr="00A33B9F">
        <w:rPr>
          <w:rStyle w:val="normaltextrun"/>
          <w:noProof/>
        </w:rPr>
        <w:t xml:space="preserve"> i kwa</w:t>
      </w:r>
      <w:r w:rsidRPr="00A33B9F">
        <w:rPr>
          <w:rStyle w:val="normaltextrun"/>
          <w:noProof/>
        </w:rPr>
        <w:t>lifikujących się beneficjentów końcowych.</w:t>
      </w:r>
      <w:r w:rsidR="00C3621A" w:rsidRPr="00A33B9F">
        <w:rPr>
          <w:rStyle w:val="normaltextrun"/>
          <w:noProof/>
        </w:rPr>
        <w:t xml:space="preserve"> </w:t>
      </w:r>
    </w:p>
    <w:p w14:paraId="18F7EAFC" w14:textId="12400C65" w:rsidR="00E06C79" w:rsidRPr="00A33B9F" w:rsidRDefault="00E06C79" w:rsidP="0059052E">
      <w:pPr>
        <w:pStyle w:val="paragraph"/>
        <w:numPr>
          <w:ilvl w:val="0"/>
          <w:numId w:val="47"/>
        </w:numPr>
        <w:spacing w:before="0" w:beforeAutospacing="0" w:after="0" w:afterAutospacing="0"/>
        <w:ind w:left="1080"/>
        <w:jc w:val="both"/>
        <w:textAlignment w:val="baseline"/>
        <w:rPr>
          <w:rStyle w:val="eop"/>
          <w:noProof/>
        </w:rPr>
      </w:pPr>
      <w:r w:rsidRPr="00A33B9F">
        <w:rPr>
          <w:rStyle w:val="normaltextrun"/>
          <w:noProof/>
        </w:rPr>
        <w:t>Wymóg, zgodnie</w:t>
      </w:r>
      <w:r w:rsidR="00A33B9F" w:rsidRPr="00A33B9F">
        <w:rPr>
          <w:rStyle w:val="normaltextrun"/>
          <w:noProof/>
        </w:rPr>
        <w:t xml:space="preserve"> z któ</w:t>
      </w:r>
      <w:r w:rsidRPr="00A33B9F">
        <w:rPr>
          <w:rStyle w:val="normaltextrun"/>
          <w:noProof/>
        </w:rPr>
        <w:t>rym wszystkie inwestycje objęte wsparciem muszą być opłacalne</w:t>
      </w:r>
      <w:r w:rsidR="00A33B9F" w:rsidRPr="00A33B9F">
        <w:rPr>
          <w:rStyle w:val="normaltextrun"/>
          <w:noProof/>
        </w:rPr>
        <w:t xml:space="preserve"> z eko</w:t>
      </w:r>
      <w:r w:rsidRPr="00A33B9F">
        <w:rPr>
          <w:rStyle w:val="normaltextrun"/>
          <w:noProof/>
        </w:rPr>
        <w:t>nomicznego punktu widzenia</w:t>
      </w:r>
      <w:r w:rsidRPr="00A33B9F">
        <w:rPr>
          <w:rStyle w:val="normaltextrun"/>
          <w:b/>
          <w:noProof/>
        </w:rPr>
        <w:t>.</w:t>
      </w:r>
      <w:r w:rsidRPr="00A33B9F">
        <w:rPr>
          <w:rStyle w:val="eop"/>
          <w:noProof/>
        </w:rPr>
        <w:t xml:space="preserve"> </w:t>
      </w:r>
    </w:p>
    <w:p w14:paraId="7BFAA967" w14:textId="75D5AE68" w:rsidR="00E06C79" w:rsidRPr="00A33B9F" w:rsidRDefault="00E06C79" w:rsidP="32944511">
      <w:pPr>
        <w:pStyle w:val="paragraph"/>
        <w:numPr>
          <w:ilvl w:val="0"/>
          <w:numId w:val="47"/>
        </w:numPr>
        <w:spacing w:before="0" w:beforeAutospacing="0" w:after="0" w:afterAutospacing="0"/>
        <w:ind w:left="1080"/>
        <w:jc w:val="both"/>
        <w:textAlignment w:val="baseline"/>
        <w:rPr>
          <w:rStyle w:val="eop"/>
          <w:noProof/>
        </w:rPr>
      </w:pPr>
      <w:r w:rsidRPr="00A33B9F">
        <w:rPr>
          <w:rStyle w:val="normaltextrun"/>
          <w:noProof/>
        </w:rPr>
        <w:t>Wymóg poszanowania zasady „nie czyń poważnych szkód” ustanowionej</w:t>
      </w:r>
      <w:r w:rsidR="00A33B9F" w:rsidRPr="00A33B9F">
        <w:rPr>
          <w:rStyle w:val="normaltextrun"/>
          <w:noProof/>
        </w:rPr>
        <w:t xml:space="preserve"> w wyt</w:t>
      </w:r>
      <w:r w:rsidRPr="00A33B9F">
        <w:rPr>
          <w:rStyle w:val="normaltextrun"/>
          <w:noProof/>
        </w:rPr>
        <w:t>ycznych technicznych dotyczących stosowania zasady „nie czyń poważnych szkód” (C(2023) 6454 final)</w:t>
      </w:r>
      <w:r w:rsidR="00A33B9F" w:rsidRPr="00A33B9F">
        <w:rPr>
          <w:rStyle w:val="normaltextrun"/>
          <w:noProof/>
        </w:rPr>
        <w:t>. W szc</w:t>
      </w:r>
      <w:r w:rsidRPr="00A33B9F">
        <w:rPr>
          <w:rStyle w:val="normaltextrun"/>
          <w:noProof/>
        </w:rPr>
        <w:t>zególności:</w:t>
      </w:r>
    </w:p>
    <w:p w14:paraId="110DB756" w14:textId="504BB449" w:rsidR="00E06C79" w:rsidRPr="00A33B9F" w:rsidRDefault="27837909" w:rsidP="67D9DE1D">
      <w:pPr>
        <w:pStyle w:val="paragraph"/>
        <w:numPr>
          <w:ilvl w:val="0"/>
          <w:numId w:val="51"/>
        </w:numPr>
        <w:spacing w:before="0" w:beforeAutospacing="0" w:after="0" w:afterAutospacing="0"/>
        <w:ind w:left="1440"/>
        <w:jc w:val="both"/>
        <w:textAlignment w:val="baseline"/>
        <w:rPr>
          <w:rStyle w:val="eop"/>
          <w:noProof/>
        </w:rPr>
      </w:pPr>
      <w:r w:rsidRPr="00A33B9F">
        <w:rPr>
          <w:rStyle w:val="normaltextrun"/>
          <w:noProof/>
        </w:rPr>
        <w:t>polityka inwestycyjna wyklucza możliwość uznania za kwalifikowalne następujących działań</w:t>
      </w:r>
      <w:r w:rsidR="00A33B9F" w:rsidRPr="00A33B9F">
        <w:rPr>
          <w:rStyle w:val="normaltextrun"/>
          <w:noProof/>
        </w:rPr>
        <w:t xml:space="preserve"> i akt</w:t>
      </w:r>
      <w:r w:rsidRPr="00A33B9F">
        <w:rPr>
          <w:rStyle w:val="normaltextrun"/>
          <w:noProof/>
        </w:rPr>
        <w:t>ywów: (i) działania</w:t>
      </w:r>
      <w:r w:rsidR="00A33B9F" w:rsidRPr="00A33B9F">
        <w:rPr>
          <w:rStyle w:val="normaltextrun"/>
          <w:noProof/>
        </w:rPr>
        <w:t xml:space="preserve"> i akt</w:t>
      </w:r>
      <w:r w:rsidRPr="00A33B9F">
        <w:rPr>
          <w:rStyle w:val="normaltextrun"/>
          <w:noProof/>
        </w:rPr>
        <w:t>ywa związane</w:t>
      </w:r>
      <w:r w:rsidR="00A33B9F" w:rsidRPr="00A33B9F">
        <w:rPr>
          <w:rStyle w:val="normaltextrun"/>
          <w:noProof/>
        </w:rPr>
        <w:t xml:space="preserve"> z pal</w:t>
      </w:r>
      <w:r w:rsidRPr="00A33B9F">
        <w:rPr>
          <w:rStyle w:val="normaltextrun"/>
          <w:noProof/>
        </w:rPr>
        <w:t>iwami kopalnymi,</w:t>
      </w:r>
      <w:r w:rsidR="00A33B9F" w:rsidRPr="00A33B9F">
        <w:rPr>
          <w:rStyle w:val="normaltextrun"/>
          <w:noProof/>
        </w:rPr>
        <w:t xml:space="preserve"> w tym</w:t>
      </w:r>
      <w:r w:rsidRPr="00A33B9F">
        <w:rPr>
          <w:rStyle w:val="normaltextrun"/>
          <w:noProof/>
        </w:rPr>
        <w:t xml:space="preserve"> zastosowania niższego szczebla</w:t>
      </w:r>
      <w:r w:rsidRPr="00A33B9F">
        <w:rPr>
          <w:rStyle w:val="FootnoteReference"/>
          <w:rFonts w:eastAsiaTheme="majorEastAsia"/>
          <w:noProof/>
        </w:rPr>
        <w:footnoteReference w:id="35"/>
      </w:r>
      <w:r w:rsidRPr="00A33B9F">
        <w:rPr>
          <w:rStyle w:val="normaltextrun"/>
          <w:noProof/>
        </w:rPr>
        <w:t>; (ii) działania</w:t>
      </w:r>
      <w:r w:rsidR="00A33B9F" w:rsidRPr="00A33B9F">
        <w:rPr>
          <w:rStyle w:val="normaltextrun"/>
          <w:noProof/>
        </w:rPr>
        <w:t xml:space="preserve"> i akt</w:t>
      </w:r>
      <w:r w:rsidRPr="00A33B9F">
        <w:rPr>
          <w:rStyle w:val="normaltextrun"/>
          <w:noProof/>
        </w:rPr>
        <w:t>ywa</w:t>
      </w:r>
      <w:r w:rsidR="00A33B9F" w:rsidRPr="00A33B9F">
        <w:rPr>
          <w:rStyle w:val="normaltextrun"/>
          <w:noProof/>
        </w:rPr>
        <w:t xml:space="preserve"> w ram</w:t>
      </w:r>
      <w:r w:rsidRPr="00A33B9F">
        <w:rPr>
          <w:rStyle w:val="normaltextrun"/>
          <w:noProof/>
        </w:rPr>
        <w:t>ach unijnego systemu handlu uprawnieniami do emisji (ETS) prowadzące do osiągnięcia prognozowanych emisji gazów cieplarnianych nie niższych niż odpowiednie wskaźniki emisyjności</w:t>
      </w:r>
      <w:r w:rsidRPr="00A33B9F">
        <w:rPr>
          <w:rStyle w:val="FootnoteReference"/>
          <w:rFonts w:eastAsiaTheme="majorEastAsia"/>
          <w:noProof/>
        </w:rPr>
        <w:footnoteReference w:id="36"/>
      </w:r>
      <w:r w:rsidRPr="00A33B9F">
        <w:rPr>
          <w:rStyle w:val="normaltextrun"/>
          <w:noProof/>
        </w:rPr>
        <w:t>; (iii) działania</w:t>
      </w:r>
      <w:r w:rsidR="00A33B9F" w:rsidRPr="00A33B9F">
        <w:rPr>
          <w:rStyle w:val="normaltextrun"/>
          <w:noProof/>
        </w:rPr>
        <w:t xml:space="preserve"> i akt</w:t>
      </w:r>
      <w:r w:rsidRPr="00A33B9F">
        <w:rPr>
          <w:rStyle w:val="normaltextrun"/>
          <w:noProof/>
        </w:rPr>
        <w:t>ywa związane ze składowiskami odpadów, spalarniami</w:t>
      </w:r>
      <w:r w:rsidRPr="00A33B9F">
        <w:rPr>
          <w:rStyle w:val="FootnoteReference"/>
          <w:rFonts w:eastAsiaTheme="majorEastAsia"/>
          <w:noProof/>
        </w:rPr>
        <w:footnoteReference w:id="37"/>
      </w:r>
      <w:r w:rsidR="00A33B9F" w:rsidRPr="00A33B9F">
        <w:rPr>
          <w:rStyle w:val="normaltextrun"/>
          <w:noProof/>
        </w:rPr>
        <w:t xml:space="preserve"> i zak</w:t>
      </w:r>
      <w:r w:rsidRPr="00A33B9F">
        <w:rPr>
          <w:rStyle w:val="normaltextrun"/>
          <w:noProof/>
        </w:rPr>
        <w:t>ładami mechaniczno-biologicznego przetwarzania odpadów</w:t>
      </w:r>
      <w:r w:rsidRPr="00A33B9F">
        <w:rPr>
          <w:rStyle w:val="FootnoteReference"/>
          <w:rFonts w:eastAsiaTheme="majorEastAsia"/>
          <w:noProof/>
        </w:rPr>
        <w:footnoteReference w:id="38"/>
      </w:r>
      <w:r w:rsidRPr="00A33B9F">
        <w:rPr>
          <w:rStyle w:val="normaltextrun"/>
          <w:noProof/>
        </w:rPr>
        <w:t xml:space="preserve"> oraz (iv) działania</w:t>
      </w:r>
      <w:r w:rsidR="00A33B9F" w:rsidRPr="00A33B9F">
        <w:rPr>
          <w:rStyle w:val="normaltextrun"/>
          <w:noProof/>
        </w:rPr>
        <w:t xml:space="preserve"> i akt</w:t>
      </w:r>
      <w:r w:rsidRPr="00A33B9F">
        <w:rPr>
          <w:rStyle w:val="normaltextrun"/>
          <w:noProof/>
        </w:rPr>
        <w:t>ywa związane</w:t>
      </w:r>
      <w:r w:rsidR="00A33B9F" w:rsidRPr="00A33B9F">
        <w:rPr>
          <w:rStyle w:val="normaltextrun"/>
          <w:noProof/>
        </w:rPr>
        <w:t xml:space="preserve"> z gór</w:t>
      </w:r>
      <w:r w:rsidRPr="00A33B9F">
        <w:rPr>
          <w:rStyle w:val="normaltextrun"/>
          <w:noProof/>
        </w:rPr>
        <w:t xml:space="preserve">nictwem. </w:t>
      </w:r>
    </w:p>
    <w:p w14:paraId="4E25A26F" w14:textId="246AD5C8" w:rsidR="7D363ED9" w:rsidRPr="00A33B9F" w:rsidRDefault="1B52E33F" w:rsidP="3590C92E">
      <w:pPr>
        <w:pStyle w:val="paragraph"/>
        <w:numPr>
          <w:ilvl w:val="0"/>
          <w:numId w:val="51"/>
        </w:numPr>
        <w:spacing w:before="0" w:beforeAutospacing="0" w:after="0" w:afterAutospacing="0"/>
        <w:ind w:left="1440"/>
        <w:jc w:val="both"/>
        <w:textAlignment w:val="baseline"/>
        <w:rPr>
          <w:rStyle w:val="normaltextrun"/>
          <w:rFonts w:eastAsiaTheme="majorEastAsia"/>
          <w:noProof/>
        </w:rPr>
      </w:pPr>
      <w:r w:rsidRPr="00A33B9F">
        <w:rPr>
          <w:rStyle w:val="normaltextrun"/>
          <w:noProof/>
        </w:rPr>
        <w:t>Polityka inwestycyjna wspiera wyłącznie wodór odnawialny zgodnie</w:t>
      </w:r>
      <w:r w:rsidR="00A33B9F" w:rsidRPr="00A33B9F">
        <w:rPr>
          <w:rStyle w:val="normaltextrun"/>
          <w:noProof/>
        </w:rPr>
        <w:t xml:space="preserve"> z odp</w:t>
      </w:r>
      <w:r w:rsidRPr="00A33B9F">
        <w:rPr>
          <w:rStyle w:val="normaltextrun"/>
          <w:noProof/>
        </w:rPr>
        <w:t>owiednimi aktami delegowanymi na mocy dyrektywy Parlamentu Europejskiego</w:t>
      </w:r>
      <w:r w:rsidR="00A33B9F" w:rsidRPr="00A33B9F">
        <w:rPr>
          <w:rStyle w:val="normaltextrun"/>
          <w:noProof/>
        </w:rPr>
        <w:t xml:space="preserve"> i Rad</w:t>
      </w:r>
      <w:r w:rsidRPr="00A33B9F">
        <w:rPr>
          <w:rStyle w:val="normaltextrun"/>
          <w:noProof/>
        </w:rPr>
        <w:t>y (UE) 2018/2001</w:t>
      </w:r>
      <w:r w:rsidR="00A33B9F" w:rsidRPr="00A33B9F">
        <w:rPr>
          <w:rStyle w:val="normaltextrun"/>
          <w:noProof/>
        </w:rPr>
        <w:t xml:space="preserve"> z dni</w:t>
      </w:r>
      <w:r w:rsidRPr="00A33B9F">
        <w:rPr>
          <w:rStyle w:val="normaltextrun"/>
          <w:noProof/>
        </w:rPr>
        <w:t>a 11 grudnia 2018</w:t>
      </w:r>
      <w:r w:rsidR="00A33B9F" w:rsidRPr="00A33B9F">
        <w:rPr>
          <w:rStyle w:val="normaltextrun"/>
          <w:noProof/>
        </w:rPr>
        <w:t> </w:t>
      </w:r>
      <w:r w:rsidRPr="00A33B9F">
        <w:rPr>
          <w:rStyle w:val="normaltextrun"/>
          <w:noProof/>
        </w:rPr>
        <w:t xml:space="preserve">r. </w:t>
      </w:r>
    </w:p>
    <w:p w14:paraId="74B6BCD2" w14:textId="24B4CCDB" w:rsidR="58B4A547" w:rsidRPr="00A33B9F" w:rsidRDefault="02061DA4" w:rsidP="58B4A547">
      <w:pPr>
        <w:pStyle w:val="paragraph"/>
        <w:numPr>
          <w:ilvl w:val="0"/>
          <w:numId w:val="51"/>
        </w:numPr>
        <w:spacing w:before="0" w:beforeAutospacing="0" w:after="0" w:afterAutospacing="0"/>
        <w:ind w:left="1440"/>
        <w:jc w:val="both"/>
        <w:rPr>
          <w:rStyle w:val="normaltextrun"/>
          <w:noProof/>
        </w:rPr>
      </w:pPr>
      <w:r w:rsidRPr="00A33B9F">
        <w:rPr>
          <w:rStyle w:val="normaltextrun"/>
          <w:noProof/>
        </w:rPr>
        <w:t>Polityka inwestycyjna wspiera wyłącznie produkcję, przesył, dystrybucję</w:t>
      </w:r>
      <w:r w:rsidR="00A33B9F" w:rsidRPr="00A33B9F">
        <w:rPr>
          <w:rStyle w:val="normaltextrun"/>
          <w:noProof/>
        </w:rPr>
        <w:t xml:space="preserve"> i mag</w:t>
      </w:r>
      <w:r w:rsidRPr="00A33B9F">
        <w:rPr>
          <w:rStyle w:val="normaltextrun"/>
          <w:noProof/>
        </w:rPr>
        <w:t>azynowanie zrównoważonego biometanu zgodnie</w:t>
      </w:r>
      <w:r w:rsidR="00A33B9F" w:rsidRPr="00A33B9F">
        <w:rPr>
          <w:rStyle w:val="normaltextrun"/>
          <w:noProof/>
        </w:rPr>
        <w:t xml:space="preserve"> z kry</w:t>
      </w:r>
      <w:r w:rsidRPr="00A33B9F">
        <w:rPr>
          <w:rStyle w:val="normaltextrun"/>
          <w:noProof/>
        </w:rPr>
        <w:t>teriami zrównoważonego rozwoju</w:t>
      </w:r>
      <w:r w:rsidR="00A33B9F" w:rsidRPr="00A33B9F">
        <w:rPr>
          <w:rStyle w:val="normaltextrun"/>
          <w:noProof/>
        </w:rPr>
        <w:t xml:space="preserve"> i ogr</w:t>
      </w:r>
      <w:r w:rsidRPr="00A33B9F">
        <w:rPr>
          <w:rStyle w:val="normaltextrun"/>
          <w:noProof/>
        </w:rPr>
        <w:t>aniczeń emisji gazów cieplarnianych określonymi</w:t>
      </w:r>
      <w:r w:rsidR="00A33B9F" w:rsidRPr="00A33B9F">
        <w:rPr>
          <w:rStyle w:val="normaltextrun"/>
          <w:noProof/>
        </w:rPr>
        <w:t xml:space="preserve"> w art</w:t>
      </w:r>
      <w:r w:rsidRPr="00A33B9F">
        <w:rPr>
          <w:rStyle w:val="normaltextrun"/>
          <w:noProof/>
        </w:rPr>
        <w:t>.</w:t>
      </w:r>
      <w:r w:rsidR="00A33B9F" w:rsidRPr="00A33B9F">
        <w:rPr>
          <w:rStyle w:val="normaltextrun"/>
          <w:noProof/>
        </w:rPr>
        <w:t> </w:t>
      </w:r>
      <w:r w:rsidRPr="00A33B9F">
        <w:rPr>
          <w:rStyle w:val="normaltextrun"/>
          <w:noProof/>
        </w:rPr>
        <w:t>29–31 oraz</w:t>
      </w:r>
      <w:r w:rsidR="00A33B9F" w:rsidRPr="00A33B9F">
        <w:rPr>
          <w:rStyle w:val="normaltextrun"/>
          <w:noProof/>
        </w:rPr>
        <w:t xml:space="preserve"> z prz</w:t>
      </w:r>
      <w:r w:rsidRPr="00A33B9F">
        <w:rPr>
          <w:rStyle w:val="normaltextrun"/>
          <w:noProof/>
        </w:rPr>
        <w:t>episami dotyczącymi biopaliw bazujących na roślinach spożywczych</w:t>
      </w:r>
      <w:r w:rsidR="00A33B9F" w:rsidRPr="00A33B9F">
        <w:rPr>
          <w:rStyle w:val="normaltextrun"/>
          <w:noProof/>
        </w:rPr>
        <w:t xml:space="preserve"> i pas</w:t>
      </w:r>
      <w:r w:rsidRPr="00A33B9F">
        <w:rPr>
          <w:rStyle w:val="normaltextrun"/>
          <w:noProof/>
        </w:rPr>
        <w:t>tewnych określonymi</w:t>
      </w:r>
      <w:r w:rsidR="00A33B9F" w:rsidRPr="00A33B9F">
        <w:rPr>
          <w:rStyle w:val="normaltextrun"/>
          <w:noProof/>
        </w:rPr>
        <w:t xml:space="preserve"> w art</w:t>
      </w:r>
      <w:r w:rsidRPr="00A33B9F">
        <w:rPr>
          <w:rStyle w:val="normaltextrun"/>
          <w:noProof/>
        </w:rPr>
        <w:t>.</w:t>
      </w:r>
      <w:r w:rsidR="00A33B9F" w:rsidRPr="00A33B9F">
        <w:rPr>
          <w:rStyle w:val="normaltextrun"/>
          <w:noProof/>
        </w:rPr>
        <w:t> </w:t>
      </w:r>
      <w:r w:rsidRPr="00A33B9F">
        <w:rPr>
          <w:rStyle w:val="normaltextrun"/>
          <w:noProof/>
        </w:rPr>
        <w:t>26 zmienionej dyrektywy</w:t>
      </w:r>
      <w:r w:rsidR="00A33B9F" w:rsidRPr="00A33B9F">
        <w:rPr>
          <w:rStyle w:val="normaltextrun"/>
          <w:noProof/>
        </w:rPr>
        <w:t xml:space="preserve"> w spr</w:t>
      </w:r>
      <w:r w:rsidRPr="00A33B9F">
        <w:rPr>
          <w:rStyle w:val="normaltextrun"/>
          <w:noProof/>
        </w:rPr>
        <w:t>awie energii odnawialnej 2018/2001/UE oraz</w:t>
      </w:r>
      <w:r w:rsidR="00A33B9F" w:rsidRPr="00A33B9F">
        <w:rPr>
          <w:rStyle w:val="normaltextrun"/>
          <w:noProof/>
        </w:rPr>
        <w:t xml:space="preserve"> w pow</w:t>
      </w:r>
      <w:r w:rsidRPr="00A33B9F">
        <w:rPr>
          <w:rStyle w:val="normaltextrun"/>
          <w:noProof/>
        </w:rPr>
        <w:t>iązanych aktach wykonawczych</w:t>
      </w:r>
      <w:r w:rsidR="00A33B9F" w:rsidRPr="00A33B9F">
        <w:rPr>
          <w:rStyle w:val="normaltextrun"/>
          <w:noProof/>
        </w:rPr>
        <w:t xml:space="preserve"> i del</w:t>
      </w:r>
      <w:r w:rsidRPr="00A33B9F">
        <w:rPr>
          <w:rStyle w:val="normaltextrun"/>
          <w:noProof/>
        </w:rPr>
        <w:t>egowanych</w:t>
      </w:r>
      <w:r w:rsidR="00A33B9F" w:rsidRPr="00A33B9F">
        <w:rPr>
          <w:rStyle w:val="normaltextrun"/>
          <w:noProof/>
        </w:rPr>
        <w:t>. W prz</w:t>
      </w:r>
      <w:r w:rsidRPr="00A33B9F">
        <w:rPr>
          <w:rStyle w:val="normaltextrun"/>
          <w:noProof/>
        </w:rPr>
        <w:t>ypadku inwestycji</w:t>
      </w:r>
      <w:r w:rsidR="00A33B9F" w:rsidRPr="00A33B9F">
        <w:rPr>
          <w:rStyle w:val="normaltextrun"/>
          <w:noProof/>
        </w:rPr>
        <w:t xml:space="preserve"> w prz</w:t>
      </w:r>
      <w:r w:rsidRPr="00A33B9F">
        <w:rPr>
          <w:rStyle w:val="normaltextrun"/>
          <w:noProof/>
        </w:rPr>
        <w:t>esył</w:t>
      </w:r>
      <w:r w:rsidR="00A33B9F" w:rsidRPr="00A33B9F">
        <w:rPr>
          <w:rStyle w:val="normaltextrun"/>
          <w:noProof/>
        </w:rPr>
        <w:t xml:space="preserve"> i dys</w:t>
      </w:r>
      <w:r w:rsidRPr="00A33B9F">
        <w:rPr>
          <w:rStyle w:val="normaltextrun"/>
          <w:noProof/>
        </w:rPr>
        <w:t>trybucję zrównoważonego biometanu należy zagwarantować zgodność polityki inwestycyjnej</w:t>
      </w:r>
      <w:r w:rsidR="00A33B9F" w:rsidRPr="00A33B9F">
        <w:rPr>
          <w:rStyle w:val="normaltextrun"/>
          <w:noProof/>
        </w:rPr>
        <w:t xml:space="preserve"> z kon</w:t>
      </w:r>
      <w:r w:rsidRPr="00A33B9F">
        <w:rPr>
          <w:rStyle w:val="normaltextrun"/>
          <w:noProof/>
        </w:rPr>
        <w:t>cepcją „inteligentnej sieci gazowej”,</w:t>
      </w:r>
      <w:r w:rsidR="00A33B9F" w:rsidRPr="00A33B9F">
        <w:rPr>
          <w:rStyle w:val="normaltextrun"/>
          <w:noProof/>
        </w:rPr>
        <w:t xml:space="preserve"> o któ</w:t>
      </w:r>
      <w:r w:rsidRPr="00A33B9F">
        <w:rPr>
          <w:rStyle w:val="normaltextrun"/>
          <w:noProof/>
        </w:rPr>
        <w:t>rej mowa we wniosku dotyczącym zmiany rozporządzenia TEN-E (COM(2020) 824 final), oraz wprowadzić przepisy zapewniające normy wykrywania wycieków metanu</w:t>
      </w:r>
      <w:r w:rsidR="00A33B9F" w:rsidRPr="00A33B9F">
        <w:rPr>
          <w:rStyle w:val="normaltextrun"/>
          <w:noProof/>
        </w:rPr>
        <w:t xml:space="preserve"> i bio</w:t>
      </w:r>
      <w:r w:rsidRPr="00A33B9F">
        <w:rPr>
          <w:rStyle w:val="normaltextrun"/>
          <w:noProof/>
        </w:rPr>
        <w:t>metanu</w:t>
      </w:r>
      <w:r w:rsidR="00A33B9F" w:rsidRPr="00A33B9F">
        <w:rPr>
          <w:rStyle w:val="normaltextrun"/>
          <w:noProof/>
        </w:rPr>
        <w:t xml:space="preserve"> i zap</w:t>
      </w:r>
      <w:r w:rsidRPr="00A33B9F">
        <w:rPr>
          <w:rStyle w:val="normaltextrun"/>
          <w:noProof/>
        </w:rPr>
        <w:t>obiegania takim wyciekom jako integralną część wymogów bezpieczeństwa.</w:t>
      </w:r>
    </w:p>
    <w:p w14:paraId="3AFDB233" w14:textId="205F0033" w:rsidR="158558FB" w:rsidRPr="00A33B9F" w:rsidRDefault="158558FB" w:rsidP="248F6EA0">
      <w:pPr>
        <w:pStyle w:val="paragraph"/>
        <w:numPr>
          <w:ilvl w:val="0"/>
          <w:numId w:val="51"/>
        </w:numPr>
        <w:spacing w:before="0" w:beforeAutospacing="0" w:after="0" w:afterAutospacing="0"/>
        <w:ind w:left="1440"/>
        <w:jc w:val="both"/>
        <w:rPr>
          <w:rStyle w:val="normaltextrun"/>
          <w:noProof/>
        </w:rPr>
      </w:pPr>
      <w:r w:rsidRPr="00A33B9F">
        <w:rPr>
          <w:rStyle w:val="normaltextrun"/>
          <w:noProof/>
        </w:rPr>
        <w:t>Wsparciem</w:t>
      </w:r>
      <w:r w:rsidR="00A33B9F" w:rsidRPr="00A33B9F">
        <w:rPr>
          <w:rStyle w:val="normaltextrun"/>
          <w:noProof/>
        </w:rPr>
        <w:t xml:space="preserve"> w ram</w:t>
      </w:r>
      <w:r w:rsidRPr="00A33B9F">
        <w:rPr>
          <w:rStyle w:val="normaltextrun"/>
          <w:noProof/>
        </w:rPr>
        <w:t>ach polityki inwestycyjnej objęta jest wyłącznie renowacja zwiększająca efektywność energetyczną budynków, prowadząca do oszczędności energii pierwotnej o co najmniej 30</w:t>
      </w:r>
      <w:r w:rsidR="00A33B9F" w:rsidRPr="00A33B9F">
        <w:rPr>
          <w:rStyle w:val="normaltextrun"/>
          <w:noProof/>
        </w:rPr>
        <w:t> </w:t>
      </w:r>
      <w:r w:rsidRPr="00A33B9F">
        <w:rPr>
          <w:rStyle w:val="normaltextrun"/>
          <w:noProof/>
        </w:rPr>
        <w:t>%.</w:t>
      </w:r>
    </w:p>
    <w:p w14:paraId="1CE66B8E" w14:textId="66920189" w:rsidR="12D42199" w:rsidRPr="00A33B9F" w:rsidRDefault="12D42199" w:rsidP="0F97000A">
      <w:pPr>
        <w:pStyle w:val="paragraph"/>
        <w:numPr>
          <w:ilvl w:val="0"/>
          <w:numId w:val="51"/>
        </w:numPr>
        <w:spacing w:before="0" w:beforeAutospacing="0" w:after="0" w:afterAutospacing="0"/>
        <w:ind w:left="1440"/>
        <w:jc w:val="both"/>
        <w:rPr>
          <w:rStyle w:val="eop"/>
          <w:noProof/>
        </w:rPr>
      </w:pPr>
      <w:r w:rsidRPr="00A33B9F">
        <w:rPr>
          <w:noProof/>
        </w:rPr>
        <w:t>Ponadto polityka inwestycyjna wymaga zgodności</w:t>
      </w:r>
      <w:r w:rsidR="00A33B9F" w:rsidRPr="00A33B9F">
        <w:rPr>
          <w:noProof/>
        </w:rPr>
        <w:t xml:space="preserve"> z odp</w:t>
      </w:r>
      <w:r w:rsidRPr="00A33B9F">
        <w:rPr>
          <w:noProof/>
        </w:rPr>
        <w:t>owiednimi unijnymi</w:t>
      </w:r>
      <w:r w:rsidR="00A33B9F" w:rsidRPr="00A33B9F">
        <w:rPr>
          <w:noProof/>
        </w:rPr>
        <w:t xml:space="preserve"> i kra</w:t>
      </w:r>
      <w:r w:rsidRPr="00A33B9F">
        <w:rPr>
          <w:noProof/>
        </w:rPr>
        <w:t>jowymi przepisami</w:t>
      </w:r>
      <w:r w:rsidR="00A33B9F" w:rsidRPr="00A33B9F">
        <w:rPr>
          <w:noProof/>
        </w:rPr>
        <w:t xml:space="preserve"> w dzi</w:t>
      </w:r>
      <w:r w:rsidRPr="00A33B9F">
        <w:rPr>
          <w:noProof/>
        </w:rPr>
        <w:t>edzinie ochrony środowiska beneficjentów końcowych Instrumentu.</w:t>
      </w:r>
    </w:p>
    <w:p w14:paraId="32FFA6A5" w14:textId="45AFC4DE" w:rsidR="00E06C79" w:rsidRPr="00A33B9F" w:rsidRDefault="00E06C79" w:rsidP="0059052E">
      <w:pPr>
        <w:pStyle w:val="paragraph"/>
        <w:numPr>
          <w:ilvl w:val="0"/>
          <w:numId w:val="47"/>
        </w:numPr>
        <w:spacing w:before="0" w:beforeAutospacing="0" w:after="0" w:afterAutospacing="0"/>
        <w:ind w:left="1080"/>
        <w:jc w:val="both"/>
        <w:textAlignment w:val="baseline"/>
        <w:rPr>
          <w:rStyle w:val="eop"/>
          <w:noProof/>
        </w:rPr>
      </w:pPr>
      <w:r w:rsidRPr="00A33B9F">
        <w:rPr>
          <w:rStyle w:val="normaltextrun"/>
          <w:noProof/>
        </w:rPr>
        <w:t>Wymóg, zgodnie</w:t>
      </w:r>
      <w:r w:rsidR="00A33B9F" w:rsidRPr="00A33B9F">
        <w:rPr>
          <w:rStyle w:val="normaltextrun"/>
          <w:noProof/>
        </w:rPr>
        <w:t xml:space="preserve"> z któ</w:t>
      </w:r>
      <w:r w:rsidRPr="00A33B9F">
        <w:rPr>
          <w:rStyle w:val="normaltextrun"/>
          <w:noProof/>
        </w:rPr>
        <w:t>rym beneficjenci końcowi Instrumentu nie mogą otrzymywać wsparcia</w:t>
      </w:r>
      <w:r w:rsidR="00A33B9F" w:rsidRPr="00A33B9F">
        <w:rPr>
          <w:rStyle w:val="normaltextrun"/>
          <w:noProof/>
        </w:rPr>
        <w:t xml:space="preserve"> w ram</w:t>
      </w:r>
      <w:r w:rsidRPr="00A33B9F">
        <w:rPr>
          <w:rStyle w:val="normaltextrun"/>
          <w:noProof/>
        </w:rPr>
        <w:t>ach innych instrumentów Unii na pokrycie tych samych kosztów.</w:t>
      </w:r>
      <w:r w:rsidRPr="00A33B9F">
        <w:rPr>
          <w:rStyle w:val="eop"/>
          <w:noProof/>
        </w:rPr>
        <w:t xml:space="preserve"> </w:t>
      </w:r>
    </w:p>
    <w:p w14:paraId="14A8DB7D" w14:textId="77777777" w:rsidR="00E06C79" w:rsidRPr="00A33B9F" w:rsidRDefault="00E06C79" w:rsidP="00E06C79">
      <w:pPr>
        <w:pStyle w:val="paragraph"/>
        <w:spacing w:before="0" w:beforeAutospacing="0" w:after="0" w:afterAutospacing="0"/>
        <w:ind w:left="1080"/>
        <w:jc w:val="both"/>
        <w:textAlignment w:val="baseline"/>
        <w:rPr>
          <w:noProof/>
        </w:rPr>
      </w:pPr>
    </w:p>
    <w:p w14:paraId="2CF91231" w14:textId="533F3458" w:rsidR="00E06C79" w:rsidRPr="00A33B9F" w:rsidRDefault="00E06C79" w:rsidP="00AD2493">
      <w:pPr>
        <w:pStyle w:val="paragraph"/>
        <w:numPr>
          <w:ilvl w:val="0"/>
          <w:numId w:val="100"/>
        </w:numPr>
        <w:spacing w:before="0" w:beforeAutospacing="0" w:after="0" w:afterAutospacing="0"/>
        <w:jc w:val="both"/>
        <w:rPr>
          <w:rStyle w:val="normaltextrun"/>
          <w:rFonts w:eastAsiaTheme="majorEastAsia"/>
          <w:noProof/>
        </w:rPr>
      </w:pPr>
      <w:r w:rsidRPr="00A33B9F">
        <w:rPr>
          <w:rStyle w:val="normaltextrun"/>
          <w:noProof/>
        </w:rPr>
        <w:t>Kwotę objętą umową wykonawczą, strukturę opłat dla partnera wykonawczego oraz wymóg ponownego zainwestowania wszelkich środków powracających zgodnie</w:t>
      </w:r>
      <w:r w:rsidR="00A33B9F" w:rsidRPr="00A33B9F">
        <w:rPr>
          <w:rStyle w:val="normaltextrun"/>
          <w:noProof/>
        </w:rPr>
        <w:t xml:space="preserve"> z pol</w:t>
      </w:r>
      <w:r w:rsidRPr="00A33B9F">
        <w:rPr>
          <w:rStyle w:val="normaltextrun"/>
          <w:noProof/>
        </w:rPr>
        <w:t>ityką inwestycyjną Instrumentu, chyba że wykorzystuje się je do obsługi spłaty pożyczek</w:t>
      </w:r>
      <w:r w:rsidR="00A33B9F" w:rsidRPr="00A33B9F">
        <w:rPr>
          <w:rStyle w:val="normaltextrun"/>
          <w:noProof/>
        </w:rPr>
        <w:t xml:space="preserve"> w ram</w:t>
      </w:r>
      <w:r w:rsidRPr="00A33B9F">
        <w:rPr>
          <w:rStyle w:val="normaltextrun"/>
          <w:noProof/>
        </w:rPr>
        <w:t>ach Instrumentu na rzecz Odbudowy</w:t>
      </w:r>
      <w:r w:rsidR="00A33B9F" w:rsidRPr="00A33B9F">
        <w:rPr>
          <w:rStyle w:val="normaltextrun"/>
          <w:noProof/>
        </w:rPr>
        <w:t xml:space="preserve"> i Zwi</w:t>
      </w:r>
      <w:r w:rsidRPr="00A33B9F">
        <w:rPr>
          <w:rStyle w:val="normaltextrun"/>
          <w:noProof/>
        </w:rPr>
        <w:t>ększania Odporności. </w:t>
      </w:r>
    </w:p>
    <w:p w14:paraId="6A3BBC16" w14:textId="77777777" w:rsidR="00E06C79" w:rsidRPr="00A33B9F" w:rsidRDefault="00E06C79" w:rsidP="00E06C79">
      <w:pPr>
        <w:pStyle w:val="paragraph"/>
        <w:spacing w:before="0" w:beforeAutospacing="0" w:after="0" w:afterAutospacing="0"/>
        <w:jc w:val="both"/>
        <w:textAlignment w:val="baseline"/>
        <w:rPr>
          <w:noProof/>
        </w:rPr>
      </w:pPr>
    </w:p>
    <w:p w14:paraId="10AB937A" w14:textId="264FBC27" w:rsidR="00E06C79" w:rsidRPr="00A33B9F" w:rsidRDefault="00E06C79" w:rsidP="00AD2493">
      <w:pPr>
        <w:pStyle w:val="paragraph"/>
        <w:numPr>
          <w:ilvl w:val="0"/>
          <w:numId w:val="100"/>
        </w:numPr>
        <w:spacing w:before="0" w:beforeAutospacing="0" w:after="0" w:afterAutospacing="0"/>
        <w:jc w:val="both"/>
        <w:rPr>
          <w:rStyle w:val="normaltextrun"/>
          <w:noProof/>
        </w:rPr>
      </w:pPr>
      <w:r w:rsidRPr="00A33B9F">
        <w:rPr>
          <w:rStyle w:val="normaltextrun"/>
          <w:noProof/>
        </w:rPr>
        <w:t>Wymogi</w:t>
      </w:r>
      <w:r w:rsidR="00A33B9F" w:rsidRPr="00A33B9F">
        <w:rPr>
          <w:rStyle w:val="normaltextrun"/>
          <w:noProof/>
        </w:rPr>
        <w:t xml:space="preserve"> w zak</w:t>
      </w:r>
      <w:r w:rsidRPr="00A33B9F">
        <w:rPr>
          <w:rStyle w:val="normaltextrun"/>
          <w:noProof/>
        </w:rPr>
        <w:t>resie monitorowania, audytu</w:t>
      </w:r>
      <w:r w:rsidR="00A33B9F" w:rsidRPr="00A33B9F">
        <w:rPr>
          <w:rStyle w:val="normaltextrun"/>
          <w:noProof/>
        </w:rPr>
        <w:t xml:space="preserve"> i kon</w:t>
      </w:r>
      <w:r w:rsidRPr="00A33B9F">
        <w:rPr>
          <w:rStyle w:val="normaltextrun"/>
          <w:noProof/>
        </w:rPr>
        <w:t>troli,</w:t>
      </w:r>
      <w:r w:rsidR="00A33B9F" w:rsidRPr="00A33B9F">
        <w:rPr>
          <w:rStyle w:val="normaltextrun"/>
          <w:noProof/>
        </w:rPr>
        <w:t xml:space="preserve"> w tym</w:t>
      </w:r>
      <w:r w:rsidRPr="00A33B9F">
        <w:rPr>
          <w:rStyle w:val="normaltextrun"/>
          <w:noProof/>
        </w:rPr>
        <w:t xml:space="preserve">: </w:t>
      </w:r>
    </w:p>
    <w:p w14:paraId="21456FFC" w14:textId="77777777" w:rsidR="00E06C79" w:rsidRPr="00A33B9F" w:rsidRDefault="00E06C79" w:rsidP="0059052E">
      <w:pPr>
        <w:pStyle w:val="paragraph"/>
        <w:numPr>
          <w:ilvl w:val="0"/>
          <w:numId w:val="48"/>
        </w:numPr>
        <w:spacing w:before="0" w:beforeAutospacing="0" w:after="0" w:afterAutospacing="0"/>
        <w:ind w:left="1080"/>
        <w:jc w:val="both"/>
        <w:textAlignment w:val="baseline"/>
        <w:rPr>
          <w:noProof/>
        </w:rPr>
      </w:pPr>
      <w:r w:rsidRPr="00A33B9F">
        <w:rPr>
          <w:rStyle w:val="normaltextrun"/>
          <w:noProof/>
        </w:rPr>
        <w:t>Opis systemu monitorowania partnera wykonawczego ustanowionego na potrzeby przekazywania informacji na temat uruchomionych inwestycji.</w:t>
      </w:r>
      <w:r w:rsidRPr="00A33B9F">
        <w:rPr>
          <w:rStyle w:val="eop"/>
          <w:noProof/>
        </w:rPr>
        <w:t xml:space="preserve"> </w:t>
      </w:r>
    </w:p>
    <w:p w14:paraId="7FE5E704" w14:textId="539DA407" w:rsidR="00E06C79" w:rsidRPr="00A33B9F" w:rsidRDefault="00E06C79" w:rsidP="0059052E">
      <w:pPr>
        <w:pStyle w:val="paragraph"/>
        <w:numPr>
          <w:ilvl w:val="0"/>
          <w:numId w:val="48"/>
        </w:numPr>
        <w:spacing w:before="0" w:beforeAutospacing="0" w:after="0" w:afterAutospacing="0"/>
        <w:ind w:left="1080"/>
        <w:jc w:val="both"/>
        <w:textAlignment w:val="baseline"/>
        <w:rPr>
          <w:noProof/>
        </w:rPr>
      </w:pPr>
      <w:r w:rsidRPr="00A33B9F">
        <w:rPr>
          <w:rStyle w:val="normaltextrun"/>
          <w:noProof/>
        </w:rPr>
        <w:t>Opis stosowanych przez partnera wykonawczego procedur zapewniających zapobieganie nadużyciom finansowym, korupcji</w:t>
      </w:r>
      <w:r w:rsidR="00A33B9F" w:rsidRPr="00A33B9F">
        <w:rPr>
          <w:rStyle w:val="normaltextrun"/>
          <w:noProof/>
        </w:rPr>
        <w:t xml:space="preserve"> i kon</w:t>
      </w:r>
      <w:r w:rsidRPr="00A33B9F">
        <w:rPr>
          <w:rStyle w:val="normaltextrun"/>
          <w:noProof/>
        </w:rPr>
        <w:t>fliktom interesów, ich wykrywanie oraz eliminowanie.</w:t>
      </w:r>
      <w:r w:rsidR="00C3621A" w:rsidRPr="00A33B9F">
        <w:rPr>
          <w:rStyle w:val="normaltextrun"/>
          <w:noProof/>
        </w:rPr>
        <w:t xml:space="preserve"> </w:t>
      </w:r>
    </w:p>
    <w:p w14:paraId="31DC87CE" w14:textId="11BFA2C5" w:rsidR="00E06C79" w:rsidRPr="00A33B9F" w:rsidRDefault="00E06C79" w:rsidP="0059052E">
      <w:pPr>
        <w:pStyle w:val="paragraph"/>
        <w:numPr>
          <w:ilvl w:val="0"/>
          <w:numId w:val="48"/>
        </w:numPr>
        <w:spacing w:before="0" w:beforeAutospacing="0" w:after="0" w:afterAutospacing="0"/>
        <w:ind w:left="1080"/>
        <w:jc w:val="both"/>
        <w:textAlignment w:val="baseline"/>
        <w:rPr>
          <w:noProof/>
        </w:rPr>
      </w:pPr>
      <w:r w:rsidRPr="00A33B9F">
        <w:rPr>
          <w:rStyle w:val="normaltextrun"/>
          <w:noProof/>
        </w:rPr>
        <w:t>Obowiązek weryfikowania kwalifikowalności każdej operacji zgodnie</w:t>
      </w:r>
      <w:r w:rsidR="00A33B9F" w:rsidRPr="00A33B9F">
        <w:rPr>
          <w:rStyle w:val="normaltextrun"/>
          <w:noProof/>
        </w:rPr>
        <w:t xml:space="preserve"> z wym</w:t>
      </w:r>
      <w:r w:rsidRPr="00A33B9F">
        <w:rPr>
          <w:rStyle w:val="normaltextrun"/>
          <w:noProof/>
        </w:rPr>
        <w:t>ogami przewidzianymi</w:t>
      </w:r>
      <w:r w:rsidR="00A33B9F" w:rsidRPr="00A33B9F">
        <w:rPr>
          <w:rStyle w:val="normaltextrun"/>
          <w:noProof/>
        </w:rPr>
        <w:t xml:space="preserve"> w umo</w:t>
      </w:r>
      <w:r w:rsidRPr="00A33B9F">
        <w:rPr>
          <w:rStyle w:val="normaltextrun"/>
          <w:noProof/>
        </w:rPr>
        <w:t>wie wykonawczej przed zobowiązaniem się do finansowania danej operacji.</w:t>
      </w:r>
      <w:r w:rsidRPr="00A33B9F">
        <w:rPr>
          <w:rStyle w:val="eop"/>
          <w:noProof/>
        </w:rPr>
        <w:t xml:space="preserve"> </w:t>
      </w:r>
    </w:p>
    <w:p w14:paraId="7452AD58" w14:textId="46FD5792" w:rsidR="00E06C79" w:rsidRPr="00A33B9F" w:rsidRDefault="00E06C79" w:rsidP="0059052E">
      <w:pPr>
        <w:pStyle w:val="paragraph"/>
        <w:numPr>
          <w:ilvl w:val="0"/>
          <w:numId w:val="48"/>
        </w:numPr>
        <w:spacing w:before="0" w:beforeAutospacing="0" w:after="0" w:afterAutospacing="0"/>
        <w:ind w:left="1080"/>
        <w:jc w:val="both"/>
        <w:textAlignment w:val="baseline"/>
        <w:rPr>
          <w:rStyle w:val="eop"/>
          <w:noProof/>
        </w:rPr>
      </w:pPr>
      <w:r w:rsidRPr="00A33B9F">
        <w:rPr>
          <w:rStyle w:val="normaltextrun"/>
          <w:noProof/>
        </w:rPr>
        <w:t xml:space="preserve">Obowiązek przeprowadzania audytów </w:t>
      </w:r>
      <w:r w:rsidRPr="00A33B9F">
        <w:rPr>
          <w:rStyle w:val="normaltextrun"/>
          <w:i/>
          <w:iCs/>
          <w:noProof/>
        </w:rPr>
        <w:t>ex post</w:t>
      </w:r>
      <w:r w:rsidRPr="00A33B9F">
        <w:rPr>
          <w:rStyle w:val="normaltextrun"/>
          <w:noProof/>
        </w:rPr>
        <w:t xml:space="preserve"> opartych na analizie ryzyka zgodnie</w:t>
      </w:r>
      <w:r w:rsidR="00A33B9F" w:rsidRPr="00A33B9F">
        <w:rPr>
          <w:rStyle w:val="normaltextrun"/>
          <w:noProof/>
        </w:rPr>
        <w:t xml:space="preserve"> z pla</w:t>
      </w:r>
      <w:r w:rsidRPr="00A33B9F">
        <w:rPr>
          <w:rStyle w:val="normaltextrun"/>
          <w:noProof/>
        </w:rPr>
        <w:t>nem audytów BGK. Wspomniane audyty mają na celu potwierdzenie (i) skuteczności systemów kontroli,</w:t>
      </w:r>
      <w:r w:rsidR="00A33B9F" w:rsidRPr="00A33B9F">
        <w:rPr>
          <w:rStyle w:val="normaltextrun"/>
          <w:noProof/>
        </w:rPr>
        <w:t xml:space="preserve"> w tym</w:t>
      </w:r>
      <w:r w:rsidRPr="00A33B9F">
        <w:rPr>
          <w:rStyle w:val="normaltextrun"/>
          <w:noProof/>
        </w:rPr>
        <w:t xml:space="preserve"> również</w:t>
      </w:r>
      <w:r w:rsidR="00A33B9F" w:rsidRPr="00A33B9F">
        <w:rPr>
          <w:rStyle w:val="normaltextrun"/>
          <w:noProof/>
        </w:rPr>
        <w:t xml:space="preserve"> w zak</w:t>
      </w:r>
      <w:r w:rsidRPr="00A33B9F">
        <w:rPr>
          <w:rStyle w:val="normaltextrun"/>
          <w:noProof/>
        </w:rPr>
        <w:t>resie wykrywania nadużyć finansowych, korupcji</w:t>
      </w:r>
      <w:r w:rsidR="00A33B9F" w:rsidRPr="00A33B9F">
        <w:rPr>
          <w:rStyle w:val="normaltextrun"/>
          <w:noProof/>
        </w:rPr>
        <w:t xml:space="preserve"> i kon</w:t>
      </w:r>
      <w:r w:rsidRPr="00A33B9F">
        <w:rPr>
          <w:rStyle w:val="normaltextrun"/>
          <w:noProof/>
        </w:rPr>
        <w:t>fliktów interesów; (ii) zgodności</w:t>
      </w:r>
      <w:r w:rsidR="00A33B9F" w:rsidRPr="00A33B9F">
        <w:rPr>
          <w:rStyle w:val="normaltextrun"/>
          <w:noProof/>
        </w:rPr>
        <w:t xml:space="preserve"> z zas</w:t>
      </w:r>
      <w:r w:rsidRPr="00A33B9F">
        <w:rPr>
          <w:rStyle w:val="normaltextrun"/>
          <w:noProof/>
        </w:rPr>
        <w:t>adą „nie czyń poważnych szkód”,</w:t>
      </w:r>
      <w:r w:rsidR="00A33B9F" w:rsidRPr="00A33B9F">
        <w:rPr>
          <w:rStyle w:val="normaltextrun"/>
          <w:noProof/>
        </w:rPr>
        <w:t xml:space="preserve"> z zas</w:t>
      </w:r>
      <w:r w:rsidRPr="00A33B9F">
        <w:rPr>
          <w:rStyle w:val="normaltextrun"/>
          <w:noProof/>
        </w:rPr>
        <w:t>adami pomocy państwa</w:t>
      </w:r>
      <w:r w:rsidR="00A33B9F" w:rsidRPr="00A33B9F">
        <w:rPr>
          <w:rStyle w:val="normaltextrun"/>
          <w:noProof/>
        </w:rPr>
        <w:t xml:space="preserve"> i z wym</w:t>
      </w:r>
      <w:r w:rsidRPr="00A33B9F">
        <w:rPr>
          <w:rStyle w:val="normaltextrun"/>
          <w:noProof/>
        </w:rPr>
        <w:t>ogami celu klimatycznego oraz (iii) spełnienia wymogu, zgodnie</w:t>
      </w:r>
      <w:r w:rsidR="00A33B9F" w:rsidRPr="00A33B9F">
        <w:rPr>
          <w:rStyle w:val="normaltextrun"/>
          <w:noProof/>
        </w:rPr>
        <w:t xml:space="preserve"> z któ</w:t>
      </w:r>
      <w:r w:rsidRPr="00A33B9F">
        <w:rPr>
          <w:rStyle w:val="normaltextrun"/>
          <w:noProof/>
        </w:rPr>
        <w:t>rym beneficjenci końcowi Instrumentu nie otrzymują wsparcia</w:t>
      </w:r>
      <w:r w:rsidR="00A33B9F" w:rsidRPr="00A33B9F">
        <w:rPr>
          <w:rStyle w:val="normaltextrun"/>
          <w:noProof/>
        </w:rPr>
        <w:t xml:space="preserve"> w ram</w:t>
      </w:r>
      <w:r w:rsidRPr="00A33B9F">
        <w:rPr>
          <w:rStyle w:val="normaltextrun"/>
          <w:noProof/>
        </w:rPr>
        <w:t>ach innych instrumentów Unii na pokrycie tych samych kosztów. Audyty służą również zweryfikowaniu legalności przeprowadzanych transakcji oraz sprawdzeniu zgodności</w:t>
      </w:r>
      <w:r w:rsidR="00A33B9F" w:rsidRPr="00A33B9F">
        <w:rPr>
          <w:rStyle w:val="normaltextrun"/>
          <w:noProof/>
        </w:rPr>
        <w:t xml:space="preserve"> z war</w:t>
      </w:r>
      <w:r w:rsidRPr="00A33B9F">
        <w:rPr>
          <w:rStyle w:val="normaltextrun"/>
          <w:noProof/>
        </w:rPr>
        <w:t>unkami określonymi</w:t>
      </w:r>
      <w:r w:rsidR="00A33B9F" w:rsidRPr="00A33B9F">
        <w:rPr>
          <w:rStyle w:val="normaltextrun"/>
          <w:noProof/>
        </w:rPr>
        <w:t xml:space="preserve"> w maj</w:t>
      </w:r>
      <w:r w:rsidRPr="00A33B9F">
        <w:rPr>
          <w:rStyle w:val="normaltextrun"/>
          <w:noProof/>
        </w:rPr>
        <w:t>ących zastosowanie umowie wykonawczej</w:t>
      </w:r>
      <w:r w:rsidR="00A33B9F" w:rsidRPr="00A33B9F">
        <w:rPr>
          <w:rStyle w:val="normaltextrun"/>
          <w:noProof/>
        </w:rPr>
        <w:t xml:space="preserve"> i umo</w:t>
      </w:r>
      <w:r w:rsidRPr="00A33B9F">
        <w:rPr>
          <w:rStyle w:val="normaltextrun"/>
          <w:noProof/>
        </w:rPr>
        <w:t>wach</w:t>
      </w:r>
      <w:r w:rsidR="00A33B9F" w:rsidRPr="00A33B9F">
        <w:rPr>
          <w:rStyle w:val="normaltextrun"/>
          <w:noProof/>
        </w:rPr>
        <w:t xml:space="preserve"> o fin</w:t>
      </w:r>
      <w:r w:rsidRPr="00A33B9F">
        <w:rPr>
          <w:rStyle w:val="normaltextrun"/>
          <w:noProof/>
        </w:rPr>
        <w:t>ansowaniu.</w:t>
      </w:r>
      <w:r w:rsidR="00C3621A" w:rsidRPr="00A33B9F">
        <w:rPr>
          <w:rStyle w:val="normaltextrun"/>
          <w:noProof/>
        </w:rPr>
        <w:t xml:space="preserve"> </w:t>
      </w:r>
    </w:p>
    <w:p w14:paraId="22D0FC10" w14:textId="77777777" w:rsidR="00E06C79" w:rsidRPr="00A33B9F" w:rsidRDefault="00E06C79" w:rsidP="00E06C79">
      <w:pPr>
        <w:pStyle w:val="paragraph"/>
        <w:spacing w:before="0" w:beforeAutospacing="0" w:after="0" w:afterAutospacing="0"/>
        <w:ind w:left="1080"/>
        <w:jc w:val="both"/>
        <w:textAlignment w:val="baseline"/>
        <w:rPr>
          <w:noProof/>
        </w:rPr>
      </w:pPr>
    </w:p>
    <w:p w14:paraId="4662A54A" w14:textId="3F8F843E" w:rsidR="00E06C79" w:rsidRPr="00A33B9F" w:rsidRDefault="00E06C79" w:rsidP="00AD2493">
      <w:pPr>
        <w:pStyle w:val="paragraph"/>
        <w:numPr>
          <w:ilvl w:val="0"/>
          <w:numId w:val="100"/>
        </w:numPr>
        <w:spacing w:before="0" w:beforeAutospacing="0" w:after="0" w:afterAutospacing="0"/>
        <w:jc w:val="both"/>
        <w:rPr>
          <w:rStyle w:val="eop"/>
          <w:noProof/>
        </w:rPr>
      </w:pPr>
      <w:r w:rsidRPr="00A33B9F">
        <w:rPr>
          <w:rStyle w:val="normaltextrun"/>
          <w:noProof/>
        </w:rPr>
        <w:t>Wymogi dotyczące inwestycji</w:t>
      </w:r>
      <w:r w:rsidR="00A33B9F" w:rsidRPr="00A33B9F">
        <w:rPr>
          <w:rStyle w:val="normaltextrun"/>
          <w:noProof/>
        </w:rPr>
        <w:t xml:space="preserve"> w dzi</w:t>
      </w:r>
      <w:r w:rsidRPr="00A33B9F">
        <w:rPr>
          <w:rStyle w:val="normaltextrun"/>
          <w:noProof/>
        </w:rPr>
        <w:t>edzinie klimatu realizowanych przez partnera wykonawczego: co najmniej 9 087 361 627 EUR</w:t>
      </w:r>
      <w:r w:rsidR="00A33B9F" w:rsidRPr="00A33B9F">
        <w:rPr>
          <w:rStyle w:val="normaltextrun"/>
          <w:noProof/>
        </w:rPr>
        <w:t xml:space="preserve"> z inw</w:t>
      </w:r>
      <w:r w:rsidRPr="00A33B9F">
        <w:rPr>
          <w:rStyle w:val="normaltextrun"/>
          <w:noProof/>
        </w:rPr>
        <w:t>estycji RRF</w:t>
      </w:r>
      <w:r w:rsidR="00A33B9F" w:rsidRPr="00A33B9F">
        <w:rPr>
          <w:rStyle w:val="normaltextrun"/>
          <w:noProof/>
        </w:rPr>
        <w:t xml:space="preserve"> w Ins</w:t>
      </w:r>
      <w:r w:rsidRPr="00A33B9F">
        <w:rPr>
          <w:rStyle w:val="normaltextrun"/>
          <w:noProof/>
        </w:rPr>
        <w:t>trument przyczyni się do realizacji celów związanych ze zmianą klimatu zgodnie</w:t>
      </w:r>
      <w:r w:rsidR="00A33B9F" w:rsidRPr="00A33B9F">
        <w:rPr>
          <w:rStyle w:val="normaltextrun"/>
          <w:noProof/>
        </w:rPr>
        <w:t xml:space="preserve"> z zał</w:t>
      </w:r>
      <w:r w:rsidRPr="00A33B9F">
        <w:rPr>
          <w:rStyle w:val="normaltextrun"/>
          <w:noProof/>
        </w:rPr>
        <w:t>ącznikiem VI do rozporządzenia</w:t>
      </w:r>
      <w:r w:rsidR="00A33B9F" w:rsidRPr="00A33B9F">
        <w:rPr>
          <w:rStyle w:val="normaltextrun"/>
          <w:noProof/>
        </w:rPr>
        <w:t xml:space="preserve"> w spr</w:t>
      </w:r>
      <w:r w:rsidRPr="00A33B9F">
        <w:rPr>
          <w:rStyle w:val="normaltextrun"/>
          <w:noProof/>
        </w:rPr>
        <w:t>awie RRF</w:t>
      </w:r>
      <w:r w:rsidRPr="00A33B9F">
        <w:rPr>
          <w:rStyle w:val="FootnoteReference"/>
          <w:rFonts w:eastAsiaTheme="majorEastAsia"/>
          <w:noProof/>
        </w:rPr>
        <w:footnoteReference w:id="39"/>
      </w:r>
      <w:r w:rsidRPr="00A33B9F">
        <w:rPr>
          <w:rStyle w:val="normaltextrun"/>
          <w:noProof/>
        </w:rPr>
        <w:t>.</w:t>
      </w:r>
      <w:r w:rsidR="00C3621A" w:rsidRPr="00A33B9F">
        <w:rPr>
          <w:rStyle w:val="normaltextrun"/>
          <w:noProof/>
        </w:rPr>
        <w:t xml:space="preserve"> </w:t>
      </w:r>
    </w:p>
    <w:p w14:paraId="516BD98E" w14:textId="77777777" w:rsidR="00E06C79" w:rsidRPr="00A33B9F" w:rsidRDefault="00E06C79" w:rsidP="00E06C79">
      <w:pPr>
        <w:pStyle w:val="paragraph"/>
        <w:spacing w:before="0" w:beforeAutospacing="0" w:after="0" w:afterAutospacing="0"/>
        <w:jc w:val="both"/>
        <w:textAlignment w:val="baseline"/>
        <w:rPr>
          <w:rStyle w:val="normaltextrun"/>
          <w:rFonts w:eastAsiaTheme="majorEastAsia"/>
          <w:noProof/>
        </w:rPr>
      </w:pPr>
    </w:p>
    <w:p w14:paraId="3185F5FA" w14:textId="6B2E338F" w:rsidR="00E06C79" w:rsidRPr="00A33B9F" w:rsidRDefault="00E06C79" w:rsidP="00E06C79">
      <w:pPr>
        <w:pStyle w:val="paragraph"/>
        <w:spacing w:before="0" w:beforeAutospacing="0" w:after="0" w:afterAutospacing="0"/>
        <w:jc w:val="both"/>
        <w:textAlignment w:val="baseline"/>
        <w:rPr>
          <w:rFonts w:ascii="Segoe UI" w:hAnsi="Segoe UI" w:cs="Segoe UI"/>
          <w:noProof/>
          <w:sz w:val="18"/>
          <w:szCs w:val="18"/>
        </w:rPr>
      </w:pPr>
      <w:r w:rsidRPr="00A33B9F">
        <w:rPr>
          <w:rStyle w:val="normaltextrun"/>
          <w:noProof/>
        </w:rPr>
        <w:t>Wdrażanie tego działania zostanie zakończone do dnia 31 sierpnia 2026</w:t>
      </w:r>
      <w:r w:rsidR="00A33B9F" w:rsidRPr="00A33B9F">
        <w:rPr>
          <w:rStyle w:val="normaltextrun"/>
          <w:noProof/>
        </w:rPr>
        <w:t> </w:t>
      </w:r>
      <w:r w:rsidRPr="00A33B9F">
        <w:rPr>
          <w:rStyle w:val="normaltextrun"/>
          <w:noProof/>
        </w:rPr>
        <w:t>r.</w:t>
      </w:r>
      <w:r w:rsidRPr="00A33B9F">
        <w:rPr>
          <w:rStyle w:val="eop"/>
          <w:noProof/>
        </w:rPr>
        <w:t xml:space="preserve"> </w:t>
      </w:r>
    </w:p>
    <w:p w14:paraId="7B3A460B" w14:textId="77777777" w:rsidR="00E06C79" w:rsidRPr="00A33B9F" w:rsidRDefault="00E06C79" w:rsidP="00E06C79">
      <w:pPr>
        <w:spacing w:before="120" w:after="120" w:line="240" w:lineRule="auto"/>
        <w:jc w:val="both"/>
        <w:rPr>
          <w:rFonts w:ascii="Times New Roman" w:hAnsi="Times New Roman" w:cs="Times New Roman"/>
          <w:noProof/>
          <w:sz w:val="24"/>
        </w:rPr>
      </w:pPr>
    </w:p>
    <w:p w14:paraId="059E061E" w14:textId="48775482" w:rsidR="00E06C79" w:rsidRPr="00A33B9F" w:rsidRDefault="00E06C79" w:rsidP="00E06C79">
      <w:pPr>
        <w:spacing w:before="120" w:after="120" w:line="240" w:lineRule="auto"/>
        <w:jc w:val="both"/>
        <w:rPr>
          <w:rFonts w:ascii="Times New Roman" w:hAnsi="Times New Roman" w:cs="Times New Roman"/>
          <w:b/>
          <w:bCs/>
          <w:noProof/>
          <w:sz w:val="24"/>
          <w:u w:val="single"/>
        </w:rPr>
      </w:pPr>
      <w:r w:rsidRPr="00A33B9F">
        <w:rPr>
          <w:rFonts w:ascii="Times New Roman" w:hAnsi="Times New Roman"/>
          <w:b/>
          <w:noProof/>
          <w:sz w:val="24"/>
          <w:u w:val="single"/>
        </w:rPr>
        <w:t>G3.1.5. Budowa morskich farm wiatrowych (Fundusz na rzecz morskiej energetyki wiatrowej)</w:t>
      </w:r>
    </w:p>
    <w:p w14:paraId="1A5D5297" w14:textId="195E9CEC" w:rsidR="00E06C79" w:rsidRPr="00A33B9F" w:rsidRDefault="00E06C79" w:rsidP="00E06C79">
      <w:pPr>
        <w:pStyle w:val="paragraph"/>
        <w:spacing w:before="0" w:beforeAutospacing="0" w:after="0" w:afterAutospacing="0"/>
        <w:jc w:val="both"/>
        <w:textAlignment w:val="baseline"/>
        <w:rPr>
          <w:rFonts w:ascii="Segoe UI" w:hAnsi="Segoe UI" w:cs="Segoe UI"/>
          <w:noProof/>
          <w:sz w:val="18"/>
          <w:szCs w:val="18"/>
        </w:rPr>
      </w:pPr>
      <w:r w:rsidRPr="00A33B9F">
        <w:rPr>
          <w:rStyle w:val="normaltextrun"/>
          <w:noProof/>
        </w:rPr>
        <w:t>Działanie to obejmuje inwestycje publiczne</w:t>
      </w:r>
      <w:r w:rsidR="00A33B9F" w:rsidRPr="00A33B9F">
        <w:rPr>
          <w:rStyle w:val="normaltextrun"/>
          <w:noProof/>
        </w:rPr>
        <w:t xml:space="preserve"> w okr</w:t>
      </w:r>
      <w:r w:rsidRPr="00A33B9F">
        <w:rPr>
          <w:rStyle w:val="normaltextrun"/>
          <w:noProof/>
        </w:rPr>
        <w:t>eślony instrument – Fundusz na rzecz morskiej energetyki wiatrowej –</w:t>
      </w:r>
      <w:r w:rsidR="00A33B9F" w:rsidRPr="00A33B9F">
        <w:rPr>
          <w:rStyle w:val="normaltextrun"/>
          <w:noProof/>
        </w:rPr>
        <w:t xml:space="preserve"> w cel</w:t>
      </w:r>
      <w:r w:rsidRPr="00A33B9F">
        <w:rPr>
          <w:rStyle w:val="normaltextrun"/>
          <w:noProof/>
        </w:rPr>
        <w:t>u zachęcenia do realizacji inwestycji prywatnych oraz poprawy dostępu do finansowania</w:t>
      </w:r>
      <w:r w:rsidR="00A33B9F" w:rsidRPr="00A33B9F">
        <w:rPr>
          <w:rStyle w:val="normaltextrun"/>
          <w:noProof/>
        </w:rPr>
        <w:t xml:space="preserve"> w pol</w:t>
      </w:r>
      <w:r w:rsidRPr="00A33B9F">
        <w:rPr>
          <w:rStyle w:val="normaltextrun"/>
          <w:noProof/>
        </w:rPr>
        <w:t>skim sektorze morskiej energetyki wiatrowej, przy czym umowy</w:t>
      </w:r>
      <w:r w:rsidR="00A33B9F" w:rsidRPr="00A33B9F">
        <w:rPr>
          <w:rStyle w:val="normaltextrun"/>
          <w:noProof/>
        </w:rPr>
        <w:t xml:space="preserve"> w spr</w:t>
      </w:r>
      <w:r w:rsidRPr="00A33B9F">
        <w:rPr>
          <w:rStyle w:val="normaltextrun"/>
          <w:noProof/>
        </w:rPr>
        <w:t>awie finansowania zawarte między Instrumentem</w:t>
      </w:r>
      <w:r w:rsidR="00A33B9F" w:rsidRPr="00A33B9F">
        <w:rPr>
          <w:rStyle w:val="normaltextrun"/>
          <w:noProof/>
        </w:rPr>
        <w:t xml:space="preserve"> a ben</w:t>
      </w:r>
      <w:r w:rsidRPr="00A33B9F">
        <w:rPr>
          <w:rStyle w:val="normaltextrun"/>
          <w:noProof/>
        </w:rPr>
        <w:t>eficjentami końcowymi mają na celu osiągnięcie zainstalowanej morskiej energii wiatrowej</w:t>
      </w:r>
      <w:r w:rsidR="00A33B9F" w:rsidRPr="00A33B9F">
        <w:rPr>
          <w:rStyle w:val="normaltextrun"/>
          <w:noProof/>
        </w:rPr>
        <w:t xml:space="preserve"> o moc</w:t>
      </w:r>
      <w:r w:rsidRPr="00A33B9F">
        <w:rPr>
          <w:rStyle w:val="normaltextrun"/>
          <w:noProof/>
        </w:rPr>
        <w:t>y co najmniej 3 GW, wytwarzanej</w:t>
      </w:r>
      <w:r w:rsidR="00A33B9F" w:rsidRPr="00A33B9F">
        <w:rPr>
          <w:rStyle w:val="normaltextrun"/>
          <w:noProof/>
        </w:rPr>
        <w:t xml:space="preserve"> w ram</w:t>
      </w:r>
      <w:r w:rsidRPr="00A33B9F">
        <w:rPr>
          <w:rStyle w:val="normaltextrun"/>
          <w:noProof/>
        </w:rPr>
        <w:t>ach co najmniej dwóch projektów</w:t>
      </w:r>
      <w:r w:rsidR="00A33B9F" w:rsidRPr="00A33B9F">
        <w:rPr>
          <w:rStyle w:val="normaltextrun"/>
          <w:noProof/>
        </w:rPr>
        <w:t>. W ram</w:t>
      </w:r>
      <w:r w:rsidRPr="00A33B9F">
        <w:rPr>
          <w:rStyle w:val="normaltextrun"/>
          <w:noProof/>
        </w:rPr>
        <w:t>ach Instrumentu udzielane będą pożyczki bezpośrednio podmiotom sektora prywatnego,</w:t>
      </w:r>
      <w:r w:rsidR="00A33B9F" w:rsidRPr="00A33B9F">
        <w:rPr>
          <w:rStyle w:val="normaltextrun"/>
          <w:noProof/>
        </w:rPr>
        <w:t xml:space="preserve"> a tak</w:t>
      </w:r>
      <w:r w:rsidRPr="00A33B9F">
        <w:rPr>
          <w:rStyle w:val="normaltextrun"/>
          <w:noProof/>
        </w:rPr>
        <w:t>że podmiotom sektora publicznego prowadzącym podobną działalność. Na podstawie inwestycji</w:t>
      </w:r>
      <w:r w:rsidR="00A33B9F" w:rsidRPr="00A33B9F">
        <w:rPr>
          <w:rStyle w:val="normaltextrun"/>
          <w:noProof/>
        </w:rPr>
        <w:t xml:space="preserve"> w ram</w:t>
      </w:r>
      <w:r w:rsidRPr="00A33B9F">
        <w:rPr>
          <w:rStyle w:val="normaltextrun"/>
          <w:noProof/>
        </w:rPr>
        <w:t>ach RRF celem Instrumentu na początkowym etapie jest wypłacenie finansowania</w:t>
      </w:r>
      <w:r w:rsidR="00A33B9F" w:rsidRPr="00A33B9F">
        <w:rPr>
          <w:rStyle w:val="normaltextrun"/>
          <w:noProof/>
        </w:rPr>
        <w:t xml:space="preserve"> w wys</w:t>
      </w:r>
      <w:r w:rsidRPr="00A33B9F">
        <w:rPr>
          <w:rStyle w:val="normaltextrun"/>
          <w:noProof/>
        </w:rPr>
        <w:t>okości co najmniej 4 785 000 000 EUR.</w:t>
      </w:r>
      <w:r w:rsidRPr="00A33B9F">
        <w:rPr>
          <w:rStyle w:val="eop"/>
          <w:noProof/>
        </w:rPr>
        <w:t xml:space="preserve"> </w:t>
      </w:r>
    </w:p>
    <w:p w14:paraId="09362C59" w14:textId="77777777" w:rsidR="00E06C79" w:rsidRPr="00A33B9F" w:rsidRDefault="00E06C79" w:rsidP="00E06C79">
      <w:pPr>
        <w:pStyle w:val="paragraph"/>
        <w:spacing w:before="0" w:beforeAutospacing="0" w:after="0" w:afterAutospacing="0"/>
        <w:jc w:val="both"/>
        <w:rPr>
          <w:rStyle w:val="eop"/>
          <w:noProof/>
        </w:rPr>
      </w:pPr>
    </w:p>
    <w:p w14:paraId="7E4FFC5D" w14:textId="77777777" w:rsidR="00E06C79" w:rsidRPr="00A33B9F" w:rsidRDefault="00E06C79" w:rsidP="00E06C79">
      <w:pPr>
        <w:pStyle w:val="paragraph"/>
        <w:spacing w:before="0" w:beforeAutospacing="0" w:after="0" w:afterAutospacing="0"/>
        <w:jc w:val="both"/>
        <w:textAlignment w:val="baseline"/>
        <w:rPr>
          <w:rStyle w:val="normaltextrun"/>
          <w:rFonts w:eastAsiaTheme="majorEastAsia"/>
          <w:noProof/>
        </w:rPr>
      </w:pPr>
      <w:r w:rsidRPr="00A33B9F">
        <w:rPr>
          <w:rStyle w:val="normaltextrun"/>
          <w:noProof/>
        </w:rPr>
        <w:t xml:space="preserve">Instrumentem zarządza Bank Gospodarstwa Krajowego (BGK) pełniący funkcję partnera wykonawczego. </w:t>
      </w:r>
    </w:p>
    <w:p w14:paraId="5D91782A" w14:textId="77777777" w:rsidR="00E06C79" w:rsidRPr="00A33B9F" w:rsidRDefault="00E06C79" w:rsidP="00E06C79">
      <w:pPr>
        <w:pStyle w:val="paragraph"/>
        <w:spacing w:before="0" w:beforeAutospacing="0" w:after="0" w:afterAutospacing="0"/>
        <w:jc w:val="both"/>
        <w:textAlignment w:val="baseline"/>
        <w:rPr>
          <w:rStyle w:val="normaltextrun"/>
          <w:rFonts w:eastAsiaTheme="majorEastAsia"/>
          <w:noProof/>
        </w:rPr>
      </w:pPr>
    </w:p>
    <w:p w14:paraId="30BBD12E" w14:textId="77777777" w:rsidR="00E06C79" w:rsidRPr="00A33B9F" w:rsidRDefault="00E06C79" w:rsidP="00E06C79">
      <w:pPr>
        <w:pStyle w:val="paragraph"/>
        <w:spacing w:before="0" w:beforeAutospacing="0" w:after="0" w:afterAutospacing="0"/>
        <w:jc w:val="both"/>
        <w:textAlignment w:val="baseline"/>
        <w:rPr>
          <w:rFonts w:ascii="Segoe UI" w:hAnsi="Segoe UI" w:cs="Segoe UI"/>
          <w:noProof/>
          <w:sz w:val="18"/>
          <w:szCs w:val="18"/>
        </w:rPr>
      </w:pPr>
      <w:r w:rsidRPr="00A33B9F">
        <w:rPr>
          <w:rStyle w:val="normaltextrun"/>
          <w:noProof/>
        </w:rPr>
        <w:t>Instrument obejmuje następującą linię produktową:</w:t>
      </w:r>
      <w:r w:rsidRPr="00A33B9F">
        <w:rPr>
          <w:rStyle w:val="eop"/>
          <w:noProof/>
        </w:rPr>
        <w:t xml:space="preserve"> </w:t>
      </w:r>
    </w:p>
    <w:p w14:paraId="30549719" w14:textId="77777777" w:rsidR="00E06C79" w:rsidRPr="00A33B9F" w:rsidRDefault="00E06C79" w:rsidP="00E06C79">
      <w:pPr>
        <w:pStyle w:val="paragraph"/>
        <w:spacing w:before="0" w:beforeAutospacing="0" w:after="0" w:afterAutospacing="0"/>
        <w:textAlignment w:val="baseline"/>
        <w:rPr>
          <w:rStyle w:val="normaltextrun"/>
          <w:rFonts w:eastAsiaTheme="majorEastAsia"/>
          <w:noProof/>
        </w:rPr>
      </w:pPr>
    </w:p>
    <w:p w14:paraId="38355534" w14:textId="2B2F0EE1" w:rsidR="00E06C79" w:rsidRPr="00A33B9F" w:rsidRDefault="00E06C79" w:rsidP="0059052E">
      <w:pPr>
        <w:pStyle w:val="paragraph"/>
        <w:numPr>
          <w:ilvl w:val="0"/>
          <w:numId w:val="49"/>
        </w:numPr>
        <w:spacing w:before="0" w:beforeAutospacing="0" w:after="0" w:afterAutospacing="0"/>
        <w:textAlignment w:val="baseline"/>
        <w:rPr>
          <w:rStyle w:val="eop"/>
          <w:noProof/>
        </w:rPr>
      </w:pPr>
      <w:r w:rsidRPr="00A33B9F">
        <w:rPr>
          <w:rStyle w:val="normaltextrun"/>
          <w:noProof/>
        </w:rPr>
        <w:t>bezpośrednie finansowanie BGK: linia ta zapewnia bezpośrednie pożyczki prywatnym przedsiębiorstwom produkującym lub zamierzającym produkować energię elektryczną</w:t>
      </w:r>
      <w:r w:rsidR="00A33B9F" w:rsidRPr="00A33B9F">
        <w:rPr>
          <w:rStyle w:val="normaltextrun"/>
          <w:noProof/>
        </w:rPr>
        <w:t xml:space="preserve"> z mor</w:t>
      </w:r>
      <w:r w:rsidRPr="00A33B9F">
        <w:rPr>
          <w:rStyle w:val="normaltextrun"/>
          <w:noProof/>
        </w:rPr>
        <w:t>skiej energii wiatrowej</w:t>
      </w:r>
      <w:r w:rsidR="00A33B9F" w:rsidRPr="00A33B9F">
        <w:rPr>
          <w:rStyle w:val="normaltextrun"/>
          <w:noProof/>
        </w:rPr>
        <w:t xml:space="preserve"> w mor</w:t>
      </w:r>
      <w:r w:rsidRPr="00A33B9F">
        <w:rPr>
          <w:rStyle w:val="normaltextrun"/>
          <w:noProof/>
        </w:rPr>
        <w:t>skich farmach wiatrowych,</w:t>
      </w:r>
      <w:r w:rsidR="00A33B9F" w:rsidRPr="00A33B9F">
        <w:rPr>
          <w:rStyle w:val="normaltextrun"/>
          <w:noProof/>
        </w:rPr>
        <w:t xml:space="preserve"> a tak</w:t>
      </w:r>
      <w:r w:rsidRPr="00A33B9F">
        <w:rPr>
          <w:rStyle w:val="normaltextrun"/>
          <w:noProof/>
        </w:rPr>
        <w:t>że podmiotom sektora publicznego prowadzącym podobną działalność. Pożyczek udziela bezpośrednio BGK,</w:t>
      </w:r>
      <w:r w:rsidR="00A33B9F" w:rsidRPr="00A33B9F">
        <w:rPr>
          <w:rStyle w:val="normaltextrun"/>
          <w:noProof/>
        </w:rPr>
        <w:t xml:space="preserve"> a każ</w:t>
      </w:r>
      <w:r w:rsidRPr="00A33B9F">
        <w:rPr>
          <w:rStyle w:val="normaltextrun"/>
          <w:noProof/>
        </w:rPr>
        <w:t>dy projekt jest współfinansowany przez prywatnego inwestora będącego osobą trzecią lub inwestora lub inwestorów publicznych.</w:t>
      </w:r>
      <w:r w:rsidR="00C3621A" w:rsidRPr="00A33B9F">
        <w:rPr>
          <w:rStyle w:val="normaltextrun"/>
          <w:noProof/>
        </w:rPr>
        <w:t xml:space="preserve"> </w:t>
      </w:r>
    </w:p>
    <w:p w14:paraId="71126B6D" w14:textId="77777777" w:rsidR="00E06C79" w:rsidRPr="00A33B9F" w:rsidRDefault="00E06C79" w:rsidP="00E06C79">
      <w:pPr>
        <w:pStyle w:val="paragraph"/>
        <w:spacing w:before="0" w:beforeAutospacing="0" w:after="0" w:afterAutospacing="0"/>
        <w:jc w:val="both"/>
        <w:textAlignment w:val="baseline"/>
        <w:rPr>
          <w:rStyle w:val="normaltextrun"/>
          <w:rFonts w:eastAsiaTheme="majorEastAsia"/>
          <w:noProof/>
        </w:rPr>
      </w:pPr>
    </w:p>
    <w:p w14:paraId="6AB035FF" w14:textId="77777777" w:rsidR="00E06C79" w:rsidRPr="00A33B9F" w:rsidRDefault="00E06C79" w:rsidP="00E06C79">
      <w:pPr>
        <w:pStyle w:val="paragraph"/>
        <w:spacing w:before="0" w:beforeAutospacing="0" w:after="0" w:afterAutospacing="0"/>
        <w:jc w:val="both"/>
        <w:textAlignment w:val="baseline"/>
        <w:rPr>
          <w:rStyle w:val="eop"/>
          <w:noProof/>
        </w:rPr>
      </w:pPr>
      <w:r w:rsidRPr="00A33B9F">
        <w:rPr>
          <w:rStyle w:val="normaltextrun"/>
          <w:noProof/>
        </w:rPr>
        <w:t>Aby objąć inwestycję Instrumentem, Polska i BGK podpisują umowę wykonawczą zawierającą:</w:t>
      </w:r>
      <w:r w:rsidRPr="00A33B9F">
        <w:rPr>
          <w:rStyle w:val="eop"/>
          <w:noProof/>
        </w:rPr>
        <w:t xml:space="preserve"> </w:t>
      </w:r>
    </w:p>
    <w:p w14:paraId="05146C27" w14:textId="77777777" w:rsidR="00E06C79" w:rsidRPr="00A33B9F" w:rsidRDefault="00E06C79" w:rsidP="00E06C79">
      <w:pPr>
        <w:pStyle w:val="paragraph"/>
        <w:spacing w:before="0" w:beforeAutospacing="0" w:after="0" w:afterAutospacing="0"/>
        <w:jc w:val="both"/>
        <w:textAlignment w:val="baseline"/>
        <w:rPr>
          <w:rFonts w:ascii="Segoe UI" w:hAnsi="Segoe UI" w:cs="Segoe UI"/>
          <w:noProof/>
          <w:sz w:val="18"/>
          <w:szCs w:val="18"/>
        </w:rPr>
      </w:pPr>
    </w:p>
    <w:p w14:paraId="7B85D8F3" w14:textId="1C9890D7" w:rsidR="00E06C79" w:rsidRPr="00A33B9F" w:rsidRDefault="00E06C79" w:rsidP="0059052E">
      <w:pPr>
        <w:pStyle w:val="paragraph"/>
        <w:numPr>
          <w:ilvl w:val="0"/>
          <w:numId w:val="50"/>
        </w:numPr>
        <w:spacing w:before="0" w:beforeAutospacing="0" w:after="0" w:afterAutospacing="0"/>
        <w:jc w:val="both"/>
        <w:textAlignment w:val="baseline"/>
        <w:rPr>
          <w:rStyle w:val="eop"/>
          <w:noProof/>
        </w:rPr>
      </w:pPr>
      <w:r w:rsidRPr="00A33B9F">
        <w:rPr>
          <w:rStyle w:val="normaltextrun"/>
          <w:noProof/>
        </w:rPr>
        <w:t>Opis procesu decyzyjnego</w:t>
      </w:r>
      <w:r w:rsidR="00A33B9F" w:rsidRPr="00A33B9F">
        <w:rPr>
          <w:rStyle w:val="normaltextrun"/>
          <w:noProof/>
        </w:rPr>
        <w:t xml:space="preserve"> w ram</w:t>
      </w:r>
      <w:r w:rsidRPr="00A33B9F">
        <w:rPr>
          <w:rStyle w:val="normaltextrun"/>
          <w:noProof/>
        </w:rPr>
        <w:t>ach Instrumentu: ostateczną decyzję inwestycyjną</w:t>
      </w:r>
      <w:r w:rsidR="00A33B9F" w:rsidRPr="00A33B9F">
        <w:rPr>
          <w:rStyle w:val="normaltextrun"/>
          <w:noProof/>
        </w:rPr>
        <w:t xml:space="preserve"> w ram</w:t>
      </w:r>
      <w:r w:rsidRPr="00A33B9F">
        <w:rPr>
          <w:rStyle w:val="normaltextrun"/>
          <w:noProof/>
        </w:rPr>
        <w:t>ach Instrumentu podejmuje komitet inwestycyjny lub inny odpowiedni równoważny organ zarządzający – musi ona zostać następnie zatwierdzona większością głosów członków niezależnych od rządu.</w:t>
      </w:r>
      <w:r w:rsidRPr="00A33B9F">
        <w:rPr>
          <w:rStyle w:val="eop"/>
          <w:noProof/>
        </w:rPr>
        <w:t xml:space="preserve"> </w:t>
      </w:r>
    </w:p>
    <w:p w14:paraId="44E7AB3E" w14:textId="071F89F3" w:rsidR="00E06C79" w:rsidRPr="00A33B9F" w:rsidRDefault="00E06C79" w:rsidP="0059052E">
      <w:pPr>
        <w:pStyle w:val="paragraph"/>
        <w:numPr>
          <w:ilvl w:val="0"/>
          <w:numId w:val="50"/>
        </w:numPr>
        <w:spacing w:before="0" w:beforeAutospacing="0" w:after="0" w:afterAutospacing="0"/>
        <w:jc w:val="both"/>
        <w:rPr>
          <w:rStyle w:val="normaltextrun"/>
          <w:rFonts w:eastAsiaTheme="majorEastAsia"/>
          <w:noProof/>
        </w:rPr>
      </w:pPr>
      <w:r w:rsidRPr="00A33B9F">
        <w:rPr>
          <w:rStyle w:val="normaltextrun"/>
          <w:noProof/>
        </w:rPr>
        <w:t>Najważniejsze wymogi ustanowione</w:t>
      </w:r>
      <w:r w:rsidR="00A33B9F" w:rsidRPr="00A33B9F">
        <w:rPr>
          <w:rStyle w:val="normaltextrun"/>
          <w:noProof/>
        </w:rPr>
        <w:t xml:space="preserve"> w pow</w:t>
      </w:r>
      <w:r w:rsidRPr="00A33B9F">
        <w:rPr>
          <w:rStyle w:val="normaltextrun"/>
          <w:noProof/>
        </w:rPr>
        <w:t>iązanej polityce inwestycyjnej, które obejmują: </w:t>
      </w:r>
    </w:p>
    <w:p w14:paraId="06A14889" w14:textId="7A99B4B2" w:rsidR="00E06C79" w:rsidRPr="00A33B9F" w:rsidRDefault="00E06C79" w:rsidP="00744D3A">
      <w:pPr>
        <w:pStyle w:val="paragraph"/>
        <w:numPr>
          <w:ilvl w:val="0"/>
          <w:numId w:val="97"/>
        </w:numPr>
        <w:spacing w:before="0" w:beforeAutospacing="0" w:after="0" w:afterAutospacing="0"/>
        <w:jc w:val="both"/>
        <w:textAlignment w:val="baseline"/>
        <w:rPr>
          <w:rStyle w:val="eop"/>
          <w:noProof/>
        </w:rPr>
      </w:pPr>
      <w:r w:rsidRPr="00A33B9F">
        <w:rPr>
          <w:rStyle w:val="normaltextrun"/>
          <w:noProof/>
        </w:rPr>
        <w:t>Opis produktu finansowego</w:t>
      </w:r>
      <w:r w:rsidR="00A33B9F" w:rsidRPr="00A33B9F">
        <w:rPr>
          <w:rStyle w:val="normaltextrun"/>
          <w:noProof/>
        </w:rPr>
        <w:t xml:space="preserve"> i kwa</w:t>
      </w:r>
      <w:r w:rsidRPr="00A33B9F">
        <w:rPr>
          <w:rStyle w:val="normaltextrun"/>
          <w:noProof/>
        </w:rPr>
        <w:t>lifikujących się beneficjentów końcowych.</w:t>
      </w:r>
      <w:r w:rsidR="00C3621A" w:rsidRPr="00A33B9F">
        <w:rPr>
          <w:rStyle w:val="normaltextrun"/>
          <w:noProof/>
        </w:rPr>
        <w:t xml:space="preserve"> </w:t>
      </w:r>
    </w:p>
    <w:p w14:paraId="6B0B2C1B" w14:textId="2D498BFB" w:rsidR="00E06C79" w:rsidRPr="00A33B9F" w:rsidRDefault="00E06C79" w:rsidP="00744D3A">
      <w:pPr>
        <w:pStyle w:val="paragraph"/>
        <w:numPr>
          <w:ilvl w:val="0"/>
          <w:numId w:val="97"/>
        </w:numPr>
        <w:spacing w:before="0" w:beforeAutospacing="0" w:after="0" w:afterAutospacing="0"/>
        <w:jc w:val="both"/>
        <w:textAlignment w:val="baseline"/>
        <w:rPr>
          <w:rStyle w:val="eop"/>
          <w:noProof/>
        </w:rPr>
      </w:pPr>
      <w:r w:rsidRPr="00A33B9F">
        <w:rPr>
          <w:rStyle w:val="normaltextrun"/>
          <w:noProof/>
        </w:rPr>
        <w:t>Wymóg, zgodnie</w:t>
      </w:r>
      <w:r w:rsidR="00A33B9F" w:rsidRPr="00A33B9F">
        <w:rPr>
          <w:rStyle w:val="normaltextrun"/>
          <w:noProof/>
        </w:rPr>
        <w:t xml:space="preserve"> z któ</w:t>
      </w:r>
      <w:r w:rsidRPr="00A33B9F">
        <w:rPr>
          <w:rStyle w:val="normaltextrun"/>
          <w:noProof/>
        </w:rPr>
        <w:t>rym wszystkie inwestycje objęte wsparciem muszą być opłacalne</w:t>
      </w:r>
      <w:r w:rsidR="00A33B9F" w:rsidRPr="00A33B9F">
        <w:rPr>
          <w:rStyle w:val="normaltextrun"/>
          <w:noProof/>
        </w:rPr>
        <w:t xml:space="preserve"> z eko</w:t>
      </w:r>
      <w:r w:rsidRPr="00A33B9F">
        <w:rPr>
          <w:rStyle w:val="normaltextrun"/>
          <w:noProof/>
        </w:rPr>
        <w:t>nomicznego punktu widzenia</w:t>
      </w:r>
      <w:r w:rsidRPr="00A33B9F">
        <w:rPr>
          <w:rStyle w:val="normaltextrun"/>
          <w:b/>
          <w:noProof/>
        </w:rPr>
        <w:t>.</w:t>
      </w:r>
      <w:r w:rsidRPr="00A33B9F">
        <w:rPr>
          <w:rStyle w:val="eop"/>
          <w:noProof/>
        </w:rPr>
        <w:t xml:space="preserve"> </w:t>
      </w:r>
    </w:p>
    <w:p w14:paraId="0E7F8DD3" w14:textId="0FD7DEA0" w:rsidR="00E06C79" w:rsidRPr="00A33B9F" w:rsidRDefault="00E06C79" w:rsidP="00744D3A">
      <w:pPr>
        <w:pStyle w:val="paragraph"/>
        <w:numPr>
          <w:ilvl w:val="0"/>
          <w:numId w:val="97"/>
        </w:numPr>
        <w:spacing w:before="0" w:beforeAutospacing="0" w:after="0" w:afterAutospacing="0"/>
        <w:jc w:val="both"/>
        <w:textAlignment w:val="baseline"/>
        <w:rPr>
          <w:rStyle w:val="eop"/>
          <w:noProof/>
        </w:rPr>
      </w:pPr>
      <w:r w:rsidRPr="00A33B9F">
        <w:rPr>
          <w:rStyle w:val="normaltextrun"/>
          <w:noProof/>
        </w:rPr>
        <w:t>Wymóg poszanowania zasady „nie czyń poważnych szkód” ustanowionej</w:t>
      </w:r>
      <w:r w:rsidR="00A33B9F" w:rsidRPr="00A33B9F">
        <w:rPr>
          <w:rStyle w:val="normaltextrun"/>
          <w:noProof/>
        </w:rPr>
        <w:t xml:space="preserve"> w wyt</w:t>
      </w:r>
      <w:r w:rsidRPr="00A33B9F">
        <w:rPr>
          <w:rStyle w:val="normaltextrun"/>
          <w:noProof/>
        </w:rPr>
        <w:t>ycznych technicznych dotyczących stosowania zasady „nie czyń poważnych szkód” (</w:t>
      </w:r>
      <w:bookmarkStart w:id="3" w:name="_Hlk150284959"/>
      <w:r w:rsidRPr="00A33B9F">
        <w:rPr>
          <w:rStyle w:val="normaltextrun"/>
          <w:noProof/>
        </w:rPr>
        <w:t>C(2023) 6454 final</w:t>
      </w:r>
      <w:bookmarkEnd w:id="3"/>
      <w:r w:rsidRPr="00A33B9F">
        <w:rPr>
          <w:rStyle w:val="normaltextrun"/>
          <w:noProof/>
        </w:rPr>
        <w:t>)</w:t>
      </w:r>
      <w:r w:rsidR="00A33B9F" w:rsidRPr="00A33B9F">
        <w:rPr>
          <w:rStyle w:val="normaltextrun"/>
          <w:noProof/>
        </w:rPr>
        <w:t>. W szc</w:t>
      </w:r>
      <w:r w:rsidRPr="00A33B9F">
        <w:rPr>
          <w:rStyle w:val="normaltextrun"/>
          <w:noProof/>
        </w:rPr>
        <w:t>zególności polityka inwestycyjna wyklucza możliwość uznania za kwalifikowalne następujących działań</w:t>
      </w:r>
      <w:r w:rsidR="00A33B9F" w:rsidRPr="00A33B9F">
        <w:rPr>
          <w:rStyle w:val="normaltextrun"/>
          <w:noProof/>
        </w:rPr>
        <w:t xml:space="preserve"> i akt</w:t>
      </w:r>
      <w:r w:rsidRPr="00A33B9F">
        <w:rPr>
          <w:rStyle w:val="normaltextrun"/>
          <w:noProof/>
        </w:rPr>
        <w:t>ywów: (i) działania</w:t>
      </w:r>
      <w:r w:rsidR="00A33B9F" w:rsidRPr="00A33B9F">
        <w:rPr>
          <w:rStyle w:val="normaltextrun"/>
          <w:noProof/>
        </w:rPr>
        <w:t xml:space="preserve"> i akt</w:t>
      </w:r>
      <w:r w:rsidRPr="00A33B9F">
        <w:rPr>
          <w:rStyle w:val="normaltextrun"/>
          <w:noProof/>
        </w:rPr>
        <w:t>ywa związane</w:t>
      </w:r>
      <w:r w:rsidR="00A33B9F" w:rsidRPr="00A33B9F">
        <w:rPr>
          <w:rStyle w:val="normaltextrun"/>
          <w:noProof/>
        </w:rPr>
        <w:t xml:space="preserve"> z pal</w:t>
      </w:r>
      <w:r w:rsidRPr="00A33B9F">
        <w:rPr>
          <w:rStyle w:val="normaltextrun"/>
          <w:noProof/>
        </w:rPr>
        <w:t>iwami kopalnymi,</w:t>
      </w:r>
      <w:r w:rsidR="00A33B9F" w:rsidRPr="00A33B9F">
        <w:rPr>
          <w:rStyle w:val="normaltextrun"/>
          <w:noProof/>
        </w:rPr>
        <w:t xml:space="preserve"> w tym</w:t>
      </w:r>
      <w:r w:rsidRPr="00A33B9F">
        <w:rPr>
          <w:rStyle w:val="normaltextrun"/>
          <w:noProof/>
        </w:rPr>
        <w:t xml:space="preserve"> zastosowania niższego szczebla</w:t>
      </w:r>
      <w:r w:rsidRPr="00A33B9F">
        <w:rPr>
          <w:rStyle w:val="FootnoteReference"/>
          <w:rFonts w:eastAsiaTheme="majorEastAsia"/>
          <w:noProof/>
        </w:rPr>
        <w:footnoteReference w:id="40"/>
      </w:r>
      <w:r w:rsidRPr="00A33B9F">
        <w:rPr>
          <w:rStyle w:val="normaltextrun"/>
          <w:noProof/>
        </w:rPr>
        <w:t>; (ii) działania</w:t>
      </w:r>
      <w:r w:rsidR="00A33B9F" w:rsidRPr="00A33B9F">
        <w:rPr>
          <w:rStyle w:val="normaltextrun"/>
          <w:noProof/>
        </w:rPr>
        <w:t xml:space="preserve"> i akt</w:t>
      </w:r>
      <w:r w:rsidRPr="00A33B9F">
        <w:rPr>
          <w:rStyle w:val="normaltextrun"/>
          <w:noProof/>
        </w:rPr>
        <w:t>ywa</w:t>
      </w:r>
      <w:r w:rsidR="00A33B9F" w:rsidRPr="00A33B9F">
        <w:rPr>
          <w:rStyle w:val="normaltextrun"/>
          <w:noProof/>
        </w:rPr>
        <w:t xml:space="preserve"> w ram</w:t>
      </w:r>
      <w:r w:rsidRPr="00A33B9F">
        <w:rPr>
          <w:rStyle w:val="normaltextrun"/>
          <w:noProof/>
        </w:rPr>
        <w:t>ach unijnego systemu handlu uprawnieniami do emisji (ETS) prowadzące do osiągnięcia prognozowanych emisji gazów cieplarnianych nie niższych niż odpowiednie wskaźniki emisyjności</w:t>
      </w:r>
      <w:r w:rsidRPr="00A33B9F">
        <w:rPr>
          <w:rStyle w:val="FootnoteReference"/>
          <w:rFonts w:eastAsiaTheme="majorEastAsia"/>
          <w:noProof/>
        </w:rPr>
        <w:footnoteReference w:id="41"/>
      </w:r>
      <w:r w:rsidRPr="00A33B9F">
        <w:rPr>
          <w:rStyle w:val="normaltextrun"/>
          <w:noProof/>
        </w:rPr>
        <w:t>; (iii) działania</w:t>
      </w:r>
      <w:r w:rsidR="00A33B9F" w:rsidRPr="00A33B9F">
        <w:rPr>
          <w:rStyle w:val="normaltextrun"/>
          <w:noProof/>
        </w:rPr>
        <w:t xml:space="preserve"> i akt</w:t>
      </w:r>
      <w:r w:rsidRPr="00A33B9F">
        <w:rPr>
          <w:rStyle w:val="normaltextrun"/>
          <w:noProof/>
        </w:rPr>
        <w:t>ywa związane ze składowiskami odpadów, spalarniami</w:t>
      </w:r>
      <w:r w:rsidRPr="00A33B9F">
        <w:rPr>
          <w:rStyle w:val="FootnoteReference"/>
          <w:rFonts w:eastAsiaTheme="majorEastAsia"/>
          <w:noProof/>
        </w:rPr>
        <w:footnoteReference w:id="42"/>
      </w:r>
      <w:r w:rsidR="00A33B9F" w:rsidRPr="00A33B9F">
        <w:rPr>
          <w:rStyle w:val="normaltextrun"/>
          <w:noProof/>
        </w:rPr>
        <w:t xml:space="preserve"> i zak</w:t>
      </w:r>
      <w:r w:rsidRPr="00A33B9F">
        <w:rPr>
          <w:rStyle w:val="normaltextrun"/>
          <w:noProof/>
        </w:rPr>
        <w:t>ładami mechaniczno-biologicznego przetwarzania odpadów</w:t>
      </w:r>
      <w:r w:rsidRPr="00A33B9F">
        <w:rPr>
          <w:rStyle w:val="FootnoteReference"/>
          <w:rFonts w:eastAsiaTheme="majorEastAsia"/>
          <w:noProof/>
        </w:rPr>
        <w:footnoteReference w:id="43"/>
      </w:r>
      <w:r w:rsidRPr="00A33B9F">
        <w:rPr>
          <w:rStyle w:val="normaltextrun"/>
          <w:noProof/>
        </w:rPr>
        <w:t>.</w:t>
      </w:r>
      <w:r w:rsidR="00C3621A" w:rsidRPr="00A33B9F">
        <w:rPr>
          <w:rStyle w:val="normaltextrun"/>
          <w:noProof/>
        </w:rPr>
        <w:t xml:space="preserve"> </w:t>
      </w:r>
    </w:p>
    <w:p w14:paraId="392CD28F" w14:textId="176B7D84" w:rsidR="00E06C79" w:rsidRPr="00A33B9F" w:rsidRDefault="00E06C79" w:rsidP="00744D3A">
      <w:pPr>
        <w:pStyle w:val="paragraph"/>
        <w:numPr>
          <w:ilvl w:val="0"/>
          <w:numId w:val="97"/>
        </w:numPr>
        <w:spacing w:before="0" w:beforeAutospacing="0" w:after="0" w:afterAutospacing="0"/>
        <w:jc w:val="both"/>
        <w:textAlignment w:val="baseline"/>
        <w:rPr>
          <w:rStyle w:val="eop"/>
          <w:noProof/>
        </w:rPr>
      </w:pPr>
      <w:r w:rsidRPr="00A33B9F">
        <w:rPr>
          <w:rStyle w:val="normaltextrun"/>
          <w:noProof/>
        </w:rPr>
        <w:t>Wymóg, zgodnie</w:t>
      </w:r>
      <w:r w:rsidR="00A33B9F" w:rsidRPr="00A33B9F">
        <w:rPr>
          <w:rStyle w:val="normaltextrun"/>
          <w:noProof/>
        </w:rPr>
        <w:t xml:space="preserve"> z któ</w:t>
      </w:r>
      <w:r w:rsidRPr="00A33B9F">
        <w:rPr>
          <w:rStyle w:val="normaltextrun"/>
          <w:noProof/>
        </w:rPr>
        <w:t>rym beneficjenci końcowi Instrumentu nie mogą otrzymywać wsparcia</w:t>
      </w:r>
      <w:r w:rsidR="00A33B9F" w:rsidRPr="00A33B9F">
        <w:rPr>
          <w:rStyle w:val="normaltextrun"/>
          <w:noProof/>
        </w:rPr>
        <w:t xml:space="preserve"> w ram</w:t>
      </w:r>
      <w:r w:rsidRPr="00A33B9F">
        <w:rPr>
          <w:rStyle w:val="normaltextrun"/>
          <w:noProof/>
        </w:rPr>
        <w:t>ach innych instrumentów Unii na pokrycie tych samych kosztów.</w:t>
      </w:r>
      <w:r w:rsidRPr="00A33B9F">
        <w:rPr>
          <w:rStyle w:val="eop"/>
          <w:noProof/>
        </w:rPr>
        <w:t xml:space="preserve"> </w:t>
      </w:r>
    </w:p>
    <w:p w14:paraId="079684D4" w14:textId="77777777" w:rsidR="00E06C79" w:rsidRPr="00A33B9F" w:rsidRDefault="00E06C79" w:rsidP="00E06C79">
      <w:pPr>
        <w:pStyle w:val="paragraph"/>
        <w:spacing w:before="0" w:beforeAutospacing="0" w:after="0" w:afterAutospacing="0"/>
        <w:jc w:val="both"/>
        <w:textAlignment w:val="baseline"/>
        <w:rPr>
          <w:noProof/>
        </w:rPr>
      </w:pPr>
    </w:p>
    <w:p w14:paraId="34727A6E" w14:textId="43245486" w:rsidR="00E06C79" w:rsidRPr="00A33B9F" w:rsidRDefault="00E06C79" w:rsidP="0059052E">
      <w:pPr>
        <w:pStyle w:val="paragraph"/>
        <w:numPr>
          <w:ilvl w:val="0"/>
          <w:numId w:val="50"/>
        </w:numPr>
        <w:spacing w:before="0" w:beforeAutospacing="0" w:after="0" w:afterAutospacing="0"/>
        <w:jc w:val="both"/>
        <w:textAlignment w:val="baseline"/>
        <w:rPr>
          <w:rStyle w:val="normaltextrun"/>
          <w:rFonts w:eastAsiaTheme="majorEastAsia"/>
          <w:noProof/>
        </w:rPr>
      </w:pPr>
      <w:r w:rsidRPr="00A33B9F">
        <w:rPr>
          <w:rStyle w:val="normaltextrun"/>
          <w:noProof/>
        </w:rPr>
        <w:t>Kwotę objętą umową wykonawczą, strukturę opłat dla partnera wykonawczego oraz wymóg ponownego zainwestowania wszelkich środków powracających zgodnie</w:t>
      </w:r>
      <w:r w:rsidR="00A33B9F" w:rsidRPr="00A33B9F">
        <w:rPr>
          <w:rStyle w:val="normaltextrun"/>
          <w:noProof/>
        </w:rPr>
        <w:t xml:space="preserve"> z pol</w:t>
      </w:r>
      <w:r w:rsidRPr="00A33B9F">
        <w:rPr>
          <w:rStyle w:val="normaltextrun"/>
          <w:noProof/>
        </w:rPr>
        <w:t>ityką inwestycyjną Instrumentu, chyba że wykorzystuje się je do obsługi spłaty pożyczek</w:t>
      </w:r>
      <w:r w:rsidR="00A33B9F" w:rsidRPr="00A33B9F">
        <w:rPr>
          <w:rStyle w:val="normaltextrun"/>
          <w:noProof/>
        </w:rPr>
        <w:t xml:space="preserve"> w ram</w:t>
      </w:r>
      <w:r w:rsidRPr="00A33B9F">
        <w:rPr>
          <w:rStyle w:val="normaltextrun"/>
          <w:noProof/>
        </w:rPr>
        <w:t>ach Instrumentu na rzecz Odbudowy</w:t>
      </w:r>
      <w:r w:rsidR="00A33B9F" w:rsidRPr="00A33B9F">
        <w:rPr>
          <w:rStyle w:val="normaltextrun"/>
          <w:noProof/>
        </w:rPr>
        <w:t xml:space="preserve"> i Zwi</w:t>
      </w:r>
      <w:r w:rsidRPr="00A33B9F">
        <w:rPr>
          <w:rStyle w:val="normaltextrun"/>
          <w:noProof/>
        </w:rPr>
        <w:t>ększania Odporności. </w:t>
      </w:r>
    </w:p>
    <w:p w14:paraId="26CF9764" w14:textId="77777777" w:rsidR="00E06C79" w:rsidRPr="00A33B9F" w:rsidRDefault="00E06C79" w:rsidP="00E06C79">
      <w:pPr>
        <w:pStyle w:val="paragraph"/>
        <w:spacing w:before="0" w:beforeAutospacing="0" w:after="0" w:afterAutospacing="0"/>
        <w:ind w:left="360"/>
        <w:jc w:val="both"/>
        <w:textAlignment w:val="baseline"/>
        <w:rPr>
          <w:rStyle w:val="normaltextrun"/>
          <w:rFonts w:eastAsiaTheme="majorEastAsia"/>
          <w:noProof/>
        </w:rPr>
      </w:pPr>
    </w:p>
    <w:p w14:paraId="04EFB179" w14:textId="61C5417A" w:rsidR="00E06C79" w:rsidRPr="00A33B9F" w:rsidRDefault="00E06C79" w:rsidP="0059052E">
      <w:pPr>
        <w:pStyle w:val="paragraph"/>
        <w:numPr>
          <w:ilvl w:val="0"/>
          <w:numId w:val="50"/>
        </w:numPr>
        <w:spacing w:before="0" w:beforeAutospacing="0" w:after="0" w:afterAutospacing="0"/>
        <w:jc w:val="both"/>
        <w:textAlignment w:val="baseline"/>
        <w:rPr>
          <w:rStyle w:val="normaltextrun"/>
          <w:rFonts w:eastAsiaTheme="majorEastAsia"/>
          <w:noProof/>
        </w:rPr>
      </w:pPr>
      <w:r w:rsidRPr="00A33B9F">
        <w:rPr>
          <w:rStyle w:val="normaltextrun"/>
          <w:noProof/>
        </w:rPr>
        <w:t>Wymogi</w:t>
      </w:r>
      <w:r w:rsidR="00A33B9F" w:rsidRPr="00A33B9F">
        <w:rPr>
          <w:rStyle w:val="normaltextrun"/>
          <w:noProof/>
        </w:rPr>
        <w:t xml:space="preserve"> w zak</w:t>
      </w:r>
      <w:r w:rsidRPr="00A33B9F">
        <w:rPr>
          <w:rStyle w:val="normaltextrun"/>
          <w:noProof/>
        </w:rPr>
        <w:t>resie monitorowania, audytu</w:t>
      </w:r>
      <w:r w:rsidR="00A33B9F" w:rsidRPr="00A33B9F">
        <w:rPr>
          <w:rStyle w:val="normaltextrun"/>
          <w:noProof/>
        </w:rPr>
        <w:t xml:space="preserve"> i kon</w:t>
      </w:r>
      <w:r w:rsidRPr="00A33B9F">
        <w:rPr>
          <w:rStyle w:val="normaltextrun"/>
          <w:noProof/>
        </w:rPr>
        <w:t>troli,</w:t>
      </w:r>
      <w:r w:rsidR="00A33B9F" w:rsidRPr="00A33B9F">
        <w:rPr>
          <w:rStyle w:val="normaltextrun"/>
          <w:noProof/>
        </w:rPr>
        <w:t xml:space="preserve"> w tym</w:t>
      </w:r>
      <w:r w:rsidRPr="00A33B9F">
        <w:rPr>
          <w:rStyle w:val="normaltextrun"/>
          <w:noProof/>
        </w:rPr>
        <w:t>: </w:t>
      </w:r>
    </w:p>
    <w:p w14:paraId="612400E2" w14:textId="77777777" w:rsidR="00744D3A" w:rsidRPr="00A33B9F" w:rsidRDefault="00744D3A" w:rsidP="00744D3A">
      <w:pPr>
        <w:pStyle w:val="paragraph"/>
        <w:numPr>
          <w:ilvl w:val="1"/>
          <w:numId w:val="98"/>
        </w:numPr>
        <w:spacing w:before="0" w:beforeAutospacing="0" w:after="0" w:afterAutospacing="0"/>
        <w:jc w:val="both"/>
        <w:textAlignment w:val="baseline"/>
        <w:rPr>
          <w:rStyle w:val="eop"/>
          <w:noProof/>
        </w:rPr>
      </w:pPr>
      <w:r w:rsidRPr="00A33B9F">
        <w:rPr>
          <w:rStyle w:val="normaltextrun"/>
          <w:noProof/>
        </w:rPr>
        <w:t>Opis systemu monitorowania partnera wykonawczego ustanowionego na potrzeby przekazywania informacji na temat uruchomionych inwestycji.</w:t>
      </w:r>
      <w:r w:rsidRPr="00A33B9F">
        <w:rPr>
          <w:rStyle w:val="eop"/>
          <w:noProof/>
        </w:rPr>
        <w:t xml:space="preserve"> </w:t>
      </w:r>
    </w:p>
    <w:p w14:paraId="3D42BBFD" w14:textId="280D5B70" w:rsidR="00744D3A" w:rsidRPr="00A33B9F" w:rsidRDefault="00744D3A" w:rsidP="00744D3A">
      <w:pPr>
        <w:pStyle w:val="paragraph"/>
        <w:numPr>
          <w:ilvl w:val="1"/>
          <w:numId w:val="98"/>
        </w:numPr>
        <w:spacing w:before="0" w:beforeAutospacing="0" w:after="0" w:afterAutospacing="0"/>
        <w:jc w:val="both"/>
        <w:textAlignment w:val="baseline"/>
        <w:rPr>
          <w:rStyle w:val="eop"/>
          <w:noProof/>
        </w:rPr>
      </w:pPr>
      <w:r w:rsidRPr="00A33B9F">
        <w:rPr>
          <w:rStyle w:val="normaltextrun"/>
          <w:noProof/>
        </w:rPr>
        <w:t>Opis stosowanych przez partnera wykonawczego procedur zapewniających zapobieganie nadużyciom finansowym, korupcji</w:t>
      </w:r>
      <w:r w:rsidR="00A33B9F" w:rsidRPr="00A33B9F">
        <w:rPr>
          <w:rStyle w:val="normaltextrun"/>
          <w:noProof/>
        </w:rPr>
        <w:t xml:space="preserve"> i kon</w:t>
      </w:r>
      <w:r w:rsidRPr="00A33B9F">
        <w:rPr>
          <w:rStyle w:val="normaltextrun"/>
          <w:noProof/>
        </w:rPr>
        <w:t>fliktom interesów, ich wykrywanie oraz eliminowanie.</w:t>
      </w:r>
      <w:r w:rsidR="00C3621A" w:rsidRPr="00A33B9F">
        <w:rPr>
          <w:rStyle w:val="normaltextrun"/>
          <w:noProof/>
        </w:rPr>
        <w:t xml:space="preserve"> </w:t>
      </w:r>
    </w:p>
    <w:p w14:paraId="4432A33D" w14:textId="5F1BE00F" w:rsidR="00744D3A" w:rsidRPr="00A33B9F" w:rsidRDefault="00744D3A" w:rsidP="00744D3A">
      <w:pPr>
        <w:pStyle w:val="paragraph"/>
        <w:numPr>
          <w:ilvl w:val="1"/>
          <w:numId w:val="98"/>
        </w:numPr>
        <w:spacing w:before="0" w:beforeAutospacing="0" w:after="0" w:afterAutospacing="0"/>
        <w:jc w:val="both"/>
        <w:textAlignment w:val="baseline"/>
        <w:rPr>
          <w:rStyle w:val="eop"/>
          <w:noProof/>
        </w:rPr>
      </w:pPr>
      <w:r w:rsidRPr="00A33B9F">
        <w:rPr>
          <w:rStyle w:val="normaltextrun"/>
          <w:noProof/>
        </w:rPr>
        <w:t>Obowiązek weryfikowania kwalifikowalności każdej operacji zgodnie</w:t>
      </w:r>
      <w:r w:rsidR="00A33B9F" w:rsidRPr="00A33B9F">
        <w:rPr>
          <w:rStyle w:val="normaltextrun"/>
          <w:noProof/>
        </w:rPr>
        <w:t xml:space="preserve"> z wym</w:t>
      </w:r>
      <w:r w:rsidRPr="00A33B9F">
        <w:rPr>
          <w:rStyle w:val="normaltextrun"/>
          <w:noProof/>
        </w:rPr>
        <w:t>ogami przewidzianymi</w:t>
      </w:r>
      <w:r w:rsidR="00A33B9F" w:rsidRPr="00A33B9F">
        <w:rPr>
          <w:rStyle w:val="normaltextrun"/>
          <w:noProof/>
        </w:rPr>
        <w:t xml:space="preserve"> w umo</w:t>
      </w:r>
      <w:r w:rsidRPr="00A33B9F">
        <w:rPr>
          <w:rStyle w:val="normaltextrun"/>
          <w:noProof/>
        </w:rPr>
        <w:t>wie wykonawczej przed zobowiązaniem się do finansowania danej operacji.</w:t>
      </w:r>
      <w:r w:rsidRPr="00A33B9F">
        <w:rPr>
          <w:rStyle w:val="eop"/>
          <w:noProof/>
        </w:rPr>
        <w:t xml:space="preserve"> </w:t>
      </w:r>
    </w:p>
    <w:p w14:paraId="65AD3C31" w14:textId="7773CECA" w:rsidR="00744D3A" w:rsidRPr="00A33B9F" w:rsidRDefault="00744D3A" w:rsidP="00744D3A">
      <w:pPr>
        <w:pStyle w:val="paragraph"/>
        <w:numPr>
          <w:ilvl w:val="1"/>
          <w:numId w:val="98"/>
        </w:numPr>
        <w:spacing w:before="0" w:beforeAutospacing="0" w:after="0" w:afterAutospacing="0"/>
        <w:jc w:val="both"/>
        <w:textAlignment w:val="baseline"/>
        <w:rPr>
          <w:rStyle w:val="eop"/>
          <w:noProof/>
        </w:rPr>
      </w:pPr>
      <w:r w:rsidRPr="00A33B9F">
        <w:rPr>
          <w:rStyle w:val="normaltextrun"/>
          <w:noProof/>
        </w:rPr>
        <w:t>Obowiązek przeprowadzania audytów ex post opartych na analizie ryzyka zgodnie</w:t>
      </w:r>
      <w:r w:rsidR="00A33B9F" w:rsidRPr="00A33B9F">
        <w:rPr>
          <w:rStyle w:val="normaltextrun"/>
          <w:noProof/>
        </w:rPr>
        <w:t xml:space="preserve"> z pla</w:t>
      </w:r>
      <w:r w:rsidRPr="00A33B9F">
        <w:rPr>
          <w:rStyle w:val="normaltextrun"/>
          <w:noProof/>
        </w:rPr>
        <w:t>nem audytów BGK. Wspomniane audyty mają na celu potwierdzenie (i) skuteczności systemów kontroli,</w:t>
      </w:r>
      <w:r w:rsidR="00A33B9F" w:rsidRPr="00A33B9F">
        <w:rPr>
          <w:rStyle w:val="normaltextrun"/>
          <w:noProof/>
        </w:rPr>
        <w:t xml:space="preserve"> w tym</w:t>
      </w:r>
      <w:r w:rsidRPr="00A33B9F">
        <w:rPr>
          <w:rStyle w:val="normaltextrun"/>
          <w:noProof/>
        </w:rPr>
        <w:t xml:space="preserve"> również</w:t>
      </w:r>
      <w:r w:rsidR="00A33B9F" w:rsidRPr="00A33B9F">
        <w:rPr>
          <w:rStyle w:val="normaltextrun"/>
          <w:noProof/>
        </w:rPr>
        <w:t xml:space="preserve"> w zak</w:t>
      </w:r>
      <w:r w:rsidRPr="00A33B9F">
        <w:rPr>
          <w:rStyle w:val="normaltextrun"/>
          <w:noProof/>
        </w:rPr>
        <w:t>resie wykrywania nadużyć finansowych, korupcji</w:t>
      </w:r>
      <w:r w:rsidR="00A33B9F" w:rsidRPr="00A33B9F">
        <w:rPr>
          <w:rStyle w:val="normaltextrun"/>
          <w:noProof/>
        </w:rPr>
        <w:t xml:space="preserve"> i kon</w:t>
      </w:r>
      <w:r w:rsidRPr="00A33B9F">
        <w:rPr>
          <w:rStyle w:val="normaltextrun"/>
          <w:noProof/>
        </w:rPr>
        <w:t>fliktów interesów; (ii) zgodności</w:t>
      </w:r>
      <w:r w:rsidR="00A33B9F" w:rsidRPr="00A33B9F">
        <w:rPr>
          <w:rStyle w:val="normaltextrun"/>
          <w:noProof/>
        </w:rPr>
        <w:t xml:space="preserve"> z zas</w:t>
      </w:r>
      <w:r w:rsidRPr="00A33B9F">
        <w:rPr>
          <w:rStyle w:val="normaltextrun"/>
          <w:noProof/>
        </w:rPr>
        <w:t>adą „nie czyń poważnych szkód”,</w:t>
      </w:r>
      <w:r w:rsidR="00A33B9F" w:rsidRPr="00A33B9F">
        <w:rPr>
          <w:rStyle w:val="normaltextrun"/>
          <w:noProof/>
        </w:rPr>
        <w:t xml:space="preserve"> z zas</w:t>
      </w:r>
      <w:r w:rsidRPr="00A33B9F">
        <w:rPr>
          <w:rStyle w:val="normaltextrun"/>
          <w:noProof/>
        </w:rPr>
        <w:t>adami pomocy państwa</w:t>
      </w:r>
      <w:r w:rsidR="00A33B9F" w:rsidRPr="00A33B9F">
        <w:rPr>
          <w:rStyle w:val="normaltextrun"/>
          <w:noProof/>
        </w:rPr>
        <w:t xml:space="preserve"> i z wym</w:t>
      </w:r>
      <w:r w:rsidRPr="00A33B9F">
        <w:rPr>
          <w:rStyle w:val="normaltextrun"/>
          <w:noProof/>
        </w:rPr>
        <w:t>ogami celu klimatycznego oraz (iii) spełnienia wymogu, zgodnie</w:t>
      </w:r>
      <w:r w:rsidR="00A33B9F" w:rsidRPr="00A33B9F">
        <w:rPr>
          <w:rStyle w:val="normaltextrun"/>
          <w:noProof/>
        </w:rPr>
        <w:t xml:space="preserve"> z któ</w:t>
      </w:r>
      <w:r w:rsidRPr="00A33B9F">
        <w:rPr>
          <w:rStyle w:val="normaltextrun"/>
          <w:noProof/>
        </w:rPr>
        <w:t>rym beneficjenci końcowi Instrumentu nie mogą otrzymywać wsparcia</w:t>
      </w:r>
      <w:r w:rsidR="00A33B9F" w:rsidRPr="00A33B9F">
        <w:rPr>
          <w:rStyle w:val="normaltextrun"/>
          <w:noProof/>
        </w:rPr>
        <w:t xml:space="preserve"> w ram</w:t>
      </w:r>
      <w:r w:rsidRPr="00A33B9F">
        <w:rPr>
          <w:rStyle w:val="normaltextrun"/>
          <w:noProof/>
        </w:rPr>
        <w:t>ach innych instrumentów Unii na pokrycie tych samych kosztów. Audyty służą również zweryfikowaniu legalności przeprowadzanych transakcji oraz sprawdzeniu zgodności</w:t>
      </w:r>
      <w:r w:rsidR="00A33B9F" w:rsidRPr="00A33B9F">
        <w:rPr>
          <w:rStyle w:val="normaltextrun"/>
          <w:noProof/>
        </w:rPr>
        <w:t xml:space="preserve"> z war</w:t>
      </w:r>
      <w:r w:rsidRPr="00A33B9F">
        <w:rPr>
          <w:rStyle w:val="normaltextrun"/>
          <w:noProof/>
        </w:rPr>
        <w:t>unkami określonymi</w:t>
      </w:r>
      <w:r w:rsidR="00A33B9F" w:rsidRPr="00A33B9F">
        <w:rPr>
          <w:rStyle w:val="normaltextrun"/>
          <w:noProof/>
        </w:rPr>
        <w:t xml:space="preserve"> w maj</w:t>
      </w:r>
      <w:r w:rsidRPr="00A33B9F">
        <w:rPr>
          <w:rStyle w:val="normaltextrun"/>
          <w:noProof/>
        </w:rPr>
        <w:t>ącej zastosowanie umowie wykonawczej.</w:t>
      </w:r>
      <w:r w:rsidR="00C3621A" w:rsidRPr="00A33B9F">
        <w:rPr>
          <w:rStyle w:val="normaltextrun"/>
          <w:noProof/>
        </w:rPr>
        <w:t xml:space="preserve"> </w:t>
      </w:r>
    </w:p>
    <w:p w14:paraId="4E0B9CFF" w14:textId="77CD1A4A" w:rsidR="00744D3A" w:rsidRPr="00A33B9F" w:rsidRDefault="776ACCD0" w:rsidP="0059052E">
      <w:pPr>
        <w:pStyle w:val="paragraph"/>
        <w:numPr>
          <w:ilvl w:val="0"/>
          <w:numId w:val="50"/>
        </w:numPr>
        <w:spacing w:before="0" w:beforeAutospacing="0" w:after="0" w:afterAutospacing="0"/>
        <w:jc w:val="both"/>
        <w:textAlignment w:val="baseline"/>
        <w:rPr>
          <w:rStyle w:val="normaltextrun"/>
          <w:rFonts w:eastAsiaTheme="majorEastAsia"/>
          <w:noProof/>
        </w:rPr>
      </w:pPr>
      <w:r w:rsidRPr="00A33B9F">
        <w:rPr>
          <w:noProof/>
        </w:rPr>
        <w:t>Wymogi dotyczące inwestycji</w:t>
      </w:r>
      <w:r w:rsidR="00A33B9F" w:rsidRPr="00A33B9F">
        <w:rPr>
          <w:noProof/>
        </w:rPr>
        <w:t xml:space="preserve"> w dzi</w:t>
      </w:r>
      <w:r w:rsidRPr="00A33B9F">
        <w:rPr>
          <w:noProof/>
        </w:rPr>
        <w:t>edzinie klimatu realizowanych przez partnera wykonawczego:</w:t>
      </w:r>
      <w:r w:rsidR="00C3621A" w:rsidRPr="00A33B9F">
        <w:rPr>
          <w:noProof/>
        </w:rPr>
        <w:t xml:space="preserve"> </w:t>
      </w:r>
      <w:r w:rsidRPr="00A33B9F">
        <w:rPr>
          <w:rStyle w:val="normaltextrun"/>
          <w:noProof/>
        </w:rPr>
        <w:t>4 785 000 000</w:t>
      </w:r>
      <w:r w:rsidRPr="00A33B9F">
        <w:rPr>
          <w:noProof/>
        </w:rPr>
        <w:t xml:space="preserve"> EUR</w:t>
      </w:r>
      <w:r w:rsidR="00A33B9F" w:rsidRPr="00A33B9F">
        <w:rPr>
          <w:noProof/>
        </w:rPr>
        <w:t xml:space="preserve"> z inw</w:t>
      </w:r>
      <w:r w:rsidRPr="00A33B9F">
        <w:rPr>
          <w:noProof/>
        </w:rPr>
        <w:t>estycji RRF</w:t>
      </w:r>
      <w:r w:rsidR="00A33B9F" w:rsidRPr="00A33B9F">
        <w:rPr>
          <w:noProof/>
        </w:rPr>
        <w:t xml:space="preserve"> w Ins</w:t>
      </w:r>
      <w:r w:rsidRPr="00A33B9F">
        <w:rPr>
          <w:noProof/>
        </w:rPr>
        <w:t>trument przyczyni się do realizacji celów związanych ze zmianą klimatu zgodnie</w:t>
      </w:r>
      <w:r w:rsidR="00A33B9F" w:rsidRPr="00A33B9F">
        <w:rPr>
          <w:noProof/>
        </w:rPr>
        <w:t xml:space="preserve"> z zał</w:t>
      </w:r>
      <w:r w:rsidRPr="00A33B9F">
        <w:rPr>
          <w:noProof/>
        </w:rPr>
        <w:t>ącznikiem VI do rozporządzenia</w:t>
      </w:r>
      <w:r w:rsidR="00A33B9F" w:rsidRPr="00A33B9F">
        <w:rPr>
          <w:noProof/>
        </w:rPr>
        <w:t xml:space="preserve"> w spr</w:t>
      </w:r>
      <w:r w:rsidRPr="00A33B9F">
        <w:rPr>
          <w:noProof/>
        </w:rPr>
        <w:t>awie RRF</w:t>
      </w:r>
      <w:r w:rsidR="001C6B25" w:rsidRPr="00A33B9F">
        <w:rPr>
          <w:rStyle w:val="FootnoteReference"/>
          <w:rFonts w:eastAsiaTheme="majorEastAsia"/>
          <w:noProof/>
        </w:rPr>
        <w:footnoteReference w:id="44"/>
      </w:r>
      <w:r w:rsidRPr="00A33B9F">
        <w:rPr>
          <w:noProof/>
        </w:rPr>
        <w:t>.</w:t>
      </w:r>
    </w:p>
    <w:p w14:paraId="6E85E4D8" w14:textId="563C44B0" w:rsidR="00744D3A" w:rsidRPr="00A33B9F" w:rsidRDefault="00744D3A" w:rsidP="00AD2493">
      <w:pPr>
        <w:pStyle w:val="paragraph"/>
        <w:spacing w:before="0" w:beforeAutospacing="0" w:after="0" w:afterAutospacing="0"/>
        <w:jc w:val="both"/>
        <w:textAlignment w:val="baseline"/>
        <w:rPr>
          <w:rStyle w:val="eop"/>
          <w:rFonts w:ascii="Calibri" w:eastAsia="Calibri" w:hAnsi="Calibri" w:cs="Calibri"/>
          <w:noProof/>
          <w:sz w:val="22"/>
          <w:szCs w:val="22"/>
          <w:lang w:eastAsia="en-IE"/>
        </w:rPr>
      </w:pPr>
    </w:p>
    <w:p w14:paraId="5B7AE333" w14:textId="000D1D82" w:rsidR="00E06C79" w:rsidRPr="00A33B9F" w:rsidRDefault="00E06C79" w:rsidP="00744D3A">
      <w:pPr>
        <w:pStyle w:val="paragraph"/>
        <w:spacing w:before="0" w:beforeAutospacing="0" w:after="0" w:afterAutospacing="0"/>
        <w:jc w:val="both"/>
        <w:textAlignment w:val="baseline"/>
        <w:rPr>
          <w:rStyle w:val="normaltextrun"/>
          <w:rFonts w:eastAsiaTheme="majorEastAsia"/>
          <w:noProof/>
        </w:rPr>
      </w:pPr>
    </w:p>
    <w:p w14:paraId="146B0029" w14:textId="608E2517" w:rsidR="00E06C79" w:rsidRPr="00A33B9F" w:rsidRDefault="00E06C79" w:rsidP="00E06C79">
      <w:pPr>
        <w:pStyle w:val="paragraph"/>
        <w:spacing w:before="0" w:beforeAutospacing="0" w:after="0" w:afterAutospacing="0"/>
        <w:jc w:val="both"/>
        <w:textAlignment w:val="baseline"/>
        <w:rPr>
          <w:rFonts w:ascii="Segoe UI" w:hAnsi="Segoe UI" w:cs="Segoe UI"/>
          <w:noProof/>
          <w:sz w:val="18"/>
          <w:szCs w:val="18"/>
        </w:rPr>
      </w:pPr>
      <w:r w:rsidRPr="00A33B9F">
        <w:rPr>
          <w:rStyle w:val="normaltextrun"/>
          <w:noProof/>
        </w:rPr>
        <w:t>Wdrażanie tego działania zostanie zakończone do dnia 31 sierpnia 2026</w:t>
      </w:r>
      <w:r w:rsidR="00A33B9F" w:rsidRPr="00A33B9F">
        <w:rPr>
          <w:rStyle w:val="normaltextrun"/>
          <w:noProof/>
        </w:rPr>
        <w:t> </w:t>
      </w:r>
      <w:r w:rsidRPr="00A33B9F">
        <w:rPr>
          <w:rStyle w:val="normaltextrun"/>
          <w:noProof/>
        </w:rPr>
        <w:t>r.</w:t>
      </w:r>
      <w:r w:rsidRPr="00A33B9F">
        <w:rPr>
          <w:rStyle w:val="eop"/>
          <w:noProof/>
        </w:rPr>
        <w:t xml:space="preserve"> </w:t>
      </w:r>
    </w:p>
    <w:p w14:paraId="67F1D632" w14:textId="77777777" w:rsidR="00E06C79" w:rsidRPr="00A33B9F" w:rsidRDefault="00E06C79" w:rsidP="00E06C79">
      <w:pPr>
        <w:spacing w:before="120" w:after="120" w:line="240" w:lineRule="auto"/>
        <w:jc w:val="both"/>
        <w:rPr>
          <w:rFonts w:ascii="Times New Roman" w:hAnsi="Times New Roman" w:cs="Times New Roman"/>
          <w:noProof/>
          <w:sz w:val="24"/>
        </w:rPr>
      </w:pPr>
    </w:p>
    <w:p w14:paraId="43B329EF" w14:textId="4EAE1055" w:rsidR="00E06C79" w:rsidRPr="00A33B9F" w:rsidRDefault="00E06C79" w:rsidP="00683DC4">
      <w:pPr>
        <w:pStyle w:val="Text1"/>
        <w:keepNext/>
        <w:ind w:left="0"/>
        <w:rPr>
          <w:b/>
          <w:noProof/>
        </w:rPr>
      </w:pPr>
      <w:r w:rsidRPr="00A33B9F">
        <w:rPr>
          <w:b/>
          <w:noProof/>
        </w:rPr>
        <w:t>Podkomponent G3.2 – Poprawa infrastruktury energetycznej, aby sprostać najpilniejszym potrzebom</w:t>
      </w:r>
      <w:r w:rsidR="00A33B9F" w:rsidRPr="00A33B9F">
        <w:rPr>
          <w:b/>
          <w:noProof/>
        </w:rPr>
        <w:t xml:space="preserve"> w zak</w:t>
      </w:r>
      <w:r w:rsidRPr="00A33B9F">
        <w:rPr>
          <w:b/>
          <w:noProof/>
        </w:rPr>
        <w:t>resie bezpieczeństwa dostaw gazu</w:t>
      </w:r>
    </w:p>
    <w:p w14:paraId="4B5C93A2" w14:textId="77777777" w:rsidR="00E06C79" w:rsidRPr="00A33B9F" w:rsidRDefault="00E06C79" w:rsidP="00C23FDF">
      <w:pPr>
        <w:keepNext/>
        <w:spacing w:before="120" w:after="120" w:line="240" w:lineRule="auto"/>
        <w:rPr>
          <w:noProof/>
        </w:rPr>
      </w:pPr>
    </w:p>
    <w:p w14:paraId="39989793" w14:textId="4CF2F593" w:rsidR="00E06C79" w:rsidRPr="00A33B9F" w:rsidRDefault="00E06C79" w:rsidP="00E06C79">
      <w:pPr>
        <w:keepNext/>
        <w:spacing w:before="120" w:after="120" w:line="240" w:lineRule="auto"/>
        <w:jc w:val="both"/>
        <w:rPr>
          <w:rFonts w:ascii="Times New Roman" w:hAnsi="Times New Roman" w:cs="Times New Roman"/>
          <w:b/>
          <w:bCs/>
          <w:noProof/>
          <w:sz w:val="24"/>
          <w:u w:val="single"/>
        </w:rPr>
      </w:pPr>
      <w:r w:rsidRPr="00A33B9F">
        <w:rPr>
          <w:rFonts w:ascii="Times New Roman" w:hAnsi="Times New Roman"/>
          <w:b/>
          <w:noProof/>
          <w:sz w:val="24"/>
          <w:u w:val="single"/>
        </w:rPr>
        <w:t>G3.2.1. Budowa infrastruktury gazu ziemnego</w:t>
      </w:r>
      <w:r w:rsidR="00A33B9F" w:rsidRPr="00A33B9F">
        <w:rPr>
          <w:rFonts w:ascii="Times New Roman" w:hAnsi="Times New Roman"/>
          <w:b/>
          <w:noProof/>
          <w:sz w:val="24"/>
          <w:u w:val="single"/>
        </w:rPr>
        <w:t xml:space="preserve"> w cel</w:t>
      </w:r>
      <w:r w:rsidRPr="00A33B9F">
        <w:rPr>
          <w:rFonts w:ascii="Times New Roman" w:hAnsi="Times New Roman"/>
          <w:b/>
          <w:noProof/>
          <w:sz w:val="24"/>
          <w:u w:val="single"/>
        </w:rPr>
        <w:t>u zapewnienia bezpieczeństwa energetycznego</w:t>
      </w:r>
    </w:p>
    <w:p w14:paraId="2DFBC78F" w14:textId="7B0833D5" w:rsidR="00E06C79" w:rsidRPr="00A33B9F" w:rsidRDefault="78F0F2F7" w:rsidP="00E06C79">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tej inwestycji jest przyczynienie się do poprawy infrastruktury energetycznej, aby sprostać najpilniejszym potrzebom</w:t>
      </w:r>
      <w:r w:rsidR="00A33B9F" w:rsidRPr="00A33B9F">
        <w:rPr>
          <w:rFonts w:ascii="Times New Roman" w:hAnsi="Times New Roman"/>
          <w:noProof/>
          <w:sz w:val="24"/>
        </w:rPr>
        <w:t xml:space="preserve"> w zak</w:t>
      </w:r>
      <w:r w:rsidRPr="00A33B9F">
        <w:rPr>
          <w:rFonts w:ascii="Times New Roman" w:hAnsi="Times New Roman"/>
          <w:noProof/>
          <w:sz w:val="24"/>
        </w:rPr>
        <w:t>resie bezpieczeństwa dostaw energii</w:t>
      </w:r>
      <w:r w:rsidR="00A33B9F" w:rsidRPr="00A33B9F">
        <w:rPr>
          <w:rFonts w:ascii="Times New Roman" w:hAnsi="Times New Roman"/>
          <w:noProof/>
          <w:sz w:val="24"/>
        </w:rPr>
        <w:t xml:space="preserve"> z rop</w:t>
      </w:r>
      <w:r w:rsidRPr="00A33B9F">
        <w:rPr>
          <w:rFonts w:ascii="Times New Roman" w:hAnsi="Times New Roman"/>
          <w:noProof/>
          <w:sz w:val="24"/>
        </w:rPr>
        <w:t>y naftowej</w:t>
      </w:r>
      <w:r w:rsidR="00A33B9F" w:rsidRPr="00A33B9F">
        <w:rPr>
          <w:rFonts w:ascii="Times New Roman" w:hAnsi="Times New Roman"/>
          <w:noProof/>
          <w:sz w:val="24"/>
        </w:rPr>
        <w:t xml:space="preserve"> i gaz</w:t>
      </w:r>
      <w:r w:rsidRPr="00A33B9F">
        <w:rPr>
          <w:rFonts w:ascii="Times New Roman" w:hAnsi="Times New Roman"/>
          <w:noProof/>
          <w:sz w:val="24"/>
        </w:rPr>
        <w:t>u ziemnego,</w:t>
      </w:r>
      <w:r w:rsidR="00A33B9F" w:rsidRPr="00A33B9F">
        <w:rPr>
          <w:rFonts w:ascii="Times New Roman" w:hAnsi="Times New Roman"/>
          <w:noProof/>
          <w:sz w:val="24"/>
        </w:rPr>
        <w:t xml:space="preserve"> w tym</w:t>
      </w:r>
      <w:r w:rsidRPr="00A33B9F">
        <w:rPr>
          <w:rFonts w:ascii="Times New Roman" w:hAnsi="Times New Roman"/>
          <w:noProof/>
          <w:sz w:val="24"/>
        </w:rPr>
        <w:t xml:space="preserve"> skroplonego gazu ziemnego,</w:t>
      </w:r>
      <w:r w:rsidR="00A33B9F" w:rsidRPr="00A33B9F">
        <w:rPr>
          <w:rFonts w:ascii="Times New Roman" w:hAnsi="Times New Roman"/>
          <w:noProof/>
          <w:sz w:val="24"/>
        </w:rPr>
        <w:t xml:space="preserve"> w szc</w:t>
      </w:r>
      <w:r w:rsidRPr="00A33B9F">
        <w:rPr>
          <w:rFonts w:ascii="Times New Roman" w:hAnsi="Times New Roman"/>
          <w:noProof/>
          <w:sz w:val="24"/>
        </w:rPr>
        <w:t>zególności</w:t>
      </w:r>
      <w:r w:rsidR="00A33B9F" w:rsidRPr="00A33B9F">
        <w:rPr>
          <w:rFonts w:ascii="Times New Roman" w:hAnsi="Times New Roman"/>
          <w:noProof/>
          <w:sz w:val="24"/>
        </w:rPr>
        <w:t xml:space="preserve"> w cel</w:t>
      </w:r>
      <w:r w:rsidRPr="00A33B9F">
        <w:rPr>
          <w:rFonts w:ascii="Times New Roman" w:hAnsi="Times New Roman"/>
          <w:noProof/>
          <w:sz w:val="24"/>
        </w:rPr>
        <w:t>u umożliwienia dywersyfikacji dostaw</w:t>
      </w:r>
      <w:r w:rsidR="00A33B9F" w:rsidRPr="00A33B9F">
        <w:rPr>
          <w:rFonts w:ascii="Times New Roman" w:hAnsi="Times New Roman"/>
          <w:noProof/>
          <w:sz w:val="24"/>
        </w:rPr>
        <w:t xml:space="preserve"> w int</w:t>
      </w:r>
      <w:r w:rsidRPr="00A33B9F">
        <w:rPr>
          <w:rFonts w:ascii="Times New Roman" w:hAnsi="Times New Roman"/>
          <w:noProof/>
          <w:sz w:val="24"/>
        </w:rPr>
        <w:t xml:space="preserve">eresie Unii jako całości. </w:t>
      </w:r>
    </w:p>
    <w:p w14:paraId="2F2374AB" w14:textId="437DEA11" w:rsidR="00E06C79" w:rsidRPr="00A33B9F" w:rsidRDefault="3C547D22" w:rsidP="00E06C79">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Inwestycja polega na budowie sieci przesyłowej</w:t>
      </w:r>
      <w:r w:rsidR="00A33B9F" w:rsidRPr="00A33B9F">
        <w:rPr>
          <w:rFonts w:ascii="Times New Roman" w:hAnsi="Times New Roman"/>
          <w:noProof/>
          <w:sz w:val="24"/>
        </w:rPr>
        <w:t xml:space="preserve"> o dłu</w:t>
      </w:r>
      <w:r w:rsidRPr="00A33B9F">
        <w:rPr>
          <w:rFonts w:ascii="Times New Roman" w:hAnsi="Times New Roman"/>
          <w:noProof/>
          <w:sz w:val="24"/>
        </w:rPr>
        <w:t>gości 250 km między Gdańskiem</w:t>
      </w:r>
      <w:r w:rsidR="00A33B9F" w:rsidRPr="00A33B9F">
        <w:rPr>
          <w:rFonts w:ascii="Times New Roman" w:hAnsi="Times New Roman"/>
          <w:noProof/>
          <w:sz w:val="24"/>
        </w:rPr>
        <w:t xml:space="preserve"> a Gus</w:t>
      </w:r>
      <w:r w:rsidRPr="00A33B9F">
        <w:rPr>
          <w:rFonts w:ascii="Times New Roman" w:hAnsi="Times New Roman"/>
          <w:noProof/>
          <w:sz w:val="24"/>
        </w:rPr>
        <w:t>torzynem. Po zakończeniu prac nowo wybudowana infrastruktura ma mieć zdolność przesyłową gazu wynoszącą</w:t>
      </w:r>
      <w:r w:rsidRPr="00A33B9F">
        <w:rPr>
          <w:rFonts w:ascii="Times New Roman" w:hAnsi="Times New Roman"/>
          <w:noProof/>
          <w:color w:val="000000" w:themeColor="text1"/>
          <w:sz w:val="24"/>
        </w:rPr>
        <w:t xml:space="preserve"> 1 320 000 m3/h.</w:t>
      </w:r>
      <w:r w:rsidRPr="00A33B9F">
        <w:rPr>
          <w:rFonts w:ascii="Times New Roman" w:hAnsi="Times New Roman"/>
          <w:noProof/>
          <w:sz w:val="24"/>
        </w:rPr>
        <w:t xml:space="preserve"> </w:t>
      </w:r>
    </w:p>
    <w:p w14:paraId="7E3F950A" w14:textId="3BC5E433" w:rsidR="00E06C79" w:rsidRPr="00A33B9F" w:rsidRDefault="00E06C79" w:rsidP="00E06C79">
      <w:pPr>
        <w:spacing w:before="120" w:after="120" w:line="240" w:lineRule="auto"/>
        <w:jc w:val="both"/>
        <w:rPr>
          <w:rFonts w:ascii="Times New Roman" w:hAnsi="Times New Roman"/>
          <w:noProof/>
          <w:sz w:val="24"/>
          <w:szCs w:val="24"/>
        </w:rPr>
      </w:pPr>
      <w:r w:rsidRPr="00A33B9F">
        <w:rPr>
          <w:rFonts w:ascii="Times New Roman" w:hAnsi="Times New Roman"/>
          <w:noProof/>
          <w:sz w:val="24"/>
        </w:rPr>
        <w:t>Wdrażanie tego działania zostanie zakończone najpóźniej do dnia 31 sierpnia 2026</w:t>
      </w:r>
      <w:r w:rsidR="00A33B9F" w:rsidRPr="00A33B9F">
        <w:rPr>
          <w:rFonts w:ascii="Times New Roman" w:hAnsi="Times New Roman"/>
          <w:noProof/>
          <w:sz w:val="24"/>
        </w:rPr>
        <w:t> </w:t>
      </w:r>
      <w:r w:rsidRPr="00A33B9F">
        <w:rPr>
          <w:rFonts w:ascii="Times New Roman" w:hAnsi="Times New Roman"/>
          <w:noProof/>
          <w:sz w:val="24"/>
        </w:rPr>
        <w:t>r.</w:t>
      </w:r>
    </w:p>
    <w:p w14:paraId="3C7EB7A6" w14:textId="0BD57FDF" w:rsidR="7466DFF5" w:rsidRPr="00A33B9F" w:rsidRDefault="7466DFF5" w:rsidP="5865826E">
      <w:pPr>
        <w:spacing w:before="120" w:after="120" w:line="240" w:lineRule="auto"/>
        <w:jc w:val="both"/>
        <w:rPr>
          <w:rFonts w:ascii="Times New Roman" w:hAnsi="Times New Roman"/>
          <w:b/>
          <w:bCs/>
          <w:noProof/>
          <w:sz w:val="24"/>
          <w:szCs w:val="24"/>
        </w:rPr>
      </w:pPr>
      <w:r w:rsidRPr="00A33B9F">
        <w:rPr>
          <w:rFonts w:ascii="Times New Roman" w:hAnsi="Times New Roman"/>
          <w:b/>
          <w:noProof/>
          <w:sz w:val="24"/>
        </w:rPr>
        <w:t>Podkomponent G3.3 – Systemy magazynowania energii (wsparcie zwrotne)</w:t>
      </w:r>
    </w:p>
    <w:p w14:paraId="16EA5531" w14:textId="29D5B489" w:rsidR="0CA3FCB3" w:rsidRPr="00A33B9F" w:rsidRDefault="0CA3FCB3" w:rsidP="5865826E">
      <w:pPr>
        <w:keepNext/>
        <w:spacing w:before="120" w:after="120" w:line="240" w:lineRule="auto"/>
        <w:jc w:val="both"/>
        <w:rPr>
          <w:rFonts w:ascii="Times New Roman" w:hAnsi="Times New Roman" w:cs="Times New Roman"/>
          <w:noProof/>
          <w:sz w:val="24"/>
          <w:szCs w:val="24"/>
        </w:rPr>
      </w:pPr>
      <w:r w:rsidRPr="00A33B9F">
        <w:rPr>
          <w:rFonts w:ascii="Times New Roman" w:hAnsi="Times New Roman"/>
          <w:b/>
          <w:noProof/>
          <w:sz w:val="24"/>
          <w:u w:val="single"/>
        </w:rPr>
        <w:t>G3.3.1 Systemy magazynowania energii (wsparcie zwrotne)</w:t>
      </w:r>
    </w:p>
    <w:p w14:paraId="5BD0BCA2" w14:textId="29C6D9AD" w:rsidR="0CA3FCB3" w:rsidRPr="00A33B9F" w:rsidRDefault="0CA3FCB3" w:rsidP="5865826E">
      <w:pPr>
        <w:spacing w:before="120" w:after="120" w:line="240" w:lineRule="auto"/>
        <w:jc w:val="both"/>
        <w:rPr>
          <w:rFonts w:ascii="Times New Roman" w:hAnsi="Times New Roman" w:cs="Times New Roman"/>
          <w:noProof/>
          <w:sz w:val="24"/>
          <w:szCs w:val="24"/>
        </w:rPr>
      </w:pPr>
      <w:r w:rsidRPr="00A33B9F">
        <w:rPr>
          <w:rFonts w:ascii="Times New Roman" w:hAnsi="Times New Roman"/>
          <w:noProof/>
          <w:sz w:val="24"/>
        </w:rPr>
        <w:t>Celem tej inwestycji jest zapewnienie ciągłości dostaw energii elektrycznej do klientów</w:t>
      </w:r>
      <w:r w:rsidR="00A33B9F" w:rsidRPr="00A33B9F">
        <w:rPr>
          <w:rFonts w:ascii="Times New Roman" w:hAnsi="Times New Roman"/>
          <w:noProof/>
          <w:sz w:val="24"/>
        </w:rPr>
        <w:t xml:space="preserve"> i zwi</w:t>
      </w:r>
      <w:r w:rsidRPr="00A33B9F">
        <w:rPr>
          <w:rFonts w:ascii="Times New Roman" w:hAnsi="Times New Roman"/>
          <w:noProof/>
          <w:sz w:val="24"/>
        </w:rPr>
        <w:t>ększenie efektywności wykorzystania źródeł OZE przez inwestycje</w:t>
      </w:r>
      <w:r w:rsidR="00A33B9F" w:rsidRPr="00A33B9F">
        <w:rPr>
          <w:rFonts w:ascii="Times New Roman" w:hAnsi="Times New Roman"/>
          <w:noProof/>
          <w:sz w:val="24"/>
        </w:rPr>
        <w:t xml:space="preserve"> w tec</w:t>
      </w:r>
      <w:r w:rsidRPr="00A33B9F">
        <w:rPr>
          <w:rFonts w:ascii="Times New Roman" w:hAnsi="Times New Roman"/>
          <w:noProof/>
          <w:sz w:val="24"/>
        </w:rPr>
        <w:t>hnologie ułatwiające bilansowanie energii elektrycznej</w:t>
      </w:r>
      <w:r w:rsidR="00A33B9F" w:rsidRPr="00A33B9F">
        <w:rPr>
          <w:rFonts w:ascii="Times New Roman" w:hAnsi="Times New Roman"/>
          <w:noProof/>
          <w:sz w:val="24"/>
        </w:rPr>
        <w:t xml:space="preserve"> w sys</w:t>
      </w:r>
      <w:r w:rsidRPr="00A33B9F">
        <w:rPr>
          <w:rFonts w:ascii="Times New Roman" w:hAnsi="Times New Roman"/>
          <w:noProof/>
          <w:sz w:val="24"/>
        </w:rPr>
        <w:t>temie elektroenergetycznym.</w:t>
      </w:r>
    </w:p>
    <w:p w14:paraId="44D1B7D6" w14:textId="49AE8D0E" w:rsidR="0CA3FCB3" w:rsidRPr="00A33B9F" w:rsidRDefault="0CA3FCB3" w:rsidP="00AD2493">
      <w:pPr>
        <w:spacing w:before="120" w:after="120" w:line="240" w:lineRule="auto"/>
        <w:jc w:val="both"/>
        <w:rPr>
          <w:noProof/>
        </w:rPr>
      </w:pPr>
      <w:r w:rsidRPr="00A33B9F">
        <w:rPr>
          <w:rFonts w:ascii="Times New Roman" w:hAnsi="Times New Roman"/>
          <w:noProof/>
          <w:sz w:val="24"/>
        </w:rPr>
        <w:t>Inwestycja obejmie realizację częściowej modernizacji instalacji magazynowania energii istniejącej elektrowni szczytowo-pompowej</w:t>
      </w:r>
      <w:r w:rsidR="00A33B9F" w:rsidRPr="00A33B9F">
        <w:rPr>
          <w:rFonts w:ascii="Times New Roman" w:hAnsi="Times New Roman"/>
          <w:noProof/>
          <w:sz w:val="24"/>
        </w:rPr>
        <w:t xml:space="preserve"> w cel</w:t>
      </w:r>
      <w:r w:rsidRPr="00A33B9F">
        <w:rPr>
          <w:rFonts w:ascii="Times New Roman" w:hAnsi="Times New Roman"/>
          <w:noProof/>
          <w:sz w:val="24"/>
        </w:rPr>
        <w:t>u dostosowania jej do obecnych</w:t>
      </w:r>
      <w:r w:rsidR="00A33B9F" w:rsidRPr="00A33B9F">
        <w:rPr>
          <w:rFonts w:ascii="Times New Roman" w:hAnsi="Times New Roman"/>
          <w:noProof/>
          <w:sz w:val="24"/>
        </w:rPr>
        <w:t xml:space="preserve"> i prz</w:t>
      </w:r>
      <w:r w:rsidRPr="00A33B9F">
        <w:rPr>
          <w:rFonts w:ascii="Times New Roman" w:hAnsi="Times New Roman"/>
          <w:noProof/>
          <w:sz w:val="24"/>
        </w:rPr>
        <w:t>yszłych potrzeb regulacyjnych</w:t>
      </w:r>
      <w:r w:rsidR="00A33B9F" w:rsidRPr="00A33B9F">
        <w:rPr>
          <w:rFonts w:ascii="Times New Roman" w:hAnsi="Times New Roman"/>
          <w:noProof/>
          <w:sz w:val="24"/>
        </w:rPr>
        <w:t xml:space="preserve"> i ryn</w:t>
      </w:r>
      <w:r w:rsidRPr="00A33B9F">
        <w:rPr>
          <w:rFonts w:ascii="Times New Roman" w:hAnsi="Times New Roman"/>
          <w:noProof/>
          <w:sz w:val="24"/>
        </w:rPr>
        <w:t>kowych, co pozwoli zapewnić opłacalną pracę elektrowni. Będzie ona także polegała na modernizacji zbiornika górnego (odtworzenie górnej warstwy asfaltobetonu), górnego ujęcia wody</w:t>
      </w:r>
      <w:r w:rsidR="00A33B9F" w:rsidRPr="00A33B9F">
        <w:rPr>
          <w:rFonts w:ascii="Times New Roman" w:hAnsi="Times New Roman"/>
          <w:noProof/>
          <w:sz w:val="24"/>
        </w:rPr>
        <w:t xml:space="preserve"> i tun</w:t>
      </w:r>
      <w:r w:rsidRPr="00A33B9F">
        <w:rPr>
          <w:rFonts w:ascii="Times New Roman" w:hAnsi="Times New Roman"/>
          <w:noProof/>
          <w:sz w:val="24"/>
        </w:rPr>
        <w:t>eli derywacyjnych i co najmniej jednego hydrogeneratora odpowiadającego mocy 135 MW.</w:t>
      </w:r>
    </w:p>
    <w:p w14:paraId="36DC5645" w14:textId="217E801B" w:rsidR="0CA3FCB3" w:rsidRPr="00A33B9F" w:rsidRDefault="0CA3FCB3" w:rsidP="00AD2493">
      <w:pPr>
        <w:spacing w:before="120" w:after="120" w:line="240" w:lineRule="auto"/>
        <w:jc w:val="both"/>
        <w:rPr>
          <w:noProof/>
        </w:rPr>
      </w:pPr>
      <w:r w:rsidRPr="00A33B9F">
        <w:rPr>
          <w:rFonts w:ascii="Times New Roman" w:hAnsi="Times New Roman"/>
          <w:noProof/>
          <w:sz w:val="24"/>
        </w:rPr>
        <w:t>Realizacja inwestycji zostanie zakończona do dnia 30 czerwca 2026</w:t>
      </w:r>
      <w:r w:rsidR="00A33B9F" w:rsidRPr="00A33B9F">
        <w:rPr>
          <w:rFonts w:ascii="Times New Roman" w:hAnsi="Times New Roman"/>
          <w:noProof/>
          <w:sz w:val="24"/>
        </w:rPr>
        <w:t> </w:t>
      </w:r>
      <w:r w:rsidRPr="00A33B9F">
        <w:rPr>
          <w:rFonts w:ascii="Times New Roman" w:hAnsi="Times New Roman"/>
          <w:noProof/>
          <w:sz w:val="24"/>
        </w:rPr>
        <w:t>r.</w:t>
      </w:r>
    </w:p>
    <w:p w14:paraId="6D5E53D8" w14:textId="77777777" w:rsidR="007550BB" w:rsidRPr="00A33B9F" w:rsidRDefault="007550BB" w:rsidP="00E06C79">
      <w:pPr>
        <w:spacing w:before="120" w:after="120" w:line="240" w:lineRule="auto"/>
        <w:jc w:val="both"/>
        <w:rPr>
          <w:rFonts w:ascii="Times New Roman" w:hAnsi="Times New Roman" w:cs="Times New Roman"/>
          <w:noProof/>
          <w:sz w:val="24"/>
        </w:rPr>
      </w:pPr>
    </w:p>
    <w:p w14:paraId="1056950A" w14:textId="0938D53C" w:rsidR="00A17569" w:rsidRPr="00A33B9F" w:rsidRDefault="00A17569" w:rsidP="053E8901">
      <w:pPr>
        <w:spacing w:before="120" w:after="120" w:line="240" w:lineRule="auto"/>
        <w:rPr>
          <w:rFonts w:ascii="Times New Roman" w:hAnsi="Times New Roman" w:cs="Times New Roman"/>
          <w:noProof/>
          <w:sz w:val="24"/>
          <w:szCs w:val="24"/>
        </w:rPr>
        <w:sectPr w:rsidR="00A17569" w:rsidRPr="00A33B9F" w:rsidSect="00C06196">
          <w:headerReference w:type="even" r:id="rId175"/>
          <w:headerReference w:type="default" r:id="rId176"/>
          <w:footerReference w:type="even" r:id="rId177"/>
          <w:footerReference w:type="default" r:id="rId178"/>
          <w:headerReference w:type="first" r:id="rId179"/>
          <w:footerReference w:type="first" r:id="rId180"/>
          <w:pgSz w:w="11907" w:h="16839"/>
          <w:pgMar w:top="720" w:right="1418" w:bottom="720" w:left="1418" w:header="709" w:footer="709" w:gutter="0"/>
          <w:cols w:space="720"/>
          <w:docGrid w:linePitch="299"/>
        </w:sectPr>
      </w:pPr>
    </w:p>
    <w:p w14:paraId="52162409" w14:textId="18FF589A" w:rsidR="003215FA" w:rsidRPr="00A33B9F" w:rsidRDefault="003215FA" w:rsidP="0077264D">
      <w:pPr>
        <w:pStyle w:val="Text1"/>
        <w:ind w:left="0"/>
        <w:rPr>
          <w:b/>
          <w:smallCaps/>
          <w:noProof/>
        </w:rPr>
      </w:pPr>
      <w:r w:rsidRPr="00A33B9F">
        <w:rPr>
          <w:b/>
          <w:noProof/>
        </w:rPr>
        <w:t xml:space="preserve">G4. </w:t>
      </w:r>
      <w:r w:rsidRPr="00A33B9F">
        <w:rPr>
          <w:noProof/>
        </w:rPr>
        <w:tab/>
      </w:r>
      <w:r w:rsidRPr="00A33B9F">
        <w:rPr>
          <w:b/>
          <w:noProof/>
        </w:rPr>
        <w:t>Kamienie milowe, wartości docelowe, wskaźniki</w:t>
      </w:r>
      <w:r w:rsidR="00A33B9F" w:rsidRPr="00A33B9F">
        <w:rPr>
          <w:b/>
          <w:noProof/>
        </w:rPr>
        <w:t xml:space="preserve"> i har</w:t>
      </w:r>
      <w:r w:rsidRPr="00A33B9F">
        <w:rPr>
          <w:b/>
          <w:noProof/>
        </w:rPr>
        <w:t>monogram monitorowania</w:t>
      </w:r>
      <w:r w:rsidR="00A33B9F" w:rsidRPr="00A33B9F">
        <w:rPr>
          <w:b/>
          <w:noProof/>
        </w:rPr>
        <w:t xml:space="preserve"> i rea</w:t>
      </w:r>
      <w:r w:rsidRPr="00A33B9F">
        <w:rPr>
          <w:b/>
          <w:noProof/>
        </w:rPr>
        <w:t>lizacji dotyczące pożyczki</w:t>
      </w:r>
    </w:p>
    <w:p w14:paraId="25D8FF34" w14:textId="77777777" w:rsidR="003215FA" w:rsidRPr="00A33B9F" w:rsidRDefault="003215FA" w:rsidP="003215FA">
      <w:pPr>
        <w:spacing w:before="120" w:after="120" w:line="240" w:lineRule="auto"/>
        <w:rPr>
          <w:noProof/>
        </w:rPr>
      </w:pPr>
    </w:p>
    <w:p w14:paraId="367146BC" w14:textId="04ECACA4" w:rsidR="003215FA" w:rsidRPr="00A33B9F" w:rsidRDefault="003215FA" w:rsidP="00112B7F">
      <w:pPr>
        <w:pStyle w:val="Text1"/>
        <w:keepNext/>
        <w:ind w:left="0"/>
        <w:rPr>
          <w:b/>
          <w:noProof/>
        </w:rPr>
      </w:pPr>
      <w:r w:rsidRPr="00A33B9F">
        <w:rPr>
          <w:b/>
          <w:noProof/>
        </w:rPr>
        <w:t>Podkomponent G3.1 – Poprawa wdrażania rozwiązań</w:t>
      </w:r>
      <w:r w:rsidR="00A33B9F" w:rsidRPr="00A33B9F">
        <w:rPr>
          <w:b/>
          <w:noProof/>
        </w:rPr>
        <w:t xml:space="preserve"> w zak</w:t>
      </w:r>
      <w:r w:rsidRPr="00A33B9F">
        <w:rPr>
          <w:b/>
          <w:noProof/>
        </w:rPr>
        <w:t>resie energii ze źródeł odnawialnych, umiejętności ekologicznych</w:t>
      </w:r>
      <w:r w:rsidR="00A33B9F" w:rsidRPr="00A33B9F">
        <w:rPr>
          <w:b/>
          <w:noProof/>
        </w:rPr>
        <w:t xml:space="preserve"> i efe</w:t>
      </w:r>
      <w:r w:rsidRPr="00A33B9F">
        <w:rPr>
          <w:b/>
          <w:noProof/>
        </w:rPr>
        <w:t>ktywności energetycznej</w:t>
      </w:r>
    </w:p>
    <w:p w14:paraId="51D0A80C" w14:textId="77777777" w:rsidR="001C2AA6" w:rsidRPr="00A33B9F" w:rsidRDefault="001C2AA6" w:rsidP="001C2AA6">
      <w:pPr>
        <w:spacing w:before="120" w:after="120" w:line="240" w:lineRule="auto"/>
        <w:jc w:val="both"/>
        <w:rPr>
          <w:rFonts w:ascii="Times New Roman" w:hAnsi="Times New Roman" w:cs="Times New Roman"/>
          <w:noProof/>
          <w:sz w:val="24"/>
        </w:rPr>
      </w:pPr>
    </w:p>
    <w:tbl>
      <w:tblPr>
        <w:tblW w:w="15309" w:type="dxa"/>
        <w:jc w:val="center"/>
        <w:tblLayout w:type="fixed"/>
        <w:tblLook w:val="04A0" w:firstRow="1" w:lastRow="0" w:firstColumn="1" w:lastColumn="0" w:noHBand="0" w:noVBand="1"/>
      </w:tblPr>
      <w:tblGrid>
        <w:gridCol w:w="803"/>
        <w:gridCol w:w="1461"/>
        <w:gridCol w:w="1068"/>
        <w:gridCol w:w="1857"/>
        <w:gridCol w:w="1591"/>
        <w:gridCol w:w="1067"/>
        <w:gridCol w:w="936"/>
        <w:gridCol w:w="673"/>
        <w:gridCol w:w="871"/>
        <w:gridCol w:w="877"/>
        <w:gridCol w:w="4105"/>
      </w:tblGrid>
      <w:tr w:rsidR="00084A34" w:rsidRPr="00A33B9F" w14:paraId="023CA7BC" w14:textId="77777777" w:rsidTr="00AD0FC1">
        <w:trPr>
          <w:trHeight w:val="927"/>
          <w:tblHeader/>
          <w:jc w:val="center"/>
        </w:trPr>
        <w:tc>
          <w:tcPr>
            <w:tcW w:w="8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EABD58" w14:textId="02F6210A" w:rsidR="001C2AA6" w:rsidRPr="00A33B9F" w:rsidRDefault="002953AC" w:rsidP="006E61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Nr porządkowy</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6E8AB9" w14:textId="77777777" w:rsidR="001C2AA6" w:rsidRPr="00A33B9F" w:rsidRDefault="001C2AA6" w:rsidP="006E61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Powiązane działanie (reforma lub inwestycja)</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DCCA610" w14:textId="77777777" w:rsidR="001C2AA6" w:rsidRPr="00A33B9F" w:rsidRDefault="001C2AA6" w:rsidP="006E61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Kamień milowy / wartość docelowa</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0B78E5" w14:textId="77777777" w:rsidR="001C2AA6" w:rsidRPr="00A33B9F" w:rsidRDefault="001C2AA6" w:rsidP="006E61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Nazwa</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29D52A" w14:textId="77777777" w:rsidR="001C2AA6" w:rsidRPr="00A33B9F" w:rsidRDefault="001C2AA6" w:rsidP="006E61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69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DE37C5C" w14:textId="77777777" w:rsidR="001C2AA6" w:rsidRPr="00A33B9F" w:rsidRDefault="001C2AA6" w:rsidP="006E61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762" w:type="dxa"/>
            <w:gridSpan w:val="2"/>
            <w:tcBorders>
              <w:top w:val="single" w:sz="4" w:space="0" w:color="auto"/>
              <w:left w:val="nil"/>
              <w:bottom w:val="single" w:sz="4" w:space="0" w:color="auto"/>
              <w:right w:val="single" w:sz="4" w:space="0" w:color="auto"/>
            </w:tcBorders>
            <w:shd w:val="clear" w:color="auto" w:fill="BDD7EE"/>
            <w:vAlign w:val="center"/>
            <w:hideMark/>
          </w:tcPr>
          <w:p w14:paraId="0B268F92" w14:textId="494777AE" w:rsidR="001C2AA6" w:rsidRPr="00A33B9F" w:rsidRDefault="001C2AA6" w:rsidP="006E61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Orientacyjny harmonogram zakończenia działania</w:t>
            </w:r>
          </w:p>
        </w:tc>
        <w:tc>
          <w:tcPr>
            <w:tcW w:w="41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5E85B7" w14:textId="2318314A" w:rsidR="001C2AA6" w:rsidRPr="00A33B9F" w:rsidRDefault="001C2AA6" w:rsidP="006E611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41226B" w:rsidRPr="00A33B9F" w14:paraId="79B69BD9" w14:textId="77777777" w:rsidTr="009F4552">
        <w:trPr>
          <w:trHeight w:val="1013"/>
          <w:tblHeader/>
          <w:jc w:val="center"/>
        </w:trPr>
        <w:tc>
          <w:tcPr>
            <w:tcW w:w="809" w:type="dxa"/>
            <w:vMerge/>
            <w:tcBorders>
              <w:top w:val="single" w:sz="4" w:space="0" w:color="auto"/>
              <w:left w:val="single" w:sz="4" w:space="0" w:color="auto"/>
              <w:bottom w:val="single" w:sz="4" w:space="0" w:color="auto"/>
              <w:right w:val="single" w:sz="4" w:space="0" w:color="auto"/>
            </w:tcBorders>
            <w:hideMark/>
          </w:tcPr>
          <w:p w14:paraId="6BFB7A23" w14:textId="77777777" w:rsidR="001C2AA6" w:rsidRPr="00A33B9F" w:rsidRDefault="001C2AA6" w:rsidP="00445843">
            <w:pPr>
              <w:spacing w:after="0" w:line="240" w:lineRule="auto"/>
              <w:jc w:val="center"/>
              <w:rPr>
                <w:rFonts w:ascii="Times New Roman" w:eastAsia="Times New Roman" w:hAnsi="Times New Roman" w:cs="Times New Roman"/>
                <w:b/>
                <w:noProof/>
                <w:sz w:val="18"/>
                <w:szCs w:val="18"/>
                <w:lang w:eastAsia="en-GB"/>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29897C51" w14:textId="77777777" w:rsidR="001C2AA6" w:rsidRPr="00A33B9F" w:rsidRDefault="001C2AA6" w:rsidP="006E6112">
            <w:pPr>
              <w:spacing w:after="0" w:line="240" w:lineRule="auto"/>
              <w:rPr>
                <w:rFonts w:ascii="Times New Roman" w:eastAsia="Times New Roman" w:hAnsi="Times New Roman" w:cs="Times New Roman"/>
                <w:b/>
                <w:bCs/>
                <w:noProof/>
                <w:sz w:val="24"/>
                <w:szCs w:val="24"/>
                <w:lang w:eastAsia="en-GB"/>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72F3B0" w14:textId="77777777" w:rsidR="001C2AA6" w:rsidRPr="00A33B9F" w:rsidRDefault="001C2AA6" w:rsidP="006E6112">
            <w:pPr>
              <w:spacing w:after="0" w:line="240" w:lineRule="auto"/>
              <w:rPr>
                <w:rFonts w:ascii="Times New Roman" w:eastAsia="Times New Roman" w:hAnsi="Times New Roman" w:cs="Times New Roman"/>
                <w:b/>
                <w:bCs/>
                <w:noProof/>
                <w:sz w:val="24"/>
                <w:szCs w:val="24"/>
                <w:lang w:eastAsia="en-GB"/>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46FB6C9F" w14:textId="77777777" w:rsidR="001C2AA6" w:rsidRPr="00A33B9F" w:rsidRDefault="001C2AA6" w:rsidP="006E6112">
            <w:pPr>
              <w:spacing w:after="0" w:line="240" w:lineRule="auto"/>
              <w:rPr>
                <w:rFonts w:ascii="Times New Roman" w:eastAsia="Times New Roman" w:hAnsi="Times New Roman" w:cs="Times New Roman"/>
                <w:b/>
                <w:bCs/>
                <w:noProof/>
                <w:sz w:val="24"/>
                <w:szCs w:val="24"/>
                <w:lang w:eastAsia="en-GB"/>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3682E6C1" w14:textId="77777777" w:rsidR="001C2AA6" w:rsidRPr="00A33B9F" w:rsidRDefault="001C2AA6" w:rsidP="006E6112">
            <w:pPr>
              <w:spacing w:after="0" w:line="240" w:lineRule="auto"/>
              <w:rPr>
                <w:rFonts w:ascii="Times New Roman" w:eastAsia="Times New Roman" w:hAnsi="Times New Roman" w:cs="Times New Roman"/>
                <w:b/>
                <w:bCs/>
                <w:noProof/>
                <w:sz w:val="24"/>
                <w:szCs w:val="24"/>
                <w:lang w:eastAsia="en-GB"/>
              </w:rPr>
            </w:pPr>
          </w:p>
        </w:tc>
        <w:tc>
          <w:tcPr>
            <w:tcW w:w="1076" w:type="dxa"/>
            <w:tcBorders>
              <w:top w:val="nil"/>
              <w:left w:val="single" w:sz="4" w:space="0" w:color="auto"/>
              <w:bottom w:val="single" w:sz="4" w:space="0" w:color="auto"/>
              <w:right w:val="single" w:sz="4" w:space="0" w:color="auto"/>
            </w:tcBorders>
            <w:shd w:val="clear" w:color="auto" w:fill="BDD7EE"/>
            <w:vAlign w:val="center"/>
            <w:hideMark/>
          </w:tcPr>
          <w:p w14:paraId="56DB4F88" w14:textId="77777777" w:rsidR="001C2AA6" w:rsidRPr="00A33B9F" w:rsidRDefault="001C2AA6" w:rsidP="006E61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Jednostka miary</w:t>
            </w:r>
          </w:p>
        </w:tc>
        <w:tc>
          <w:tcPr>
            <w:tcW w:w="943" w:type="dxa"/>
            <w:tcBorders>
              <w:top w:val="nil"/>
              <w:left w:val="nil"/>
              <w:bottom w:val="single" w:sz="4" w:space="0" w:color="auto"/>
              <w:right w:val="single" w:sz="4" w:space="0" w:color="auto"/>
            </w:tcBorders>
            <w:shd w:val="clear" w:color="auto" w:fill="BDD7EE"/>
            <w:vAlign w:val="center"/>
            <w:hideMark/>
          </w:tcPr>
          <w:p w14:paraId="3686F0F2" w14:textId="43548EF5" w:rsidR="001C2AA6" w:rsidRPr="00A33B9F" w:rsidRDefault="001C2AA6" w:rsidP="006E61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Poziom bazowy</w:t>
            </w:r>
          </w:p>
        </w:tc>
        <w:tc>
          <w:tcPr>
            <w:tcW w:w="678" w:type="dxa"/>
            <w:tcBorders>
              <w:top w:val="nil"/>
              <w:left w:val="nil"/>
              <w:bottom w:val="single" w:sz="4" w:space="0" w:color="auto"/>
              <w:right w:val="single" w:sz="4" w:space="0" w:color="auto"/>
            </w:tcBorders>
            <w:shd w:val="clear" w:color="auto" w:fill="BDD7EE"/>
            <w:vAlign w:val="center"/>
            <w:hideMark/>
          </w:tcPr>
          <w:p w14:paraId="71D633E6" w14:textId="1DFD27BF" w:rsidR="001C2AA6" w:rsidRPr="00A33B9F" w:rsidRDefault="001C2AA6" w:rsidP="006E61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Cel</w:t>
            </w:r>
          </w:p>
        </w:tc>
        <w:tc>
          <w:tcPr>
            <w:tcW w:w="878" w:type="dxa"/>
            <w:tcBorders>
              <w:top w:val="nil"/>
              <w:left w:val="nil"/>
              <w:bottom w:val="single" w:sz="4" w:space="0" w:color="auto"/>
              <w:right w:val="single" w:sz="4" w:space="0" w:color="auto"/>
            </w:tcBorders>
            <w:shd w:val="clear" w:color="auto" w:fill="BDD7EE"/>
            <w:vAlign w:val="center"/>
            <w:hideMark/>
          </w:tcPr>
          <w:p w14:paraId="41920367" w14:textId="77777777" w:rsidR="001C2AA6" w:rsidRPr="00A33B9F" w:rsidRDefault="001C2AA6" w:rsidP="006E61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Kwartał</w:t>
            </w:r>
          </w:p>
        </w:tc>
        <w:tc>
          <w:tcPr>
            <w:tcW w:w="884" w:type="dxa"/>
            <w:tcBorders>
              <w:top w:val="nil"/>
              <w:left w:val="nil"/>
              <w:bottom w:val="single" w:sz="4" w:space="0" w:color="auto"/>
              <w:right w:val="single" w:sz="4" w:space="0" w:color="auto"/>
            </w:tcBorders>
            <w:shd w:val="clear" w:color="auto" w:fill="BDD7EE"/>
            <w:vAlign w:val="center"/>
            <w:hideMark/>
          </w:tcPr>
          <w:p w14:paraId="19996235" w14:textId="77777777" w:rsidR="001C2AA6" w:rsidRPr="00A33B9F" w:rsidRDefault="001C2AA6" w:rsidP="006E611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Rok</w:t>
            </w:r>
          </w:p>
        </w:tc>
        <w:tc>
          <w:tcPr>
            <w:tcW w:w="4146" w:type="dxa"/>
            <w:vMerge/>
            <w:tcBorders>
              <w:top w:val="single" w:sz="4" w:space="0" w:color="auto"/>
              <w:bottom w:val="single" w:sz="4" w:space="0" w:color="auto"/>
              <w:right w:val="single" w:sz="4" w:space="0" w:color="auto"/>
            </w:tcBorders>
            <w:vAlign w:val="center"/>
            <w:hideMark/>
          </w:tcPr>
          <w:p w14:paraId="2C59524A" w14:textId="77777777" w:rsidR="001C2AA6" w:rsidRPr="00A33B9F" w:rsidRDefault="001C2AA6" w:rsidP="006E6112">
            <w:pPr>
              <w:spacing w:after="0" w:line="240" w:lineRule="auto"/>
              <w:rPr>
                <w:rFonts w:ascii="Times New Roman" w:eastAsia="Times New Roman" w:hAnsi="Times New Roman" w:cs="Times New Roman"/>
                <w:b/>
                <w:bCs/>
                <w:noProof/>
                <w:sz w:val="24"/>
                <w:szCs w:val="24"/>
                <w:lang w:eastAsia="en-GB"/>
              </w:rPr>
            </w:pPr>
          </w:p>
        </w:tc>
      </w:tr>
      <w:tr w:rsidR="00076A5D" w:rsidRPr="00A33B9F" w14:paraId="0137BD41" w14:textId="77777777" w:rsidTr="009F4552">
        <w:trPr>
          <w:trHeight w:val="309"/>
          <w:jc w:val="center"/>
        </w:trPr>
        <w:tc>
          <w:tcPr>
            <w:tcW w:w="809" w:type="dxa"/>
            <w:tcBorders>
              <w:top w:val="single" w:sz="4" w:space="0" w:color="auto"/>
              <w:left w:val="single" w:sz="4" w:space="0" w:color="auto"/>
              <w:bottom w:val="single" w:sz="4" w:space="0" w:color="auto"/>
              <w:right w:val="single" w:sz="4" w:space="0" w:color="auto"/>
            </w:tcBorders>
            <w:shd w:val="clear" w:color="auto" w:fill="C6EFCE"/>
            <w:noWrap/>
          </w:tcPr>
          <w:p w14:paraId="6D85D229" w14:textId="6E8D852C" w:rsidR="001C2AA6"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G1L</w:t>
            </w:r>
          </w:p>
        </w:tc>
        <w:tc>
          <w:tcPr>
            <w:tcW w:w="1474" w:type="dxa"/>
            <w:tcBorders>
              <w:top w:val="single" w:sz="4" w:space="0" w:color="auto"/>
              <w:left w:val="single" w:sz="4" w:space="0" w:color="auto"/>
              <w:bottom w:val="single" w:sz="4" w:space="0" w:color="auto"/>
              <w:right w:val="single" w:sz="4" w:space="0" w:color="auto"/>
            </w:tcBorders>
            <w:shd w:val="clear" w:color="auto" w:fill="C6EFCE"/>
            <w:noWrap/>
          </w:tcPr>
          <w:p w14:paraId="3C4F157E" w14:textId="33A1552B"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G3.1.1 Usprawnienie procesu wydawania pozwoleń dotyczących odnawialnych źródeł energii</w:t>
            </w:r>
          </w:p>
        </w:tc>
        <w:tc>
          <w:tcPr>
            <w:tcW w:w="1077" w:type="dxa"/>
            <w:tcBorders>
              <w:top w:val="single" w:sz="4" w:space="0" w:color="auto"/>
              <w:left w:val="single" w:sz="4" w:space="0" w:color="auto"/>
              <w:bottom w:val="single" w:sz="4" w:space="0" w:color="auto"/>
              <w:right w:val="single" w:sz="4" w:space="0" w:color="auto"/>
            </w:tcBorders>
            <w:shd w:val="clear" w:color="auto" w:fill="C6EFCE"/>
            <w:noWrap/>
          </w:tcPr>
          <w:p w14:paraId="40F8465C" w14:textId="77777777"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single" w:sz="4" w:space="0" w:color="auto"/>
              <w:left w:val="single" w:sz="4" w:space="0" w:color="auto"/>
              <w:bottom w:val="single" w:sz="4" w:space="0" w:color="auto"/>
              <w:right w:val="single" w:sz="4" w:space="0" w:color="auto"/>
            </w:tcBorders>
            <w:shd w:val="clear" w:color="auto" w:fill="C6EFCE"/>
            <w:noWrap/>
          </w:tcPr>
          <w:p w14:paraId="0FB00B1F" w14:textId="1AC05797"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Mapowanie potencjału energii ze źródeł odnawialnych</w:t>
            </w:r>
            <w:r w:rsidR="00A33B9F" w:rsidRPr="00A33B9F">
              <w:rPr>
                <w:rFonts w:ascii="Times New Roman" w:hAnsi="Times New Roman"/>
                <w:noProof/>
                <w:sz w:val="18"/>
              </w:rPr>
              <w:t xml:space="preserve"> w odn</w:t>
            </w:r>
            <w:r w:rsidRPr="00A33B9F">
              <w:rPr>
                <w:rFonts w:ascii="Times New Roman" w:hAnsi="Times New Roman"/>
                <w:noProof/>
                <w:sz w:val="18"/>
              </w:rPr>
              <w:t>iesieniu do fotowoltaicznych</w:t>
            </w:r>
            <w:r w:rsidR="00A33B9F" w:rsidRPr="00A33B9F">
              <w:rPr>
                <w:rFonts w:ascii="Times New Roman" w:hAnsi="Times New Roman"/>
                <w:noProof/>
                <w:sz w:val="18"/>
              </w:rPr>
              <w:t xml:space="preserve"> i ląd</w:t>
            </w:r>
            <w:r w:rsidRPr="00A33B9F">
              <w:rPr>
                <w:rFonts w:ascii="Times New Roman" w:hAnsi="Times New Roman"/>
                <w:noProof/>
                <w:sz w:val="18"/>
              </w:rPr>
              <w:t>owych instalacji wiatrowych</w:t>
            </w:r>
          </w:p>
        </w:tc>
        <w:tc>
          <w:tcPr>
            <w:tcW w:w="1606" w:type="dxa"/>
            <w:tcBorders>
              <w:top w:val="single" w:sz="4" w:space="0" w:color="auto"/>
              <w:left w:val="single" w:sz="4" w:space="0" w:color="auto"/>
              <w:bottom w:val="single" w:sz="4" w:space="0" w:color="auto"/>
              <w:right w:val="single" w:sz="4" w:space="0" w:color="auto"/>
            </w:tcBorders>
            <w:shd w:val="clear" w:color="auto" w:fill="C6EFCE"/>
            <w:noWrap/>
          </w:tcPr>
          <w:p w14:paraId="013FA673" w14:textId="2229B120"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Publikacja za pośrednictwem odpowiedniego kanału cyfrowego map potencjału energii ze źródeł odnawialnych</w:t>
            </w:r>
            <w:r w:rsidR="00A33B9F" w:rsidRPr="00A33B9F">
              <w:rPr>
                <w:rFonts w:ascii="Times New Roman" w:hAnsi="Times New Roman"/>
                <w:noProof/>
                <w:sz w:val="18"/>
              </w:rPr>
              <w:t xml:space="preserve"> w odn</w:t>
            </w:r>
            <w:r w:rsidRPr="00A33B9F">
              <w:rPr>
                <w:rFonts w:ascii="Times New Roman" w:hAnsi="Times New Roman"/>
                <w:noProof/>
                <w:sz w:val="18"/>
              </w:rPr>
              <w:t>iesieniu do instalacji fotowoltaicznych</w:t>
            </w:r>
            <w:r w:rsidR="00A33B9F" w:rsidRPr="00A33B9F">
              <w:rPr>
                <w:rFonts w:ascii="Times New Roman" w:hAnsi="Times New Roman"/>
                <w:noProof/>
                <w:sz w:val="18"/>
              </w:rPr>
              <w:t xml:space="preserve"> i ląd</w:t>
            </w:r>
            <w:r w:rsidRPr="00A33B9F">
              <w:rPr>
                <w:rFonts w:ascii="Times New Roman" w:hAnsi="Times New Roman"/>
                <w:noProof/>
                <w:sz w:val="18"/>
              </w:rPr>
              <w:t>owych instalacji wiatrowych</w:t>
            </w:r>
          </w:p>
        </w:tc>
        <w:tc>
          <w:tcPr>
            <w:tcW w:w="1076" w:type="dxa"/>
            <w:tcBorders>
              <w:top w:val="single" w:sz="4" w:space="0" w:color="auto"/>
              <w:left w:val="single" w:sz="4" w:space="0" w:color="auto"/>
              <w:bottom w:val="single" w:sz="4" w:space="0" w:color="auto"/>
              <w:right w:val="single" w:sz="4" w:space="0" w:color="auto"/>
            </w:tcBorders>
            <w:shd w:val="clear" w:color="auto" w:fill="C6EFCE"/>
            <w:noWrap/>
          </w:tcPr>
          <w:p w14:paraId="01E1395C" w14:textId="77777777" w:rsidR="001C2AA6" w:rsidRPr="00A33B9F" w:rsidRDefault="001C2AA6" w:rsidP="006E6112">
            <w:pPr>
              <w:spacing w:after="0" w:line="240" w:lineRule="auto"/>
              <w:rPr>
                <w:rFonts w:ascii="Times New Roman" w:eastAsia="Times New Roman" w:hAnsi="Times New Roman" w:cs="Times New Roman"/>
                <w:noProof/>
                <w:sz w:val="18"/>
                <w:szCs w:val="18"/>
                <w:lang w:eastAsia="en-GB"/>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8623F03" w14:textId="77777777" w:rsidR="001C2AA6" w:rsidRPr="00A33B9F" w:rsidRDefault="001C2AA6" w:rsidP="006E611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C6EFCE"/>
            <w:noWrap/>
          </w:tcPr>
          <w:p w14:paraId="2C182B18" w14:textId="77777777" w:rsidR="001C2AA6" w:rsidRPr="00A33B9F" w:rsidRDefault="001C2AA6" w:rsidP="006E611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single" w:sz="4" w:space="0" w:color="auto"/>
              <w:left w:val="single" w:sz="4" w:space="0" w:color="auto"/>
              <w:bottom w:val="single" w:sz="4" w:space="0" w:color="auto"/>
              <w:right w:val="single" w:sz="4" w:space="0" w:color="auto"/>
            </w:tcBorders>
            <w:shd w:val="clear" w:color="auto" w:fill="C6EFCE"/>
            <w:noWrap/>
          </w:tcPr>
          <w:p w14:paraId="363A1082" w14:textId="77777777" w:rsidR="001C2AA6" w:rsidRPr="00A33B9F" w:rsidRDefault="001C2AA6" w:rsidP="005C5489">
            <w:pPr>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884" w:type="dxa"/>
            <w:tcBorders>
              <w:top w:val="single" w:sz="4" w:space="0" w:color="auto"/>
              <w:left w:val="single" w:sz="4" w:space="0" w:color="auto"/>
              <w:bottom w:val="single" w:sz="4" w:space="0" w:color="auto"/>
              <w:right w:val="single" w:sz="4" w:space="0" w:color="auto"/>
            </w:tcBorders>
            <w:shd w:val="clear" w:color="auto" w:fill="C6EFCE"/>
            <w:noWrap/>
          </w:tcPr>
          <w:p w14:paraId="6C982E6E" w14:textId="77777777" w:rsidR="001C2AA6" w:rsidRPr="00A33B9F" w:rsidRDefault="001C2AA6" w:rsidP="006E61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4146" w:type="dxa"/>
            <w:tcBorders>
              <w:top w:val="single" w:sz="4" w:space="0" w:color="auto"/>
              <w:left w:val="single" w:sz="4" w:space="0" w:color="auto"/>
              <w:bottom w:val="single" w:sz="4" w:space="0" w:color="auto"/>
              <w:right w:val="single" w:sz="4" w:space="0" w:color="auto"/>
            </w:tcBorders>
            <w:shd w:val="clear" w:color="auto" w:fill="C6EFCE"/>
            <w:noWrap/>
          </w:tcPr>
          <w:p w14:paraId="58C65B43" w14:textId="31135EEF" w:rsidR="00D32977"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Ministerstwo Klimatu</w:t>
            </w:r>
            <w:r w:rsidR="00A33B9F" w:rsidRPr="00A33B9F">
              <w:rPr>
                <w:rFonts w:ascii="Times New Roman" w:hAnsi="Times New Roman"/>
                <w:noProof/>
                <w:sz w:val="18"/>
              </w:rPr>
              <w:t xml:space="preserve"> i Śro</w:t>
            </w:r>
            <w:r w:rsidRPr="00A33B9F">
              <w:rPr>
                <w:rFonts w:ascii="Times New Roman" w:hAnsi="Times New Roman"/>
                <w:noProof/>
                <w:sz w:val="18"/>
              </w:rPr>
              <w:t>dowiska zleci mapowanie potencjału energii ze źródeł odnawialnych</w:t>
            </w:r>
            <w:r w:rsidR="00A33B9F" w:rsidRPr="00A33B9F">
              <w:rPr>
                <w:rFonts w:ascii="Times New Roman" w:hAnsi="Times New Roman"/>
                <w:noProof/>
                <w:sz w:val="18"/>
              </w:rPr>
              <w:t xml:space="preserve"> w odn</w:t>
            </w:r>
            <w:r w:rsidRPr="00A33B9F">
              <w:rPr>
                <w:rFonts w:ascii="Times New Roman" w:hAnsi="Times New Roman"/>
                <w:noProof/>
                <w:sz w:val="18"/>
              </w:rPr>
              <w:t>iesieniu do fotowoltaicznych</w:t>
            </w:r>
            <w:r w:rsidR="00A33B9F" w:rsidRPr="00A33B9F">
              <w:rPr>
                <w:rFonts w:ascii="Times New Roman" w:hAnsi="Times New Roman"/>
                <w:noProof/>
                <w:sz w:val="18"/>
              </w:rPr>
              <w:t xml:space="preserve"> i ląd</w:t>
            </w:r>
            <w:r w:rsidRPr="00A33B9F">
              <w:rPr>
                <w:rFonts w:ascii="Times New Roman" w:hAnsi="Times New Roman"/>
                <w:noProof/>
                <w:sz w:val="18"/>
              </w:rPr>
              <w:t>owych instalacji wiatrowych oraz opublikuje powstałe mapy zasobów za pośrednictwem odpowiedniego kanału cyfrowego, np. strony internetowej.</w:t>
            </w:r>
            <w:r w:rsidR="00C3621A" w:rsidRPr="00A33B9F">
              <w:rPr>
                <w:rFonts w:ascii="Times New Roman" w:hAnsi="Times New Roman"/>
                <w:noProof/>
                <w:sz w:val="18"/>
              </w:rPr>
              <w:t xml:space="preserve"> </w:t>
            </w:r>
          </w:p>
          <w:p w14:paraId="3E1F2F13" w14:textId="77777777" w:rsidR="00D32977" w:rsidRPr="00A33B9F" w:rsidRDefault="00D32977" w:rsidP="006E6112">
            <w:pPr>
              <w:spacing w:after="0" w:line="240" w:lineRule="auto"/>
              <w:rPr>
                <w:rFonts w:ascii="Times New Roman" w:eastAsia="Times New Roman" w:hAnsi="Times New Roman" w:cs="Times New Roman"/>
                <w:noProof/>
                <w:sz w:val="18"/>
                <w:szCs w:val="18"/>
                <w:lang w:eastAsia="en-GB"/>
              </w:rPr>
            </w:pPr>
          </w:p>
          <w:p w14:paraId="253A1EAF" w14:textId="19AF0907"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Mapa zasobów obejmie całe terytorium Polski</w:t>
            </w:r>
            <w:r w:rsidR="00A33B9F" w:rsidRPr="00A33B9F">
              <w:rPr>
                <w:rFonts w:ascii="Times New Roman" w:hAnsi="Times New Roman"/>
                <w:noProof/>
                <w:sz w:val="18"/>
              </w:rPr>
              <w:t xml:space="preserve"> i będ</w:t>
            </w:r>
            <w:r w:rsidRPr="00A33B9F">
              <w:rPr>
                <w:rFonts w:ascii="Times New Roman" w:hAnsi="Times New Roman"/>
                <w:noProof/>
                <w:sz w:val="18"/>
              </w:rPr>
              <w:t>zie dostępna</w:t>
            </w:r>
            <w:r w:rsidR="00A33B9F" w:rsidRPr="00A33B9F">
              <w:rPr>
                <w:rFonts w:ascii="Times New Roman" w:hAnsi="Times New Roman"/>
                <w:noProof/>
                <w:sz w:val="18"/>
              </w:rPr>
              <w:t xml:space="preserve"> w for</w:t>
            </w:r>
            <w:r w:rsidRPr="00A33B9F">
              <w:rPr>
                <w:rFonts w:ascii="Times New Roman" w:hAnsi="Times New Roman"/>
                <w:noProof/>
                <w:sz w:val="18"/>
              </w:rPr>
              <w:t>macie umożliwiającym łatwą integrację</w:t>
            </w:r>
            <w:r w:rsidR="00A33B9F" w:rsidRPr="00A33B9F">
              <w:rPr>
                <w:rFonts w:ascii="Times New Roman" w:hAnsi="Times New Roman"/>
                <w:noProof/>
                <w:sz w:val="18"/>
              </w:rPr>
              <w:t xml:space="preserve"> z pro</w:t>
            </w:r>
            <w:r w:rsidRPr="00A33B9F">
              <w:rPr>
                <w:rFonts w:ascii="Times New Roman" w:hAnsi="Times New Roman"/>
                <w:noProof/>
                <w:sz w:val="18"/>
              </w:rPr>
              <w:t>cedurami planowania przestrzennego</w:t>
            </w:r>
            <w:r w:rsidR="00A33B9F" w:rsidRPr="00A33B9F">
              <w:rPr>
                <w:rFonts w:ascii="Times New Roman" w:hAnsi="Times New Roman"/>
                <w:noProof/>
                <w:sz w:val="18"/>
              </w:rPr>
              <w:t xml:space="preserve"> w cel</w:t>
            </w:r>
            <w:r w:rsidRPr="00A33B9F">
              <w:rPr>
                <w:rFonts w:ascii="Times New Roman" w:hAnsi="Times New Roman"/>
                <w:noProof/>
                <w:sz w:val="18"/>
              </w:rPr>
              <w:t>u wyznaczenia obszarów energii odnawialnej (w rozumieniu art.</w:t>
            </w:r>
            <w:r w:rsidR="00A33B9F" w:rsidRPr="00A33B9F">
              <w:rPr>
                <w:rFonts w:ascii="Times New Roman" w:hAnsi="Times New Roman"/>
                <w:noProof/>
                <w:sz w:val="18"/>
              </w:rPr>
              <w:t> </w:t>
            </w:r>
            <w:r w:rsidRPr="00A33B9F">
              <w:rPr>
                <w:rFonts w:ascii="Times New Roman" w:hAnsi="Times New Roman"/>
                <w:noProof/>
                <w:sz w:val="18"/>
              </w:rPr>
              <w:t>15b dyrektywy (UE) 2023/2413</w:t>
            </w:r>
            <w:r w:rsidR="00A33B9F" w:rsidRPr="00A33B9F">
              <w:rPr>
                <w:rFonts w:ascii="Times New Roman" w:hAnsi="Times New Roman"/>
                <w:noProof/>
                <w:sz w:val="18"/>
              </w:rPr>
              <w:t xml:space="preserve"> z dni</w:t>
            </w:r>
            <w:r w:rsidRPr="00A33B9F">
              <w:rPr>
                <w:rFonts w:ascii="Times New Roman" w:hAnsi="Times New Roman"/>
                <w:noProof/>
                <w:sz w:val="18"/>
              </w:rPr>
              <w:t>a 18 października 2023</w:t>
            </w:r>
            <w:r w:rsidR="00A33B9F" w:rsidRPr="00A33B9F">
              <w:rPr>
                <w:rFonts w:ascii="Times New Roman" w:hAnsi="Times New Roman"/>
                <w:noProof/>
                <w:sz w:val="18"/>
              </w:rPr>
              <w:t> </w:t>
            </w:r>
            <w:r w:rsidRPr="00A33B9F">
              <w:rPr>
                <w:rFonts w:ascii="Times New Roman" w:hAnsi="Times New Roman"/>
                <w:noProof/>
                <w:sz w:val="18"/>
              </w:rPr>
              <w:t>r.</w:t>
            </w:r>
            <w:r w:rsidR="00A33B9F" w:rsidRPr="00A33B9F">
              <w:rPr>
                <w:rFonts w:ascii="Times New Roman" w:hAnsi="Times New Roman"/>
                <w:noProof/>
                <w:sz w:val="18"/>
              </w:rPr>
              <w:t xml:space="preserve"> w spr</w:t>
            </w:r>
            <w:r w:rsidRPr="00A33B9F">
              <w:rPr>
                <w:rFonts w:ascii="Times New Roman" w:hAnsi="Times New Roman"/>
                <w:noProof/>
                <w:sz w:val="18"/>
              </w:rPr>
              <w:t>awie energii odnawialnej) oraz obszarów przyspieszonego rozwoju energii ze źródeł odnawialnych (w rozumieniu art.</w:t>
            </w:r>
            <w:r w:rsidR="00A33B9F" w:rsidRPr="00A33B9F">
              <w:rPr>
                <w:rFonts w:ascii="Times New Roman" w:hAnsi="Times New Roman"/>
                <w:noProof/>
                <w:sz w:val="18"/>
              </w:rPr>
              <w:t> </w:t>
            </w:r>
            <w:r w:rsidRPr="00A33B9F">
              <w:rPr>
                <w:rFonts w:ascii="Times New Roman" w:hAnsi="Times New Roman"/>
                <w:noProof/>
                <w:sz w:val="18"/>
              </w:rPr>
              <w:t>2 akapit drugi pkt</w:t>
            </w:r>
            <w:r w:rsidR="00A33B9F" w:rsidRPr="00A33B9F">
              <w:rPr>
                <w:rFonts w:ascii="Times New Roman" w:hAnsi="Times New Roman"/>
                <w:noProof/>
                <w:sz w:val="18"/>
              </w:rPr>
              <w:t> </w:t>
            </w:r>
            <w:r w:rsidRPr="00A33B9F">
              <w:rPr>
                <w:rFonts w:ascii="Times New Roman" w:hAnsi="Times New Roman"/>
                <w:noProof/>
                <w:sz w:val="18"/>
              </w:rPr>
              <w:t>9a</w:t>
            </w:r>
            <w:r w:rsidR="00A33B9F" w:rsidRPr="00A33B9F">
              <w:rPr>
                <w:rFonts w:ascii="Times New Roman" w:hAnsi="Times New Roman"/>
                <w:noProof/>
                <w:sz w:val="18"/>
              </w:rPr>
              <w:t xml:space="preserve"> i art</w:t>
            </w:r>
            <w:r w:rsidRPr="00A33B9F">
              <w:rPr>
                <w:rFonts w:ascii="Times New Roman" w:hAnsi="Times New Roman"/>
                <w:noProof/>
                <w:sz w:val="18"/>
              </w:rPr>
              <w:t>.</w:t>
            </w:r>
            <w:r w:rsidR="00A33B9F" w:rsidRPr="00A33B9F">
              <w:rPr>
                <w:rFonts w:ascii="Times New Roman" w:hAnsi="Times New Roman"/>
                <w:noProof/>
                <w:sz w:val="18"/>
              </w:rPr>
              <w:t> </w:t>
            </w:r>
            <w:r w:rsidRPr="00A33B9F">
              <w:rPr>
                <w:rFonts w:ascii="Times New Roman" w:hAnsi="Times New Roman"/>
                <w:noProof/>
                <w:sz w:val="18"/>
              </w:rPr>
              <w:t>15c dyrektywy</w:t>
            </w:r>
            <w:r w:rsidR="00A33B9F" w:rsidRPr="00A33B9F">
              <w:rPr>
                <w:rFonts w:ascii="Times New Roman" w:hAnsi="Times New Roman"/>
                <w:noProof/>
                <w:sz w:val="18"/>
              </w:rPr>
              <w:t xml:space="preserve"> w spr</w:t>
            </w:r>
            <w:r w:rsidRPr="00A33B9F">
              <w:rPr>
                <w:rFonts w:ascii="Times New Roman" w:hAnsi="Times New Roman"/>
                <w:noProof/>
                <w:sz w:val="18"/>
              </w:rPr>
              <w:t xml:space="preserve">awie energii odnawialnej). </w:t>
            </w:r>
          </w:p>
          <w:p w14:paraId="41B7E8A1" w14:textId="77777777" w:rsidR="001C2AA6" w:rsidRPr="00A33B9F" w:rsidRDefault="001C2AA6" w:rsidP="006E6112">
            <w:pPr>
              <w:spacing w:after="0" w:line="240" w:lineRule="auto"/>
              <w:rPr>
                <w:rFonts w:ascii="Times New Roman" w:eastAsia="Times New Roman" w:hAnsi="Times New Roman" w:cs="Times New Roman"/>
                <w:noProof/>
                <w:sz w:val="18"/>
                <w:szCs w:val="18"/>
                <w:lang w:eastAsia="en-GB"/>
              </w:rPr>
            </w:pPr>
          </w:p>
          <w:p w14:paraId="6CE3FB97" w14:textId="4135622E" w:rsidR="001C2AA6" w:rsidRPr="00A33B9F" w:rsidRDefault="525B9D0A" w:rsidP="2757ED6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Mapowanie obejmie analizę gęstości energii</w:t>
            </w:r>
            <w:r w:rsidR="00A33B9F" w:rsidRPr="00A33B9F">
              <w:rPr>
                <w:rFonts w:ascii="Times New Roman" w:hAnsi="Times New Roman"/>
                <w:noProof/>
                <w:sz w:val="18"/>
              </w:rPr>
              <w:t xml:space="preserve"> w prz</w:t>
            </w:r>
            <w:r w:rsidRPr="00A33B9F">
              <w:rPr>
                <w:rFonts w:ascii="Times New Roman" w:hAnsi="Times New Roman"/>
                <w:noProof/>
                <w:sz w:val="18"/>
              </w:rPr>
              <w:t>ypadku instalacji fotowoltaicznych</w:t>
            </w:r>
            <w:r w:rsidR="00A33B9F" w:rsidRPr="00A33B9F">
              <w:rPr>
                <w:rFonts w:ascii="Times New Roman" w:hAnsi="Times New Roman"/>
                <w:noProof/>
                <w:sz w:val="18"/>
              </w:rPr>
              <w:t xml:space="preserve"> i ląd</w:t>
            </w:r>
            <w:r w:rsidRPr="00A33B9F">
              <w:rPr>
                <w:rFonts w:ascii="Times New Roman" w:hAnsi="Times New Roman"/>
                <w:noProof/>
                <w:sz w:val="18"/>
              </w:rPr>
              <w:t>owych instalacji wiatrowych,</w:t>
            </w:r>
            <w:r w:rsidR="00A33B9F" w:rsidRPr="00A33B9F">
              <w:rPr>
                <w:rFonts w:ascii="Times New Roman" w:hAnsi="Times New Roman"/>
                <w:noProof/>
                <w:sz w:val="18"/>
              </w:rPr>
              <w:t xml:space="preserve"> a tak</w:t>
            </w:r>
            <w:r w:rsidRPr="00A33B9F">
              <w:rPr>
                <w:rFonts w:ascii="Times New Roman" w:hAnsi="Times New Roman"/>
                <w:noProof/>
                <w:sz w:val="18"/>
              </w:rPr>
              <w:t>że inne aspekty istotne dla integracji instalacji fotowoltaicznych</w:t>
            </w:r>
            <w:r w:rsidR="00A33B9F" w:rsidRPr="00A33B9F">
              <w:rPr>
                <w:rFonts w:ascii="Times New Roman" w:hAnsi="Times New Roman"/>
                <w:noProof/>
                <w:sz w:val="18"/>
              </w:rPr>
              <w:t xml:space="preserve"> i ląd</w:t>
            </w:r>
            <w:r w:rsidRPr="00A33B9F">
              <w:rPr>
                <w:rFonts w:ascii="Times New Roman" w:hAnsi="Times New Roman"/>
                <w:noProof/>
                <w:sz w:val="18"/>
              </w:rPr>
              <w:t>owych instalacji wiatrowych</w:t>
            </w:r>
            <w:r w:rsidR="00A33B9F" w:rsidRPr="00A33B9F">
              <w:rPr>
                <w:rFonts w:ascii="Times New Roman" w:hAnsi="Times New Roman"/>
                <w:noProof/>
                <w:sz w:val="18"/>
              </w:rPr>
              <w:t xml:space="preserve"> w pla</w:t>
            </w:r>
            <w:r w:rsidRPr="00A33B9F">
              <w:rPr>
                <w:rFonts w:ascii="Times New Roman" w:hAnsi="Times New Roman"/>
                <w:noProof/>
                <w:sz w:val="18"/>
              </w:rPr>
              <w:t>nowaniu przestrzennym, takie jak ograniczenia środowiskowe</w:t>
            </w:r>
            <w:r w:rsidR="00A33B9F" w:rsidRPr="00A33B9F">
              <w:rPr>
                <w:rFonts w:ascii="Times New Roman" w:hAnsi="Times New Roman"/>
                <w:noProof/>
                <w:sz w:val="18"/>
              </w:rPr>
              <w:t xml:space="preserve"> i zwi</w:t>
            </w:r>
            <w:r w:rsidRPr="00A33B9F">
              <w:rPr>
                <w:rFonts w:ascii="Times New Roman" w:hAnsi="Times New Roman"/>
                <w:noProof/>
                <w:sz w:val="18"/>
              </w:rPr>
              <w:t>ązane</w:t>
            </w:r>
            <w:r w:rsidR="00A33B9F" w:rsidRPr="00A33B9F">
              <w:rPr>
                <w:rFonts w:ascii="Times New Roman" w:hAnsi="Times New Roman"/>
                <w:noProof/>
                <w:sz w:val="18"/>
              </w:rPr>
              <w:t xml:space="preserve"> z och</w:t>
            </w:r>
            <w:r w:rsidRPr="00A33B9F">
              <w:rPr>
                <w:rFonts w:ascii="Times New Roman" w:hAnsi="Times New Roman"/>
                <w:noProof/>
                <w:sz w:val="18"/>
              </w:rPr>
              <w:t>roną przyrody lub dostępność sieci,</w:t>
            </w:r>
            <w:r w:rsidR="00A33B9F" w:rsidRPr="00A33B9F">
              <w:rPr>
                <w:rFonts w:ascii="Times New Roman" w:hAnsi="Times New Roman"/>
                <w:noProof/>
                <w:sz w:val="18"/>
              </w:rPr>
              <w:t xml:space="preserve"> w tym</w:t>
            </w:r>
            <w:r w:rsidRPr="00A33B9F">
              <w:rPr>
                <w:rFonts w:ascii="Times New Roman" w:hAnsi="Times New Roman"/>
                <w:noProof/>
                <w:sz w:val="18"/>
              </w:rPr>
              <w:t xml:space="preserve"> wyznaczanie obszarów przyspieszonego rozwoju.</w:t>
            </w:r>
          </w:p>
        </w:tc>
      </w:tr>
      <w:tr w:rsidR="00076A5D" w:rsidRPr="00A33B9F" w14:paraId="6584318B" w14:textId="77777777" w:rsidTr="009F4552">
        <w:trPr>
          <w:trHeight w:val="309"/>
          <w:jc w:val="center"/>
        </w:trPr>
        <w:tc>
          <w:tcPr>
            <w:tcW w:w="809" w:type="dxa"/>
            <w:tcBorders>
              <w:top w:val="single" w:sz="4" w:space="0" w:color="auto"/>
              <w:left w:val="single" w:sz="4" w:space="0" w:color="auto"/>
              <w:bottom w:val="single" w:sz="4" w:space="0" w:color="auto"/>
              <w:right w:val="single" w:sz="4" w:space="0" w:color="auto"/>
            </w:tcBorders>
            <w:shd w:val="clear" w:color="auto" w:fill="C6EFCE"/>
            <w:noWrap/>
          </w:tcPr>
          <w:p w14:paraId="52642195" w14:textId="37D91754" w:rsidR="001C2AA6" w:rsidRPr="00A33B9F" w:rsidRDefault="00445843" w:rsidP="00445843">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G2L</w:t>
            </w:r>
          </w:p>
        </w:tc>
        <w:tc>
          <w:tcPr>
            <w:tcW w:w="1474" w:type="dxa"/>
            <w:tcBorders>
              <w:top w:val="single" w:sz="4" w:space="0" w:color="auto"/>
              <w:left w:val="nil"/>
              <w:bottom w:val="single" w:sz="4" w:space="0" w:color="auto"/>
              <w:right w:val="single" w:sz="4" w:space="0" w:color="auto"/>
            </w:tcBorders>
            <w:shd w:val="clear" w:color="auto" w:fill="C6EFCE"/>
            <w:noWrap/>
          </w:tcPr>
          <w:p w14:paraId="6B5A6C76" w14:textId="2D973408"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G3.1.1 Usprawnienie procesu wydawania pozwoleń dotyczących odnawialnych źródeł energii</w:t>
            </w:r>
          </w:p>
        </w:tc>
        <w:tc>
          <w:tcPr>
            <w:tcW w:w="1077" w:type="dxa"/>
            <w:tcBorders>
              <w:top w:val="single" w:sz="4" w:space="0" w:color="auto"/>
              <w:left w:val="nil"/>
              <w:bottom w:val="single" w:sz="4" w:space="0" w:color="auto"/>
              <w:right w:val="single" w:sz="4" w:space="0" w:color="auto"/>
            </w:tcBorders>
            <w:shd w:val="clear" w:color="auto" w:fill="C6EFCE"/>
            <w:noWrap/>
          </w:tcPr>
          <w:p w14:paraId="06FFD68B" w14:textId="77777777"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single" w:sz="4" w:space="0" w:color="auto"/>
              <w:left w:val="nil"/>
              <w:bottom w:val="single" w:sz="4" w:space="0" w:color="auto"/>
              <w:right w:val="single" w:sz="4" w:space="0" w:color="auto"/>
            </w:tcBorders>
            <w:shd w:val="clear" w:color="auto" w:fill="C6EFCE"/>
            <w:noWrap/>
          </w:tcPr>
          <w:p w14:paraId="1FD646B9" w14:textId="10EF8481"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Przyspieszenie procedur wydawania pozwoleń</w:t>
            </w:r>
          </w:p>
        </w:tc>
        <w:tc>
          <w:tcPr>
            <w:tcW w:w="1606" w:type="dxa"/>
            <w:tcBorders>
              <w:top w:val="single" w:sz="4" w:space="0" w:color="auto"/>
              <w:left w:val="nil"/>
              <w:bottom w:val="single" w:sz="4" w:space="0" w:color="auto"/>
              <w:right w:val="single" w:sz="4" w:space="0" w:color="auto"/>
            </w:tcBorders>
            <w:shd w:val="clear" w:color="auto" w:fill="C6EFCE"/>
            <w:noWrap/>
          </w:tcPr>
          <w:p w14:paraId="7A63F1D5" w14:textId="43F7CCD6" w:rsidR="001C2AA6" w:rsidRPr="00A33B9F" w:rsidRDefault="001C2AA6" w:rsidP="006E611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Przepis</w:t>
            </w:r>
            <w:r w:rsidR="00A33B9F" w:rsidRPr="00A33B9F">
              <w:rPr>
                <w:rFonts w:ascii="Times New Roman" w:hAnsi="Times New Roman"/>
                <w:noProof/>
                <w:sz w:val="18"/>
              </w:rPr>
              <w:t xml:space="preserve"> w akt</w:t>
            </w:r>
            <w:r w:rsidRPr="00A33B9F">
              <w:rPr>
                <w:rFonts w:ascii="Times New Roman" w:hAnsi="Times New Roman"/>
                <w:noProof/>
                <w:sz w:val="18"/>
              </w:rPr>
              <w:t>ach prawnych wskazujące na ich wejście</w:t>
            </w:r>
            <w:r w:rsidR="00A33B9F" w:rsidRPr="00A33B9F">
              <w:rPr>
                <w:rFonts w:ascii="Times New Roman" w:hAnsi="Times New Roman"/>
                <w:noProof/>
                <w:sz w:val="18"/>
              </w:rPr>
              <w:t xml:space="preserve"> w życ</w:t>
            </w:r>
            <w:r w:rsidRPr="00A33B9F">
              <w:rPr>
                <w:rFonts w:ascii="Times New Roman" w:hAnsi="Times New Roman"/>
                <w:noProof/>
                <w:sz w:val="18"/>
              </w:rPr>
              <w:t>ie</w:t>
            </w:r>
            <w:r w:rsidR="00C3621A" w:rsidRPr="00A33B9F">
              <w:rPr>
                <w:rFonts w:ascii="Times New Roman" w:hAnsi="Times New Roman"/>
                <w:noProof/>
                <w:sz w:val="18"/>
              </w:rPr>
              <w:t xml:space="preserve"> </w:t>
            </w:r>
          </w:p>
          <w:p w14:paraId="67417548" w14:textId="77777777" w:rsidR="001C2AA6" w:rsidRPr="00A33B9F" w:rsidRDefault="001C2AA6" w:rsidP="006E6112">
            <w:pPr>
              <w:spacing w:after="0" w:line="240" w:lineRule="auto"/>
              <w:rPr>
                <w:rFonts w:ascii="Times New Roman" w:eastAsia="Times New Roman" w:hAnsi="Times New Roman" w:cs="Times New Roman"/>
                <w:noProof/>
                <w:sz w:val="18"/>
                <w:szCs w:val="18"/>
                <w:lang w:eastAsia="en-GB"/>
              </w:rPr>
            </w:pPr>
          </w:p>
          <w:p w14:paraId="553D4391" w14:textId="77777777" w:rsidR="001C2AA6" w:rsidRPr="00A33B9F" w:rsidRDefault="001C2AA6" w:rsidP="006E6112">
            <w:pPr>
              <w:pStyle w:val="Normal0"/>
              <w:spacing w:after="0" w:line="240" w:lineRule="auto"/>
              <w:rPr>
                <w:rFonts w:ascii="Times New Roman" w:eastAsia="Times New Roman" w:hAnsi="Times New Roman" w:cs="Times New Roman"/>
                <w:noProof/>
                <w:sz w:val="18"/>
                <w:szCs w:val="18"/>
                <w:lang w:eastAsia="en-GB"/>
              </w:rPr>
            </w:pPr>
          </w:p>
        </w:tc>
        <w:tc>
          <w:tcPr>
            <w:tcW w:w="1076" w:type="dxa"/>
            <w:tcBorders>
              <w:top w:val="single" w:sz="4" w:space="0" w:color="auto"/>
              <w:left w:val="nil"/>
              <w:bottom w:val="single" w:sz="4" w:space="0" w:color="auto"/>
              <w:right w:val="single" w:sz="4" w:space="0" w:color="auto"/>
            </w:tcBorders>
            <w:shd w:val="clear" w:color="auto" w:fill="C6EFCE"/>
            <w:noWrap/>
          </w:tcPr>
          <w:p w14:paraId="2A55E78C" w14:textId="77777777" w:rsidR="001C2AA6" w:rsidRPr="00A33B9F" w:rsidRDefault="001C2AA6" w:rsidP="006E6112">
            <w:pPr>
              <w:spacing w:after="0" w:line="240" w:lineRule="auto"/>
              <w:rPr>
                <w:rFonts w:ascii="Times New Roman" w:eastAsia="Times New Roman" w:hAnsi="Times New Roman" w:cs="Times New Roman"/>
                <w:noProof/>
                <w:sz w:val="18"/>
                <w:szCs w:val="18"/>
                <w:lang w:eastAsia="en-GB"/>
              </w:rPr>
            </w:pPr>
          </w:p>
        </w:tc>
        <w:tc>
          <w:tcPr>
            <w:tcW w:w="943" w:type="dxa"/>
            <w:tcBorders>
              <w:top w:val="single" w:sz="4" w:space="0" w:color="auto"/>
              <w:left w:val="nil"/>
              <w:bottom w:val="single" w:sz="4" w:space="0" w:color="auto"/>
              <w:right w:val="single" w:sz="4" w:space="0" w:color="auto"/>
            </w:tcBorders>
            <w:shd w:val="clear" w:color="auto" w:fill="C6EFCE"/>
            <w:noWrap/>
          </w:tcPr>
          <w:p w14:paraId="3CA09F7B" w14:textId="77777777" w:rsidR="001C2AA6" w:rsidRPr="00A33B9F" w:rsidRDefault="001C2AA6" w:rsidP="006E611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single" w:sz="4" w:space="0" w:color="auto"/>
              <w:left w:val="nil"/>
              <w:bottom w:val="single" w:sz="4" w:space="0" w:color="auto"/>
              <w:right w:val="single" w:sz="4" w:space="0" w:color="auto"/>
            </w:tcBorders>
            <w:shd w:val="clear" w:color="auto" w:fill="C6EFCE"/>
            <w:noWrap/>
          </w:tcPr>
          <w:p w14:paraId="7912FF4E" w14:textId="77777777" w:rsidR="001C2AA6" w:rsidRPr="00A33B9F" w:rsidRDefault="001C2AA6" w:rsidP="006E611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single" w:sz="4" w:space="0" w:color="auto"/>
              <w:left w:val="nil"/>
              <w:bottom w:val="single" w:sz="4" w:space="0" w:color="auto"/>
              <w:right w:val="single" w:sz="4" w:space="0" w:color="auto"/>
            </w:tcBorders>
            <w:shd w:val="clear" w:color="auto" w:fill="C6EFCE"/>
            <w:noWrap/>
          </w:tcPr>
          <w:p w14:paraId="68D95A6E" w14:textId="77777777" w:rsidR="001C2AA6" w:rsidRPr="00A33B9F" w:rsidRDefault="001C2AA6" w:rsidP="006E61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884" w:type="dxa"/>
            <w:tcBorders>
              <w:top w:val="single" w:sz="4" w:space="0" w:color="auto"/>
              <w:left w:val="nil"/>
              <w:bottom w:val="single" w:sz="4" w:space="0" w:color="auto"/>
              <w:right w:val="single" w:sz="4" w:space="0" w:color="auto"/>
            </w:tcBorders>
            <w:shd w:val="clear" w:color="auto" w:fill="C6EFCE"/>
            <w:noWrap/>
          </w:tcPr>
          <w:p w14:paraId="756F1AFB" w14:textId="77777777" w:rsidR="001C2AA6" w:rsidRPr="00A33B9F" w:rsidRDefault="001C2AA6" w:rsidP="006E611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4146" w:type="dxa"/>
            <w:tcBorders>
              <w:top w:val="single" w:sz="4" w:space="0" w:color="auto"/>
              <w:left w:val="nil"/>
              <w:bottom w:val="single" w:sz="4" w:space="0" w:color="auto"/>
              <w:right w:val="single" w:sz="4" w:space="0" w:color="auto"/>
            </w:tcBorders>
            <w:shd w:val="clear" w:color="auto" w:fill="C6EFCE"/>
            <w:noWrap/>
          </w:tcPr>
          <w:p w14:paraId="6E9D0985" w14:textId="2AE0770D" w:rsidR="00884724" w:rsidRPr="00A33B9F" w:rsidRDefault="001C2AA6" w:rsidP="00505CEF">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aktów prawnych określających ramy prawne wyznaczania obszarów przyspieszonego rozwoju energii ze źródeł odnawialnych zarówno dla lądowych instalacji wiatrowych, jak</w:t>
            </w:r>
            <w:r w:rsidR="00A33B9F" w:rsidRPr="00A33B9F">
              <w:rPr>
                <w:rFonts w:ascii="Times New Roman" w:hAnsi="Times New Roman"/>
                <w:noProof/>
                <w:sz w:val="18"/>
              </w:rPr>
              <w:t xml:space="preserve"> i ins</w:t>
            </w:r>
            <w:r w:rsidRPr="00A33B9F">
              <w:rPr>
                <w:rFonts w:ascii="Times New Roman" w:hAnsi="Times New Roman"/>
                <w:noProof/>
                <w:sz w:val="18"/>
              </w:rPr>
              <w:t xml:space="preserve">talacji fotowoltaicznych. </w:t>
            </w:r>
          </w:p>
          <w:p w14:paraId="40B203B3" w14:textId="77777777" w:rsidR="00884724" w:rsidRPr="00A33B9F" w:rsidRDefault="00884724" w:rsidP="00505CEF">
            <w:pPr>
              <w:spacing w:after="0" w:line="240" w:lineRule="auto"/>
              <w:rPr>
                <w:rFonts w:ascii="Times New Roman" w:eastAsia="Times New Roman" w:hAnsi="Times New Roman" w:cs="Times New Roman"/>
                <w:noProof/>
                <w:sz w:val="18"/>
                <w:szCs w:val="18"/>
                <w:lang w:eastAsia="en-GB"/>
              </w:rPr>
            </w:pPr>
          </w:p>
          <w:p w14:paraId="28920A1F" w14:textId="44892781" w:rsidR="005E2E32" w:rsidRPr="00A33B9F" w:rsidRDefault="6DF8D6BE" w:rsidP="00505CEF">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Na potrzeby tego kamienia milowego obszary przyspieszonego rozwoju należy rozumieć jako zdefiniowane</w:t>
            </w:r>
            <w:r w:rsidR="00A33B9F" w:rsidRPr="00A33B9F">
              <w:rPr>
                <w:rFonts w:ascii="Times New Roman" w:hAnsi="Times New Roman"/>
                <w:noProof/>
                <w:sz w:val="18"/>
              </w:rPr>
              <w:t xml:space="preserve"> i ure</w:t>
            </w:r>
            <w:r w:rsidRPr="00A33B9F">
              <w:rPr>
                <w:rFonts w:ascii="Times New Roman" w:hAnsi="Times New Roman"/>
                <w:noProof/>
                <w:sz w:val="18"/>
              </w:rPr>
              <w:t>gulowane</w:t>
            </w:r>
            <w:r w:rsidR="00A33B9F" w:rsidRPr="00A33B9F">
              <w:rPr>
                <w:rFonts w:ascii="Times New Roman" w:hAnsi="Times New Roman"/>
                <w:noProof/>
                <w:sz w:val="18"/>
              </w:rPr>
              <w:t xml:space="preserve"> w dyr</w:t>
            </w:r>
            <w:r w:rsidRPr="00A33B9F">
              <w:rPr>
                <w:rFonts w:ascii="Times New Roman" w:hAnsi="Times New Roman"/>
                <w:noProof/>
                <w:sz w:val="18"/>
              </w:rPr>
              <w:t>ektywie</w:t>
            </w:r>
            <w:r w:rsidR="00A33B9F" w:rsidRPr="00A33B9F">
              <w:rPr>
                <w:rFonts w:ascii="Times New Roman" w:hAnsi="Times New Roman"/>
                <w:noProof/>
                <w:sz w:val="18"/>
              </w:rPr>
              <w:t xml:space="preserve"> w spr</w:t>
            </w:r>
            <w:r w:rsidRPr="00A33B9F">
              <w:rPr>
                <w:rFonts w:ascii="Times New Roman" w:hAnsi="Times New Roman"/>
                <w:noProof/>
                <w:sz w:val="18"/>
              </w:rPr>
              <w:t>awie energii odnawialnej (art.</w:t>
            </w:r>
            <w:r w:rsidR="00A33B9F" w:rsidRPr="00A33B9F">
              <w:rPr>
                <w:rFonts w:ascii="Times New Roman" w:hAnsi="Times New Roman"/>
                <w:noProof/>
                <w:sz w:val="18"/>
              </w:rPr>
              <w:t> </w:t>
            </w:r>
            <w:r w:rsidRPr="00A33B9F">
              <w:rPr>
                <w:rFonts w:ascii="Times New Roman" w:hAnsi="Times New Roman"/>
                <w:noProof/>
                <w:sz w:val="18"/>
              </w:rPr>
              <w:t>2 akapit drugi pkt</w:t>
            </w:r>
            <w:r w:rsidR="00A33B9F" w:rsidRPr="00A33B9F">
              <w:rPr>
                <w:rFonts w:ascii="Times New Roman" w:hAnsi="Times New Roman"/>
                <w:noProof/>
                <w:sz w:val="18"/>
              </w:rPr>
              <w:t> </w:t>
            </w:r>
            <w:r w:rsidRPr="00A33B9F">
              <w:rPr>
                <w:rFonts w:ascii="Times New Roman" w:hAnsi="Times New Roman"/>
                <w:noProof/>
                <w:sz w:val="18"/>
              </w:rPr>
              <w:t>9a, art.</w:t>
            </w:r>
            <w:r w:rsidR="00A33B9F" w:rsidRPr="00A33B9F">
              <w:rPr>
                <w:rFonts w:ascii="Times New Roman" w:hAnsi="Times New Roman"/>
                <w:noProof/>
                <w:sz w:val="18"/>
              </w:rPr>
              <w:t> </w:t>
            </w:r>
            <w:r w:rsidRPr="00A33B9F">
              <w:rPr>
                <w:rFonts w:ascii="Times New Roman" w:hAnsi="Times New Roman"/>
                <w:noProof/>
                <w:sz w:val="18"/>
              </w:rPr>
              <w:t>15c, art.</w:t>
            </w:r>
            <w:r w:rsidR="00A33B9F" w:rsidRPr="00A33B9F">
              <w:rPr>
                <w:rFonts w:ascii="Times New Roman" w:hAnsi="Times New Roman"/>
                <w:noProof/>
                <w:sz w:val="18"/>
              </w:rPr>
              <w:t> </w:t>
            </w:r>
            <w:r w:rsidRPr="00A33B9F">
              <w:rPr>
                <w:rFonts w:ascii="Times New Roman" w:hAnsi="Times New Roman"/>
                <w:noProof/>
                <w:sz w:val="18"/>
              </w:rPr>
              <w:t>16 ust.</w:t>
            </w:r>
            <w:r w:rsidR="00A33B9F" w:rsidRPr="00A33B9F">
              <w:rPr>
                <w:rFonts w:ascii="Times New Roman" w:hAnsi="Times New Roman"/>
                <w:noProof/>
                <w:sz w:val="18"/>
              </w:rPr>
              <w:t> </w:t>
            </w:r>
            <w:r w:rsidRPr="00A33B9F">
              <w:rPr>
                <w:rFonts w:ascii="Times New Roman" w:hAnsi="Times New Roman"/>
                <w:noProof/>
                <w:sz w:val="18"/>
              </w:rPr>
              <w:t>2, art.</w:t>
            </w:r>
            <w:r w:rsidR="00A33B9F" w:rsidRPr="00A33B9F">
              <w:rPr>
                <w:rFonts w:ascii="Times New Roman" w:hAnsi="Times New Roman"/>
                <w:noProof/>
                <w:sz w:val="18"/>
              </w:rPr>
              <w:t> </w:t>
            </w:r>
            <w:r w:rsidRPr="00A33B9F">
              <w:rPr>
                <w:rFonts w:ascii="Times New Roman" w:hAnsi="Times New Roman"/>
                <w:noProof/>
                <w:sz w:val="18"/>
              </w:rPr>
              <w:t>16a</w:t>
            </w:r>
            <w:r w:rsidR="00A33B9F" w:rsidRPr="00A33B9F">
              <w:rPr>
                <w:rFonts w:ascii="Times New Roman" w:hAnsi="Times New Roman"/>
                <w:noProof/>
                <w:sz w:val="18"/>
              </w:rPr>
              <w:t xml:space="preserve"> i art</w:t>
            </w:r>
            <w:r w:rsidRPr="00A33B9F">
              <w:rPr>
                <w:rFonts w:ascii="Times New Roman" w:hAnsi="Times New Roman"/>
                <w:noProof/>
                <w:sz w:val="18"/>
              </w:rPr>
              <w:t>.</w:t>
            </w:r>
            <w:r w:rsidR="00A33B9F" w:rsidRPr="00A33B9F">
              <w:rPr>
                <w:rFonts w:ascii="Times New Roman" w:hAnsi="Times New Roman"/>
                <w:noProof/>
                <w:sz w:val="18"/>
              </w:rPr>
              <w:t> </w:t>
            </w:r>
            <w:r w:rsidRPr="00A33B9F">
              <w:rPr>
                <w:rFonts w:ascii="Times New Roman" w:hAnsi="Times New Roman"/>
                <w:noProof/>
                <w:sz w:val="18"/>
              </w:rPr>
              <w:t>16c ust.</w:t>
            </w:r>
            <w:r w:rsidR="00A33B9F" w:rsidRPr="00A33B9F">
              <w:rPr>
                <w:rFonts w:ascii="Times New Roman" w:hAnsi="Times New Roman"/>
                <w:noProof/>
                <w:sz w:val="18"/>
              </w:rPr>
              <w:t> </w:t>
            </w:r>
            <w:r w:rsidRPr="00A33B9F">
              <w:rPr>
                <w:rFonts w:ascii="Times New Roman" w:hAnsi="Times New Roman"/>
                <w:noProof/>
                <w:sz w:val="18"/>
              </w:rPr>
              <w:t>2</w:t>
            </w:r>
            <w:r w:rsidR="00A33B9F" w:rsidRPr="00A33B9F">
              <w:rPr>
                <w:rFonts w:ascii="Times New Roman" w:hAnsi="Times New Roman"/>
                <w:noProof/>
                <w:sz w:val="18"/>
              </w:rPr>
              <w:t xml:space="preserve"> i 3</w:t>
            </w:r>
            <w:r w:rsidRPr="00A33B9F">
              <w:rPr>
                <w:rFonts w:ascii="Times New Roman" w:hAnsi="Times New Roman"/>
                <w:noProof/>
                <w:sz w:val="18"/>
              </w:rPr>
              <w:t xml:space="preserve"> dyrektywy (UE) 2018/2001 zmienionej dyrektywą (UE) 2023/2413</w:t>
            </w:r>
            <w:r w:rsidR="00A33B9F" w:rsidRPr="00A33B9F">
              <w:rPr>
                <w:rFonts w:ascii="Times New Roman" w:hAnsi="Times New Roman"/>
                <w:noProof/>
                <w:sz w:val="18"/>
              </w:rPr>
              <w:t xml:space="preserve"> z dni</w:t>
            </w:r>
            <w:r w:rsidRPr="00A33B9F">
              <w:rPr>
                <w:rFonts w:ascii="Times New Roman" w:hAnsi="Times New Roman"/>
                <w:noProof/>
                <w:sz w:val="18"/>
              </w:rPr>
              <w:t>a 18 października 2023</w:t>
            </w:r>
            <w:r w:rsidR="00A33B9F" w:rsidRPr="00A33B9F">
              <w:rPr>
                <w:rFonts w:ascii="Times New Roman" w:hAnsi="Times New Roman"/>
                <w:noProof/>
                <w:sz w:val="18"/>
              </w:rPr>
              <w:t> </w:t>
            </w:r>
            <w:r w:rsidRPr="00A33B9F">
              <w:rPr>
                <w:rFonts w:ascii="Times New Roman" w:hAnsi="Times New Roman"/>
                <w:noProof/>
                <w:sz w:val="18"/>
              </w:rPr>
              <w:t xml:space="preserve">r.). </w:t>
            </w:r>
          </w:p>
          <w:p w14:paraId="2B06F77B" w14:textId="77777777" w:rsidR="005E2E32" w:rsidRPr="00A33B9F" w:rsidRDefault="005E2E32" w:rsidP="00505CEF">
            <w:pPr>
              <w:spacing w:after="0" w:line="240" w:lineRule="auto"/>
              <w:rPr>
                <w:rFonts w:ascii="Times New Roman" w:eastAsia="Times New Roman" w:hAnsi="Times New Roman" w:cs="Times New Roman"/>
                <w:noProof/>
                <w:sz w:val="18"/>
                <w:szCs w:val="18"/>
                <w:lang w:eastAsia="en-GB"/>
              </w:rPr>
            </w:pPr>
          </w:p>
          <w:p w14:paraId="6612423E" w14:textId="2CC67159" w:rsidR="00F24072" w:rsidRPr="00A33B9F" w:rsidRDefault="001C2AA6"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Te ramy prawne określają co najmniej (i) właściwe organy odpowiedzialne za wyznaczanie obszarów przyspieszonego rozwoju energii ze źródeł odnawialnych, (ii) ich obowiązki,</w:t>
            </w:r>
            <w:r w:rsidR="00A33B9F" w:rsidRPr="00A33B9F">
              <w:rPr>
                <w:rFonts w:ascii="Times New Roman" w:hAnsi="Times New Roman"/>
                <w:noProof/>
                <w:sz w:val="18"/>
              </w:rPr>
              <w:t xml:space="preserve"> w tym w odn</w:t>
            </w:r>
            <w:r w:rsidRPr="00A33B9F">
              <w:rPr>
                <w:rFonts w:ascii="Times New Roman" w:hAnsi="Times New Roman"/>
                <w:noProof/>
                <w:sz w:val="18"/>
              </w:rPr>
              <w:t>iesieniu do zapewnienia, aby wyznaczenie obszarów przyspieszonego rozwoju energii ze źródeł odnawialnych nie miało negatywnego wpływu na ochronę przyrody</w:t>
            </w:r>
            <w:r w:rsidR="00A33B9F" w:rsidRPr="00A33B9F">
              <w:rPr>
                <w:rFonts w:ascii="Times New Roman" w:hAnsi="Times New Roman"/>
                <w:noProof/>
                <w:sz w:val="18"/>
              </w:rPr>
              <w:t xml:space="preserve"> i róż</w:t>
            </w:r>
            <w:r w:rsidRPr="00A33B9F">
              <w:rPr>
                <w:rFonts w:ascii="Times New Roman" w:hAnsi="Times New Roman"/>
                <w:noProof/>
                <w:sz w:val="18"/>
              </w:rPr>
              <w:t>norodności biologicznej, oraz (iii) procedury wydawania pozwoleń dotyczące lądowych instalacji wiatrowych</w:t>
            </w:r>
            <w:r w:rsidR="00A33B9F" w:rsidRPr="00A33B9F">
              <w:rPr>
                <w:rFonts w:ascii="Times New Roman" w:hAnsi="Times New Roman"/>
                <w:noProof/>
                <w:sz w:val="18"/>
              </w:rPr>
              <w:t xml:space="preserve"> i ins</w:t>
            </w:r>
            <w:r w:rsidRPr="00A33B9F">
              <w:rPr>
                <w:rFonts w:ascii="Times New Roman" w:hAnsi="Times New Roman"/>
                <w:noProof/>
                <w:sz w:val="18"/>
              </w:rPr>
              <w:t>talacji fotowoltaicznych, które mają zastosowanie do obszarów przyspieszonego rozwoju energii ze źródeł odnawialnych.</w:t>
            </w:r>
          </w:p>
        </w:tc>
      </w:tr>
      <w:tr w:rsidR="00076A5D" w:rsidRPr="00A33B9F" w14:paraId="002F5C9C"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39ABAB6B" w14:textId="37AF14DA" w:rsidR="00F24072" w:rsidRPr="00A33B9F" w:rsidRDefault="000B622A"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G3L</w:t>
            </w:r>
          </w:p>
        </w:tc>
        <w:tc>
          <w:tcPr>
            <w:tcW w:w="1474" w:type="dxa"/>
            <w:tcBorders>
              <w:top w:val="nil"/>
              <w:left w:val="nil"/>
              <w:bottom w:val="single" w:sz="4" w:space="0" w:color="auto"/>
              <w:right w:val="single" w:sz="4" w:space="0" w:color="auto"/>
            </w:tcBorders>
            <w:shd w:val="clear" w:color="auto" w:fill="C6EFCE"/>
            <w:noWrap/>
          </w:tcPr>
          <w:p w14:paraId="09DBEAC9" w14:textId="28071B09"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G3.1.1 Usprawnienie procesu wydawania pozwoleń dotyczących odnawialnych źródeł energii</w:t>
            </w:r>
          </w:p>
        </w:tc>
        <w:tc>
          <w:tcPr>
            <w:tcW w:w="1077" w:type="dxa"/>
            <w:tcBorders>
              <w:top w:val="nil"/>
              <w:left w:val="nil"/>
              <w:bottom w:val="single" w:sz="4" w:space="0" w:color="auto"/>
              <w:right w:val="single" w:sz="4" w:space="0" w:color="auto"/>
            </w:tcBorders>
            <w:shd w:val="clear" w:color="auto" w:fill="C6EFCE"/>
            <w:noWrap/>
          </w:tcPr>
          <w:p w14:paraId="33A4E915" w14:textId="77777777" w:rsidR="00F24072" w:rsidRPr="00A33B9F" w:rsidRDefault="00F24072" w:rsidP="00F24072">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p w14:paraId="54CADC5D"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1874" w:type="dxa"/>
            <w:tcBorders>
              <w:top w:val="nil"/>
              <w:left w:val="nil"/>
              <w:bottom w:val="single" w:sz="4" w:space="0" w:color="auto"/>
              <w:right w:val="single" w:sz="4" w:space="0" w:color="auto"/>
            </w:tcBorders>
            <w:shd w:val="clear" w:color="auto" w:fill="C6EFCE"/>
            <w:noWrap/>
          </w:tcPr>
          <w:p w14:paraId="588EA90A" w14:textId="5C83A5CC"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Cyfryzacja procesu wydawania pozwoleń</w:t>
            </w:r>
            <w:r w:rsidR="00C3621A" w:rsidRPr="00A33B9F">
              <w:rPr>
                <w:rFonts w:ascii="Times New Roman" w:hAnsi="Times New Roman"/>
                <w:noProof/>
                <w:sz w:val="18"/>
              </w:rPr>
              <w:t xml:space="preserve"> </w:t>
            </w:r>
          </w:p>
          <w:p w14:paraId="0574B03C"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1606" w:type="dxa"/>
            <w:tcBorders>
              <w:top w:val="nil"/>
              <w:left w:val="nil"/>
              <w:bottom w:val="single" w:sz="4" w:space="0" w:color="auto"/>
              <w:right w:val="single" w:sz="4" w:space="0" w:color="auto"/>
            </w:tcBorders>
            <w:shd w:val="clear" w:color="auto" w:fill="C6EFCE"/>
            <w:noWrap/>
          </w:tcPr>
          <w:p w14:paraId="6899961B" w14:textId="750E42E9"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Finalizacja ogólnych specyfikacji technicznych dotyczących platformy informatycznej na rzecz jednolitych ram cyfrowych na potrzeby wydawania pozwoleń na odnawialne źródła energii</w:t>
            </w:r>
          </w:p>
        </w:tc>
        <w:tc>
          <w:tcPr>
            <w:tcW w:w="1076" w:type="dxa"/>
            <w:tcBorders>
              <w:top w:val="nil"/>
              <w:left w:val="nil"/>
              <w:bottom w:val="single" w:sz="4" w:space="0" w:color="auto"/>
              <w:right w:val="single" w:sz="4" w:space="0" w:color="auto"/>
            </w:tcBorders>
            <w:shd w:val="clear" w:color="auto" w:fill="C6EFCE"/>
            <w:noWrap/>
          </w:tcPr>
          <w:p w14:paraId="67207F5E"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64C33920"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307363C2"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55C6C8DD" w14:textId="7B8389D3" w:rsidR="00F24072" w:rsidRPr="00A33B9F" w:rsidRDefault="00E60908"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4614B9C0" w14:textId="497314C3"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4146" w:type="dxa"/>
            <w:tcBorders>
              <w:top w:val="nil"/>
              <w:left w:val="nil"/>
              <w:bottom w:val="single" w:sz="4" w:space="0" w:color="auto"/>
              <w:right w:val="single" w:sz="4" w:space="0" w:color="auto"/>
            </w:tcBorders>
            <w:shd w:val="clear" w:color="auto" w:fill="C6EFCE"/>
            <w:noWrap/>
          </w:tcPr>
          <w:p w14:paraId="058D223A" w14:textId="1A153EF1" w:rsidR="00F24072" w:rsidRPr="00A33B9F" w:rsidRDefault="4811699D"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Odpowiednie polskie organy sporządzą</w:t>
            </w:r>
            <w:r w:rsidR="00A33B9F" w:rsidRPr="00A33B9F">
              <w:rPr>
                <w:rFonts w:ascii="Times New Roman" w:hAnsi="Times New Roman"/>
                <w:noProof/>
                <w:sz w:val="18"/>
              </w:rPr>
              <w:t xml:space="preserve"> i sfi</w:t>
            </w:r>
            <w:r w:rsidRPr="00A33B9F">
              <w:rPr>
                <w:rFonts w:ascii="Times New Roman" w:hAnsi="Times New Roman"/>
                <w:noProof/>
                <w:sz w:val="18"/>
              </w:rPr>
              <w:t>nalizują ogólne specyfikacje techniczne –</w:t>
            </w:r>
            <w:r w:rsidR="00A33B9F" w:rsidRPr="00A33B9F">
              <w:rPr>
                <w:rFonts w:ascii="Times New Roman" w:hAnsi="Times New Roman"/>
                <w:noProof/>
                <w:sz w:val="18"/>
              </w:rPr>
              <w:t xml:space="preserve"> w tak</w:t>
            </w:r>
            <w:r w:rsidRPr="00A33B9F">
              <w:rPr>
                <w:rFonts w:ascii="Times New Roman" w:hAnsi="Times New Roman"/>
                <w:noProof/>
                <w:sz w:val="18"/>
              </w:rPr>
              <w:t>i sposób, aby</w:t>
            </w:r>
            <w:r w:rsidR="00A33B9F" w:rsidRPr="00A33B9F">
              <w:rPr>
                <w:rFonts w:ascii="Times New Roman" w:hAnsi="Times New Roman"/>
                <w:noProof/>
                <w:sz w:val="18"/>
              </w:rPr>
              <w:t xml:space="preserve"> w sto</w:t>
            </w:r>
            <w:r w:rsidRPr="00A33B9F">
              <w:rPr>
                <w:rFonts w:ascii="Times New Roman" w:hAnsi="Times New Roman"/>
                <w:noProof/>
                <w:sz w:val="18"/>
              </w:rPr>
              <w:t>sownych przypadkach można je było wykorzystać</w:t>
            </w:r>
            <w:r w:rsidR="00A33B9F" w:rsidRPr="00A33B9F">
              <w:rPr>
                <w:rFonts w:ascii="Times New Roman" w:hAnsi="Times New Roman"/>
                <w:noProof/>
                <w:sz w:val="18"/>
              </w:rPr>
              <w:t xml:space="preserve"> w pos</w:t>
            </w:r>
            <w:r w:rsidRPr="00A33B9F">
              <w:rPr>
                <w:rFonts w:ascii="Times New Roman" w:hAnsi="Times New Roman"/>
                <w:noProof/>
                <w:sz w:val="18"/>
              </w:rPr>
              <w:t>tępowaniach</w:t>
            </w:r>
            <w:r w:rsidR="00A33B9F" w:rsidRPr="00A33B9F">
              <w:rPr>
                <w:rFonts w:ascii="Times New Roman" w:hAnsi="Times New Roman"/>
                <w:noProof/>
                <w:sz w:val="18"/>
              </w:rPr>
              <w:t xml:space="preserve"> o udz</w:t>
            </w:r>
            <w:r w:rsidRPr="00A33B9F">
              <w:rPr>
                <w:rFonts w:ascii="Times New Roman" w:hAnsi="Times New Roman"/>
                <w:noProof/>
                <w:sz w:val="18"/>
              </w:rPr>
              <w:t>ielenie zamówienia publicznego – wymagane do opracowania</w:t>
            </w:r>
            <w:r w:rsidR="00A33B9F" w:rsidRPr="00A33B9F">
              <w:rPr>
                <w:rFonts w:ascii="Times New Roman" w:hAnsi="Times New Roman"/>
                <w:noProof/>
                <w:sz w:val="18"/>
              </w:rPr>
              <w:t xml:space="preserve"> i wdr</w:t>
            </w:r>
            <w:r w:rsidRPr="00A33B9F">
              <w:rPr>
                <w:rFonts w:ascii="Times New Roman" w:hAnsi="Times New Roman"/>
                <w:noProof/>
                <w:sz w:val="18"/>
              </w:rPr>
              <w:t>ożenia platformy informatycznej na rzecz jednolitych ram cyfrowych dotyczących procedur wydawania pozwoleń na odnawialne źródła energii.</w:t>
            </w:r>
          </w:p>
          <w:p w14:paraId="279C0A16" w14:textId="77777777" w:rsidR="00797192" w:rsidRPr="00A33B9F" w:rsidRDefault="00797192" w:rsidP="00F24072">
            <w:pPr>
              <w:spacing w:after="0" w:line="240" w:lineRule="auto"/>
              <w:rPr>
                <w:rFonts w:ascii="Times New Roman" w:eastAsia="Times New Roman" w:hAnsi="Times New Roman" w:cs="Times New Roman"/>
                <w:noProof/>
                <w:sz w:val="18"/>
                <w:szCs w:val="18"/>
                <w:lang w:eastAsia="en-GB"/>
              </w:rPr>
            </w:pPr>
          </w:p>
          <w:p w14:paraId="461FEF5F" w14:textId="5EA05742" w:rsidR="00797192" w:rsidRPr="00A33B9F" w:rsidRDefault="00797192" w:rsidP="0079719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Ta platforma informatyczna będzie obejmować wszystkie odpowiednie kroki administracyjne wymagane do wydania pozwolenia na budowę</w:t>
            </w:r>
            <w:r w:rsidR="00A33B9F" w:rsidRPr="00A33B9F">
              <w:rPr>
                <w:rFonts w:ascii="Times New Roman" w:hAnsi="Times New Roman"/>
                <w:noProof/>
                <w:sz w:val="18"/>
              </w:rPr>
              <w:t xml:space="preserve"> i eks</w:t>
            </w:r>
            <w:r w:rsidRPr="00A33B9F">
              <w:rPr>
                <w:rFonts w:ascii="Times New Roman" w:hAnsi="Times New Roman"/>
                <w:noProof/>
                <w:sz w:val="18"/>
              </w:rPr>
              <w:t>ploatację instalacji energii ze źródeł odnawialnych (z wyjątkiem podłączenia do sieci). Wdrożenie tej platformy informatycznej nie ma wpływu na podział kompetencji</w:t>
            </w:r>
            <w:r w:rsidR="00A33B9F" w:rsidRPr="00A33B9F">
              <w:rPr>
                <w:rFonts w:ascii="Times New Roman" w:hAnsi="Times New Roman"/>
                <w:noProof/>
                <w:sz w:val="18"/>
              </w:rPr>
              <w:t xml:space="preserve"> w zak</w:t>
            </w:r>
            <w:r w:rsidRPr="00A33B9F">
              <w:rPr>
                <w:rFonts w:ascii="Times New Roman" w:hAnsi="Times New Roman"/>
                <w:noProof/>
                <w:sz w:val="18"/>
              </w:rPr>
              <w:t>resie wydawania pozwoleń (co oznacza, że nie ma ona wpływu na to, który organ administracyjny jest właściwy</w:t>
            </w:r>
            <w:r w:rsidR="00A33B9F" w:rsidRPr="00A33B9F">
              <w:rPr>
                <w:rFonts w:ascii="Times New Roman" w:hAnsi="Times New Roman"/>
                <w:noProof/>
                <w:sz w:val="18"/>
              </w:rPr>
              <w:t xml:space="preserve"> w odn</w:t>
            </w:r>
            <w:r w:rsidRPr="00A33B9F">
              <w:rPr>
                <w:rFonts w:ascii="Times New Roman" w:hAnsi="Times New Roman"/>
                <w:noProof/>
                <w:sz w:val="18"/>
              </w:rPr>
              <w:t>iesieniu do danego zezwolenia).</w:t>
            </w:r>
          </w:p>
          <w:p w14:paraId="3378CF29" w14:textId="77777777" w:rsidR="008E1A5D" w:rsidRPr="00A33B9F" w:rsidRDefault="008E1A5D" w:rsidP="00F24072">
            <w:pPr>
              <w:spacing w:after="0" w:line="240" w:lineRule="auto"/>
              <w:rPr>
                <w:rFonts w:ascii="Times New Roman" w:eastAsia="Times New Roman" w:hAnsi="Times New Roman" w:cs="Times New Roman"/>
                <w:noProof/>
                <w:sz w:val="18"/>
                <w:szCs w:val="18"/>
                <w:lang w:eastAsia="en-GB"/>
              </w:rPr>
            </w:pPr>
          </w:p>
          <w:p w14:paraId="070F4496" w14:textId="6F38E4CA" w:rsidR="00551353" w:rsidRPr="00A33B9F" w:rsidRDefault="008E1A5D" w:rsidP="00551353">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Platforma informatyczna może być zintegrowana</w:t>
            </w:r>
            <w:r w:rsidR="00A33B9F" w:rsidRPr="00A33B9F">
              <w:rPr>
                <w:rFonts w:ascii="Times New Roman" w:hAnsi="Times New Roman"/>
                <w:noProof/>
                <w:sz w:val="18"/>
              </w:rPr>
              <w:t xml:space="preserve"> z ist</w:t>
            </w:r>
            <w:r w:rsidRPr="00A33B9F">
              <w:rPr>
                <w:rFonts w:ascii="Times New Roman" w:hAnsi="Times New Roman"/>
                <w:noProof/>
                <w:sz w:val="18"/>
              </w:rPr>
              <w:t>niejącą platformą cyfrową (np. ePUAP)</w:t>
            </w:r>
            <w:r w:rsidR="00A33B9F" w:rsidRPr="00A33B9F">
              <w:rPr>
                <w:rFonts w:ascii="Times New Roman" w:hAnsi="Times New Roman"/>
                <w:noProof/>
                <w:sz w:val="18"/>
              </w:rPr>
              <w:t xml:space="preserve"> i moż</w:t>
            </w:r>
            <w:r w:rsidRPr="00A33B9F">
              <w:rPr>
                <w:rFonts w:ascii="Times New Roman" w:hAnsi="Times New Roman"/>
                <w:noProof/>
                <w:sz w:val="18"/>
              </w:rPr>
              <w:t>e się na niej opierać.</w:t>
            </w:r>
          </w:p>
          <w:p w14:paraId="5F2B3AEB" w14:textId="77777777" w:rsidR="00CA3A6A" w:rsidRPr="00A33B9F" w:rsidRDefault="00CA3A6A" w:rsidP="00551353">
            <w:pPr>
              <w:spacing w:after="0" w:line="240" w:lineRule="auto"/>
              <w:rPr>
                <w:rFonts w:ascii="Times New Roman" w:eastAsia="Times New Roman" w:hAnsi="Times New Roman" w:cs="Times New Roman"/>
                <w:noProof/>
                <w:sz w:val="18"/>
                <w:szCs w:val="18"/>
                <w:lang w:eastAsia="en-GB"/>
              </w:rPr>
            </w:pPr>
          </w:p>
          <w:p w14:paraId="6D02DE89" w14:textId="3943F73A" w:rsidR="00CA3A6A" w:rsidRPr="00A33B9F" w:rsidRDefault="00CA3A6A" w:rsidP="00551353">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Znajdzie się na niej pulpit nawigacyjny z co najmniej następującymi funkcjami:</w:t>
            </w:r>
          </w:p>
          <w:p w14:paraId="45621685" w14:textId="01F093D6" w:rsidR="001F3F37" w:rsidRPr="00A33B9F" w:rsidRDefault="00570297" w:rsidP="001F3F37">
            <w:pPr>
              <w:pStyle w:val="ListParagraph"/>
              <w:numPr>
                <w:ilvl w:val="1"/>
                <w:numId w:val="22"/>
              </w:numPr>
              <w:spacing w:after="0" w:line="240" w:lineRule="auto"/>
              <w:ind w:left="421" w:hanging="142"/>
              <w:rPr>
                <w:rFonts w:ascii="Times New Roman" w:eastAsia="Times New Roman" w:hAnsi="Times New Roman" w:cs="Times New Roman"/>
                <w:noProof/>
                <w:sz w:val="18"/>
                <w:szCs w:val="18"/>
              </w:rPr>
            </w:pPr>
            <w:r w:rsidRPr="00A33B9F">
              <w:rPr>
                <w:rFonts w:ascii="Times New Roman" w:hAnsi="Times New Roman"/>
                <w:noProof/>
                <w:sz w:val="18"/>
              </w:rPr>
              <w:t>przedstawienie</w:t>
            </w:r>
            <w:r w:rsidR="00A33B9F" w:rsidRPr="00A33B9F">
              <w:rPr>
                <w:rFonts w:ascii="Times New Roman" w:hAnsi="Times New Roman"/>
                <w:noProof/>
                <w:sz w:val="18"/>
              </w:rPr>
              <w:t xml:space="preserve"> w łat</w:t>
            </w:r>
            <w:r w:rsidRPr="00A33B9F">
              <w:rPr>
                <w:rFonts w:ascii="Times New Roman" w:hAnsi="Times New Roman"/>
                <w:noProof/>
                <w:sz w:val="18"/>
              </w:rPr>
              <w:t>wo dostępny sposób kompleksowego przeglądu wymogów dotyczących budowy</w:t>
            </w:r>
            <w:r w:rsidR="00A33B9F" w:rsidRPr="00A33B9F">
              <w:rPr>
                <w:rFonts w:ascii="Times New Roman" w:hAnsi="Times New Roman"/>
                <w:noProof/>
                <w:sz w:val="18"/>
              </w:rPr>
              <w:t xml:space="preserve"> i eks</w:t>
            </w:r>
            <w:r w:rsidRPr="00A33B9F">
              <w:rPr>
                <w:rFonts w:ascii="Times New Roman" w:hAnsi="Times New Roman"/>
                <w:noProof/>
                <w:sz w:val="18"/>
              </w:rPr>
              <w:t>ploatacji instalacji energii ze źródeł odnawialnych pod względem wszystkich stosownych pozwoleń (np. podział na strefy, budowa, eksploatacja), decyzji (np. środowiskowych), licencji, innych dokumentów lub konsultacji;</w:t>
            </w:r>
          </w:p>
          <w:p w14:paraId="27F4E8B1" w14:textId="6284742B" w:rsidR="001F3F37" w:rsidRPr="00A33B9F" w:rsidRDefault="00DB07EF" w:rsidP="001F3F37">
            <w:pPr>
              <w:pStyle w:val="ListParagraph"/>
              <w:numPr>
                <w:ilvl w:val="1"/>
                <w:numId w:val="22"/>
              </w:numPr>
              <w:spacing w:after="0" w:line="240" w:lineRule="auto"/>
              <w:ind w:left="421" w:hanging="142"/>
              <w:rPr>
                <w:rFonts w:ascii="Times New Roman" w:eastAsia="Times New Roman" w:hAnsi="Times New Roman" w:cs="Times New Roman"/>
                <w:noProof/>
                <w:sz w:val="18"/>
                <w:szCs w:val="18"/>
              </w:rPr>
            </w:pPr>
            <w:r w:rsidRPr="00A33B9F">
              <w:rPr>
                <w:rFonts w:ascii="Times New Roman" w:hAnsi="Times New Roman"/>
                <w:noProof/>
                <w:sz w:val="18"/>
              </w:rPr>
              <w:t>wskazanie: a) odpowiednich właściwych organów administracyjnych, agencji, organów lub innych podmiotów wydających dokumenty lub zaangażowanych</w:t>
            </w:r>
            <w:r w:rsidR="00A33B9F" w:rsidRPr="00A33B9F">
              <w:rPr>
                <w:rFonts w:ascii="Times New Roman" w:hAnsi="Times New Roman"/>
                <w:noProof/>
                <w:sz w:val="18"/>
              </w:rPr>
              <w:t xml:space="preserve"> w wyd</w:t>
            </w:r>
            <w:r w:rsidRPr="00A33B9F">
              <w:rPr>
                <w:rFonts w:ascii="Times New Roman" w:hAnsi="Times New Roman"/>
                <w:noProof/>
                <w:sz w:val="18"/>
              </w:rPr>
              <w:t>awanie dokumentów lub uczestniczących</w:t>
            </w:r>
            <w:r w:rsidR="00A33B9F" w:rsidRPr="00A33B9F">
              <w:rPr>
                <w:rFonts w:ascii="Times New Roman" w:hAnsi="Times New Roman"/>
                <w:noProof/>
                <w:sz w:val="18"/>
              </w:rPr>
              <w:t xml:space="preserve"> w kon</w:t>
            </w:r>
            <w:r w:rsidRPr="00A33B9F">
              <w:rPr>
                <w:rFonts w:ascii="Times New Roman" w:hAnsi="Times New Roman"/>
                <w:noProof/>
                <w:sz w:val="18"/>
              </w:rPr>
              <w:t>sultacjach,</w:t>
            </w:r>
            <w:r w:rsidR="00A33B9F" w:rsidRPr="00A33B9F">
              <w:rPr>
                <w:rFonts w:ascii="Times New Roman" w:hAnsi="Times New Roman"/>
                <w:noProof/>
                <w:sz w:val="18"/>
              </w:rPr>
              <w:t xml:space="preserve"> o któ</w:t>
            </w:r>
            <w:r w:rsidRPr="00A33B9F">
              <w:rPr>
                <w:rFonts w:ascii="Times New Roman" w:hAnsi="Times New Roman"/>
                <w:noProof/>
                <w:sz w:val="18"/>
              </w:rPr>
              <w:t>rych mowa</w:t>
            </w:r>
            <w:r w:rsidR="00A33B9F" w:rsidRPr="00A33B9F">
              <w:rPr>
                <w:rFonts w:ascii="Times New Roman" w:hAnsi="Times New Roman"/>
                <w:noProof/>
                <w:sz w:val="18"/>
              </w:rPr>
              <w:t xml:space="preserve"> w pkt</w:t>
            </w:r>
            <w:r w:rsidRPr="00A33B9F">
              <w:rPr>
                <w:rFonts w:ascii="Times New Roman" w:hAnsi="Times New Roman"/>
                <w:noProof/>
                <w:sz w:val="18"/>
              </w:rPr>
              <w:t xml:space="preserve"> (i); b) danych do kontaktu tych podmiotów oraz (opcjonalnie) c) osoby prowadzącej sprawę</w:t>
            </w:r>
            <w:r w:rsidR="00A33B9F" w:rsidRPr="00A33B9F">
              <w:rPr>
                <w:rFonts w:ascii="Times New Roman" w:hAnsi="Times New Roman"/>
                <w:noProof/>
                <w:sz w:val="18"/>
              </w:rPr>
              <w:t xml:space="preserve"> w każ</w:t>
            </w:r>
            <w:r w:rsidRPr="00A33B9F">
              <w:rPr>
                <w:rFonts w:ascii="Times New Roman" w:hAnsi="Times New Roman"/>
                <w:noProof/>
                <w:sz w:val="18"/>
              </w:rPr>
              <w:t>dym podmiocie</w:t>
            </w:r>
            <w:r w:rsidR="00A33B9F" w:rsidRPr="00A33B9F">
              <w:rPr>
                <w:rFonts w:ascii="Times New Roman" w:hAnsi="Times New Roman"/>
                <w:noProof/>
                <w:sz w:val="18"/>
              </w:rPr>
              <w:t xml:space="preserve"> w odn</w:t>
            </w:r>
            <w:r w:rsidRPr="00A33B9F">
              <w:rPr>
                <w:rFonts w:ascii="Times New Roman" w:hAnsi="Times New Roman"/>
                <w:noProof/>
                <w:sz w:val="18"/>
              </w:rPr>
              <w:t>iesieniu do danego projektu;</w:t>
            </w:r>
          </w:p>
          <w:p w14:paraId="1678E7B5" w14:textId="31CF039F" w:rsidR="001F3F37" w:rsidRPr="00A33B9F" w:rsidRDefault="00404F5D" w:rsidP="001F3F37">
            <w:pPr>
              <w:pStyle w:val="ListParagraph"/>
              <w:numPr>
                <w:ilvl w:val="1"/>
                <w:numId w:val="22"/>
              </w:numPr>
              <w:spacing w:after="0" w:line="240" w:lineRule="auto"/>
              <w:ind w:left="421" w:hanging="142"/>
              <w:rPr>
                <w:rFonts w:ascii="Times New Roman" w:eastAsia="Times New Roman" w:hAnsi="Times New Roman" w:cs="Times New Roman"/>
                <w:noProof/>
                <w:sz w:val="18"/>
                <w:szCs w:val="18"/>
              </w:rPr>
            </w:pPr>
            <w:r w:rsidRPr="00A33B9F">
              <w:rPr>
                <w:rFonts w:ascii="Times New Roman" w:hAnsi="Times New Roman"/>
                <w:noProof/>
                <w:sz w:val="18"/>
              </w:rPr>
              <w:t>wykaz</w:t>
            </w:r>
            <w:r w:rsidR="00A33B9F" w:rsidRPr="00A33B9F">
              <w:rPr>
                <w:rFonts w:ascii="Times New Roman" w:hAnsi="Times New Roman"/>
                <w:noProof/>
                <w:sz w:val="18"/>
              </w:rPr>
              <w:t xml:space="preserve"> i udo</w:t>
            </w:r>
            <w:r w:rsidRPr="00A33B9F">
              <w:rPr>
                <w:rFonts w:ascii="Times New Roman" w:hAnsi="Times New Roman"/>
                <w:noProof/>
                <w:sz w:val="18"/>
              </w:rPr>
              <w:t>stępnianie wszystkich odpowiednich przepisów, tekstów regulacyjnych, wzorów</w:t>
            </w:r>
            <w:r w:rsidR="00A33B9F" w:rsidRPr="00A33B9F">
              <w:rPr>
                <w:rFonts w:ascii="Times New Roman" w:hAnsi="Times New Roman"/>
                <w:noProof/>
                <w:sz w:val="18"/>
              </w:rPr>
              <w:t xml:space="preserve"> i wyt</w:t>
            </w:r>
            <w:r w:rsidRPr="00A33B9F">
              <w:rPr>
                <w:rFonts w:ascii="Times New Roman" w:hAnsi="Times New Roman"/>
                <w:noProof/>
                <w:sz w:val="18"/>
              </w:rPr>
              <w:t>ycznych dotyczących przygotowywania projektów;</w:t>
            </w:r>
          </w:p>
          <w:p w14:paraId="4EB128BD" w14:textId="6566CDFC" w:rsidR="00BA7531" w:rsidRPr="00A33B9F" w:rsidRDefault="780C62F2" w:rsidP="00335D2F">
            <w:pPr>
              <w:pStyle w:val="ListParagraph"/>
              <w:numPr>
                <w:ilvl w:val="1"/>
                <w:numId w:val="22"/>
              </w:numPr>
              <w:spacing w:after="0" w:line="240" w:lineRule="auto"/>
              <w:ind w:left="421" w:hanging="142"/>
              <w:rPr>
                <w:rFonts w:ascii="Times New Roman" w:eastAsia="Times New Roman" w:hAnsi="Times New Roman" w:cs="Times New Roman"/>
                <w:noProof/>
                <w:sz w:val="18"/>
                <w:szCs w:val="18"/>
              </w:rPr>
            </w:pPr>
            <w:r w:rsidRPr="00A33B9F">
              <w:rPr>
                <w:rFonts w:ascii="Times New Roman" w:hAnsi="Times New Roman"/>
                <w:noProof/>
                <w:sz w:val="18"/>
              </w:rPr>
              <w:t>możliwość składania wniosków przez internet dostępna dla wszystkich podmiotów,</w:t>
            </w:r>
            <w:r w:rsidR="00A33B9F" w:rsidRPr="00A33B9F">
              <w:rPr>
                <w:rFonts w:ascii="Times New Roman" w:hAnsi="Times New Roman"/>
                <w:noProof/>
                <w:sz w:val="18"/>
              </w:rPr>
              <w:t xml:space="preserve"> o któ</w:t>
            </w:r>
            <w:r w:rsidRPr="00A33B9F">
              <w:rPr>
                <w:rFonts w:ascii="Times New Roman" w:hAnsi="Times New Roman"/>
                <w:noProof/>
                <w:sz w:val="18"/>
              </w:rPr>
              <w:t>rych mowa</w:t>
            </w:r>
            <w:r w:rsidR="00A33B9F" w:rsidRPr="00A33B9F">
              <w:rPr>
                <w:rFonts w:ascii="Times New Roman" w:hAnsi="Times New Roman"/>
                <w:noProof/>
                <w:sz w:val="18"/>
              </w:rPr>
              <w:t xml:space="preserve"> w pkt</w:t>
            </w:r>
            <w:r w:rsidRPr="00A33B9F">
              <w:rPr>
                <w:rFonts w:ascii="Times New Roman" w:hAnsi="Times New Roman"/>
                <w:noProof/>
                <w:sz w:val="18"/>
              </w:rPr>
              <w:t xml:space="preserve"> (ii) lit.</w:t>
            </w:r>
            <w:r w:rsidR="00A33B9F" w:rsidRPr="00A33B9F">
              <w:rPr>
                <w:rFonts w:ascii="Times New Roman" w:hAnsi="Times New Roman"/>
                <w:noProof/>
                <w:sz w:val="18"/>
              </w:rPr>
              <w:t> </w:t>
            </w:r>
            <w:r w:rsidRPr="00A33B9F">
              <w:rPr>
                <w:rFonts w:ascii="Times New Roman" w:hAnsi="Times New Roman"/>
                <w:noProof/>
                <w:sz w:val="18"/>
              </w:rPr>
              <w:t>a), oraz cyfrowej obsługi całego procesu składania wniosków za pośrednictwem platformy informatycznej;</w:t>
            </w:r>
          </w:p>
          <w:p w14:paraId="438EBAA2" w14:textId="1D742A29" w:rsidR="00C04928" w:rsidRPr="00A33B9F" w:rsidRDefault="7F5064C4" w:rsidP="00BA7531">
            <w:pPr>
              <w:pStyle w:val="ListParagraph"/>
              <w:numPr>
                <w:ilvl w:val="1"/>
                <w:numId w:val="22"/>
              </w:numPr>
              <w:spacing w:after="0" w:line="240" w:lineRule="auto"/>
              <w:ind w:left="421" w:hanging="142"/>
              <w:rPr>
                <w:rFonts w:ascii="Times New Roman" w:eastAsia="Times New Roman" w:hAnsi="Times New Roman" w:cs="Times New Roman"/>
                <w:noProof/>
                <w:sz w:val="18"/>
                <w:szCs w:val="18"/>
              </w:rPr>
            </w:pPr>
            <w:r w:rsidRPr="00A33B9F">
              <w:rPr>
                <w:rFonts w:ascii="Times New Roman" w:hAnsi="Times New Roman"/>
                <w:noProof/>
                <w:sz w:val="18"/>
              </w:rPr>
              <w:t>funkcja (do opcjonalnego wykorzystania przez właściwe podmioty) umożliwiająca monitorowanie procesu rozpatrywania wniosku przez wyświetlanie statusu wniosku</w:t>
            </w:r>
            <w:r w:rsidR="00A33B9F" w:rsidRPr="00A33B9F">
              <w:rPr>
                <w:rFonts w:ascii="Times New Roman" w:hAnsi="Times New Roman"/>
                <w:noProof/>
                <w:sz w:val="18"/>
              </w:rPr>
              <w:t xml:space="preserve"> i umo</w:t>
            </w:r>
            <w:r w:rsidRPr="00A33B9F">
              <w:rPr>
                <w:rFonts w:ascii="Times New Roman" w:hAnsi="Times New Roman"/>
                <w:noProof/>
                <w:sz w:val="18"/>
              </w:rPr>
              <w:t>żliwienie komunikacji</w:t>
            </w:r>
            <w:r w:rsidR="00A33B9F" w:rsidRPr="00A33B9F">
              <w:rPr>
                <w:rFonts w:ascii="Times New Roman" w:hAnsi="Times New Roman"/>
                <w:noProof/>
                <w:sz w:val="18"/>
              </w:rPr>
              <w:t xml:space="preserve"> z odp</w:t>
            </w:r>
            <w:r w:rsidRPr="00A33B9F">
              <w:rPr>
                <w:rFonts w:ascii="Times New Roman" w:hAnsi="Times New Roman"/>
                <w:noProof/>
                <w:sz w:val="18"/>
              </w:rPr>
              <w:t>owiednią osobą prowadzącą sprawę za pośrednictwem platformy informatycznej;</w:t>
            </w:r>
          </w:p>
          <w:p w14:paraId="735D7A16" w14:textId="52BD1FCB" w:rsidR="00B3201E" w:rsidRPr="00A33B9F" w:rsidRDefault="00AC046E" w:rsidP="001F3F37">
            <w:pPr>
              <w:pStyle w:val="ListParagraph"/>
              <w:numPr>
                <w:ilvl w:val="1"/>
                <w:numId w:val="22"/>
              </w:numPr>
              <w:spacing w:after="0" w:line="240" w:lineRule="auto"/>
              <w:ind w:left="421" w:hanging="142"/>
              <w:rPr>
                <w:rFonts w:ascii="Times New Roman" w:eastAsia="Times New Roman" w:hAnsi="Times New Roman" w:cs="Times New Roman"/>
                <w:noProof/>
                <w:sz w:val="18"/>
                <w:szCs w:val="18"/>
              </w:rPr>
            </w:pPr>
            <w:r w:rsidRPr="00A33B9F">
              <w:rPr>
                <w:rFonts w:ascii="Times New Roman" w:hAnsi="Times New Roman"/>
                <w:noProof/>
                <w:sz w:val="18"/>
              </w:rPr>
              <w:t>możliwość skontaktowania się</w:t>
            </w:r>
            <w:r w:rsidR="00A33B9F" w:rsidRPr="00A33B9F">
              <w:rPr>
                <w:rFonts w:ascii="Times New Roman" w:hAnsi="Times New Roman"/>
                <w:noProof/>
                <w:sz w:val="18"/>
              </w:rPr>
              <w:t xml:space="preserve"> z cen</w:t>
            </w:r>
            <w:r w:rsidRPr="00A33B9F">
              <w:rPr>
                <w:rFonts w:ascii="Times New Roman" w:hAnsi="Times New Roman"/>
                <w:noProof/>
                <w:sz w:val="18"/>
              </w:rPr>
              <w:t>tralnym (istniejącym) organem krajowym</w:t>
            </w:r>
            <w:r w:rsidR="00A33B9F" w:rsidRPr="00A33B9F">
              <w:rPr>
                <w:rFonts w:ascii="Times New Roman" w:hAnsi="Times New Roman"/>
                <w:noProof/>
                <w:sz w:val="18"/>
              </w:rPr>
              <w:t xml:space="preserve"> w cel</w:t>
            </w:r>
            <w:r w:rsidRPr="00A33B9F">
              <w:rPr>
                <w:rFonts w:ascii="Times New Roman" w:hAnsi="Times New Roman"/>
                <w:noProof/>
                <w:sz w:val="18"/>
              </w:rPr>
              <w:t>u zgłoszenia zastrzeżeń lub zaproponowania usprawnień</w:t>
            </w:r>
            <w:r w:rsidR="00A33B9F" w:rsidRPr="00A33B9F">
              <w:rPr>
                <w:rFonts w:ascii="Times New Roman" w:hAnsi="Times New Roman"/>
                <w:noProof/>
                <w:sz w:val="18"/>
              </w:rPr>
              <w:t xml:space="preserve"> w pro</w:t>
            </w:r>
            <w:r w:rsidRPr="00A33B9F">
              <w:rPr>
                <w:rFonts w:ascii="Times New Roman" w:hAnsi="Times New Roman"/>
                <w:noProof/>
                <w:sz w:val="18"/>
              </w:rPr>
              <w:t>cedurach wydawania pozwoleń (nie stanowi to ani nie zastępuje istniejących możliwości kontroli administracyjnej ani sądowej);</w:t>
            </w:r>
          </w:p>
          <w:p w14:paraId="23BCF8E8" w14:textId="1372FBA6" w:rsidR="00274B42" w:rsidRPr="00A33B9F" w:rsidRDefault="4289B822" w:rsidP="001F3F37">
            <w:pPr>
              <w:pStyle w:val="ListParagraph"/>
              <w:numPr>
                <w:ilvl w:val="1"/>
                <w:numId w:val="22"/>
              </w:numPr>
              <w:spacing w:after="0" w:line="240" w:lineRule="auto"/>
              <w:ind w:left="421" w:hanging="142"/>
              <w:rPr>
                <w:rFonts w:ascii="Times New Roman" w:eastAsia="Times New Roman" w:hAnsi="Times New Roman" w:cs="Times New Roman"/>
                <w:noProof/>
                <w:sz w:val="18"/>
                <w:szCs w:val="18"/>
              </w:rPr>
            </w:pPr>
            <w:r w:rsidRPr="00A33B9F">
              <w:rPr>
                <w:rFonts w:ascii="Times New Roman" w:hAnsi="Times New Roman"/>
                <w:noProof/>
                <w:sz w:val="18"/>
              </w:rPr>
              <w:t>udostępnianie (lub link do odpowiedniej istniejącej strony docelowej,</w:t>
            </w:r>
            <w:r w:rsidR="00A33B9F" w:rsidRPr="00A33B9F">
              <w:rPr>
                <w:rFonts w:ascii="Times New Roman" w:hAnsi="Times New Roman"/>
                <w:noProof/>
                <w:sz w:val="18"/>
              </w:rPr>
              <w:t xml:space="preserve"> z któ</w:t>
            </w:r>
            <w:r w:rsidRPr="00A33B9F">
              <w:rPr>
                <w:rFonts w:ascii="Times New Roman" w:hAnsi="Times New Roman"/>
                <w:noProof/>
                <w:sz w:val="18"/>
              </w:rPr>
              <w:t>rej można rozpocząć proces składania wniosku, lub do aplikacji internetowej) informacji lub danych, które mogą być udostępniane publicznie, oraz:</w:t>
            </w:r>
          </w:p>
          <w:p w14:paraId="78ECBC70" w14:textId="2C9B663C" w:rsidR="00845D88" w:rsidRPr="00A33B9F" w:rsidRDefault="6B64F18A" w:rsidP="00274B42">
            <w:pPr>
              <w:pStyle w:val="ListParagraph"/>
              <w:numPr>
                <w:ilvl w:val="2"/>
                <w:numId w:val="22"/>
              </w:numPr>
              <w:spacing w:after="0" w:line="240" w:lineRule="auto"/>
              <w:ind w:left="846"/>
              <w:rPr>
                <w:rFonts w:ascii="Times New Roman" w:eastAsia="Times New Roman" w:hAnsi="Times New Roman" w:cs="Times New Roman"/>
                <w:noProof/>
                <w:sz w:val="18"/>
                <w:szCs w:val="18"/>
              </w:rPr>
            </w:pPr>
            <w:r w:rsidRPr="00A33B9F">
              <w:rPr>
                <w:rFonts w:ascii="Times New Roman" w:hAnsi="Times New Roman"/>
                <w:noProof/>
                <w:sz w:val="18"/>
              </w:rPr>
              <w:t>wynikających</w:t>
            </w:r>
            <w:r w:rsidR="00A33B9F" w:rsidRPr="00A33B9F">
              <w:rPr>
                <w:rFonts w:ascii="Times New Roman" w:hAnsi="Times New Roman"/>
                <w:noProof/>
                <w:sz w:val="18"/>
              </w:rPr>
              <w:t xml:space="preserve"> z fun</w:t>
            </w:r>
            <w:r w:rsidRPr="00A33B9F">
              <w:rPr>
                <w:rFonts w:ascii="Times New Roman" w:hAnsi="Times New Roman"/>
                <w:noProof/>
                <w:sz w:val="18"/>
              </w:rPr>
              <w:t>kcjonalności narzędzia informatycznego,</w:t>
            </w:r>
            <w:r w:rsidR="00A33B9F" w:rsidRPr="00A33B9F">
              <w:rPr>
                <w:rFonts w:ascii="Times New Roman" w:hAnsi="Times New Roman"/>
                <w:noProof/>
                <w:sz w:val="18"/>
              </w:rPr>
              <w:t xml:space="preserve"> o któ</w:t>
            </w:r>
            <w:r w:rsidRPr="00A33B9F">
              <w:rPr>
                <w:rFonts w:ascii="Times New Roman" w:hAnsi="Times New Roman"/>
                <w:noProof/>
                <w:sz w:val="18"/>
              </w:rPr>
              <w:t>rym mowa</w:t>
            </w:r>
            <w:r w:rsidR="00A33B9F" w:rsidRPr="00A33B9F">
              <w:rPr>
                <w:rFonts w:ascii="Times New Roman" w:hAnsi="Times New Roman"/>
                <w:noProof/>
                <w:sz w:val="18"/>
              </w:rPr>
              <w:t xml:space="preserve"> w kam</w:t>
            </w:r>
            <w:r w:rsidRPr="00A33B9F">
              <w:rPr>
                <w:rFonts w:ascii="Times New Roman" w:hAnsi="Times New Roman"/>
                <w:noProof/>
                <w:sz w:val="18"/>
              </w:rPr>
              <w:t>ieniach milowych G10G i G11G;</w:t>
            </w:r>
          </w:p>
          <w:p w14:paraId="12410069" w14:textId="4E7B432F" w:rsidR="00BE22DD" w:rsidRPr="00A33B9F" w:rsidRDefault="6B64F18A" w:rsidP="00274B42">
            <w:pPr>
              <w:pStyle w:val="ListParagraph"/>
              <w:numPr>
                <w:ilvl w:val="2"/>
                <w:numId w:val="22"/>
              </w:numPr>
              <w:spacing w:after="0" w:line="240" w:lineRule="auto"/>
              <w:ind w:left="846"/>
              <w:rPr>
                <w:rFonts w:ascii="Times New Roman" w:eastAsia="Times New Roman" w:hAnsi="Times New Roman" w:cs="Times New Roman"/>
                <w:noProof/>
                <w:sz w:val="18"/>
                <w:szCs w:val="18"/>
              </w:rPr>
            </w:pPr>
            <w:r w:rsidRPr="00A33B9F">
              <w:rPr>
                <w:rFonts w:ascii="Times New Roman" w:hAnsi="Times New Roman"/>
                <w:noProof/>
                <w:sz w:val="18"/>
              </w:rPr>
              <w:t>wskazanych</w:t>
            </w:r>
            <w:r w:rsidR="00A33B9F" w:rsidRPr="00A33B9F">
              <w:rPr>
                <w:rFonts w:ascii="Times New Roman" w:hAnsi="Times New Roman"/>
                <w:noProof/>
                <w:sz w:val="18"/>
              </w:rPr>
              <w:t xml:space="preserve"> w lit</w:t>
            </w:r>
            <w:r w:rsidRPr="00A33B9F">
              <w:rPr>
                <w:rFonts w:ascii="Times New Roman" w:hAnsi="Times New Roman"/>
                <w:noProof/>
                <w:sz w:val="18"/>
              </w:rPr>
              <w:t>.</w:t>
            </w:r>
            <w:r w:rsidR="00A33B9F" w:rsidRPr="00A33B9F">
              <w:rPr>
                <w:rFonts w:ascii="Times New Roman" w:hAnsi="Times New Roman"/>
                <w:noProof/>
                <w:sz w:val="18"/>
              </w:rPr>
              <w:t> </w:t>
            </w:r>
            <w:r w:rsidRPr="00A33B9F">
              <w:rPr>
                <w:rFonts w:ascii="Times New Roman" w:hAnsi="Times New Roman"/>
                <w:noProof/>
                <w:sz w:val="18"/>
              </w:rPr>
              <w:t>b)</w:t>
            </w:r>
            <w:r w:rsidR="00A33B9F" w:rsidRPr="00A33B9F">
              <w:rPr>
                <w:rFonts w:ascii="Times New Roman" w:hAnsi="Times New Roman"/>
                <w:noProof/>
                <w:sz w:val="18"/>
              </w:rPr>
              <w:t xml:space="preserve"> w opi</w:t>
            </w:r>
            <w:r w:rsidRPr="00A33B9F">
              <w:rPr>
                <w:rFonts w:ascii="Times New Roman" w:hAnsi="Times New Roman"/>
                <w:noProof/>
                <w:sz w:val="18"/>
              </w:rPr>
              <w:t>sie kamienia milowego G14G;</w:t>
            </w:r>
          </w:p>
          <w:p w14:paraId="19000CAF" w14:textId="660BF689" w:rsidR="00F96C88" w:rsidRPr="00A33B9F" w:rsidRDefault="00FC3C2C" w:rsidP="00274B42">
            <w:pPr>
              <w:pStyle w:val="ListParagraph"/>
              <w:numPr>
                <w:ilvl w:val="2"/>
                <w:numId w:val="22"/>
              </w:numPr>
              <w:spacing w:after="0" w:line="240" w:lineRule="auto"/>
              <w:ind w:left="846"/>
              <w:rPr>
                <w:rFonts w:ascii="Times New Roman" w:eastAsia="Times New Roman" w:hAnsi="Times New Roman" w:cs="Times New Roman"/>
                <w:noProof/>
                <w:sz w:val="18"/>
                <w:szCs w:val="18"/>
              </w:rPr>
            </w:pPr>
            <w:r w:rsidRPr="00A33B9F">
              <w:rPr>
                <w:rFonts w:ascii="Times New Roman" w:hAnsi="Times New Roman"/>
                <w:noProof/>
                <w:sz w:val="18"/>
              </w:rPr>
              <w:t>związanych</w:t>
            </w:r>
            <w:r w:rsidR="00A33B9F" w:rsidRPr="00A33B9F">
              <w:rPr>
                <w:rFonts w:ascii="Times New Roman" w:hAnsi="Times New Roman"/>
                <w:noProof/>
                <w:sz w:val="18"/>
              </w:rPr>
              <w:t xml:space="preserve"> z map</w:t>
            </w:r>
            <w:r w:rsidRPr="00A33B9F">
              <w:rPr>
                <w:rFonts w:ascii="Times New Roman" w:hAnsi="Times New Roman"/>
                <w:noProof/>
                <w:sz w:val="18"/>
              </w:rPr>
              <w:t>owaniem wymaganym</w:t>
            </w:r>
            <w:r w:rsidR="00A33B9F" w:rsidRPr="00A33B9F">
              <w:rPr>
                <w:rFonts w:ascii="Times New Roman" w:hAnsi="Times New Roman"/>
                <w:noProof/>
                <w:sz w:val="18"/>
              </w:rPr>
              <w:t xml:space="preserve"> w ram</w:t>
            </w:r>
            <w:r w:rsidRPr="00A33B9F">
              <w:rPr>
                <w:rFonts w:ascii="Times New Roman" w:hAnsi="Times New Roman"/>
                <w:noProof/>
                <w:sz w:val="18"/>
              </w:rPr>
              <w:t>ach kamienia milowego G1L oraz</w:t>
            </w:r>
          </w:p>
          <w:p w14:paraId="7A50EF06" w14:textId="2E2D8A21" w:rsidR="00D91559" w:rsidRPr="00A33B9F" w:rsidRDefault="00FC3C2C" w:rsidP="00F24072">
            <w:pPr>
              <w:pStyle w:val="ListParagraph"/>
              <w:numPr>
                <w:ilvl w:val="2"/>
                <w:numId w:val="22"/>
              </w:numPr>
              <w:spacing w:after="0" w:line="240" w:lineRule="auto"/>
              <w:ind w:left="846"/>
              <w:rPr>
                <w:rFonts w:ascii="Times New Roman" w:eastAsia="Times New Roman" w:hAnsi="Times New Roman" w:cs="Times New Roman"/>
                <w:noProof/>
                <w:sz w:val="18"/>
                <w:szCs w:val="18"/>
              </w:rPr>
            </w:pPr>
            <w:r w:rsidRPr="00A33B9F">
              <w:rPr>
                <w:rFonts w:ascii="Times New Roman" w:hAnsi="Times New Roman"/>
                <w:noProof/>
                <w:sz w:val="18"/>
              </w:rPr>
              <w:t>związanych</w:t>
            </w:r>
            <w:r w:rsidR="00A33B9F" w:rsidRPr="00A33B9F">
              <w:rPr>
                <w:rFonts w:ascii="Times New Roman" w:hAnsi="Times New Roman"/>
                <w:noProof/>
                <w:sz w:val="18"/>
              </w:rPr>
              <w:t xml:space="preserve"> z obs</w:t>
            </w:r>
            <w:r w:rsidRPr="00A33B9F">
              <w:rPr>
                <w:rFonts w:ascii="Times New Roman" w:hAnsi="Times New Roman"/>
                <w:noProof/>
                <w:sz w:val="18"/>
              </w:rPr>
              <w:t>zarami przyspieszonego rozwoju energii ze źródeł odnawialnych,</w:t>
            </w:r>
            <w:r w:rsidR="00A33B9F" w:rsidRPr="00A33B9F">
              <w:rPr>
                <w:rFonts w:ascii="Times New Roman" w:hAnsi="Times New Roman"/>
                <w:noProof/>
                <w:sz w:val="18"/>
              </w:rPr>
              <w:t xml:space="preserve"> o któ</w:t>
            </w:r>
            <w:r w:rsidRPr="00A33B9F">
              <w:rPr>
                <w:rFonts w:ascii="Times New Roman" w:hAnsi="Times New Roman"/>
                <w:noProof/>
                <w:sz w:val="18"/>
              </w:rPr>
              <w:t>rych mowa</w:t>
            </w:r>
            <w:r w:rsidR="00A33B9F" w:rsidRPr="00A33B9F">
              <w:rPr>
                <w:rFonts w:ascii="Times New Roman" w:hAnsi="Times New Roman"/>
                <w:noProof/>
                <w:sz w:val="18"/>
              </w:rPr>
              <w:t xml:space="preserve"> w kam</w:t>
            </w:r>
            <w:r w:rsidRPr="00A33B9F">
              <w:rPr>
                <w:rFonts w:ascii="Times New Roman" w:hAnsi="Times New Roman"/>
                <w:noProof/>
                <w:sz w:val="18"/>
              </w:rPr>
              <w:t>ieniu milowym G2L.</w:t>
            </w:r>
          </w:p>
          <w:p w14:paraId="2426D112" w14:textId="29F36AB2" w:rsidR="00D91559" w:rsidRPr="00A33B9F" w:rsidRDefault="00D91559" w:rsidP="00F24072">
            <w:pPr>
              <w:spacing w:after="0" w:line="240" w:lineRule="auto"/>
              <w:rPr>
                <w:rFonts w:ascii="Times New Roman" w:eastAsia="Times New Roman" w:hAnsi="Times New Roman" w:cs="Times New Roman"/>
                <w:noProof/>
                <w:sz w:val="18"/>
                <w:szCs w:val="18"/>
                <w:lang w:eastAsia="en-GB"/>
              </w:rPr>
            </w:pPr>
          </w:p>
        </w:tc>
      </w:tr>
      <w:tr w:rsidR="00076A5D" w:rsidRPr="00A33B9F" w14:paraId="30BBD9E1"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4043EA97" w14:textId="485BBB92" w:rsidR="002F4689" w:rsidRPr="00A33B9F" w:rsidRDefault="002F4689"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G4L</w:t>
            </w:r>
          </w:p>
        </w:tc>
        <w:tc>
          <w:tcPr>
            <w:tcW w:w="1474" w:type="dxa"/>
            <w:tcBorders>
              <w:top w:val="nil"/>
              <w:left w:val="nil"/>
              <w:bottom w:val="single" w:sz="4" w:space="0" w:color="auto"/>
              <w:right w:val="single" w:sz="4" w:space="0" w:color="auto"/>
            </w:tcBorders>
            <w:shd w:val="clear" w:color="auto" w:fill="C6EFCE"/>
            <w:noWrap/>
          </w:tcPr>
          <w:p w14:paraId="088B8B29" w14:textId="30E8FD42" w:rsidR="002F4689" w:rsidRPr="00A33B9F" w:rsidRDefault="002F4689"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G3.1.1 Usprawnienie procesu wydawania pozwoleń dotyczących odnawialnych źródeł energii</w:t>
            </w:r>
          </w:p>
        </w:tc>
        <w:tc>
          <w:tcPr>
            <w:tcW w:w="1077" w:type="dxa"/>
            <w:tcBorders>
              <w:top w:val="nil"/>
              <w:left w:val="nil"/>
              <w:bottom w:val="single" w:sz="4" w:space="0" w:color="auto"/>
              <w:right w:val="single" w:sz="4" w:space="0" w:color="auto"/>
            </w:tcBorders>
            <w:shd w:val="clear" w:color="auto" w:fill="C6EFCE"/>
            <w:noWrap/>
          </w:tcPr>
          <w:p w14:paraId="7548A29E" w14:textId="77777777" w:rsidR="002F4689" w:rsidRPr="00A33B9F" w:rsidRDefault="002F4689" w:rsidP="002F4689">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p w14:paraId="6C665160" w14:textId="77777777" w:rsidR="002F4689" w:rsidRPr="00A33B9F" w:rsidRDefault="002F4689" w:rsidP="002F4689">
            <w:pPr>
              <w:spacing w:after="0" w:line="240" w:lineRule="auto"/>
              <w:rPr>
                <w:rFonts w:ascii="Times New Roman" w:eastAsia="Times New Roman" w:hAnsi="Times New Roman" w:cs="Times New Roman"/>
                <w:noProof/>
                <w:sz w:val="18"/>
                <w:szCs w:val="18"/>
                <w:lang w:eastAsia="en-GB"/>
              </w:rPr>
            </w:pPr>
          </w:p>
        </w:tc>
        <w:tc>
          <w:tcPr>
            <w:tcW w:w="1874" w:type="dxa"/>
            <w:tcBorders>
              <w:top w:val="nil"/>
              <w:left w:val="nil"/>
              <w:bottom w:val="single" w:sz="4" w:space="0" w:color="auto"/>
              <w:right w:val="single" w:sz="4" w:space="0" w:color="auto"/>
            </w:tcBorders>
            <w:shd w:val="clear" w:color="auto" w:fill="C6EFCE"/>
            <w:noWrap/>
          </w:tcPr>
          <w:p w14:paraId="7E9378D6" w14:textId="5D2E8F1E" w:rsidR="002F4689" w:rsidRPr="00A33B9F" w:rsidRDefault="002F4689"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Cyfryzacja procesu wydawania pozwoleń</w:t>
            </w:r>
            <w:r w:rsidR="00C3621A" w:rsidRPr="00A33B9F">
              <w:rPr>
                <w:rFonts w:ascii="Times New Roman" w:hAnsi="Times New Roman"/>
                <w:noProof/>
                <w:sz w:val="18"/>
              </w:rPr>
              <w:t xml:space="preserve"> </w:t>
            </w:r>
          </w:p>
          <w:p w14:paraId="2C4CB388" w14:textId="77777777" w:rsidR="002F4689" w:rsidRPr="00A33B9F" w:rsidRDefault="002F4689" w:rsidP="002F4689">
            <w:pPr>
              <w:spacing w:after="0" w:line="240" w:lineRule="auto"/>
              <w:rPr>
                <w:rFonts w:ascii="Times New Roman" w:eastAsia="Times New Roman" w:hAnsi="Times New Roman" w:cs="Times New Roman"/>
                <w:noProof/>
                <w:sz w:val="18"/>
                <w:szCs w:val="18"/>
                <w:lang w:eastAsia="en-GB"/>
              </w:rPr>
            </w:pPr>
          </w:p>
        </w:tc>
        <w:tc>
          <w:tcPr>
            <w:tcW w:w="1606" w:type="dxa"/>
            <w:tcBorders>
              <w:top w:val="nil"/>
              <w:left w:val="nil"/>
              <w:bottom w:val="single" w:sz="4" w:space="0" w:color="auto"/>
              <w:right w:val="single" w:sz="4" w:space="0" w:color="auto"/>
            </w:tcBorders>
            <w:shd w:val="clear" w:color="auto" w:fill="C6EFCE"/>
            <w:noWrap/>
          </w:tcPr>
          <w:p w14:paraId="1590325D" w14:textId="1F3954A4" w:rsidR="002F4689" w:rsidRPr="00A33B9F" w:rsidRDefault="002F4689"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Zakończenie testów wersji pilotażowej platformy informatycznej na rzecz jednolitych ram cyfrowych na potrzeby wydawania pozwoleń na odnawialne źródła energii</w:t>
            </w:r>
          </w:p>
        </w:tc>
        <w:tc>
          <w:tcPr>
            <w:tcW w:w="1076" w:type="dxa"/>
            <w:tcBorders>
              <w:top w:val="nil"/>
              <w:left w:val="nil"/>
              <w:bottom w:val="single" w:sz="4" w:space="0" w:color="auto"/>
              <w:right w:val="single" w:sz="4" w:space="0" w:color="auto"/>
            </w:tcBorders>
            <w:shd w:val="clear" w:color="auto" w:fill="C6EFCE"/>
            <w:noWrap/>
          </w:tcPr>
          <w:p w14:paraId="57E8D7F9" w14:textId="77777777" w:rsidR="002F4689" w:rsidRPr="00A33B9F" w:rsidRDefault="002F4689" w:rsidP="002F4689">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1AB26285" w14:textId="77777777" w:rsidR="002F4689" w:rsidRPr="00A33B9F" w:rsidRDefault="002F4689" w:rsidP="002F4689">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487A53D8" w14:textId="77777777" w:rsidR="002F4689" w:rsidRPr="00A33B9F" w:rsidRDefault="002F4689" w:rsidP="002F4689">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17EF62E8" w14:textId="6032FF81" w:rsidR="002F4689" w:rsidRPr="00A33B9F" w:rsidRDefault="002F4689"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884" w:type="dxa"/>
            <w:tcBorders>
              <w:top w:val="nil"/>
              <w:left w:val="nil"/>
              <w:bottom w:val="single" w:sz="4" w:space="0" w:color="auto"/>
              <w:right w:val="single" w:sz="4" w:space="0" w:color="auto"/>
            </w:tcBorders>
            <w:shd w:val="clear" w:color="auto" w:fill="C6EFCE"/>
            <w:noWrap/>
          </w:tcPr>
          <w:p w14:paraId="55B2252A" w14:textId="63853783" w:rsidR="002F4689" w:rsidRPr="00A33B9F" w:rsidRDefault="002F4689"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2E488FA8" w14:textId="0E880A41" w:rsidR="002F4689" w:rsidRPr="00A33B9F" w:rsidRDefault="246BBDBD" w:rsidP="2757ED6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Testy wersji pilotażowej platformy informatycznej na rzecz jednolitych ram cyfrowych na potrzeby wydawania pozwoleń na odnawialne źródła energii, spełniającej wymogi określone</w:t>
            </w:r>
            <w:r w:rsidR="00A33B9F" w:rsidRPr="00A33B9F">
              <w:rPr>
                <w:rFonts w:ascii="Times New Roman" w:hAnsi="Times New Roman"/>
                <w:noProof/>
                <w:sz w:val="18"/>
              </w:rPr>
              <w:t xml:space="preserve"> w kam</w:t>
            </w:r>
            <w:r w:rsidRPr="00A33B9F">
              <w:rPr>
                <w:rFonts w:ascii="Times New Roman" w:hAnsi="Times New Roman"/>
                <w:noProof/>
                <w:sz w:val="18"/>
              </w:rPr>
              <w:t>ieniu milowym G3L, zostaną zakończone.</w:t>
            </w:r>
          </w:p>
        </w:tc>
      </w:tr>
      <w:tr w:rsidR="00076A5D" w:rsidRPr="00A33B9F" w14:paraId="24E63644"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A7495FB" w14:textId="0A955CF4" w:rsidR="002F4689" w:rsidRPr="00A33B9F" w:rsidRDefault="00B4296E"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G5L</w:t>
            </w:r>
          </w:p>
        </w:tc>
        <w:tc>
          <w:tcPr>
            <w:tcW w:w="1474" w:type="dxa"/>
            <w:tcBorders>
              <w:top w:val="nil"/>
              <w:left w:val="nil"/>
              <w:bottom w:val="single" w:sz="4" w:space="0" w:color="auto"/>
              <w:right w:val="single" w:sz="4" w:space="0" w:color="auto"/>
            </w:tcBorders>
            <w:shd w:val="clear" w:color="auto" w:fill="C6EFCE"/>
            <w:noWrap/>
          </w:tcPr>
          <w:p w14:paraId="05AA8179" w14:textId="3640A851" w:rsidR="002F4689" w:rsidRPr="00A33B9F" w:rsidRDefault="002F4689"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G3.1.1 Usprawnienie procesu wydawania pozwoleń dotyczących odnawialnych źródeł energii</w:t>
            </w:r>
          </w:p>
        </w:tc>
        <w:tc>
          <w:tcPr>
            <w:tcW w:w="1077" w:type="dxa"/>
            <w:tcBorders>
              <w:top w:val="nil"/>
              <w:left w:val="nil"/>
              <w:bottom w:val="single" w:sz="4" w:space="0" w:color="auto"/>
              <w:right w:val="single" w:sz="4" w:space="0" w:color="auto"/>
            </w:tcBorders>
            <w:shd w:val="clear" w:color="auto" w:fill="C6EFCE"/>
            <w:noWrap/>
          </w:tcPr>
          <w:p w14:paraId="6985EC76" w14:textId="77777777" w:rsidR="002F4689" w:rsidRPr="00A33B9F" w:rsidRDefault="002F4689" w:rsidP="002F4689">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p w14:paraId="7935B6C7" w14:textId="77777777" w:rsidR="002F4689" w:rsidRPr="00A33B9F" w:rsidRDefault="002F4689" w:rsidP="002F4689">
            <w:pPr>
              <w:spacing w:after="0" w:line="240" w:lineRule="auto"/>
              <w:rPr>
                <w:rFonts w:ascii="Times New Roman" w:eastAsia="Times New Roman" w:hAnsi="Times New Roman" w:cs="Times New Roman"/>
                <w:noProof/>
                <w:sz w:val="18"/>
                <w:szCs w:val="18"/>
                <w:lang w:eastAsia="en-GB"/>
              </w:rPr>
            </w:pPr>
          </w:p>
        </w:tc>
        <w:tc>
          <w:tcPr>
            <w:tcW w:w="1874" w:type="dxa"/>
            <w:tcBorders>
              <w:top w:val="nil"/>
              <w:left w:val="nil"/>
              <w:bottom w:val="single" w:sz="4" w:space="0" w:color="auto"/>
              <w:right w:val="single" w:sz="4" w:space="0" w:color="auto"/>
            </w:tcBorders>
            <w:shd w:val="clear" w:color="auto" w:fill="C6EFCE"/>
            <w:noWrap/>
          </w:tcPr>
          <w:p w14:paraId="51CD5E2E" w14:textId="3FBE0B47" w:rsidR="002F4689" w:rsidRPr="00A33B9F" w:rsidRDefault="002F4689"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Cyfryzacja procesu wydawania pozwoleń</w:t>
            </w:r>
            <w:r w:rsidR="00C3621A" w:rsidRPr="00A33B9F">
              <w:rPr>
                <w:rFonts w:ascii="Times New Roman" w:hAnsi="Times New Roman"/>
                <w:noProof/>
                <w:sz w:val="18"/>
              </w:rPr>
              <w:t xml:space="preserve"> </w:t>
            </w:r>
          </w:p>
          <w:p w14:paraId="1CB1D67F" w14:textId="77777777" w:rsidR="002F4689" w:rsidRPr="00A33B9F" w:rsidRDefault="002F4689" w:rsidP="002F4689">
            <w:pPr>
              <w:spacing w:after="0" w:line="240" w:lineRule="auto"/>
              <w:rPr>
                <w:rFonts w:ascii="Times New Roman" w:eastAsia="Times New Roman" w:hAnsi="Times New Roman" w:cs="Times New Roman"/>
                <w:noProof/>
                <w:sz w:val="18"/>
                <w:szCs w:val="18"/>
                <w:lang w:eastAsia="en-GB"/>
              </w:rPr>
            </w:pPr>
          </w:p>
        </w:tc>
        <w:tc>
          <w:tcPr>
            <w:tcW w:w="1606" w:type="dxa"/>
            <w:tcBorders>
              <w:top w:val="nil"/>
              <w:left w:val="nil"/>
              <w:bottom w:val="single" w:sz="4" w:space="0" w:color="auto"/>
              <w:right w:val="single" w:sz="4" w:space="0" w:color="auto"/>
            </w:tcBorders>
            <w:shd w:val="clear" w:color="auto" w:fill="C6EFCE"/>
            <w:noWrap/>
          </w:tcPr>
          <w:p w14:paraId="6D7E96AF" w14:textId="188E14A3" w:rsidR="002F4689" w:rsidRPr="00A33B9F" w:rsidRDefault="002F4689"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Rozpoczęcie eksploatacji platformy informatycznej na rzecz jednolitych ram cyfrowych na potrzeby wydawania pozwoleń na odnawialne źródła energii</w:t>
            </w:r>
          </w:p>
        </w:tc>
        <w:tc>
          <w:tcPr>
            <w:tcW w:w="1076" w:type="dxa"/>
            <w:tcBorders>
              <w:top w:val="nil"/>
              <w:left w:val="nil"/>
              <w:bottom w:val="single" w:sz="4" w:space="0" w:color="auto"/>
              <w:right w:val="single" w:sz="4" w:space="0" w:color="auto"/>
            </w:tcBorders>
            <w:shd w:val="clear" w:color="auto" w:fill="C6EFCE"/>
            <w:noWrap/>
          </w:tcPr>
          <w:p w14:paraId="2C679B88" w14:textId="77777777" w:rsidR="002F4689" w:rsidRPr="00A33B9F" w:rsidRDefault="002F4689" w:rsidP="002F4689">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1DC66FDF" w14:textId="77777777" w:rsidR="002F4689" w:rsidRPr="00A33B9F" w:rsidRDefault="002F4689" w:rsidP="002F4689">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60BE9214" w14:textId="77777777" w:rsidR="002F4689" w:rsidRPr="00A33B9F" w:rsidRDefault="002F4689" w:rsidP="002F4689">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09F701D4" w14:textId="0DA40D97" w:rsidR="002F4689" w:rsidRPr="00A33B9F" w:rsidRDefault="002F4689"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84" w:type="dxa"/>
            <w:tcBorders>
              <w:top w:val="nil"/>
              <w:left w:val="nil"/>
              <w:bottom w:val="single" w:sz="4" w:space="0" w:color="auto"/>
              <w:right w:val="single" w:sz="4" w:space="0" w:color="auto"/>
            </w:tcBorders>
            <w:shd w:val="clear" w:color="auto" w:fill="C6EFCE"/>
            <w:noWrap/>
          </w:tcPr>
          <w:p w14:paraId="640DDF74" w14:textId="563C50FA" w:rsidR="002F4689" w:rsidRPr="00A33B9F" w:rsidRDefault="002F4689"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03426340" w14:textId="7C301F47" w:rsidR="002F4689" w:rsidRPr="00A33B9F" w:rsidRDefault="414B7C71" w:rsidP="2757ED6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Rozpoczęcie eksploatacji platformy informatycznej na rzecz jednolitych ram cyfrowych na potrzeby wydawania pozwoleń na odnawialne źródła energii, spełniającej wymogi określone</w:t>
            </w:r>
            <w:r w:rsidR="00A33B9F" w:rsidRPr="00A33B9F">
              <w:rPr>
                <w:rFonts w:ascii="Times New Roman" w:hAnsi="Times New Roman"/>
                <w:noProof/>
                <w:sz w:val="18"/>
              </w:rPr>
              <w:t xml:space="preserve"> w kam</w:t>
            </w:r>
            <w:r w:rsidRPr="00A33B9F">
              <w:rPr>
                <w:rFonts w:ascii="Times New Roman" w:hAnsi="Times New Roman"/>
                <w:noProof/>
                <w:sz w:val="18"/>
              </w:rPr>
              <w:t>ieniu milowym G3L.</w:t>
            </w:r>
          </w:p>
        </w:tc>
      </w:tr>
      <w:tr w:rsidR="00F84D9B" w:rsidRPr="00A33B9F" w14:paraId="2750927D"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60899DF8" w14:textId="1F1BAE78" w:rsidR="00F84D9B" w:rsidRPr="00A33B9F" w:rsidRDefault="00B4296E"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G6L</w:t>
            </w:r>
          </w:p>
        </w:tc>
        <w:tc>
          <w:tcPr>
            <w:tcW w:w="1474" w:type="dxa"/>
            <w:tcBorders>
              <w:top w:val="nil"/>
              <w:left w:val="nil"/>
              <w:bottom w:val="single" w:sz="4" w:space="0" w:color="auto"/>
              <w:right w:val="single" w:sz="4" w:space="0" w:color="auto"/>
            </w:tcBorders>
            <w:shd w:val="clear" w:color="auto" w:fill="C6EFCE"/>
            <w:noWrap/>
          </w:tcPr>
          <w:p w14:paraId="18FED290" w14:textId="77777777" w:rsidR="00690810" w:rsidRPr="00A33B9F" w:rsidRDefault="00690810" w:rsidP="00690810">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G3.1.1 Usprawnienie procesu wydawania pozwoleń dotyczących odnawialnych źródeł energii</w:t>
            </w:r>
          </w:p>
          <w:p w14:paraId="1A7E1387" w14:textId="77777777" w:rsidR="00F84D9B" w:rsidRPr="00A33B9F" w:rsidRDefault="00F84D9B" w:rsidP="002F4689">
            <w:pPr>
              <w:spacing w:after="0" w:line="240" w:lineRule="auto"/>
              <w:rPr>
                <w:rFonts w:ascii="Times New Roman" w:eastAsia="Times New Roman" w:hAnsi="Times New Roman" w:cs="Times New Roman"/>
                <w:noProof/>
                <w:sz w:val="18"/>
                <w:szCs w:val="18"/>
                <w:lang w:eastAsia="en-GB"/>
              </w:rPr>
            </w:pPr>
          </w:p>
        </w:tc>
        <w:tc>
          <w:tcPr>
            <w:tcW w:w="1077" w:type="dxa"/>
            <w:tcBorders>
              <w:top w:val="nil"/>
              <w:left w:val="nil"/>
              <w:bottom w:val="single" w:sz="4" w:space="0" w:color="auto"/>
              <w:right w:val="single" w:sz="4" w:space="0" w:color="auto"/>
            </w:tcBorders>
            <w:shd w:val="clear" w:color="auto" w:fill="C6EFCE"/>
            <w:noWrap/>
          </w:tcPr>
          <w:p w14:paraId="71BFF31D" w14:textId="02E095EA" w:rsidR="00F84D9B" w:rsidRPr="00A33B9F" w:rsidRDefault="00690810" w:rsidP="002F4689">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74" w:type="dxa"/>
            <w:tcBorders>
              <w:top w:val="nil"/>
              <w:left w:val="nil"/>
              <w:bottom w:val="single" w:sz="4" w:space="0" w:color="auto"/>
              <w:right w:val="single" w:sz="4" w:space="0" w:color="auto"/>
            </w:tcBorders>
            <w:shd w:val="clear" w:color="auto" w:fill="C6EFCE"/>
            <w:noWrap/>
          </w:tcPr>
          <w:p w14:paraId="6BDE8DE7" w14:textId="4F069B82" w:rsidR="00F84D9B" w:rsidRPr="00A33B9F" w:rsidRDefault="00690810"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Moc zainstalowana lądowych instalacji wiatrowych</w:t>
            </w:r>
            <w:r w:rsidR="00A33B9F" w:rsidRPr="00A33B9F">
              <w:rPr>
                <w:rFonts w:ascii="Times New Roman" w:hAnsi="Times New Roman"/>
                <w:noProof/>
                <w:sz w:val="18"/>
              </w:rPr>
              <w:t xml:space="preserve"> i fot</w:t>
            </w:r>
            <w:r w:rsidRPr="00A33B9F">
              <w:rPr>
                <w:rFonts w:ascii="Times New Roman" w:hAnsi="Times New Roman"/>
                <w:noProof/>
                <w:sz w:val="18"/>
              </w:rPr>
              <w:t>owoltaicznych (w GW)</w:t>
            </w:r>
          </w:p>
        </w:tc>
        <w:tc>
          <w:tcPr>
            <w:tcW w:w="1606" w:type="dxa"/>
            <w:tcBorders>
              <w:top w:val="nil"/>
              <w:left w:val="nil"/>
              <w:bottom w:val="single" w:sz="4" w:space="0" w:color="auto"/>
              <w:right w:val="single" w:sz="4" w:space="0" w:color="auto"/>
            </w:tcBorders>
            <w:shd w:val="clear" w:color="auto" w:fill="C6EFCE"/>
            <w:noWrap/>
          </w:tcPr>
          <w:p w14:paraId="53F6C630" w14:textId="3726E674" w:rsidR="00F84D9B" w:rsidRPr="00A33B9F" w:rsidRDefault="00F84D9B" w:rsidP="002F4689">
            <w:pPr>
              <w:spacing w:after="0" w:line="240" w:lineRule="auto"/>
              <w:rPr>
                <w:rFonts w:ascii="Times New Roman" w:eastAsia="Times New Roman" w:hAnsi="Times New Roman" w:cs="Times New Roman"/>
                <w:noProof/>
                <w:sz w:val="18"/>
                <w:szCs w:val="18"/>
                <w:lang w:eastAsia="en-GB"/>
              </w:rPr>
            </w:pPr>
          </w:p>
        </w:tc>
        <w:tc>
          <w:tcPr>
            <w:tcW w:w="1076" w:type="dxa"/>
            <w:tcBorders>
              <w:top w:val="nil"/>
              <w:left w:val="nil"/>
              <w:bottom w:val="single" w:sz="4" w:space="0" w:color="auto"/>
              <w:right w:val="single" w:sz="4" w:space="0" w:color="auto"/>
            </w:tcBorders>
            <w:shd w:val="clear" w:color="auto" w:fill="C6EFCE"/>
            <w:noWrap/>
          </w:tcPr>
          <w:p w14:paraId="3D1DEF3D" w14:textId="7294553A" w:rsidR="00F84D9B" w:rsidRPr="00A33B9F" w:rsidRDefault="00690810"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43" w:type="dxa"/>
            <w:tcBorders>
              <w:top w:val="nil"/>
              <w:left w:val="nil"/>
              <w:bottom w:val="single" w:sz="4" w:space="0" w:color="auto"/>
              <w:right w:val="single" w:sz="4" w:space="0" w:color="auto"/>
            </w:tcBorders>
            <w:shd w:val="clear" w:color="auto" w:fill="C6EFCE"/>
            <w:noWrap/>
          </w:tcPr>
          <w:p w14:paraId="406FBBCB" w14:textId="025631C5" w:rsidR="00F84D9B" w:rsidRPr="00A33B9F" w:rsidRDefault="3A0E4747"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23.5</w:t>
            </w:r>
          </w:p>
        </w:tc>
        <w:tc>
          <w:tcPr>
            <w:tcW w:w="678" w:type="dxa"/>
            <w:tcBorders>
              <w:top w:val="nil"/>
              <w:left w:val="nil"/>
              <w:bottom w:val="single" w:sz="4" w:space="0" w:color="auto"/>
              <w:right w:val="single" w:sz="4" w:space="0" w:color="auto"/>
            </w:tcBorders>
            <w:shd w:val="clear" w:color="auto" w:fill="C6EFCE"/>
            <w:noWrap/>
          </w:tcPr>
          <w:p w14:paraId="19844346" w14:textId="4427CC02" w:rsidR="00F84D9B" w:rsidRPr="00A33B9F" w:rsidRDefault="00690810"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28</w:t>
            </w:r>
          </w:p>
        </w:tc>
        <w:tc>
          <w:tcPr>
            <w:tcW w:w="878" w:type="dxa"/>
            <w:tcBorders>
              <w:top w:val="nil"/>
              <w:left w:val="nil"/>
              <w:bottom w:val="single" w:sz="4" w:space="0" w:color="auto"/>
              <w:right w:val="single" w:sz="4" w:space="0" w:color="auto"/>
            </w:tcBorders>
            <w:shd w:val="clear" w:color="auto" w:fill="C6EFCE"/>
            <w:noWrap/>
          </w:tcPr>
          <w:p w14:paraId="021596D2" w14:textId="7A8E102C" w:rsidR="00F84D9B" w:rsidRPr="00A33B9F" w:rsidRDefault="00690810"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884" w:type="dxa"/>
            <w:tcBorders>
              <w:top w:val="nil"/>
              <w:left w:val="nil"/>
              <w:bottom w:val="single" w:sz="4" w:space="0" w:color="auto"/>
              <w:right w:val="single" w:sz="4" w:space="0" w:color="auto"/>
            </w:tcBorders>
            <w:shd w:val="clear" w:color="auto" w:fill="C6EFCE"/>
            <w:noWrap/>
          </w:tcPr>
          <w:p w14:paraId="1147A738" w14:textId="65FD0118" w:rsidR="00F84D9B" w:rsidRPr="00A33B9F" w:rsidRDefault="00690810"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04E6DA47" w14:textId="7B2E9AF6" w:rsidR="00F84D9B" w:rsidRPr="00A33B9F" w:rsidRDefault="00690810" w:rsidP="00690810">
            <w:pPr>
              <w:pStyle w:val="Normal0"/>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Całkowita moc zainstalowana (w GW) lądowych instalacji wiatrowych</w:t>
            </w:r>
            <w:r w:rsidR="00A33B9F" w:rsidRPr="00A33B9F">
              <w:rPr>
                <w:rFonts w:ascii="Times New Roman" w:hAnsi="Times New Roman"/>
                <w:noProof/>
                <w:sz w:val="18"/>
              </w:rPr>
              <w:t xml:space="preserve"> i fot</w:t>
            </w:r>
            <w:r w:rsidRPr="00A33B9F">
              <w:rPr>
                <w:rFonts w:ascii="Times New Roman" w:hAnsi="Times New Roman"/>
                <w:noProof/>
                <w:sz w:val="18"/>
              </w:rPr>
              <w:t>owoltaicznych</w:t>
            </w:r>
          </w:p>
        </w:tc>
      </w:tr>
      <w:tr w:rsidR="00F84D9B" w:rsidRPr="00A33B9F" w14:paraId="49D83CE3"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0A3E0C3B" w14:textId="5B7A37B9" w:rsidR="00F84D9B" w:rsidRPr="00A33B9F" w:rsidRDefault="00FF3909"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G7L</w:t>
            </w:r>
          </w:p>
        </w:tc>
        <w:tc>
          <w:tcPr>
            <w:tcW w:w="1474" w:type="dxa"/>
            <w:tcBorders>
              <w:top w:val="nil"/>
              <w:left w:val="nil"/>
              <w:bottom w:val="single" w:sz="4" w:space="0" w:color="auto"/>
              <w:right w:val="single" w:sz="4" w:space="0" w:color="auto"/>
            </w:tcBorders>
            <w:shd w:val="clear" w:color="auto" w:fill="C6EFCE"/>
            <w:noWrap/>
          </w:tcPr>
          <w:p w14:paraId="7B17151A" w14:textId="77777777" w:rsidR="00E439ED" w:rsidRPr="00A33B9F" w:rsidRDefault="00E439ED" w:rsidP="00E439ED">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G3.1.1 Usprawnienie procesu wydawania pozwoleń dotyczących odnawialnych źródeł energii</w:t>
            </w:r>
          </w:p>
          <w:p w14:paraId="0967E9D6" w14:textId="77777777" w:rsidR="00F84D9B" w:rsidRPr="00A33B9F" w:rsidRDefault="00F84D9B" w:rsidP="002F4689">
            <w:pPr>
              <w:spacing w:after="0" w:line="240" w:lineRule="auto"/>
              <w:rPr>
                <w:rFonts w:ascii="Times New Roman" w:eastAsia="Times New Roman" w:hAnsi="Times New Roman" w:cs="Times New Roman"/>
                <w:noProof/>
                <w:sz w:val="18"/>
                <w:szCs w:val="18"/>
                <w:lang w:eastAsia="en-GB"/>
              </w:rPr>
            </w:pPr>
          </w:p>
        </w:tc>
        <w:tc>
          <w:tcPr>
            <w:tcW w:w="1077" w:type="dxa"/>
            <w:tcBorders>
              <w:top w:val="nil"/>
              <w:left w:val="nil"/>
              <w:bottom w:val="single" w:sz="4" w:space="0" w:color="auto"/>
              <w:right w:val="single" w:sz="4" w:space="0" w:color="auto"/>
            </w:tcBorders>
            <w:shd w:val="clear" w:color="auto" w:fill="C6EFCE"/>
            <w:noWrap/>
          </w:tcPr>
          <w:p w14:paraId="72826545" w14:textId="3F91727E" w:rsidR="00F84D9B" w:rsidRPr="00A33B9F" w:rsidRDefault="00E439ED" w:rsidP="002F4689">
            <w:pPr>
              <w:spacing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74" w:type="dxa"/>
            <w:tcBorders>
              <w:top w:val="nil"/>
              <w:left w:val="nil"/>
              <w:bottom w:val="single" w:sz="4" w:space="0" w:color="auto"/>
              <w:right w:val="single" w:sz="4" w:space="0" w:color="auto"/>
            </w:tcBorders>
            <w:shd w:val="clear" w:color="auto" w:fill="C6EFCE"/>
            <w:noWrap/>
          </w:tcPr>
          <w:p w14:paraId="0F74008E" w14:textId="51D7D1C4" w:rsidR="00F84D9B" w:rsidRPr="00A33B9F" w:rsidRDefault="00E439ED"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Moc zainstalowana lądowych instalacji wiatrowych</w:t>
            </w:r>
            <w:r w:rsidR="00A33B9F" w:rsidRPr="00A33B9F">
              <w:rPr>
                <w:rFonts w:ascii="Times New Roman" w:hAnsi="Times New Roman"/>
                <w:noProof/>
                <w:sz w:val="18"/>
              </w:rPr>
              <w:t xml:space="preserve"> i fot</w:t>
            </w:r>
            <w:r w:rsidRPr="00A33B9F">
              <w:rPr>
                <w:rFonts w:ascii="Times New Roman" w:hAnsi="Times New Roman"/>
                <w:noProof/>
                <w:sz w:val="18"/>
              </w:rPr>
              <w:t>owoltaicznych (w GW)</w:t>
            </w:r>
          </w:p>
        </w:tc>
        <w:tc>
          <w:tcPr>
            <w:tcW w:w="1606" w:type="dxa"/>
            <w:tcBorders>
              <w:top w:val="nil"/>
              <w:left w:val="nil"/>
              <w:bottom w:val="single" w:sz="4" w:space="0" w:color="auto"/>
              <w:right w:val="single" w:sz="4" w:space="0" w:color="auto"/>
            </w:tcBorders>
            <w:shd w:val="clear" w:color="auto" w:fill="C6EFCE"/>
            <w:noWrap/>
          </w:tcPr>
          <w:p w14:paraId="7045FE0E" w14:textId="33BD2C4F" w:rsidR="00F84D9B" w:rsidRPr="00A33B9F" w:rsidRDefault="00F84D9B" w:rsidP="002F4689">
            <w:pPr>
              <w:spacing w:after="0" w:line="240" w:lineRule="auto"/>
              <w:rPr>
                <w:rFonts w:ascii="Times New Roman" w:eastAsia="Times New Roman" w:hAnsi="Times New Roman" w:cs="Times New Roman"/>
                <w:noProof/>
                <w:sz w:val="18"/>
                <w:szCs w:val="18"/>
                <w:lang w:eastAsia="en-GB"/>
              </w:rPr>
            </w:pPr>
          </w:p>
        </w:tc>
        <w:tc>
          <w:tcPr>
            <w:tcW w:w="1076" w:type="dxa"/>
            <w:tcBorders>
              <w:top w:val="nil"/>
              <w:left w:val="nil"/>
              <w:bottom w:val="single" w:sz="4" w:space="0" w:color="auto"/>
              <w:right w:val="single" w:sz="4" w:space="0" w:color="auto"/>
            </w:tcBorders>
            <w:shd w:val="clear" w:color="auto" w:fill="C6EFCE"/>
            <w:noWrap/>
          </w:tcPr>
          <w:p w14:paraId="48306150" w14:textId="6D651A14" w:rsidR="00F84D9B" w:rsidRPr="00A33B9F" w:rsidRDefault="00E439ED"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Liczba</w:t>
            </w:r>
          </w:p>
        </w:tc>
        <w:tc>
          <w:tcPr>
            <w:tcW w:w="943" w:type="dxa"/>
            <w:tcBorders>
              <w:top w:val="nil"/>
              <w:left w:val="nil"/>
              <w:bottom w:val="single" w:sz="4" w:space="0" w:color="auto"/>
              <w:right w:val="single" w:sz="4" w:space="0" w:color="auto"/>
            </w:tcBorders>
            <w:shd w:val="clear" w:color="auto" w:fill="C6EFCE"/>
            <w:noWrap/>
          </w:tcPr>
          <w:p w14:paraId="03120837" w14:textId="60A371B3" w:rsidR="00F84D9B" w:rsidRPr="00A33B9F" w:rsidRDefault="00E439ED"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28</w:t>
            </w:r>
          </w:p>
        </w:tc>
        <w:tc>
          <w:tcPr>
            <w:tcW w:w="678" w:type="dxa"/>
            <w:tcBorders>
              <w:top w:val="nil"/>
              <w:left w:val="nil"/>
              <w:bottom w:val="single" w:sz="4" w:space="0" w:color="auto"/>
              <w:right w:val="single" w:sz="4" w:space="0" w:color="auto"/>
            </w:tcBorders>
            <w:shd w:val="clear" w:color="auto" w:fill="C6EFCE"/>
            <w:noWrap/>
          </w:tcPr>
          <w:p w14:paraId="65D1EAC3" w14:textId="35B24D64" w:rsidR="00F84D9B" w:rsidRPr="00A33B9F" w:rsidRDefault="00E439ED"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30</w:t>
            </w:r>
          </w:p>
        </w:tc>
        <w:tc>
          <w:tcPr>
            <w:tcW w:w="878" w:type="dxa"/>
            <w:tcBorders>
              <w:top w:val="nil"/>
              <w:left w:val="nil"/>
              <w:bottom w:val="single" w:sz="4" w:space="0" w:color="auto"/>
              <w:right w:val="single" w:sz="4" w:space="0" w:color="auto"/>
            </w:tcBorders>
            <w:shd w:val="clear" w:color="auto" w:fill="C6EFCE"/>
            <w:noWrap/>
          </w:tcPr>
          <w:p w14:paraId="4128314E" w14:textId="5B698642" w:rsidR="00F84D9B" w:rsidRPr="00A33B9F" w:rsidRDefault="00E439ED"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84" w:type="dxa"/>
            <w:tcBorders>
              <w:top w:val="nil"/>
              <w:left w:val="nil"/>
              <w:bottom w:val="single" w:sz="4" w:space="0" w:color="auto"/>
              <w:right w:val="single" w:sz="4" w:space="0" w:color="auto"/>
            </w:tcBorders>
            <w:shd w:val="clear" w:color="auto" w:fill="C6EFCE"/>
            <w:noWrap/>
          </w:tcPr>
          <w:p w14:paraId="3DF84E7C" w14:textId="7A507D1F" w:rsidR="00F84D9B" w:rsidRPr="00A33B9F" w:rsidRDefault="00E439ED" w:rsidP="002F4689">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79E7BA05" w14:textId="2F29C463" w:rsidR="00F84D9B" w:rsidRPr="00A33B9F" w:rsidRDefault="00E439ED" w:rsidP="002F468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Całkowita moc zainstalowana (w GW) lądowych instalacji wiatrowych</w:t>
            </w:r>
            <w:r w:rsidR="00A33B9F" w:rsidRPr="00A33B9F">
              <w:rPr>
                <w:rFonts w:ascii="Times New Roman" w:hAnsi="Times New Roman"/>
                <w:noProof/>
                <w:sz w:val="18"/>
              </w:rPr>
              <w:t xml:space="preserve"> i fot</w:t>
            </w:r>
            <w:r w:rsidRPr="00A33B9F">
              <w:rPr>
                <w:rFonts w:ascii="Times New Roman" w:hAnsi="Times New Roman"/>
                <w:noProof/>
                <w:sz w:val="18"/>
              </w:rPr>
              <w:t>owoltaicznych</w:t>
            </w:r>
          </w:p>
        </w:tc>
      </w:tr>
      <w:tr w:rsidR="00076A5D" w:rsidRPr="00A33B9F" w14:paraId="4E9808F6"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97A532D" w14:textId="086D17C8" w:rsidR="00F24072" w:rsidRPr="00A33B9F" w:rsidRDefault="00DE2159"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G8L</w:t>
            </w:r>
          </w:p>
        </w:tc>
        <w:tc>
          <w:tcPr>
            <w:tcW w:w="1474" w:type="dxa"/>
            <w:tcBorders>
              <w:top w:val="nil"/>
              <w:left w:val="nil"/>
              <w:bottom w:val="single" w:sz="4" w:space="0" w:color="auto"/>
              <w:right w:val="single" w:sz="4" w:space="0" w:color="auto"/>
            </w:tcBorders>
            <w:shd w:val="clear" w:color="auto" w:fill="C6EFCE"/>
            <w:noWrap/>
          </w:tcPr>
          <w:p w14:paraId="54D5B9CA" w14:textId="4F3C0632"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G3.1.2 Umiejętności na potrzeby zielonej transformacji</w:t>
            </w:r>
          </w:p>
        </w:tc>
        <w:tc>
          <w:tcPr>
            <w:tcW w:w="1077" w:type="dxa"/>
            <w:tcBorders>
              <w:top w:val="nil"/>
              <w:left w:val="nil"/>
              <w:bottom w:val="single" w:sz="4" w:space="0" w:color="auto"/>
              <w:right w:val="single" w:sz="4" w:space="0" w:color="auto"/>
            </w:tcBorders>
            <w:shd w:val="clear" w:color="auto" w:fill="C6EFCE"/>
            <w:noWrap/>
          </w:tcPr>
          <w:p w14:paraId="26456F6C"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50D0516F" w14:textId="5A985C04" w:rsidR="00F24072" w:rsidRPr="00A33B9F" w:rsidRDefault="003577F0"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Zmiana trzech sektorowych ram kwalifikacji na rzecz zielonej transformacji </w:t>
            </w:r>
          </w:p>
        </w:tc>
        <w:tc>
          <w:tcPr>
            <w:tcW w:w="1606" w:type="dxa"/>
            <w:tcBorders>
              <w:top w:val="nil"/>
              <w:left w:val="nil"/>
              <w:bottom w:val="single" w:sz="4" w:space="0" w:color="auto"/>
              <w:right w:val="single" w:sz="4" w:space="0" w:color="auto"/>
            </w:tcBorders>
            <w:shd w:val="clear" w:color="auto" w:fill="C6EFCE"/>
            <w:noWrap/>
          </w:tcPr>
          <w:p w14:paraId="62D0E8F0" w14:textId="57303F90" w:rsidR="00F24072" w:rsidRPr="00A33B9F" w:rsidRDefault="00E0449B"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Publikacja sprawozdań</w:t>
            </w:r>
            <w:r w:rsidR="00A33B9F" w:rsidRPr="00A33B9F">
              <w:rPr>
                <w:rFonts w:ascii="Times New Roman" w:hAnsi="Times New Roman"/>
                <w:noProof/>
                <w:sz w:val="18"/>
              </w:rPr>
              <w:t xml:space="preserve"> w odn</w:t>
            </w:r>
            <w:r w:rsidRPr="00A33B9F">
              <w:rPr>
                <w:rFonts w:ascii="Times New Roman" w:hAnsi="Times New Roman"/>
                <w:noProof/>
                <w:sz w:val="18"/>
              </w:rPr>
              <w:t>iesieniu do zmienionych sektorowych ram kwalifikacji</w:t>
            </w:r>
            <w:r w:rsidR="00A33B9F" w:rsidRPr="00A33B9F">
              <w:rPr>
                <w:rFonts w:ascii="Times New Roman" w:hAnsi="Times New Roman"/>
                <w:noProof/>
                <w:sz w:val="18"/>
              </w:rPr>
              <w:t xml:space="preserve"> w obs</w:t>
            </w:r>
            <w:r w:rsidRPr="00A33B9F">
              <w:rPr>
                <w:rFonts w:ascii="Times New Roman" w:hAnsi="Times New Roman"/>
                <w:noProof/>
                <w:sz w:val="18"/>
              </w:rPr>
              <w:t>zarach budownictwa, gospodarki wodnej</w:t>
            </w:r>
            <w:r w:rsidR="00A33B9F" w:rsidRPr="00A33B9F">
              <w:rPr>
                <w:rFonts w:ascii="Times New Roman" w:hAnsi="Times New Roman"/>
                <w:noProof/>
                <w:sz w:val="18"/>
              </w:rPr>
              <w:t xml:space="preserve"> i gos</w:t>
            </w:r>
            <w:r w:rsidRPr="00A33B9F">
              <w:rPr>
                <w:rFonts w:ascii="Times New Roman" w:hAnsi="Times New Roman"/>
                <w:noProof/>
                <w:sz w:val="18"/>
              </w:rPr>
              <w:t>podarowania odpadami</w:t>
            </w:r>
          </w:p>
        </w:tc>
        <w:tc>
          <w:tcPr>
            <w:tcW w:w="1076" w:type="dxa"/>
            <w:tcBorders>
              <w:top w:val="nil"/>
              <w:left w:val="nil"/>
              <w:bottom w:val="single" w:sz="4" w:space="0" w:color="auto"/>
              <w:right w:val="single" w:sz="4" w:space="0" w:color="auto"/>
            </w:tcBorders>
            <w:shd w:val="clear" w:color="auto" w:fill="C6EFCE"/>
            <w:noWrap/>
          </w:tcPr>
          <w:p w14:paraId="03852252"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2582632E"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1623A8D1"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711009E1" w14:textId="0AE2A84E" w:rsidR="00F24072" w:rsidRPr="00A33B9F" w:rsidRDefault="00340076"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84" w:type="dxa"/>
            <w:tcBorders>
              <w:top w:val="nil"/>
              <w:left w:val="nil"/>
              <w:bottom w:val="single" w:sz="4" w:space="0" w:color="auto"/>
              <w:right w:val="single" w:sz="4" w:space="0" w:color="auto"/>
            </w:tcBorders>
            <w:shd w:val="clear" w:color="auto" w:fill="C6EFCE"/>
            <w:noWrap/>
          </w:tcPr>
          <w:p w14:paraId="0F57E02C"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6109E846" w14:textId="09A84D25" w:rsidR="00542267" w:rsidRPr="00A33B9F" w:rsidRDefault="23B670B5"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 współpracy</w:t>
            </w:r>
            <w:r w:rsidR="00A33B9F" w:rsidRPr="00A33B9F">
              <w:rPr>
                <w:rFonts w:ascii="Times New Roman" w:hAnsi="Times New Roman"/>
                <w:noProof/>
                <w:sz w:val="18"/>
              </w:rPr>
              <w:t xml:space="preserve"> z sek</w:t>
            </w:r>
            <w:r w:rsidRPr="00A33B9F">
              <w:rPr>
                <w:rFonts w:ascii="Times New Roman" w:hAnsi="Times New Roman"/>
                <w:noProof/>
                <w:sz w:val="18"/>
              </w:rPr>
              <w:t>torowymi partnerami społecznymi,</w:t>
            </w:r>
            <w:r w:rsidR="00A33B9F" w:rsidRPr="00A33B9F">
              <w:rPr>
                <w:rFonts w:ascii="Times New Roman" w:hAnsi="Times New Roman"/>
                <w:noProof/>
                <w:sz w:val="18"/>
              </w:rPr>
              <w:t xml:space="preserve"> w tym</w:t>
            </w:r>
            <w:r w:rsidRPr="00A33B9F">
              <w:rPr>
                <w:rFonts w:ascii="Times New Roman" w:hAnsi="Times New Roman"/>
                <w:noProof/>
                <w:sz w:val="18"/>
              </w:rPr>
              <w:t xml:space="preserve"> Sektorowymi Radami ds. Kompetencji, sektorowe ramy kwalifikacji</w:t>
            </w:r>
            <w:r w:rsidR="00A33B9F" w:rsidRPr="00A33B9F">
              <w:rPr>
                <w:rFonts w:ascii="Times New Roman" w:hAnsi="Times New Roman"/>
                <w:noProof/>
                <w:sz w:val="18"/>
              </w:rPr>
              <w:t xml:space="preserve"> w obs</w:t>
            </w:r>
            <w:r w:rsidRPr="00A33B9F">
              <w:rPr>
                <w:rFonts w:ascii="Times New Roman" w:hAnsi="Times New Roman"/>
                <w:noProof/>
                <w:sz w:val="18"/>
              </w:rPr>
              <w:t>zarach budownictwa, gospodarki wodnej</w:t>
            </w:r>
            <w:r w:rsidR="00A33B9F" w:rsidRPr="00A33B9F">
              <w:rPr>
                <w:rFonts w:ascii="Times New Roman" w:hAnsi="Times New Roman"/>
                <w:noProof/>
                <w:sz w:val="18"/>
              </w:rPr>
              <w:t xml:space="preserve"> i gos</w:t>
            </w:r>
            <w:r w:rsidRPr="00A33B9F">
              <w:rPr>
                <w:rFonts w:ascii="Times New Roman" w:hAnsi="Times New Roman"/>
                <w:noProof/>
                <w:sz w:val="18"/>
              </w:rPr>
              <w:t>podarowania odpadami zostaną zmienione</w:t>
            </w:r>
            <w:r w:rsidR="00A33B9F" w:rsidRPr="00A33B9F">
              <w:rPr>
                <w:rFonts w:ascii="Times New Roman" w:hAnsi="Times New Roman"/>
                <w:noProof/>
                <w:sz w:val="18"/>
              </w:rPr>
              <w:t xml:space="preserve"> w cel</w:t>
            </w:r>
            <w:r w:rsidRPr="00A33B9F">
              <w:rPr>
                <w:rFonts w:ascii="Times New Roman" w:hAnsi="Times New Roman"/>
                <w:noProof/>
                <w:sz w:val="18"/>
              </w:rPr>
              <w:t>u uwzględnienia umiejętności przyczyniających się do osiągnięcia celów Europejskiego Zielonego Ładu</w:t>
            </w:r>
            <w:r w:rsidR="00A33B9F" w:rsidRPr="00A33B9F">
              <w:rPr>
                <w:rFonts w:ascii="Times New Roman" w:hAnsi="Times New Roman"/>
                <w:noProof/>
                <w:sz w:val="18"/>
              </w:rPr>
              <w:t xml:space="preserve"> i neu</w:t>
            </w:r>
            <w:r w:rsidRPr="00A33B9F">
              <w:rPr>
                <w:rFonts w:ascii="Times New Roman" w:hAnsi="Times New Roman"/>
                <w:noProof/>
                <w:sz w:val="18"/>
              </w:rPr>
              <w:t>tralności klimatycznej do</w:t>
            </w:r>
            <w:r w:rsidR="00A33B9F" w:rsidRPr="00A33B9F">
              <w:rPr>
                <w:rFonts w:ascii="Times New Roman" w:hAnsi="Times New Roman"/>
                <w:noProof/>
                <w:sz w:val="18"/>
              </w:rPr>
              <w:t> </w:t>
            </w:r>
            <w:r w:rsidRPr="00A33B9F">
              <w:rPr>
                <w:rFonts w:ascii="Times New Roman" w:hAnsi="Times New Roman"/>
                <w:noProof/>
                <w:sz w:val="18"/>
              </w:rPr>
              <w:t>2050</w:t>
            </w:r>
            <w:r w:rsidR="00A33B9F" w:rsidRPr="00A33B9F">
              <w:rPr>
                <w:rFonts w:ascii="Times New Roman" w:hAnsi="Times New Roman"/>
                <w:noProof/>
                <w:sz w:val="18"/>
              </w:rPr>
              <w:t> </w:t>
            </w:r>
            <w:r w:rsidRPr="00A33B9F">
              <w:rPr>
                <w:rFonts w:ascii="Times New Roman" w:hAnsi="Times New Roman"/>
                <w:noProof/>
                <w:sz w:val="18"/>
              </w:rPr>
              <w:t>r.</w:t>
            </w:r>
          </w:p>
          <w:p w14:paraId="393FACF6" w14:textId="1287F604" w:rsidR="00F24072" w:rsidRPr="00A33B9F" w:rsidRDefault="00534B88"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Opublikowane zostaną sprawozdania</w:t>
            </w:r>
            <w:r w:rsidR="00A33B9F" w:rsidRPr="00A33B9F">
              <w:rPr>
                <w:rFonts w:ascii="Times New Roman" w:hAnsi="Times New Roman"/>
                <w:noProof/>
                <w:sz w:val="18"/>
              </w:rPr>
              <w:t xml:space="preserve"> w odn</w:t>
            </w:r>
            <w:r w:rsidRPr="00A33B9F">
              <w:rPr>
                <w:rFonts w:ascii="Times New Roman" w:hAnsi="Times New Roman"/>
                <w:noProof/>
                <w:sz w:val="18"/>
              </w:rPr>
              <w:t>iesieniu do zmienionych sektorowych ram kwalifikacji</w:t>
            </w:r>
            <w:r w:rsidR="00A33B9F" w:rsidRPr="00A33B9F">
              <w:rPr>
                <w:rFonts w:ascii="Times New Roman" w:hAnsi="Times New Roman"/>
                <w:noProof/>
                <w:sz w:val="18"/>
              </w:rPr>
              <w:t xml:space="preserve"> w obs</w:t>
            </w:r>
            <w:r w:rsidRPr="00A33B9F">
              <w:rPr>
                <w:rFonts w:ascii="Times New Roman" w:hAnsi="Times New Roman"/>
                <w:noProof/>
                <w:sz w:val="18"/>
              </w:rPr>
              <w:t>zarach budownictwa, gospodarki wodnej</w:t>
            </w:r>
            <w:r w:rsidR="00A33B9F" w:rsidRPr="00A33B9F">
              <w:rPr>
                <w:rFonts w:ascii="Times New Roman" w:hAnsi="Times New Roman"/>
                <w:noProof/>
                <w:sz w:val="18"/>
              </w:rPr>
              <w:t xml:space="preserve"> i gos</w:t>
            </w:r>
            <w:r w:rsidRPr="00A33B9F">
              <w:rPr>
                <w:rFonts w:ascii="Times New Roman" w:hAnsi="Times New Roman"/>
                <w:noProof/>
                <w:sz w:val="18"/>
              </w:rPr>
              <w:t xml:space="preserve">podarowania odpadami. </w:t>
            </w:r>
          </w:p>
          <w:p w14:paraId="5ADB1CF4"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 </w:t>
            </w:r>
          </w:p>
          <w:p w14:paraId="22F29056" w14:textId="30BB8BB4"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r>
      <w:tr w:rsidR="0060184D" w:rsidRPr="00A33B9F" w14:paraId="066F317A"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4850F753" w14:textId="1F8017BE" w:rsidR="0060184D" w:rsidRPr="00A33B9F" w:rsidRDefault="0060184D" w:rsidP="0060184D">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G9L</w:t>
            </w:r>
          </w:p>
        </w:tc>
        <w:tc>
          <w:tcPr>
            <w:tcW w:w="1474" w:type="dxa"/>
            <w:tcBorders>
              <w:top w:val="nil"/>
              <w:left w:val="nil"/>
              <w:bottom w:val="single" w:sz="4" w:space="0" w:color="auto"/>
              <w:right w:val="single" w:sz="4" w:space="0" w:color="auto"/>
            </w:tcBorders>
            <w:shd w:val="clear" w:color="auto" w:fill="C6EFCE"/>
            <w:noWrap/>
          </w:tcPr>
          <w:p w14:paraId="652D1327" w14:textId="3C4A1D68" w:rsidR="0060184D" w:rsidRPr="00A33B9F" w:rsidRDefault="0060184D"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G3.1.2 Umiejętności na potrzeby zielonej transformacji</w:t>
            </w:r>
          </w:p>
        </w:tc>
        <w:tc>
          <w:tcPr>
            <w:tcW w:w="1077" w:type="dxa"/>
            <w:tcBorders>
              <w:top w:val="nil"/>
              <w:left w:val="nil"/>
              <w:bottom w:val="single" w:sz="4" w:space="0" w:color="auto"/>
              <w:right w:val="single" w:sz="4" w:space="0" w:color="auto"/>
            </w:tcBorders>
            <w:shd w:val="clear" w:color="auto" w:fill="C6EFCE"/>
            <w:noWrap/>
          </w:tcPr>
          <w:p w14:paraId="0D449D82" w14:textId="0256EBA9" w:rsidR="0060184D" w:rsidRPr="00A33B9F" w:rsidRDefault="0060184D"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1C5B2BA4" w14:textId="10A15329" w:rsidR="0060184D" w:rsidRPr="00A33B9F" w:rsidRDefault="00D674D7"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Zmiana ram kwalifikacji dotyczących energii</w:t>
            </w:r>
          </w:p>
        </w:tc>
        <w:tc>
          <w:tcPr>
            <w:tcW w:w="1606" w:type="dxa"/>
            <w:tcBorders>
              <w:top w:val="nil"/>
              <w:left w:val="nil"/>
              <w:bottom w:val="single" w:sz="4" w:space="0" w:color="auto"/>
              <w:right w:val="single" w:sz="4" w:space="0" w:color="auto"/>
            </w:tcBorders>
            <w:shd w:val="clear" w:color="auto" w:fill="C6EFCE"/>
            <w:noWrap/>
          </w:tcPr>
          <w:p w14:paraId="70A5FAE2" w14:textId="261D1E05" w:rsidR="0060184D" w:rsidRPr="00A33B9F" w:rsidRDefault="007D3881"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Publikacja sprawozdania</w:t>
            </w:r>
            <w:r w:rsidR="00A33B9F" w:rsidRPr="00A33B9F">
              <w:rPr>
                <w:rFonts w:ascii="Times New Roman" w:hAnsi="Times New Roman"/>
                <w:noProof/>
                <w:sz w:val="18"/>
              </w:rPr>
              <w:t xml:space="preserve"> w odn</w:t>
            </w:r>
            <w:r w:rsidRPr="00A33B9F">
              <w:rPr>
                <w:rFonts w:ascii="Times New Roman" w:hAnsi="Times New Roman"/>
                <w:noProof/>
                <w:sz w:val="18"/>
              </w:rPr>
              <w:t>iesieniu do zmienionych ram kwalifikacji dotyczących energii</w:t>
            </w:r>
          </w:p>
        </w:tc>
        <w:tc>
          <w:tcPr>
            <w:tcW w:w="1076" w:type="dxa"/>
            <w:tcBorders>
              <w:top w:val="nil"/>
              <w:left w:val="nil"/>
              <w:bottom w:val="single" w:sz="4" w:space="0" w:color="auto"/>
              <w:right w:val="single" w:sz="4" w:space="0" w:color="auto"/>
            </w:tcBorders>
            <w:shd w:val="clear" w:color="auto" w:fill="C6EFCE"/>
            <w:noWrap/>
          </w:tcPr>
          <w:p w14:paraId="2A9694CF" w14:textId="77777777" w:rsidR="0060184D" w:rsidRPr="00A33B9F" w:rsidRDefault="0060184D" w:rsidP="0060184D">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6DD78178" w14:textId="77777777" w:rsidR="0060184D" w:rsidRPr="00A33B9F" w:rsidRDefault="0060184D" w:rsidP="0060184D">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7F8EC23D" w14:textId="77777777" w:rsidR="0060184D" w:rsidRPr="00A33B9F" w:rsidRDefault="0060184D" w:rsidP="0060184D">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22BEA2DC" w14:textId="2523678B" w:rsidR="0060184D" w:rsidRPr="00A33B9F" w:rsidRDefault="0060184D" w:rsidP="0060184D">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 xml:space="preserve">II kw. </w:t>
            </w:r>
          </w:p>
        </w:tc>
        <w:tc>
          <w:tcPr>
            <w:tcW w:w="884" w:type="dxa"/>
            <w:tcBorders>
              <w:top w:val="nil"/>
              <w:left w:val="nil"/>
              <w:bottom w:val="single" w:sz="4" w:space="0" w:color="auto"/>
              <w:right w:val="single" w:sz="4" w:space="0" w:color="auto"/>
            </w:tcBorders>
            <w:shd w:val="clear" w:color="auto" w:fill="C6EFCE"/>
            <w:noWrap/>
          </w:tcPr>
          <w:p w14:paraId="067A9FC7" w14:textId="5A480AF3" w:rsidR="0060184D" w:rsidRPr="00A33B9F" w:rsidRDefault="0060184D" w:rsidP="0060184D">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1DC3C7C9" w14:textId="574AF25D" w:rsidR="00542267" w:rsidRPr="00A33B9F" w:rsidRDefault="6127349A"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 współpracy</w:t>
            </w:r>
            <w:r w:rsidR="00A33B9F" w:rsidRPr="00A33B9F">
              <w:rPr>
                <w:rFonts w:ascii="Times New Roman" w:hAnsi="Times New Roman"/>
                <w:noProof/>
                <w:sz w:val="18"/>
              </w:rPr>
              <w:t xml:space="preserve"> z sek</w:t>
            </w:r>
            <w:r w:rsidRPr="00A33B9F">
              <w:rPr>
                <w:rFonts w:ascii="Times New Roman" w:hAnsi="Times New Roman"/>
                <w:noProof/>
                <w:sz w:val="18"/>
              </w:rPr>
              <w:t>torowymi partnerami społecznymi,</w:t>
            </w:r>
            <w:r w:rsidR="00A33B9F" w:rsidRPr="00A33B9F">
              <w:rPr>
                <w:rFonts w:ascii="Times New Roman" w:hAnsi="Times New Roman"/>
                <w:noProof/>
                <w:sz w:val="18"/>
              </w:rPr>
              <w:t xml:space="preserve"> w tym</w:t>
            </w:r>
            <w:r w:rsidRPr="00A33B9F">
              <w:rPr>
                <w:rFonts w:ascii="Times New Roman" w:hAnsi="Times New Roman"/>
                <w:noProof/>
                <w:sz w:val="18"/>
              </w:rPr>
              <w:t xml:space="preserve"> Sektorowymi Radami ds. Kompetencji, ramy kwalifikacji dotyczących energii zostaną zmienione przez uwzględnienie kwalifikacji</w:t>
            </w:r>
            <w:r w:rsidR="00A33B9F" w:rsidRPr="00A33B9F">
              <w:rPr>
                <w:rFonts w:ascii="Times New Roman" w:hAnsi="Times New Roman"/>
                <w:noProof/>
                <w:sz w:val="18"/>
              </w:rPr>
              <w:t xml:space="preserve"> w zak</w:t>
            </w:r>
            <w:r w:rsidRPr="00A33B9F">
              <w:rPr>
                <w:rFonts w:ascii="Times New Roman" w:hAnsi="Times New Roman"/>
                <w:noProof/>
                <w:sz w:val="18"/>
              </w:rPr>
              <w:t>resie odnawialnych źródeł energii</w:t>
            </w:r>
            <w:r w:rsidRPr="00A33B9F">
              <w:rPr>
                <w:noProof/>
              </w:rPr>
              <w:t xml:space="preserve"> </w:t>
            </w:r>
            <w:r w:rsidRPr="00A33B9F">
              <w:rPr>
                <w:rFonts w:ascii="Times New Roman" w:hAnsi="Times New Roman"/>
                <w:noProof/>
                <w:sz w:val="18"/>
              </w:rPr>
              <w:t>obejmujących umiejętności przyczyniające się do osiągnięcia celów Europejskiego Zielonego Ładu</w:t>
            </w:r>
            <w:r w:rsidR="00A33B9F" w:rsidRPr="00A33B9F">
              <w:rPr>
                <w:rFonts w:ascii="Times New Roman" w:hAnsi="Times New Roman"/>
                <w:noProof/>
                <w:sz w:val="18"/>
              </w:rPr>
              <w:t xml:space="preserve"> i neu</w:t>
            </w:r>
            <w:r w:rsidRPr="00A33B9F">
              <w:rPr>
                <w:rFonts w:ascii="Times New Roman" w:hAnsi="Times New Roman"/>
                <w:noProof/>
                <w:sz w:val="18"/>
              </w:rPr>
              <w:t>tralności klimatycznej do</w:t>
            </w:r>
            <w:r w:rsidR="00A33B9F" w:rsidRPr="00A33B9F">
              <w:rPr>
                <w:rFonts w:ascii="Times New Roman" w:hAnsi="Times New Roman"/>
                <w:noProof/>
                <w:sz w:val="18"/>
              </w:rPr>
              <w:t> </w:t>
            </w:r>
            <w:r w:rsidRPr="00A33B9F">
              <w:rPr>
                <w:rFonts w:ascii="Times New Roman" w:hAnsi="Times New Roman"/>
                <w:noProof/>
                <w:sz w:val="18"/>
              </w:rPr>
              <w:t>2050</w:t>
            </w:r>
            <w:r w:rsidR="00A33B9F" w:rsidRPr="00A33B9F">
              <w:rPr>
                <w:rFonts w:ascii="Times New Roman" w:hAnsi="Times New Roman"/>
                <w:noProof/>
                <w:sz w:val="18"/>
              </w:rPr>
              <w:t> </w:t>
            </w:r>
            <w:r w:rsidRPr="00A33B9F">
              <w:rPr>
                <w:rFonts w:ascii="Times New Roman" w:hAnsi="Times New Roman"/>
                <w:noProof/>
                <w:sz w:val="18"/>
              </w:rPr>
              <w:t>r.</w:t>
            </w:r>
          </w:p>
          <w:p w14:paraId="364B6F6E" w14:textId="77777777" w:rsidR="00653294" w:rsidRPr="00A33B9F" w:rsidRDefault="00653294" w:rsidP="0060184D">
            <w:pPr>
              <w:spacing w:after="0" w:line="240" w:lineRule="auto"/>
              <w:rPr>
                <w:rFonts w:ascii="Times New Roman" w:eastAsia="Times New Roman" w:hAnsi="Times New Roman" w:cs="Times New Roman"/>
                <w:noProof/>
                <w:sz w:val="18"/>
                <w:szCs w:val="18"/>
                <w:lang w:eastAsia="en-GB"/>
              </w:rPr>
            </w:pPr>
          </w:p>
          <w:p w14:paraId="29503E35" w14:textId="1A1D0717" w:rsidR="0060184D" w:rsidRPr="00A33B9F" w:rsidRDefault="00B04B3C"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Opublikowane zostanie sprawozdanie</w:t>
            </w:r>
            <w:r w:rsidR="00A33B9F" w:rsidRPr="00A33B9F">
              <w:rPr>
                <w:rFonts w:ascii="Times New Roman" w:hAnsi="Times New Roman"/>
                <w:noProof/>
                <w:sz w:val="18"/>
              </w:rPr>
              <w:t xml:space="preserve"> w odn</w:t>
            </w:r>
            <w:r w:rsidRPr="00A33B9F">
              <w:rPr>
                <w:rFonts w:ascii="Times New Roman" w:hAnsi="Times New Roman"/>
                <w:noProof/>
                <w:sz w:val="18"/>
              </w:rPr>
              <w:t xml:space="preserve">iesieniu do zmienionych ram kwalifikacji dotyczących energii. </w:t>
            </w:r>
          </w:p>
        </w:tc>
      </w:tr>
      <w:tr w:rsidR="0060184D" w:rsidRPr="00A33B9F" w14:paraId="184690B6"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B904DCB" w14:textId="101B90DE" w:rsidR="0060184D" w:rsidRPr="00A33B9F" w:rsidRDefault="000E592E" w:rsidP="0060184D">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G10L</w:t>
            </w:r>
          </w:p>
        </w:tc>
        <w:tc>
          <w:tcPr>
            <w:tcW w:w="1474" w:type="dxa"/>
            <w:tcBorders>
              <w:top w:val="nil"/>
              <w:left w:val="nil"/>
              <w:bottom w:val="single" w:sz="4" w:space="0" w:color="auto"/>
              <w:right w:val="single" w:sz="4" w:space="0" w:color="auto"/>
            </w:tcBorders>
            <w:shd w:val="clear" w:color="auto" w:fill="C6EFCE"/>
            <w:noWrap/>
          </w:tcPr>
          <w:p w14:paraId="0A051CDF" w14:textId="4FD4C162" w:rsidR="0060184D" w:rsidRPr="00A33B9F" w:rsidRDefault="0060184D"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G3.1.2 Umiejętności na potrzeby zielonej transformacji</w:t>
            </w:r>
          </w:p>
        </w:tc>
        <w:tc>
          <w:tcPr>
            <w:tcW w:w="1077" w:type="dxa"/>
            <w:tcBorders>
              <w:top w:val="nil"/>
              <w:left w:val="nil"/>
              <w:bottom w:val="single" w:sz="4" w:space="0" w:color="auto"/>
              <w:right w:val="single" w:sz="4" w:space="0" w:color="auto"/>
            </w:tcBorders>
            <w:shd w:val="clear" w:color="auto" w:fill="C6EFCE"/>
            <w:noWrap/>
          </w:tcPr>
          <w:p w14:paraId="01314C5D" w14:textId="300BB7C0" w:rsidR="0060184D" w:rsidRPr="00A33B9F" w:rsidRDefault="0060184D"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5B4B4BD9" w14:textId="278A62F8" w:rsidR="0060184D" w:rsidRPr="00A33B9F" w:rsidRDefault="0060184D"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Włączenie sektorowych ram kwalifikacji</w:t>
            </w:r>
            <w:r w:rsidR="00A33B9F" w:rsidRPr="00A33B9F">
              <w:rPr>
                <w:rFonts w:ascii="Times New Roman" w:hAnsi="Times New Roman"/>
                <w:noProof/>
                <w:sz w:val="18"/>
              </w:rPr>
              <w:t xml:space="preserve"> w naj</w:t>
            </w:r>
            <w:r w:rsidRPr="00A33B9F">
              <w:rPr>
                <w:rFonts w:ascii="Times New Roman" w:hAnsi="Times New Roman"/>
                <w:noProof/>
                <w:sz w:val="18"/>
              </w:rPr>
              <w:t>bardziej krytycznych sektorach zielonej transformacji do zintegrowanego systemu kwalifikacji</w:t>
            </w:r>
          </w:p>
        </w:tc>
        <w:tc>
          <w:tcPr>
            <w:tcW w:w="1606" w:type="dxa"/>
            <w:tcBorders>
              <w:top w:val="nil"/>
              <w:left w:val="nil"/>
              <w:bottom w:val="single" w:sz="4" w:space="0" w:color="auto"/>
              <w:right w:val="single" w:sz="4" w:space="0" w:color="auto"/>
            </w:tcBorders>
            <w:shd w:val="clear" w:color="auto" w:fill="C6EFCE"/>
            <w:noWrap/>
          </w:tcPr>
          <w:p w14:paraId="0DB43558" w14:textId="5C822982" w:rsidR="0060184D" w:rsidRPr="00A33B9F" w:rsidRDefault="0060184D"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Przepis</w:t>
            </w:r>
            <w:r w:rsidR="00A33B9F" w:rsidRPr="00A33B9F">
              <w:rPr>
                <w:rFonts w:ascii="Times New Roman" w:hAnsi="Times New Roman"/>
                <w:noProof/>
                <w:sz w:val="18"/>
              </w:rPr>
              <w:t xml:space="preserve"> w odp</w:t>
            </w:r>
            <w:r w:rsidRPr="00A33B9F">
              <w:rPr>
                <w:rFonts w:ascii="Times New Roman" w:hAnsi="Times New Roman"/>
                <w:noProof/>
                <w:sz w:val="18"/>
              </w:rPr>
              <w:t xml:space="preserve">owiednim akcie prawnym </w:t>
            </w:r>
          </w:p>
          <w:p w14:paraId="72A9A949" w14:textId="1036B7C2" w:rsidR="0060184D" w:rsidRPr="00A33B9F" w:rsidRDefault="0060184D" w:rsidP="0060184D">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wskazujący na jego wejście</w:t>
            </w:r>
            <w:r w:rsidR="00A33B9F" w:rsidRPr="00A33B9F">
              <w:rPr>
                <w:rFonts w:ascii="Times New Roman" w:hAnsi="Times New Roman"/>
                <w:noProof/>
                <w:sz w:val="18"/>
              </w:rPr>
              <w:t xml:space="preserve"> w życ</w:t>
            </w:r>
            <w:r w:rsidRPr="00A33B9F">
              <w:rPr>
                <w:rFonts w:ascii="Times New Roman" w:hAnsi="Times New Roman"/>
                <w:noProof/>
                <w:sz w:val="18"/>
              </w:rPr>
              <w:t>ie</w:t>
            </w:r>
          </w:p>
        </w:tc>
        <w:tc>
          <w:tcPr>
            <w:tcW w:w="1076" w:type="dxa"/>
            <w:tcBorders>
              <w:top w:val="nil"/>
              <w:left w:val="nil"/>
              <w:bottom w:val="single" w:sz="4" w:space="0" w:color="auto"/>
              <w:right w:val="single" w:sz="4" w:space="0" w:color="auto"/>
            </w:tcBorders>
            <w:shd w:val="clear" w:color="auto" w:fill="C6EFCE"/>
            <w:noWrap/>
          </w:tcPr>
          <w:p w14:paraId="71D03892" w14:textId="77777777" w:rsidR="0060184D" w:rsidRPr="00A33B9F" w:rsidRDefault="0060184D" w:rsidP="0060184D">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5C173E56" w14:textId="77777777" w:rsidR="0060184D" w:rsidRPr="00A33B9F" w:rsidRDefault="0060184D" w:rsidP="0060184D">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02BF487B" w14:textId="77777777" w:rsidR="0060184D" w:rsidRPr="00A33B9F" w:rsidRDefault="0060184D" w:rsidP="0060184D">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7F4C44FC" w14:textId="18D8E2BF" w:rsidR="0060184D" w:rsidRPr="00A33B9F" w:rsidRDefault="0060184D" w:rsidP="0060184D">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884" w:type="dxa"/>
            <w:tcBorders>
              <w:top w:val="nil"/>
              <w:left w:val="nil"/>
              <w:bottom w:val="single" w:sz="4" w:space="0" w:color="auto"/>
              <w:right w:val="single" w:sz="4" w:space="0" w:color="auto"/>
            </w:tcBorders>
            <w:shd w:val="clear" w:color="auto" w:fill="C6EFCE"/>
            <w:noWrap/>
          </w:tcPr>
          <w:p w14:paraId="2BFF817E" w14:textId="537F8464" w:rsidR="0060184D" w:rsidRPr="00A33B9F" w:rsidRDefault="0060184D" w:rsidP="0060184D">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0417989E" w14:textId="6F013E94" w:rsidR="0060184D" w:rsidRPr="00A33B9F" w:rsidRDefault="7779CDE3" w:rsidP="0060184D">
            <w:pPr>
              <w:spacing w:after="0" w:line="240" w:lineRule="auto"/>
              <w:rPr>
                <w:rFonts w:ascii="Times New Roman" w:eastAsia="Times New Roman" w:hAnsi="Times New Roman" w:cs="Times New Roman"/>
                <w:noProof/>
                <w:sz w:val="18"/>
                <w:szCs w:val="18"/>
                <w:highlight w:val="yellow"/>
              </w:rPr>
            </w:pPr>
            <w:r w:rsidRPr="00A33B9F">
              <w:rPr>
                <w:rFonts w:ascii="Times New Roman" w:hAnsi="Times New Roman"/>
                <w:noProof/>
                <w:sz w:val="18"/>
              </w:rPr>
              <w:t>Zmienione sektorowe ramy kwalifikacji</w:t>
            </w:r>
            <w:r w:rsidR="00A33B9F" w:rsidRPr="00A33B9F">
              <w:rPr>
                <w:rFonts w:ascii="Times New Roman" w:hAnsi="Times New Roman"/>
                <w:noProof/>
                <w:sz w:val="18"/>
              </w:rPr>
              <w:t xml:space="preserve"> w obs</w:t>
            </w:r>
            <w:r w:rsidRPr="00A33B9F">
              <w:rPr>
                <w:rFonts w:ascii="Times New Roman" w:hAnsi="Times New Roman"/>
                <w:noProof/>
                <w:sz w:val="18"/>
              </w:rPr>
              <w:t>zarach budownictwa, gospodarki wodnej</w:t>
            </w:r>
            <w:r w:rsidR="00A33B9F" w:rsidRPr="00A33B9F">
              <w:rPr>
                <w:rFonts w:ascii="Times New Roman" w:hAnsi="Times New Roman"/>
                <w:noProof/>
                <w:sz w:val="18"/>
              </w:rPr>
              <w:t xml:space="preserve"> i gos</w:t>
            </w:r>
            <w:r w:rsidRPr="00A33B9F">
              <w:rPr>
                <w:rFonts w:ascii="Times New Roman" w:hAnsi="Times New Roman"/>
                <w:noProof/>
                <w:sz w:val="18"/>
              </w:rPr>
              <w:t>podarowania odpadami zostaną włączone do zintegrowanego systemu kwalifikacji</w:t>
            </w:r>
            <w:r w:rsidR="00A33B9F" w:rsidRPr="00A33B9F">
              <w:rPr>
                <w:rFonts w:ascii="Times New Roman" w:hAnsi="Times New Roman"/>
                <w:noProof/>
                <w:sz w:val="18"/>
              </w:rPr>
              <w:t xml:space="preserve"> w dro</w:t>
            </w:r>
            <w:r w:rsidRPr="00A33B9F">
              <w:rPr>
                <w:rFonts w:ascii="Times New Roman" w:hAnsi="Times New Roman"/>
                <w:noProof/>
                <w:sz w:val="18"/>
              </w:rPr>
              <w:t>dze rozporządzenia.</w:t>
            </w:r>
          </w:p>
        </w:tc>
      </w:tr>
      <w:tr w:rsidR="00076A5D" w:rsidRPr="00A33B9F" w14:paraId="60D4F6FF"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4AF09233" w14:textId="3F5D24B5" w:rsidR="00F24072" w:rsidRPr="00A33B9F" w:rsidRDefault="00A70E5D"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G11L</w:t>
            </w:r>
          </w:p>
        </w:tc>
        <w:tc>
          <w:tcPr>
            <w:tcW w:w="1474" w:type="dxa"/>
            <w:tcBorders>
              <w:top w:val="nil"/>
              <w:left w:val="nil"/>
              <w:bottom w:val="single" w:sz="4" w:space="0" w:color="auto"/>
              <w:right w:val="single" w:sz="4" w:space="0" w:color="auto"/>
            </w:tcBorders>
            <w:shd w:val="clear" w:color="auto" w:fill="C6EFCE"/>
            <w:noWrap/>
          </w:tcPr>
          <w:p w14:paraId="0A258FF0" w14:textId="4B54CF4E"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G3.1.3 Zwiększenie efektywności energetycznej oraz przyspieszenie stopniowego wycofywania paliw kopalnych</w:t>
            </w:r>
            <w:r w:rsidR="00A33B9F" w:rsidRPr="00A33B9F">
              <w:rPr>
                <w:rFonts w:ascii="Times New Roman" w:hAnsi="Times New Roman"/>
                <w:noProof/>
                <w:sz w:val="18"/>
              </w:rPr>
              <w:t xml:space="preserve"> w ogr</w:t>
            </w:r>
            <w:r w:rsidRPr="00A33B9F">
              <w:rPr>
                <w:rFonts w:ascii="Times New Roman" w:hAnsi="Times New Roman"/>
                <w:noProof/>
                <w:sz w:val="18"/>
              </w:rPr>
              <w:t>zewaniu</w:t>
            </w:r>
          </w:p>
        </w:tc>
        <w:tc>
          <w:tcPr>
            <w:tcW w:w="1077" w:type="dxa"/>
            <w:tcBorders>
              <w:top w:val="nil"/>
              <w:left w:val="nil"/>
              <w:bottom w:val="single" w:sz="4" w:space="0" w:color="auto"/>
              <w:right w:val="single" w:sz="4" w:space="0" w:color="auto"/>
            </w:tcBorders>
            <w:shd w:val="clear" w:color="auto" w:fill="C6EFCE"/>
            <w:noWrap/>
          </w:tcPr>
          <w:p w14:paraId="5E0FA2C2"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18E3CBA3" w14:textId="3938A17E" w:rsidR="00F24072" w:rsidRPr="00A33B9F" w:rsidRDefault="005A4630" w:rsidP="005A4630">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Przyjęcie uchwały aktualizującej lub wprowadzającej nowy program priorytetowy dotyczący zintegrowanych usług</w:t>
            </w:r>
            <w:r w:rsidR="00A33B9F" w:rsidRPr="00A33B9F">
              <w:rPr>
                <w:rFonts w:ascii="Times New Roman" w:hAnsi="Times New Roman"/>
                <w:noProof/>
                <w:sz w:val="18"/>
              </w:rPr>
              <w:t xml:space="preserve"> w zak</w:t>
            </w:r>
            <w:r w:rsidRPr="00A33B9F">
              <w:rPr>
                <w:rFonts w:ascii="Times New Roman" w:hAnsi="Times New Roman"/>
                <w:noProof/>
                <w:sz w:val="18"/>
              </w:rPr>
              <w:t>resie renowacji budynków mieszkalnych</w:t>
            </w:r>
          </w:p>
        </w:tc>
        <w:tc>
          <w:tcPr>
            <w:tcW w:w="1606" w:type="dxa"/>
            <w:tcBorders>
              <w:top w:val="nil"/>
              <w:left w:val="nil"/>
              <w:bottom w:val="single" w:sz="4" w:space="0" w:color="auto"/>
              <w:right w:val="single" w:sz="4" w:space="0" w:color="auto"/>
            </w:tcBorders>
            <w:shd w:val="clear" w:color="auto" w:fill="C6EFCE"/>
            <w:noWrap/>
          </w:tcPr>
          <w:p w14:paraId="2B0B6DB6" w14:textId="4D18AFD1" w:rsidR="00F24072" w:rsidRPr="00A33B9F" w:rsidRDefault="005A4630"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Przyjęcie</w:t>
            </w:r>
            <w:r w:rsidR="00A33B9F" w:rsidRPr="00A33B9F">
              <w:rPr>
                <w:rFonts w:ascii="Times New Roman" w:hAnsi="Times New Roman"/>
                <w:noProof/>
                <w:sz w:val="18"/>
              </w:rPr>
              <w:t xml:space="preserve"> i roz</w:t>
            </w:r>
            <w:r w:rsidRPr="00A33B9F">
              <w:rPr>
                <w:rFonts w:ascii="Times New Roman" w:hAnsi="Times New Roman"/>
                <w:noProof/>
                <w:sz w:val="18"/>
              </w:rPr>
              <w:t>poczęcie stosowania uchwały</w:t>
            </w:r>
          </w:p>
        </w:tc>
        <w:tc>
          <w:tcPr>
            <w:tcW w:w="1076" w:type="dxa"/>
            <w:tcBorders>
              <w:top w:val="nil"/>
              <w:left w:val="nil"/>
              <w:bottom w:val="single" w:sz="4" w:space="0" w:color="auto"/>
              <w:right w:val="single" w:sz="4" w:space="0" w:color="auto"/>
            </w:tcBorders>
            <w:shd w:val="clear" w:color="auto" w:fill="C6EFCE"/>
            <w:noWrap/>
          </w:tcPr>
          <w:p w14:paraId="707CA193"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784F8906"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1E489881"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620F40F0"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IV kw.</w:t>
            </w:r>
          </w:p>
        </w:tc>
        <w:tc>
          <w:tcPr>
            <w:tcW w:w="884" w:type="dxa"/>
            <w:tcBorders>
              <w:top w:val="nil"/>
              <w:left w:val="nil"/>
              <w:bottom w:val="single" w:sz="4" w:space="0" w:color="auto"/>
              <w:right w:val="single" w:sz="4" w:space="0" w:color="auto"/>
            </w:tcBorders>
            <w:shd w:val="clear" w:color="auto" w:fill="C6EFCE"/>
            <w:noWrap/>
          </w:tcPr>
          <w:p w14:paraId="7E3B1A3D"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4146" w:type="dxa"/>
            <w:tcBorders>
              <w:top w:val="nil"/>
              <w:left w:val="nil"/>
              <w:bottom w:val="single" w:sz="4" w:space="0" w:color="auto"/>
              <w:right w:val="single" w:sz="4" w:space="0" w:color="auto"/>
            </w:tcBorders>
            <w:shd w:val="clear" w:color="auto" w:fill="C6EFCE"/>
            <w:noWrap/>
          </w:tcPr>
          <w:p w14:paraId="3C6A9B4F" w14:textId="6D8B9A46" w:rsidR="00F24072" w:rsidRPr="00A33B9F" w:rsidRDefault="36050525"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Zarząd Narodowego Funduszu Ochrony Środowiska</w:t>
            </w:r>
            <w:r w:rsidR="00A33B9F" w:rsidRPr="00A33B9F">
              <w:rPr>
                <w:rFonts w:ascii="Times New Roman" w:hAnsi="Times New Roman"/>
                <w:noProof/>
                <w:sz w:val="18"/>
              </w:rPr>
              <w:t xml:space="preserve"> i Gos</w:t>
            </w:r>
            <w:r w:rsidRPr="00A33B9F">
              <w:rPr>
                <w:rFonts w:ascii="Times New Roman" w:hAnsi="Times New Roman"/>
                <w:noProof/>
                <w:sz w:val="18"/>
              </w:rPr>
              <w:t>podarki Wodnej podejmie uchwałę aktualizującą istniejący program priorytetowy lub wprowadzającą nowy program priorytetowy Narodowego Funduszu Ochrony Środowiska</w:t>
            </w:r>
            <w:r w:rsidR="00A33B9F" w:rsidRPr="00A33B9F">
              <w:rPr>
                <w:rFonts w:ascii="Times New Roman" w:hAnsi="Times New Roman"/>
                <w:noProof/>
                <w:sz w:val="18"/>
              </w:rPr>
              <w:t xml:space="preserve"> i Gos</w:t>
            </w:r>
            <w:r w:rsidRPr="00A33B9F">
              <w:rPr>
                <w:rFonts w:ascii="Times New Roman" w:hAnsi="Times New Roman"/>
                <w:noProof/>
                <w:sz w:val="18"/>
              </w:rPr>
              <w:t>podarki Wodnej dotyczący wspierania zintegrowanych usług</w:t>
            </w:r>
            <w:r w:rsidR="00A33B9F" w:rsidRPr="00A33B9F">
              <w:rPr>
                <w:rFonts w:ascii="Times New Roman" w:hAnsi="Times New Roman"/>
                <w:noProof/>
                <w:sz w:val="18"/>
              </w:rPr>
              <w:t xml:space="preserve"> w zak</w:t>
            </w:r>
            <w:r w:rsidRPr="00A33B9F">
              <w:rPr>
                <w:rFonts w:ascii="Times New Roman" w:hAnsi="Times New Roman"/>
                <w:noProof/>
                <w:sz w:val="18"/>
              </w:rPr>
              <w:t>resie renowacji budynków mieszkalnych. Program ma wspierać finansowo dostawców zintegrowanych usług</w:t>
            </w:r>
            <w:r w:rsidR="00A33B9F" w:rsidRPr="00A33B9F">
              <w:rPr>
                <w:rFonts w:ascii="Times New Roman" w:hAnsi="Times New Roman"/>
                <w:noProof/>
                <w:sz w:val="18"/>
              </w:rPr>
              <w:t xml:space="preserve"> w zak</w:t>
            </w:r>
            <w:r w:rsidRPr="00A33B9F">
              <w:rPr>
                <w:rFonts w:ascii="Times New Roman" w:hAnsi="Times New Roman"/>
                <w:noProof/>
                <w:sz w:val="18"/>
              </w:rPr>
              <w:t>resie renowacji budynków mieszkalnych</w:t>
            </w:r>
            <w:r w:rsidR="00A33B9F" w:rsidRPr="00A33B9F">
              <w:rPr>
                <w:rFonts w:ascii="Times New Roman" w:hAnsi="Times New Roman"/>
                <w:noProof/>
                <w:sz w:val="18"/>
              </w:rPr>
              <w:t xml:space="preserve"> w cel</w:t>
            </w:r>
            <w:r w:rsidRPr="00A33B9F">
              <w:rPr>
                <w:rFonts w:ascii="Times New Roman" w:hAnsi="Times New Roman"/>
                <w:noProof/>
                <w:sz w:val="18"/>
              </w:rPr>
              <w:t>u zmniejszenia ubóstwa energetycznego przez udzielanie pomocy właścicielom nieruchomości zagrożonych ubóstwem energetycznym</w:t>
            </w:r>
            <w:r w:rsidR="00A33B9F" w:rsidRPr="00A33B9F">
              <w:rPr>
                <w:rFonts w:ascii="Times New Roman" w:hAnsi="Times New Roman"/>
                <w:noProof/>
                <w:sz w:val="18"/>
              </w:rPr>
              <w:t xml:space="preserve"> w prz</w:t>
            </w:r>
            <w:r w:rsidRPr="00A33B9F">
              <w:rPr>
                <w:rFonts w:ascii="Times New Roman" w:hAnsi="Times New Roman"/>
                <w:noProof/>
                <w:sz w:val="18"/>
              </w:rPr>
              <w:t>eprowadzaniu renowacji budynków mieszkalnych.</w:t>
            </w:r>
          </w:p>
        </w:tc>
      </w:tr>
      <w:tr w:rsidR="00076A5D" w:rsidRPr="00A33B9F" w14:paraId="2856CF32"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6514718C" w14:textId="73560A71" w:rsidR="00F24072" w:rsidRPr="00A33B9F" w:rsidRDefault="00B174F3"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G12L</w:t>
            </w:r>
          </w:p>
        </w:tc>
        <w:tc>
          <w:tcPr>
            <w:tcW w:w="1474" w:type="dxa"/>
            <w:tcBorders>
              <w:top w:val="nil"/>
              <w:left w:val="nil"/>
              <w:bottom w:val="single" w:sz="4" w:space="0" w:color="auto"/>
              <w:right w:val="single" w:sz="4" w:space="0" w:color="auto"/>
            </w:tcBorders>
            <w:shd w:val="clear" w:color="auto" w:fill="C6EFCE"/>
            <w:noWrap/>
          </w:tcPr>
          <w:p w14:paraId="5C54EAB0" w14:textId="0FA2CAE4" w:rsidR="00F24072" w:rsidRPr="00A33B9F" w:rsidRDefault="3EE0867A"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G3.1.4 Wsparcie na rzecz krajowego systemu energetycznego (Fundusz Wsparcia Energetyki)</w:t>
            </w:r>
          </w:p>
        </w:tc>
        <w:tc>
          <w:tcPr>
            <w:tcW w:w="1077" w:type="dxa"/>
            <w:tcBorders>
              <w:top w:val="nil"/>
              <w:left w:val="nil"/>
              <w:bottom w:val="single" w:sz="4" w:space="0" w:color="auto"/>
              <w:right w:val="single" w:sz="4" w:space="0" w:color="auto"/>
            </w:tcBorders>
            <w:shd w:val="clear" w:color="auto" w:fill="C6EFCE"/>
            <w:noWrap/>
          </w:tcPr>
          <w:p w14:paraId="40BC522E"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13A98C4D"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Umowa wykonawcza</w:t>
            </w:r>
          </w:p>
        </w:tc>
        <w:tc>
          <w:tcPr>
            <w:tcW w:w="1606" w:type="dxa"/>
            <w:tcBorders>
              <w:top w:val="nil"/>
              <w:left w:val="nil"/>
              <w:bottom w:val="single" w:sz="4" w:space="0" w:color="auto"/>
              <w:right w:val="single" w:sz="4" w:space="0" w:color="auto"/>
            </w:tcBorders>
            <w:shd w:val="clear" w:color="auto" w:fill="C6EFCE"/>
            <w:noWrap/>
          </w:tcPr>
          <w:p w14:paraId="6A78146D" w14:textId="042713C1"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umowy wykonawczej</w:t>
            </w:r>
          </w:p>
        </w:tc>
        <w:tc>
          <w:tcPr>
            <w:tcW w:w="1076" w:type="dxa"/>
            <w:tcBorders>
              <w:top w:val="nil"/>
              <w:left w:val="nil"/>
              <w:bottom w:val="single" w:sz="4" w:space="0" w:color="auto"/>
              <w:right w:val="single" w:sz="4" w:space="0" w:color="auto"/>
            </w:tcBorders>
            <w:shd w:val="clear" w:color="auto" w:fill="C6EFCE"/>
            <w:noWrap/>
          </w:tcPr>
          <w:p w14:paraId="1BB48B1E"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7849B87D"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3F379543"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5265FCF0"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84" w:type="dxa"/>
            <w:tcBorders>
              <w:top w:val="nil"/>
              <w:left w:val="nil"/>
              <w:bottom w:val="single" w:sz="4" w:space="0" w:color="auto"/>
              <w:right w:val="single" w:sz="4" w:space="0" w:color="auto"/>
            </w:tcBorders>
            <w:shd w:val="clear" w:color="auto" w:fill="C6EFCE"/>
            <w:noWrap/>
          </w:tcPr>
          <w:p w14:paraId="2DA5559C"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4146" w:type="dxa"/>
            <w:tcBorders>
              <w:top w:val="nil"/>
              <w:left w:val="nil"/>
              <w:bottom w:val="single" w:sz="4" w:space="0" w:color="auto"/>
              <w:right w:val="single" w:sz="4" w:space="0" w:color="auto"/>
            </w:tcBorders>
            <w:shd w:val="clear" w:color="auto" w:fill="C6EFCE"/>
            <w:noWrap/>
          </w:tcPr>
          <w:p w14:paraId="3AD21405" w14:textId="2A9B56A5"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umowy wykonawczej</w:t>
            </w:r>
          </w:p>
        </w:tc>
      </w:tr>
      <w:tr w:rsidR="00076A5D" w:rsidRPr="00A33B9F" w14:paraId="6FA56F14"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55780AA" w14:textId="46DB9752"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G13L</w:t>
            </w:r>
          </w:p>
        </w:tc>
        <w:tc>
          <w:tcPr>
            <w:tcW w:w="1474" w:type="dxa"/>
            <w:tcBorders>
              <w:top w:val="nil"/>
              <w:left w:val="nil"/>
              <w:bottom w:val="single" w:sz="4" w:space="0" w:color="auto"/>
              <w:right w:val="single" w:sz="4" w:space="0" w:color="auto"/>
            </w:tcBorders>
            <w:shd w:val="clear" w:color="auto" w:fill="C6EFCE"/>
            <w:noWrap/>
          </w:tcPr>
          <w:p w14:paraId="28EFC8E2" w14:textId="734E5030" w:rsidR="00F24072" w:rsidRPr="00A33B9F" w:rsidRDefault="3EE0867A"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G3.1.4 Wsparcie na rzecz krajowego systemu energetycznego (Fundusz Wsparcia Energetyki)</w:t>
            </w:r>
          </w:p>
        </w:tc>
        <w:tc>
          <w:tcPr>
            <w:tcW w:w="1077" w:type="dxa"/>
            <w:tcBorders>
              <w:top w:val="nil"/>
              <w:left w:val="nil"/>
              <w:bottom w:val="single" w:sz="4" w:space="0" w:color="auto"/>
              <w:right w:val="single" w:sz="4" w:space="0" w:color="auto"/>
            </w:tcBorders>
            <w:shd w:val="clear" w:color="auto" w:fill="C6EFCE"/>
            <w:noWrap/>
          </w:tcPr>
          <w:p w14:paraId="11FA58C0"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74" w:type="dxa"/>
            <w:tcBorders>
              <w:top w:val="nil"/>
              <w:left w:val="nil"/>
              <w:bottom w:val="single" w:sz="4" w:space="0" w:color="auto"/>
              <w:right w:val="single" w:sz="4" w:space="0" w:color="auto"/>
            </w:tcBorders>
            <w:shd w:val="clear" w:color="auto" w:fill="C6EFCE"/>
            <w:noWrap/>
          </w:tcPr>
          <w:p w14:paraId="4C2B7EA3" w14:textId="6A6CC341"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Umowy prawne podpisane</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w:t>
            </w:r>
          </w:p>
        </w:tc>
        <w:tc>
          <w:tcPr>
            <w:tcW w:w="1606" w:type="dxa"/>
            <w:tcBorders>
              <w:top w:val="nil"/>
              <w:left w:val="nil"/>
              <w:bottom w:val="single" w:sz="4" w:space="0" w:color="auto"/>
              <w:right w:val="single" w:sz="4" w:space="0" w:color="auto"/>
            </w:tcBorders>
            <w:shd w:val="clear" w:color="auto" w:fill="C6EFCE"/>
            <w:noWrap/>
          </w:tcPr>
          <w:p w14:paraId="3BA61898"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1076" w:type="dxa"/>
            <w:tcBorders>
              <w:top w:val="nil"/>
              <w:left w:val="nil"/>
              <w:bottom w:val="single" w:sz="4" w:space="0" w:color="auto"/>
              <w:right w:val="single" w:sz="4" w:space="0" w:color="auto"/>
            </w:tcBorders>
            <w:shd w:val="clear" w:color="auto" w:fill="C6EFCE"/>
            <w:noWrap/>
          </w:tcPr>
          <w:p w14:paraId="6E0A4FD7"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Procent (%)</w:t>
            </w:r>
          </w:p>
        </w:tc>
        <w:tc>
          <w:tcPr>
            <w:tcW w:w="943" w:type="dxa"/>
            <w:tcBorders>
              <w:top w:val="nil"/>
              <w:left w:val="nil"/>
              <w:bottom w:val="single" w:sz="4" w:space="0" w:color="auto"/>
              <w:right w:val="single" w:sz="4" w:space="0" w:color="auto"/>
            </w:tcBorders>
            <w:shd w:val="clear" w:color="auto" w:fill="C6EFCE"/>
            <w:noWrap/>
          </w:tcPr>
          <w:p w14:paraId="1CA5D608"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678" w:type="dxa"/>
            <w:tcBorders>
              <w:top w:val="nil"/>
              <w:left w:val="nil"/>
              <w:bottom w:val="single" w:sz="4" w:space="0" w:color="auto"/>
              <w:right w:val="single" w:sz="4" w:space="0" w:color="auto"/>
            </w:tcBorders>
            <w:shd w:val="clear" w:color="auto" w:fill="C6EFCE"/>
            <w:noWrap/>
          </w:tcPr>
          <w:p w14:paraId="2110AC2D" w14:textId="7E3EA68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30</w:t>
            </w:r>
            <w:r w:rsidR="00A33B9F" w:rsidRPr="00A33B9F">
              <w:rPr>
                <w:rFonts w:ascii="Times New Roman" w:hAnsi="Times New Roman"/>
                <w:noProof/>
                <w:sz w:val="18"/>
              </w:rPr>
              <w:t> </w:t>
            </w:r>
            <w:r w:rsidRPr="00A33B9F">
              <w:rPr>
                <w:rFonts w:ascii="Times New Roman" w:hAnsi="Times New Roman"/>
                <w:noProof/>
                <w:sz w:val="18"/>
              </w:rPr>
              <w:t>%</w:t>
            </w:r>
          </w:p>
        </w:tc>
        <w:tc>
          <w:tcPr>
            <w:tcW w:w="878" w:type="dxa"/>
            <w:tcBorders>
              <w:top w:val="nil"/>
              <w:left w:val="nil"/>
              <w:bottom w:val="single" w:sz="4" w:space="0" w:color="auto"/>
              <w:right w:val="single" w:sz="4" w:space="0" w:color="auto"/>
            </w:tcBorders>
            <w:shd w:val="clear" w:color="auto" w:fill="C6EFCE"/>
            <w:noWrap/>
          </w:tcPr>
          <w:p w14:paraId="17AA07D4" w14:textId="0DAF560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70FAFC72"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67B3969A" w14:textId="3D11A7B2"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BGK zawrze prawnie wiążące umowy</w:t>
            </w:r>
            <w:r w:rsidR="00A33B9F" w:rsidRPr="00A33B9F">
              <w:rPr>
                <w:rFonts w:ascii="Times New Roman" w:hAnsi="Times New Roman"/>
                <w:noProof/>
                <w:sz w:val="18"/>
              </w:rPr>
              <w:t xml:space="preserve"> w spr</w:t>
            </w:r>
            <w:r w:rsidRPr="00A33B9F">
              <w:rPr>
                <w:rFonts w:ascii="Times New Roman" w:hAnsi="Times New Roman"/>
                <w:noProof/>
                <w:sz w:val="18"/>
              </w:rPr>
              <w:t>awie finansowania</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 opiewające na kwotę niezbędną do wykorzystania co najmniej 30</w:t>
            </w:r>
            <w:r w:rsidR="00A33B9F" w:rsidRPr="00A33B9F">
              <w:rPr>
                <w:rFonts w:ascii="Times New Roman" w:hAnsi="Times New Roman"/>
                <w:noProof/>
                <w:sz w:val="18"/>
              </w:rPr>
              <w:t> </w:t>
            </w:r>
            <w:r w:rsidRPr="00A33B9F">
              <w:rPr>
                <w:rFonts w:ascii="Times New Roman" w:hAnsi="Times New Roman"/>
                <w:noProof/>
                <w:sz w:val="18"/>
              </w:rPr>
              <w:t>% inwestycji RRF</w:t>
            </w:r>
            <w:r w:rsidR="00A33B9F" w:rsidRPr="00A33B9F">
              <w:rPr>
                <w:rFonts w:ascii="Times New Roman" w:hAnsi="Times New Roman"/>
                <w:noProof/>
                <w:sz w:val="18"/>
              </w:rPr>
              <w:t xml:space="preserve"> w ram</w:t>
            </w:r>
            <w:r w:rsidRPr="00A33B9F">
              <w:rPr>
                <w:rFonts w:ascii="Times New Roman" w:hAnsi="Times New Roman"/>
                <w:noProof/>
                <w:sz w:val="18"/>
              </w:rPr>
              <w:t>ach Instrumentu (uwzględniając opłaty za zarządzanie). BGK sporządzi sprawozdanie,</w:t>
            </w:r>
            <w:r w:rsidR="00A33B9F" w:rsidRPr="00A33B9F">
              <w:rPr>
                <w:rFonts w:ascii="Times New Roman" w:hAnsi="Times New Roman"/>
                <w:noProof/>
                <w:sz w:val="18"/>
              </w:rPr>
              <w:t xml:space="preserve"> w któ</w:t>
            </w:r>
            <w:r w:rsidRPr="00A33B9F">
              <w:rPr>
                <w:rFonts w:ascii="Times New Roman" w:hAnsi="Times New Roman"/>
                <w:noProof/>
                <w:sz w:val="18"/>
              </w:rPr>
              <w:t>rym szczegółowo wskaże, stosując metodykę określoną</w:t>
            </w:r>
            <w:r w:rsidR="00A33B9F" w:rsidRPr="00A33B9F">
              <w:rPr>
                <w:rFonts w:ascii="Times New Roman" w:hAnsi="Times New Roman"/>
                <w:noProof/>
                <w:sz w:val="18"/>
              </w:rPr>
              <w:t xml:space="preserve"> w zał</w:t>
            </w:r>
            <w:r w:rsidRPr="00A33B9F">
              <w:rPr>
                <w:rFonts w:ascii="Times New Roman" w:hAnsi="Times New Roman"/>
                <w:noProof/>
                <w:sz w:val="18"/>
              </w:rPr>
              <w:t>ączniku VI do rozporządzenia</w:t>
            </w:r>
            <w:r w:rsidR="00A33B9F" w:rsidRPr="00A33B9F">
              <w:rPr>
                <w:rFonts w:ascii="Times New Roman" w:hAnsi="Times New Roman"/>
                <w:noProof/>
                <w:sz w:val="18"/>
              </w:rPr>
              <w:t xml:space="preserve"> w spr</w:t>
            </w:r>
            <w:r w:rsidRPr="00A33B9F">
              <w:rPr>
                <w:rFonts w:ascii="Times New Roman" w:hAnsi="Times New Roman"/>
                <w:noProof/>
                <w:sz w:val="18"/>
              </w:rPr>
              <w:t>awie RRF, jaki procent tego finansowania przyczynia się do realizacji celów klimatycznych.</w:t>
            </w:r>
          </w:p>
        </w:tc>
      </w:tr>
      <w:tr w:rsidR="00076A5D" w:rsidRPr="00A33B9F" w14:paraId="0A36C25C"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38A34A00" w14:textId="714911CF" w:rsidR="00F24072" w:rsidRPr="00A33B9F" w:rsidRDefault="00B174F3"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G14L</w:t>
            </w:r>
          </w:p>
        </w:tc>
        <w:tc>
          <w:tcPr>
            <w:tcW w:w="1474" w:type="dxa"/>
            <w:tcBorders>
              <w:top w:val="nil"/>
              <w:left w:val="nil"/>
              <w:bottom w:val="single" w:sz="4" w:space="0" w:color="auto"/>
              <w:right w:val="single" w:sz="4" w:space="0" w:color="auto"/>
            </w:tcBorders>
            <w:shd w:val="clear" w:color="auto" w:fill="C6EFCE"/>
            <w:noWrap/>
          </w:tcPr>
          <w:p w14:paraId="6B5AC607" w14:textId="1E672698" w:rsidR="00F24072" w:rsidRPr="00A33B9F" w:rsidRDefault="3EE0867A"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G3.1.4 Wsparcie na rzecz krajowego systemu energetycznego (Fundusz Wsparcia Energetyki) </w:t>
            </w:r>
          </w:p>
        </w:tc>
        <w:tc>
          <w:tcPr>
            <w:tcW w:w="1077" w:type="dxa"/>
            <w:tcBorders>
              <w:top w:val="nil"/>
              <w:left w:val="nil"/>
              <w:bottom w:val="single" w:sz="4" w:space="0" w:color="auto"/>
              <w:right w:val="single" w:sz="4" w:space="0" w:color="auto"/>
            </w:tcBorders>
            <w:shd w:val="clear" w:color="auto" w:fill="C6EFCE"/>
            <w:noWrap/>
          </w:tcPr>
          <w:p w14:paraId="146BE731"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74" w:type="dxa"/>
            <w:tcBorders>
              <w:top w:val="nil"/>
              <w:left w:val="nil"/>
              <w:bottom w:val="single" w:sz="4" w:space="0" w:color="auto"/>
              <w:right w:val="single" w:sz="4" w:space="0" w:color="auto"/>
            </w:tcBorders>
            <w:shd w:val="clear" w:color="auto" w:fill="C6EFCE"/>
            <w:noWrap/>
          </w:tcPr>
          <w:p w14:paraId="0A9104F7" w14:textId="243879E2"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Umowy prawne podpisane</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w:t>
            </w:r>
          </w:p>
        </w:tc>
        <w:tc>
          <w:tcPr>
            <w:tcW w:w="1606" w:type="dxa"/>
            <w:tcBorders>
              <w:top w:val="nil"/>
              <w:left w:val="nil"/>
              <w:bottom w:val="single" w:sz="4" w:space="0" w:color="auto"/>
              <w:right w:val="single" w:sz="4" w:space="0" w:color="auto"/>
            </w:tcBorders>
            <w:shd w:val="clear" w:color="auto" w:fill="C6EFCE"/>
            <w:noWrap/>
          </w:tcPr>
          <w:p w14:paraId="78783A1D"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1076" w:type="dxa"/>
            <w:tcBorders>
              <w:top w:val="nil"/>
              <w:left w:val="nil"/>
              <w:bottom w:val="single" w:sz="4" w:space="0" w:color="auto"/>
              <w:right w:val="single" w:sz="4" w:space="0" w:color="auto"/>
            </w:tcBorders>
            <w:shd w:val="clear" w:color="auto" w:fill="C6EFCE"/>
            <w:noWrap/>
          </w:tcPr>
          <w:p w14:paraId="375A6831"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Procent (%)</w:t>
            </w:r>
          </w:p>
        </w:tc>
        <w:tc>
          <w:tcPr>
            <w:tcW w:w="943" w:type="dxa"/>
            <w:tcBorders>
              <w:top w:val="nil"/>
              <w:left w:val="nil"/>
              <w:bottom w:val="single" w:sz="4" w:space="0" w:color="auto"/>
              <w:right w:val="single" w:sz="4" w:space="0" w:color="auto"/>
            </w:tcBorders>
            <w:shd w:val="clear" w:color="auto" w:fill="C6EFCE"/>
            <w:noWrap/>
          </w:tcPr>
          <w:p w14:paraId="225BEACE" w14:textId="3511FEB5"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30</w:t>
            </w:r>
            <w:r w:rsidR="00A33B9F" w:rsidRPr="00A33B9F">
              <w:rPr>
                <w:rFonts w:ascii="Times New Roman" w:hAnsi="Times New Roman"/>
                <w:noProof/>
                <w:sz w:val="18"/>
              </w:rPr>
              <w:t> </w:t>
            </w:r>
            <w:r w:rsidRPr="00A33B9F">
              <w:rPr>
                <w:rFonts w:ascii="Times New Roman" w:hAnsi="Times New Roman"/>
                <w:noProof/>
                <w:sz w:val="18"/>
              </w:rPr>
              <w:t>%</w:t>
            </w:r>
          </w:p>
        </w:tc>
        <w:tc>
          <w:tcPr>
            <w:tcW w:w="678" w:type="dxa"/>
            <w:tcBorders>
              <w:top w:val="nil"/>
              <w:left w:val="nil"/>
              <w:bottom w:val="single" w:sz="4" w:space="0" w:color="auto"/>
              <w:right w:val="single" w:sz="4" w:space="0" w:color="auto"/>
            </w:tcBorders>
            <w:shd w:val="clear" w:color="auto" w:fill="C6EFCE"/>
            <w:noWrap/>
          </w:tcPr>
          <w:p w14:paraId="3B4BB3DB" w14:textId="5D651A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100</w:t>
            </w:r>
            <w:r w:rsidR="00A33B9F" w:rsidRPr="00A33B9F">
              <w:rPr>
                <w:rFonts w:ascii="Times New Roman" w:hAnsi="Times New Roman"/>
                <w:noProof/>
                <w:sz w:val="18"/>
              </w:rPr>
              <w:t> </w:t>
            </w:r>
            <w:r w:rsidRPr="00A33B9F">
              <w:rPr>
                <w:rFonts w:ascii="Times New Roman" w:hAnsi="Times New Roman"/>
                <w:noProof/>
                <w:sz w:val="18"/>
              </w:rPr>
              <w:t>%</w:t>
            </w:r>
          </w:p>
        </w:tc>
        <w:tc>
          <w:tcPr>
            <w:tcW w:w="878" w:type="dxa"/>
            <w:tcBorders>
              <w:top w:val="nil"/>
              <w:left w:val="nil"/>
              <w:bottom w:val="single" w:sz="4" w:space="0" w:color="auto"/>
              <w:right w:val="single" w:sz="4" w:space="0" w:color="auto"/>
            </w:tcBorders>
            <w:shd w:val="clear" w:color="auto" w:fill="C6EFCE"/>
            <w:noWrap/>
          </w:tcPr>
          <w:p w14:paraId="623FBC49"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422733A8"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74F58686" w14:textId="675A2A78"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BGK zawrze prawnie wiążące umowy</w:t>
            </w:r>
            <w:r w:rsidR="00A33B9F" w:rsidRPr="00A33B9F">
              <w:rPr>
                <w:rFonts w:ascii="Times New Roman" w:hAnsi="Times New Roman"/>
                <w:noProof/>
                <w:sz w:val="18"/>
              </w:rPr>
              <w:t xml:space="preserve"> w spr</w:t>
            </w:r>
            <w:r w:rsidRPr="00A33B9F">
              <w:rPr>
                <w:rFonts w:ascii="Times New Roman" w:hAnsi="Times New Roman"/>
                <w:noProof/>
                <w:sz w:val="18"/>
              </w:rPr>
              <w:t>awie finansowania</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 opiewające na kwotę niezbędną do wykorzystania 100</w:t>
            </w:r>
            <w:r w:rsidR="00A33B9F" w:rsidRPr="00A33B9F">
              <w:rPr>
                <w:rFonts w:ascii="Times New Roman" w:hAnsi="Times New Roman"/>
                <w:noProof/>
                <w:sz w:val="18"/>
              </w:rPr>
              <w:t> </w:t>
            </w:r>
            <w:r w:rsidRPr="00A33B9F">
              <w:rPr>
                <w:rFonts w:ascii="Times New Roman" w:hAnsi="Times New Roman"/>
                <w:noProof/>
                <w:sz w:val="18"/>
              </w:rPr>
              <w:t>% inwestycji RRF</w:t>
            </w:r>
            <w:r w:rsidR="00A33B9F" w:rsidRPr="00A33B9F">
              <w:rPr>
                <w:rFonts w:ascii="Times New Roman" w:hAnsi="Times New Roman"/>
                <w:noProof/>
                <w:sz w:val="18"/>
              </w:rPr>
              <w:t xml:space="preserve"> w ram</w:t>
            </w:r>
            <w:r w:rsidRPr="00A33B9F">
              <w:rPr>
                <w:rFonts w:ascii="Times New Roman" w:hAnsi="Times New Roman"/>
                <w:noProof/>
                <w:sz w:val="18"/>
              </w:rPr>
              <w:t>ach Instrumentu (uwzględniając opłaty za zarządzanie). Co najmniej 53</w:t>
            </w:r>
            <w:r w:rsidR="00A33B9F" w:rsidRPr="00A33B9F">
              <w:rPr>
                <w:rFonts w:ascii="Times New Roman" w:hAnsi="Times New Roman"/>
                <w:noProof/>
                <w:sz w:val="18"/>
              </w:rPr>
              <w:t> </w:t>
            </w:r>
            <w:r w:rsidRPr="00A33B9F">
              <w:rPr>
                <w:rFonts w:ascii="Times New Roman" w:hAnsi="Times New Roman"/>
                <w:noProof/>
                <w:sz w:val="18"/>
              </w:rPr>
              <w:t>% tego finansowania, obliczone</w:t>
            </w:r>
            <w:r w:rsidR="00A33B9F" w:rsidRPr="00A33B9F">
              <w:rPr>
                <w:rFonts w:ascii="Times New Roman" w:hAnsi="Times New Roman"/>
                <w:noProof/>
                <w:sz w:val="18"/>
              </w:rPr>
              <w:t xml:space="preserve"> z zas</w:t>
            </w:r>
            <w:r w:rsidRPr="00A33B9F">
              <w:rPr>
                <w:rFonts w:ascii="Times New Roman" w:hAnsi="Times New Roman"/>
                <w:noProof/>
                <w:sz w:val="18"/>
              </w:rPr>
              <w:t>tosowaniem metodyki określonej</w:t>
            </w:r>
            <w:r w:rsidR="00A33B9F" w:rsidRPr="00A33B9F">
              <w:rPr>
                <w:rFonts w:ascii="Times New Roman" w:hAnsi="Times New Roman"/>
                <w:noProof/>
                <w:sz w:val="18"/>
              </w:rPr>
              <w:t xml:space="preserve"> w zał</w:t>
            </w:r>
            <w:r w:rsidRPr="00A33B9F">
              <w:rPr>
                <w:rFonts w:ascii="Times New Roman" w:hAnsi="Times New Roman"/>
                <w:noProof/>
                <w:sz w:val="18"/>
              </w:rPr>
              <w:t>ączniku VI do rozporządzenia</w:t>
            </w:r>
            <w:r w:rsidR="00A33B9F" w:rsidRPr="00A33B9F">
              <w:rPr>
                <w:rFonts w:ascii="Times New Roman" w:hAnsi="Times New Roman"/>
                <w:noProof/>
                <w:sz w:val="18"/>
              </w:rPr>
              <w:t xml:space="preserve"> w spr</w:t>
            </w:r>
            <w:r w:rsidRPr="00A33B9F">
              <w:rPr>
                <w:rFonts w:ascii="Times New Roman" w:hAnsi="Times New Roman"/>
                <w:noProof/>
                <w:sz w:val="18"/>
              </w:rPr>
              <w:t>awie RRF, ma przyczynić się do osiągnięcia celów klimatycznych.</w:t>
            </w:r>
          </w:p>
        </w:tc>
      </w:tr>
      <w:tr w:rsidR="00076A5D" w:rsidRPr="00A33B9F" w14:paraId="44F60326"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71CB0AAD" w14:textId="1B3D170E"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G15L</w:t>
            </w:r>
          </w:p>
        </w:tc>
        <w:tc>
          <w:tcPr>
            <w:tcW w:w="1474" w:type="dxa"/>
            <w:tcBorders>
              <w:top w:val="nil"/>
              <w:left w:val="nil"/>
              <w:bottom w:val="single" w:sz="4" w:space="0" w:color="auto"/>
              <w:right w:val="single" w:sz="4" w:space="0" w:color="auto"/>
            </w:tcBorders>
            <w:shd w:val="clear" w:color="auto" w:fill="C6EFCE"/>
            <w:noWrap/>
          </w:tcPr>
          <w:p w14:paraId="15658516" w14:textId="6A3A5320" w:rsidR="00F24072" w:rsidRPr="00A33B9F" w:rsidRDefault="3EE0867A"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G3.1.4 Wsparcie na rzecz krajowego systemu energetycznego (Fundusz Wsparcia Energetyki)</w:t>
            </w:r>
          </w:p>
        </w:tc>
        <w:tc>
          <w:tcPr>
            <w:tcW w:w="1077" w:type="dxa"/>
            <w:tcBorders>
              <w:top w:val="nil"/>
              <w:left w:val="nil"/>
              <w:bottom w:val="single" w:sz="4" w:space="0" w:color="auto"/>
              <w:right w:val="single" w:sz="4" w:space="0" w:color="auto"/>
            </w:tcBorders>
            <w:shd w:val="clear" w:color="auto" w:fill="C6EFCE"/>
            <w:noWrap/>
          </w:tcPr>
          <w:p w14:paraId="72AF68BE"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4E52335D"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Ministerstwo zakończyło inwestycję</w:t>
            </w:r>
          </w:p>
        </w:tc>
        <w:tc>
          <w:tcPr>
            <w:tcW w:w="1606" w:type="dxa"/>
            <w:tcBorders>
              <w:top w:val="nil"/>
              <w:left w:val="nil"/>
              <w:bottom w:val="single" w:sz="4" w:space="0" w:color="auto"/>
              <w:right w:val="single" w:sz="4" w:space="0" w:color="auto"/>
            </w:tcBorders>
            <w:shd w:val="clear" w:color="auto" w:fill="C6EFCE"/>
            <w:noWrap/>
          </w:tcPr>
          <w:p w14:paraId="428957D1" w14:textId="7E9CA401"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Zaświadczenie potwierdzające przekazanie środków</w:t>
            </w:r>
            <w:r w:rsidR="00C3621A" w:rsidRPr="00A33B9F">
              <w:rPr>
                <w:rFonts w:ascii="Times New Roman" w:hAnsi="Times New Roman"/>
                <w:noProof/>
                <w:sz w:val="18"/>
              </w:rPr>
              <w:t xml:space="preserve"> </w:t>
            </w:r>
          </w:p>
        </w:tc>
        <w:tc>
          <w:tcPr>
            <w:tcW w:w="1076" w:type="dxa"/>
            <w:tcBorders>
              <w:top w:val="nil"/>
              <w:left w:val="nil"/>
              <w:bottom w:val="single" w:sz="4" w:space="0" w:color="auto"/>
              <w:right w:val="single" w:sz="4" w:space="0" w:color="auto"/>
            </w:tcBorders>
            <w:shd w:val="clear" w:color="auto" w:fill="C6EFCE"/>
            <w:noWrap/>
          </w:tcPr>
          <w:p w14:paraId="29FACF62"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15F2B001"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1A56E231"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123044C0"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60CA3025"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47A5F6B3" w14:textId="5A93DFB8"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Polska przekaże BGK kwotę 17 103 863 518 EUR na potrzeby Instrumentu. </w:t>
            </w:r>
          </w:p>
        </w:tc>
      </w:tr>
      <w:tr w:rsidR="00076A5D" w:rsidRPr="00A33B9F" w14:paraId="7EA1F8E3"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CE3A5A4" w14:textId="11AA3A72"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G16L</w:t>
            </w:r>
          </w:p>
        </w:tc>
        <w:tc>
          <w:tcPr>
            <w:tcW w:w="1474" w:type="dxa"/>
            <w:tcBorders>
              <w:top w:val="nil"/>
              <w:left w:val="nil"/>
              <w:bottom w:val="single" w:sz="4" w:space="0" w:color="auto"/>
              <w:right w:val="single" w:sz="4" w:space="0" w:color="auto"/>
            </w:tcBorders>
            <w:shd w:val="clear" w:color="auto" w:fill="C6EFCE"/>
            <w:noWrap/>
          </w:tcPr>
          <w:p w14:paraId="34566071" w14:textId="264D3F36" w:rsidR="00F24072" w:rsidRPr="00A33B9F" w:rsidRDefault="3EE0867A"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G3.1.5 Budowa morskich farm wiatrowych (Fundusz na rzecz morskiej energetyki wiatrowej)</w:t>
            </w:r>
          </w:p>
        </w:tc>
        <w:tc>
          <w:tcPr>
            <w:tcW w:w="1077" w:type="dxa"/>
            <w:tcBorders>
              <w:top w:val="nil"/>
              <w:left w:val="nil"/>
              <w:bottom w:val="single" w:sz="4" w:space="0" w:color="auto"/>
              <w:right w:val="single" w:sz="4" w:space="0" w:color="auto"/>
            </w:tcBorders>
            <w:shd w:val="clear" w:color="auto" w:fill="C6EFCE"/>
            <w:noWrap/>
          </w:tcPr>
          <w:p w14:paraId="70BE9D0C"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5B9BD8EF"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Umowa wykonawcza</w:t>
            </w:r>
          </w:p>
        </w:tc>
        <w:tc>
          <w:tcPr>
            <w:tcW w:w="1606" w:type="dxa"/>
            <w:tcBorders>
              <w:top w:val="nil"/>
              <w:left w:val="nil"/>
              <w:bottom w:val="single" w:sz="4" w:space="0" w:color="auto"/>
              <w:right w:val="single" w:sz="4" w:space="0" w:color="auto"/>
            </w:tcBorders>
            <w:shd w:val="clear" w:color="auto" w:fill="C6EFCE"/>
            <w:noWrap/>
          </w:tcPr>
          <w:p w14:paraId="04DE212B" w14:textId="7DD21225"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umowy wykonawczej</w:t>
            </w:r>
          </w:p>
        </w:tc>
        <w:tc>
          <w:tcPr>
            <w:tcW w:w="1076" w:type="dxa"/>
            <w:tcBorders>
              <w:top w:val="nil"/>
              <w:left w:val="nil"/>
              <w:bottom w:val="single" w:sz="4" w:space="0" w:color="auto"/>
              <w:right w:val="single" w:sz="4" w:space="0" w:color="auto"/>
            </w:tcBorders>
            <w:shd w:val="clear" w:color="auto" w:fill="C6EFCE"/>
            <w:noWrap/>
          </w:tcPr>
          <w:p w14:paraId="58AB2804"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392B008A"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41C074DE"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0F502E1C"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1205AA43"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2024</w:t>
            </w:r>
          </w:p>
        </w:tc>
        <w:tc>
          <w:tcPr>
            <w:tcW w:w="4146" w:type="dxa"/>
            <w:tcBorders>
              <w:top w:val="nil"/>
              <w:left w:val="nil"/>
              <w:bottom w:val="single" w:sz="4" w:space="0" w:color="auto"/>
              <w:right w:val="single" w:sz="4" w:space="0" w:color="auto"/>
            </w:tcBorders>
            <w:shd w:val="clear" w:color="auto" w:fill="C6EFCE"/>
            <w:noWrap/>
          </w:tcPr>
          <w:p w14:paraId="7E6187C1" w14:textId="069ECF0F"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Wejście</w:t>
            </w:r>
            <w:r w:rsidR="00A33B9F" w:rsidRPr="00A33B9F">
              <w:rPr>
                <w:rFonts w:ascii="Times New Roman" w:hAnsi="Times New Roman"/>
                <w:noProof/>
                <w:sz w:val="18"/>
              </w:rPr>
              <w:t xml:space="preserve"> w życ</w:t>
            </w:r>
            <w:r w:rsidRPr="00A33B9F">
              <w:rPr>
                <w:rFonts w:ascii="Times New Roman" w:hAnsi="Times New Roman"/>
                <w:noProof/>
                <w:sz w:val="18"/>
              </w:rPr>
              <w:t>ie umowy wykonawczej</w:t>
            </w:r>
          </w:p>
        </w:tc>
      </w:tr>
      <w:tr w:rsidR="00076A5D" w:rsidRPr="00A33B9F" w14:paraId="070650F3"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6D60D62" w14:textId="4A90F065"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G17L</w:t>
            </w:r>
          </w:p>
        </w:tc>
        <w:tc>
          <w:tcPr>
            <w:tcW w:w="1474" w:type="dxa"/>
            <w:tcBorders>
              <w:top w:val="nil"/>
              <w:left w:val="nil"/>
              <w:bottom w:val="single" w:sz="4" w:space="0" w:color="auto"/>
              <w:right w:val="single" w:sz="4" w:space="0" w:color="auto"/>
            </w:tcBorders>
            <w:shd w:val="clear" w:color="auto" w:fill="C6EFCE"/>
            <w:noWrap/>
          </w:tcPr>
          <w:p w14:paraId="7CCC383F" w14:textId="2420126D" w:rsidR="00F24072" w:rsidRPr="00A33B9F" w:rsidRDefault="3EE0867A"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G3.1.5 Budowa morskich farm wiatrowych (Fundusz na rzecz morskiej energetyki wiatrowej)</w:t>
            </w:r>
          </w:p>
        </w:tc>
        <w:tc>
          <w:tcPr>
            <w:tcW w:w="1077" w:type="dxa"/>
            <w:tcBorders>
              <w:top w:val="nil"/>
              <w:left w:val="nil"/>
              <w:bottom w:val="single" w:sz="4" w:space="0" w:color="auto"/>
              <w:right w:val="single" w:sz="4" w:space="0" w:color="auto"/>
            </w:tcBorders>
            <w:shd w:val="clear" w:color="auto" w:fill="C6EFCE"/>
            <w:noWrap/>
          </w:tcPr>
          <w:p w14:paraId="4196CC50"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74" w:type="dxa"/>
            <w:tcBorders>
              <w:top w:val="nil"/>
              <w:left w:val="nil"/>
              <w:bottom w:val="single" w:sz="4" w:space="0" w:color="auto"/>
              <w:right w:val="single" w:sz="4" w:space="0" w:color="auto"/>
            </w:tcBorders>
            <w:shd w:val="clear" w:color="auto" w:fill="C6EFCE"/>
            <w:noWrap/>
          </w:tcPr>
          <w:p w14:paraId="5128E39E" w14:textId="7181B266"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Umowy prawne podpisane</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w:t>
            </w:r>
          </w:p>
        </w:tc>
        <w:tc>
          <w:tcPr>
            <w:tcW w:w="1606" w:type="dxa"/>
            <w:tcBorders>
              <w:top w:val="nil"/>
              <w:left w:val="nil"/>
              <w:bottom w:val="single" w:sz="4" w:space="0" w:color="auto"/>
              <w:right w:val="single" w:sz="4" w:space="0" w:color="auto"/>
            </w:tcBorders>
            <w:shd w:val="clear" w:color="auto" w:fill="C6EFCE"/>
            <w:noWrap/>
          </w:tcPr>
          <w:p w14:paraId="28B0F3F9"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1076" w:type="dxa"/>
            <w:tcBorders>
              <w:top w:val="nil"/>
              <w:left w:val="nil"/>
              <w:bottom w:val="single" w:sz="4" w:space="0" w:color="auto"/>
              <w:right w:val="single" w:sz="4" w:space="0" w:color="auto"/>
            </w:tcBorders>
            <w:shd w:val="clear" w:color="auto" w:fill="C6EFCE"/>
            <w:noWrap/>
          </w:tcPr>
          <w:p w14:paraId="278C6D8D"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Procent (%)</w:t>
            </w:r>
          </w:p>
        </w:tc>
        <w:tc>
          <w:tcPr>
            <w:tcW w:w="943" w:type="dxa"/>
            <w:tcBorders>
              <w:top w:val="nil"/>
              <w:left w:val="nil"/>
              <w:bottom w:val="single" w:sz="4" w:space="0" w:color="auto"/>
              <w:right w:val="single" w:sz="4" w:space="0" w:color="auto"/>
            </w:tcBorders>
            <w:shd w:val="clear" w:color="auto" w:fill="C6EFCE"/>
            <w:noWrap/>
          </w:tcPr>
          <w:p w14:paraId="515388BF"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0</w:t>
            </w:r>
          </w:p>
        </w:tc>
        <w:tc>
          <w:tcPr>
            <w:tcW w:w="678" w:type="dxa"/>
            <w:tcBorders>
              <w:top w:val="nil"/>
              <w:left w:val="nil"/>
              <w:bottom w:val="single" w:sz="4" w:space="0" w:color="auto"/>
              <w:right w:val="single" w:sz="4" w:space="0" w:color="auto"/>
            </w:tcBorders>
            <w:shd w:val="clear" w:color="auto" w:fill="C6EFCE"/>
            <w:noWrap/>
          </w:tcPr>
          <w:p w14:paraId="0CB1EF04" w14:textId="248ABB08"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40</w:t>
            </w:r>
            <w:r w:rsidR="00A33B9F" w:rsidRPr="00A33B9F">
              <w:rPr>
                <w:rFonts w:ascii="Times New Roman" w:hAnsi="Times New Roman"/>
                <w:noProof/>
                <w:sz w:val="18"/>
              </w:rPr>
              <w:t> </w:t>
            </w:r>
            <w:r w:rsidRPr="00A33B9F">
              <w:rPr>
                <w:rFonts w:ascii="Times New Roman" w:hAnsi="Times New Roman"/>
                <w:noProof/>
                <w:sz w:val="18"/>
              </w:rPr>
              <w:t>%</w:t>
            </w:r>
          </w:p>
        </w:tc>
        <w:tc>
          <w:tcPr>
            <w:tcW w:w="878" w:type="dxa"/>
            <w:tcBorders>
              <w:top w:val="nil"/>
              <w:left w:val="nil"/>
              <w:bottom w:val="single" w:sz="4" w:space="0" w:color="auto"/>
              <w:right w:val="single" w:sz="4" w:space="0" w:color="auto"/>
            </w:tcBorders>
            <w:shd w:val="clear" w:color="auto" w:fill="C6EFCE"/>
            <w:noWrap/>
          </w:tcPr>
          <w:p w14:paraId="212B27F3"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84" w:type="dxa"/>
            <w:tcBorders>
              <w:top w:val="nil"/>
              <w:left w:val="nil"/>
              <w:bottom w:val="single" w:sz="4" w:space="0" w:color="auto"/>
              <w:right w:val="single" w:sz="4" w:space="0" w:color="auto"/>
            </w:tcBorders>
            <w:shd w:val="clear" w:color="auto" w:fill="C6EFCE"/>
            <w:noWrap/>
          </w:tcPr>
          <w:p w14:paraId="0FA8514C"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4743970B" w14:textId="6725158D"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BGK zawrze prawnie wiążące umowy</w:t>
            </w:r>
            <w:r w:rsidR="00A33B9F" w:rsidRPr="00A33B9F">
              <w:rPr>
                <w:rFonts w:ascii="Times New Roman" w:hAnsi="Times New Roman"/>
                <w:noProof/>
                <w:sz w:val="18"/>
              </w:rPr>
              <w:t xml:space="preserve"> w spr</w:t>
            </w:r>
            <w:r w:rsidRPr="00A33B9F">
              <w:rPr>
                <w:rFonts w:ascii="Times New Roman" w:hAnsi="Times New Roman"/>
                <w:noProof/>
                <w:sz w:val="18"/>
              </w:rPr>
              <w:t>awie finansowania</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 opiewające na kwotę niezbędną do wykorzystania co najmniej 40</w:t>
            </w:r>
            <w:r w:rsidR="00A33B9F" w:rsidRPr="00A33B9F">
              <w:rPr>
                <w:rFonts w:ascii="Times New Roman" w:hAnsi="Times New Roman"/>
                <w:noProof/>
                <w:sz w:val="18"/>
              </w:rPr>
              <w:t> </w:t>
            </w:r>
            <w:r w:rsidRPr="00A33B9F">
              <w:rPr>
                <w:rFonts w:ascii="Times New Roman" w:hAnsi="Times New Roman"/>
                <w:noProof/>
                <w:sz w:val="18"/>
              </w:rPr>
              <w:t>% inwestycji RRF</w:t>
            </w:r>
            <w:r w:rsidR="00A33B9F" w:rsidRPr="00A33B9F">
              <w:rPr>
                <w:rFonts w:ascii="Times New Roman" w:hAnsi="Times New Roman"/>
                <w:noProof/>
                <w:sz w:val="18"/>
              </w:rPr>
              <w:t xml:space="preserve"> w ram</w:t>
            </w:r>
            <w:r w:rsidRPr="00A33B9F">
              <w:rPr>
                <w:rFonts w:ascii="Times New Roman" w:hAnsi="Times New Roman"/>
                <w:noProof/>
                <w:sz w:val="18"/>
              </w:rPr>
              <w:t>ach Instrumentu (uwzględniając opłaty za zarządzanie).</w:t>
            </w:r>
          </w:p>
        </w:tc>
      </w:tr>
      <w:tr w:rsidR="00076A5D" w:rsidRPr="00A33B9F" w14:paraId="1F94A379"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85C267D" w14:textId="35632962"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G18L</w:t>
            </w:r>
          </w:p>
        </w:tc>
        <w:tc>
          <w:tcPr>
            <w:tcW w:w="1474" w:type="dxa"/>
            <w:tcBorders>
              <w:top w:val="nil"/>
              <w:left w:val="nil"/>
              <w:bottom w:val="single" w:sz="4" w:space="0" w:color="auto"/>
              <w:right w:val="single" w:sz="4" w:space="0" w:color="auto"/>
            </w:tcBorders>
            <w:shd w:val="clear" w:color="auto" w:fill="C6EFCE"/>
            <w:noWrap/>
          </w:tcPr>
          <w:p w14:paraId="223D4355" w14:textId="7D6FA20E"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G3.1.5 Budowa morskich farm wiatrowych (Fundusz na rzecz morskiej energetyki wiatrowej)</w:t>
            </w:r>
          </w:p>
        </w:tc>
        <w:tc>
          <w:tcPr>
            <w:tcW w:w="1077" w:type="dxa"/>
            <w:tcBorders>
              <w:top w:val="nil"/>
              <w:left w:val="nil"/>
              <w:bottom w:val="single" w:sz="4" w:space="0" w:color="auto"/>
              <w:right w:val="single" w:sz="4" w:space="0" w:color="auto"/>
            </w:tcBorders>
            <w:shd w:val="clear" w:color="auto" w:fill="C6EFCE"/>
            <w:noWrap/>
          </w:tcPr>
          <w:p w14:paraId="234CD704"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Wartość docelowa</w:t>
            </w:r>
          </w:p>
        </w:tc>
        <w:tc>
          <w:tcPr>
            <w:tcW w:w="1874" w:type="dxa"/>
            <w:tcBorders>
              <w:top w:val="nil"/>
              <w:left w:val="nil"/>
              <w:bottom w:val="single" w:sz="4" w:space="0" w:color="auto"/>
              <w:right w:val="single" w:sz="4" w:space="0" w:color="auto"/>
            </w:tcBorders>
            <w:shd w:val="clear" w:color="auto" w:fill="C6EFCE"/>
            <w:noWrap/>
          </w:tcPr>
          <w:p w14:paraId="55E184B3" w14:textId="6E7D7556"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Umowy prawne podpisane</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w:t>
            </w:r>
          </w:p>
        </w:tc>
        <w:tc>
          <w:tcPr>
            <w:tcW w:w="1606" w:type="dxa"/>
            <w:tcBorders>
              <w:top w:val="nil"/>
              <w:left w:val="nil"/>
              <w:bottom w:val="single" w:sz="4" w:space="0" w:color="auto"/>
              <w:right w:val="single" w:sz="4" w:space="0" w:color="auto"/>
            </w:tcBorders>
            <w:shd w:val="clear" w:color="auto" w:fill="C6EFCE"/>
            <w:noWrap/>
          </w:tcPr>
          <w:p w14:paraId="47ACB579"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1076" w:type="dxa"/>
            <w:tcBorders>
              <w:top w:val="nil"/>
              <w:left w:val="nil"/>
              <w:bottom w:val="single" w:sz="4" w:space="0" w:color="auto"/>
              <w:right w:val="single" w:sz="4" w:space="0" w:color="auto"/>
            </w:tcBorders>
            <w:shd w:val="clear" w:color="auto" w:fill="C6EFCE"/>
            <w:noWrap/>
          </w:tcPr>
          <w:p w14:paraId="47BAB2C1"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Procent (%)</w:t>
            </w:r>
          </w:p>
        </w:tc>
        <w:tc>
          <w:tcPr>
            <w:tcW w:w="943" w:type="dxa"/>
            <w:tcBorders>
              <w:top w:val="nil"/>
              <w:left w:val="nil"/>
              <w:bottom w:val="single" w:sz="4" w:space="0" w:color="auto"/>
              <w:right w:val="single" w:sz="4" w:space="0" w:color="auto"/>
            </w:tcBorders>
            <w:shd w:val="clear" w:color="auto" w:fill="C6EFCE"/>
            <w:noWrap/>
          </w:tcPr>
          <w:p w14:paraId="6068811C" w14:textId="0913EAAF"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40</w:t>
            </w:r>
            <w:r w:rsidR="00A33B9F" w:rsidRPr="00A33B9F">
              <w:rPr>
                <w:rFonts w:ascii="Times New Roman" w:hAnsi="Times New Roman"/>
                <w:noProof/>
                <w:sz w:val="18"/>
              </w:rPr>
              <w:t> </w:t>
            </w:r>
            <w:r w:rsidRPr="00A33B9F">
              <w:rPr>
                <w:rFonts w:ascii="Times New Roman" w:hAnsi="Times New Roman"/>
                <w:noProof/>
                <w:sz w:val="18"/>
              </w:rPr>
              <w:t>%</w:t>
            </w:r>
          </w:p>
        </w:tc>
        <w:tc>
          <w:tcPr>
            <w:tcW w:w="678" w:type="dxa"/>
            <w:tcBorders>
              <w:top w:val="nil"/>
              <w:left w:val="nil"/>
              <w:bottom w:val="single" w:sz="4" w:space="0" w:color="auto"/>
              <w:right w:val="single" w:sz="4" w:space="0" w:color="auto"/>
            </w:tcBorders>
            <w:shd w:val="clear" w:color="auto" w:fill="C6EFCE"/>
            <w:noWrap/>
          </w:tcPr>
          <w:p w14:paraId="242DF7B3" w14:textId="2A4F9130"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100</w:t>
            </w:r>
            <w:r w:rsidR="00A33B9F" w:rsidRPr="00A33B9F">
              <w:rPr>
                <w:rFonts w:ascii="Times New Roman" w:hAnsi="Times New Roman"/>
                <w:noProof/>
                <w:sz w:val="18"/>
              </w:rPr>
              <w:t> </w:t>
            </w:r>
            <w:r w:rsidRPr="00A33B9F">
              <w:rPr>
                <w:rFonts w:ascii="Times New Roman" w:hAnsi="Times New Roman"/>
                <w:noProof/>
                <w:sz w:val="18"/>
              </w:rPr>
              <w:t>%</w:t>
            </w:r>
          </w:p>
        </w:tc>
        <w:tc>
          <w:tcPr>
            <w:tcW w:w="878" w:type="dxa"/>
            <w:tcBorders>
              <w:top w:val="nil"/>
              <w:left w:val="nil"/>
              <w:bottom w:val="single" w:sz="4" w:space="0" w:color="auto"/>
              <w:right w:val="single" w:sz="4" w:space="0" w:color="auto"/>
            </w:tcBorders>
            <w:shd w:val="clear" w:color="auto" w:fill="C6EFCE"/>
            <w:noWrap/>
          </w:tcPr>
          <w:p w14:paraId="1284506B"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790DC9CC"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21038867" w14:textId="475EE414"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BGK zawrze prawnie wiążące umowy</w:t>
            </w:r>
            <w:r w:rsidR="00A33B9F" w:rsidRPr="00A33B9F">
              <w:rPr>
                <w:rFonts w:ascii="Times New Roman" w:hAnsi="Times New Roman"/>
                <w:noProof/>
                <w:sz w:val="18"/>
              </w:rPr>
              <w:t xml:space="preserve"> w spr</w:t>
            </w:r>
            <w:r w:rsidRPr="00A33B9F">
              <w:rPr>
                <w:rFonts w:ascii="Times New Roman" w:hAnsi="Times New Roman"/>
                <w:noProof/>
                <w:sz w:val="18"/>
              </w:rPr>
              <w:t>awie finansowania</w:t>
            </w:r>
            <w:r w:rsidR="00A33B9F" w:rsidRPr="00A33B9F">
              <w:rPr>
                <w:rFonts w:ascii="Times New Roman" w:hAnsi="Times New Roman"/>
                <w:noProof/>
                <w:sz w:val="18"/>
              </w:rPr>
              <w:t xml:space="preserve"> z ben</w:t>
            </w:r>
            <w:r w:rsidRPr="00A33B9F">
              <w:rPr>
                <w:rFonts w:ascii="Times New Roman" w:hAnsi="Times New Roman"/>
                <w:noProof/>
                <w:sz w:val="18"/>
              </w:rPr>
              <w:t>eficjentami końcowymi opiewające na kwotę niezbędną do wykorzystania 100</w:t>
            </w:r>
            <w:r w:rsidR="00A33B9F" w:rsidRPr="00A33B9F">
              <w:rPr>
                <w:rFonts w:ascii="Times New Roman" w:hAnsi="Times New Roman"/>
                <w:noProof/>
                <w:sz w:val="18"/>
              </w:rPr>
              <w:t> </w:t>
            </w:r>
            <w:r w:rsidRPr="00A33B9F">
              <w:rPr>
                <w:rFonts w:ascii="Times New Roman" w:hAnsi="Times New Roman"/>
                <w:noProof/>
                <w:sz w:val="18"/>
              </w:rPr>
              <w:t>% inwestycji RRF</w:t>
            </w:r>
            <w:r w:rsidR="00A33B9F" w:rsidRPr="00A33B9F">
              <w:rPr>
                <w:rFonts w:ascii="Times New Roman" w:hAnsi="Times New Roman"/>
                <w:noProof/>
                <w:sz w:val="18"/>
              </w:rPr>
              <w:t xml:space="preserve"> w ram</w:t>
            </w:r>
            <w:r w:rsidRPr="00A33B9F">
              <w:rPr>
                <w:rFonts w:ascii="Times New Roman" w:hAnsi="Times New Roman"/>
                <w:noProof/>
                <w:sz w:val="18"/>
              </w:rPr>
              <w:t>ach Instrumentu (uwzględniając opłaty za zarządzanie).</w:t>
            </w:r>
          </w:p>
        </w:tc>
      </w:tr>
      <w:tr w:rsidR="00076A5D" w:rsidRPr="00A33B9F" w14:paraId="3134BF24"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24501A72" w14:textId="38377483"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G19L</w:t>
            </w:r>
          </w:p>
        </w:tc>
        <w:tc>
          <w:tcPr>
            <w:tcW w:w="1474" w:type="dxa"/>
            <w:tcBorders>
              <w:top w:val="nil"/>
              <w:left w:val="nil"/>
              <w:bottom w:val="single" w:sz="4" w:space="0" w:color="auto"/>
              <w:right w:val="single" w:sz="4" w:space="0" w:color="auto"/>
            </w:tcBorders>
            <w:shd w:val="clear" w:color="auto" w:fill="C6EFCE"/>
            <w:noWrap/>
          </w:tcPr>
          <w:p w14:paraId="301357D0" w14:textId="3EA8F7B6"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G3.1.5 Budowa morskich farm wiatrowych (Fundusz na rzecz morskiej energetyki wiatrowej)</w:t>
            </w:r>
          </w:p>
        </w:tc>
        <w:tc>
          <w:tcPr>
            <w:tcW w:w="1077" w:type="dxa"/>
            <w:tcBorders>
              <w:top w:val="nil"/>
              <w:left w:val="nil"/>
              <w:bottom w:val="single" w:sz="4" w:space="0" w:color="auto"/>
              <w:right w:val="single" w:sz="4" w:space="0" w:color="auto"/>
            </w:tcBorders>
            <w:shd w:val="clear" w:color="auto" w:fill="C6EFCE"/>
            <w:noWrap/>
          </w:tcPr>
          <w:p w14:paraId="711C9C94"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71AFC7AF"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Ministerstwo zakończyło inwestycję</w:t>
            </w:r>
          </w:p>
        </w:tc>
        <w:tc>
          <w:tcPr>
            <w:tcW w:w="1606" w:type="dxa"/>
            <w:tcBorders>
              <w:top w:val="nil"/>
              <w:left w:val="nil"/>
              <w:bottom w:val="single" w:sz="4" w:space="0" w:color="auto"/>
              <w:right w:val="single" w:sz="4" w:space="0" w:color="auto"/>
            </w:tcBorders>
            <w:shd w:val="clear" w:color="auto" w:fill="C6EFCE"/>
            <w:noWrap/>
          </w:tcPr>
          <w:p w14:paraId="7F8C7064" w14:textId="4A1A3B64"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Zaświadczenie potwierdzające przekazanie środków</w:t>
            </w:r>
            <w:r w:rsidR="00C3621A" w:rsidRPr="00A33B9F">
              <w:rPr>
                <w:rFonts w:ascii="Times New Roman" w:hAnsi="Times New Roman"/>
                <w:noProof/>
                <w:sz w:val="18"/>
              </w:rPr>
              <w:t xml:space="preserve"> </w:t>
            </w:r>
          </w:p>
        </w:tc>
        <w:tc>
          <w:tcPr>
            <w:tcW w:w="1076" w:type="dxa"/>
            <w:tcBorders>
              <w:top w:val="nil"/>
              <w:left w:val="nil"/>
              <w:bottom w:val="single" w:sz="4" w:space="0" w:color="auto"/>
              <w:right w:val="single" w:sz="4" w:space="0" w:color="auto"/>
            </w:tcBorders>
            <w:shd w:val="clear" w:color="auto" w:fill="C6EFCE"/>
            <w:noWrap/>
          </w:tcPr>
          <w:p w14:paraId="49C0BB37" w14:textId="77777777" w:rsidR="00F24072" w:rsidRPr="00A33B9F" w:rsidRDefault="00F24072" w:rsidP="00F2407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01DB15CF"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4CE05E18"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5686ABE4"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077D2D43" w14:textId="77777777" w:rsidR="00F24072" w:rsidRPr="00A33B9F" w:rsidRDefault="00F24072" w:rsidP="00F2407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683E183D" w14:textId="77777777" w:rsidR="00F24072" w:rsidRPr="00A33B9F" w:rsidRDefault="00F24072" w:rsidP="00F2407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Polska przekaże BGK kwotę 4 785 000 000 EUR na potrzeby Instrumentu.</w:t>
            </w:r>
          </w:p>
        </w:tc>
      </w:tr>
    </w:tbl>
    <w:p w14:paraId="4F959FE5" w14:textId="77777777" w:rsidR="001C2AA6" w:rsidRPr="00A33B9F" w:rsidRDefault="001C2AA6" w:rsidP="001C2AA6">
      <w:pPr>
        <w:spacing w:before="120" w:after="120" w:line="240" w:lineRule="auto"/>
        <w:jc w:val="both"/>
        <w:rPr>
          <w:rFonts w:ascii="Times New Roman" w:hAnsi="Times New Roman" w:cs="Times New Roman"/>
          <w:noProof/>
          <w:sz w:val="24"/>
          <w:szCs w:val="24"/>
        </w:rPr>
      </w:pPr>
    </w:p>
    <w:p w14:paraId="4DE5C31D" w14:textId="689976F2" w:rsidR="00034165" w:rsidRPr="00A33B9F" w:rsidRDefault="00034165" w:rsidP="00781D11">
      <w:pPr>
        <w:pStyle w:val="Text1"/>
        <w:keepNext/>
        <w:pageBreakBefore/>
        <w:ind w:left="0"/>
        <w:rPr>
          <w:b/>
          <w:noProof/>
        </w:rPr>
      </w:pPr>
      <w:r w:rsidRPr="00A33B9F">
        <w:rPr>
          <w:b/>
          <w:noProof/>
        </w:rPr>
        <w:t>Podkomponent G3.2 – Poprawa infrastruktury energetycznej, aby sprostać najpilniejszym potrzebom</w:t>
      </w:r>
      <w:r w:rsidR="00A33B9F" w:rsidRPr="00A33B9F">
        <w:rPr>
          <w:b/>
          <w:noProof/>
        </w:rPr>
        <w:t xml:space="preserve"> w zak</w:t>
      </w:r>
      <w:r w:rsidRPr="00A33B9F">
        <w:rPr>
          <w:b/>
          <w:noProof/>
        </w:rPr>
        <w:t>resie bezpieczeństwa dostaw gazu</w:t>
      </w:r>
    </w:p>
    <w:p w14:paraId="0B29C25C" w14:textId="77777777" w:rsidR="00E56162" w:rsidRPr="00A33B9F" w:rsidRDefault="00E56162" w:rsidP="00E56162">
      <w:pPr>
        <w:spacing w:before="120" w:after="120" w:line="240" w:lineRule="auto"/>
        <w:jc w:val="both"/>
        <w:rPr>
          <w:rFonts w:ascii="Times New Roman" w:hAnsi="Times New Roman" w:cs="Times New Roman"/>
          <w:noProof/>
          <w:sz w:val="24"/>
        </w:rPr>
      </w:pPr>
    </w:p>
    <w:tbl>
      <w:tblPr>
        <w:tblW w:w="15309" w:type="dxa"/>
        <w:jc w:val="center"/>
        <w:tblLayout w:type="fixed"/>
        <w:tblLook w:val="04A0" w:firstRow="1" w:lastRow="0" w:firstColumn="1" w:lastColumn="0" w:noHBand="0" w:noVBand="1"/>
      </w:tblPr>
      <w:tblGrid>
        <w:gridCol w:w="803"/>
        <w:gridCol w:w="1461"/>
        <w:gridCol w:w="1068"/>
        <w:gridCol w:w="1857"/>
        <w:gridCol w:w="1591"/>
        <w:gridCol w:w="1067"/>
        <w:gridCol w:w="936"/>
        <w:gridCol w:w="673"/>
        <w:gridCol w:w="871"/>
        <w:gridCol w:w="877"/>
        <w:gridCol w:w="4105"/>
      </w:tblGrid>
      <w:tr w:rsidR="00E56162" w:rsidRPr="00A33B9F" w14:paraId="35D19366" w14:textId="77777777" w:rsidTr="00AD0FC1">
        <w:trPr>
          <w:trHeight w:val="927"/>
          <w:tblHeader/>
          <w:jc w:val="center"/>
        </w:trPr>
        <w:tc>
          <w:tcPr>
            <w:tcW w:w="8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C120775" w14:textId="77777777" w:rsidR="00E56162" w:rsidRPr="00A33B9F" w:rsidRDefault="00E5616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Nr porządkowy</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B4EAA5" w14:textId="77777777" w:rsidR="00E56162" w:rsidRPr="00A33B9F" w:rsidRDefault="00E5616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Powiązane działanie (reforma lub inwestycja)</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99A9F4C" w14:textId="77777777" w:rsidR="00E56162" w:rsidRPr="00A33B9F" w:rsidRDefault="00E5616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Kamień milowy / wartość docelowa</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DDFAE7" w14:textId="77777777" w:rsidR="00E56162" w:rsidRPr="00A33B9F" w:rsidRDefault="00E5616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Nazwa</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EF5706" w14:textId="77777777" w:rsidR="00E56162" w:rsidRPr="00A33B9F" w:rsidRDefault="00E5616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 xml:space="preserve">Wskaźniki jakościowe </w:t>
            </w:r>
            <w:r w:rsidRPr="00A33B9F">
              <w:rPr>
                <w:rFonts w:ascii="Times New Roman" w:hAnsi="Times New Roman"/>
                <w:b/>
                <w:noProof/>
                <w:color w:val="000000"/>
                <w:sz w:val="18"/>
              </w:rPr>
              <w:br/>
              <w:t>(dla kamieni milowych)</w:t>
            </w:r>
          </w:p>
        </w:tc>
        <w:tc>
          <w:tcPr>
            <w:tcW w:w="269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01EA3243" w14:textId="77777777" w:rsidR="00E56162" w:rsidRPr="00A33B9F" w:rsidRDefault="00E5616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Wskaźniki ilościowe</w:t>
            </w:r>
            <w:r w:rsidRPr="00A33B9F">
              <w:rPr>
                <w:noProof/>
              </w:rPr>
              <w:t xml:space="preserve"> </w:t>
            </w:r>
            <w:r w:rsidRPr="00A33B9F">
              <w:rPr>
                <w:noProof/>
              </w:rPr>
              <w:br/>
            </w:r>
            <w:r w:rsidRPr="00A33B9F">
              <w:rPr>
                <w:rFonts w:ascii="Times New Roman" w:hAnsi="Times New Roman"/>
                <w:b/>
                <w:noProof/>
                <w:color w:val="000000"/>
                <w:sz w:val="18"/>
              </w:rPr>
              <w:t>(dla wartości docelowych)</w:t>
            </w:r>
          </w:p>
        </w:tc>
        <w:tc>
          <w:tcPr>
            <w:tcW w:w="1762" w:type="dxa"/>
            <w:gridSpan w:val="2"/>
            <w:tcBorders>
              <w:top w:val="single" w:sz="4" w:space="0" w:color="auto"/>
              <w:left w:val="nil"/>
              <w:bottom w:val="single" w:sz="4" w:space="0" w:color="auto"/>
              <w:right w:val="single" w:sz="4" w:space="0" w:color="auto"/>
            </w:tcBorders>
            <w:shd w:val="clear" w:color="auto" w:fill="BDD7EE"/>
            <w:vAlign w:val="center"/>
            <w:hideMark/>
          </w:tcPr>
          <w:p w14:paraId="1096E6D8" w14:textId="77777777" w:rsidR="00E56162" w:rsidRPr="00A33B9F" w:rsidRDefault="00E5616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Orientacyjny harmonogram zakończenia działania</w:t>
            </w:r>
          </w:p>
        </w:tc>
        <w:tc>
          <w:tcPr>
            <w:tcW w:w="414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22B049" w14:textId="33009F01" w:rsidR="00E56162" w:rsidRPr="00A33B9F" w:rsidRDefault="00E56162">
            <w:pPr>
              <w:spacing w:after="0" w:line="240" w:lineRule="auto"/>
              <w:jc w:val="center"/>
              <w:rPr>
                <w:rFonts w:ascii="Times New Roman" w:eastAsia="Times New Roman" w:hAnsi="Times New Roman" w:cs="Times New Roman"/>
                <w:b/>
                <w:noProof/>
                <w:sz w:val="24"/>
              </w:rPr>
            </w:pPr>
            <w:r w:rsidRPr="00A33B9F">
              <w:rPr>
                <w:rFonts w:ascii="Times New Roman" w:hAnsi="Times New Roman"/>
                <w:b/>
                <w:noProof/>
                <w:color w:val="000000"/>
                <w:sz w:val="18"/>
              </w:rPr>
              <w:t>Opis każdego kamienia milowego</w:t>
            </w:r>
            <w:r w:rsidR="00A33B9F" w:rsidRPr="00A33B9F">
              <w:rPr>
                <w:rFonts w:ascii="Times New Roman" w:hAnsi="Times New Roman"/>
                <w:b/>
                <w:noProof/>
                <w:color w:val="000000"/>
                <w:sz w:val="18"/>
              </w:rPr>
              <w:t xml:space="preserve"> i każ</w:t>
            </w:r>
            <w:r w:rsidRPr="00A33B9F">
              <w:rPr>
                <w:rFonts w:ascii="Times New Roman" w:hAnsi="Times New Roman"/>
                <w:b/>
                <w:noProof/>
                <w:color w:val="000000"/>
                <w:sz w:val="18"/>
              </w:rPr>
              <w:t>dej wartości docelowej</w:t>
            </w:r>
          </w:p>
        </w:tc>
      </w:tr>
      <w:tr w:rsidR="00E56162" w:rsidRPr="00A33B9F" w14:paraId="4547436C" w14:textId="77777777" w:rsidTr="00AD0FC1">
        <w:trPr>
          <w:trHeight w:val="1013"/>
          <w:tblHeader/>
          <w:jc w:val="center"/>
        </w:trPr>
        <w:tc>
          <w:tcPr>
            <w:tcW w:w="809" w:type="dxa"/>
            <w:vMerge/>
            <w:tcBorders>
              <w:top w:val="single" w:sz="4" w:space="0" w:color="auto"/>
              <w:left w:val="single" w:sz="4" w:space="0" w:color="auto"/>
              <w:bottom w:val="single" w:sz="4" w:space="0" w:color="auto"/>
              <w:right w:val="single" w:sz="4" w:space="0" w:color="auto"/>
            </w:tcBorders>
            <w:hideMark/>
          </w:tcPr>
          <w:p w14:paraId="44107058" w14:textId="77777777" w:rsidR="00E56162" w:rsidRPr="00A33B9F" w:rsidRDefault="00E56162">
            <w:pPr>
              <w:spacing w:after="0" w:line="240" w:lineRule="auto"/>
              <w:jc w:val="center"/>
              <w:rPr>
                <w:rFonts w:ascii="Times New Roman" w:eastAsia="Times New Roman" w:hAnsi="Times New Roman" w:cs="Times New Roman"/>
                <w:b/>
                <w:noProof/>
                <w:sz w:val="18"/>
                <w:szCs w:val="18"/>
                <w:lang w:eastAsia="en-GB"/>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45B2B3F7" w14:textId="77777777" w:rsidR="00E56162" w:rsidRPr="00A33B9F" w:rsidRDefault="00E56162">
            <w:pPr>
              <w:spacing w:after="0" w:line="240" w:lineRule="auto"/>
              <w:rPr>
                <w:rFonts w:ascii="Times New Roman" w:eastAsia="Times New Roman" w:hAnsi="Times New Roman" w:cs="Times New Roman"/>
                <w:b/>
                <w:bCs/>
                <w:noProof/>
                <w:sz w:val="24"/>
                <w:szCs w:val="24"/>
                <w:lang w:eastAsia="en-GB"/>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AED5F5" w14:textId="77777777" w:rsidR="00E56162" w:rsidRPr="00A33B9F" w:rsidRDefault="00E56162">
            <w:pPr>
              <w:spacing w:after="0" w:line="240" w:lineRule="auto"/>
              <w:rPr>
                <w:rFonts w:ascii="Times New Roman" w:eastAsia="Times New Roman" w:hAnsi="Times New Roman" w:cs="Times New Roman"/>
                <w:b/>
                <w:bCs/>
                <w:noProof/>
                <w:sz w:val="24"/>
                <w:szCs w:val="24"/>
                <w:lang w:eastAsia="en-GB"/>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1552FFEF" w14:textId="77777777" w:rsidR="00E56162" w:rsidRPr="00A33B9F" w:rsidRDefault="00E56162">
            <w:pPr>
              <w:spacing w:after="0" w:line="240" w:lineRule="auto"/>
              <w:rPr>
                <w:rFonts w:ascii="Times New Roman" w:eastAsia="Times New Roman" w:hAnsi="Times New Roman" w:cs="Times New Roman"/>
                <w:b/>
                <w:bCs/>
                <w:noProof/>
                <w:sz w:val="24"/>
                <w:szCs w:val="24"/>
                <w:lang w:eastAsia="en-GB"/>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2C3124E7" w14:textId="77777777" w:rsidR="00E56162" w:rsidRPr="00A33B9F" w:rsidRDefault="00E56162">
            <w:pPr>
              <w:spacing w:after="0" w:line="240" w:lineRule="auto"/>
              <w:rPr>
                <w:rFonts w:ascii="Times New Roman" w:eastAsia="Times New Roman" w:hAnsi="Times New Roman" w:cs="Times New Roman"/>
                <w:b/>
                <w:bCs/>
                <w:noProof/>
                <w:sz w:val="24"/>
                <w:szCs w:val="24"/>
                <w:lang w:eastAsia="en-GB"/>
              </w:rPr>
            </w:pPr>
          </w:p>
        </w:tc>
        <w:tc>
          <w:tcPr>
            <w:tcW w:w="1076" w:type="dxa"/>
            <w:tcBorders>
              <w:top w:val="nil"/>
              <w:left w:val="single" w:sz="4" w:space="0" w:color="auto"/>
              <w:bottom w:val="single" w:sz="4" w:space="0" w:color="auto"/>
              <w:right w:val="single" w:sz="4" w:space="0" w:color="auto"/>
            </w:tcBorders>
            <w:shd w:val="clear" w:color="auto" w:fill="BDD7EE"/>
            <w:vAlign w:val="center"/>
            <w:hideMark/>
          </w:tcPr>
          <w:p w14:paraId="74618AC8" w14:textId="77777777" w:rsidR="00E56162" w:rsidRPr="00A33B9F" w:rsidRDefault="00E5616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Jednostka miary</w:t>
            </w:r>
          </w:p>
        </w:tc>
        <w:tc>
          <w:tcPr>
            <w:tcW w:w="943" w:type="dxa"/>
            <w:tcBorders>
              <w:top w:val="nil"/>
              <w:left w:val="nil"/>
              <w:bottom w:val="single" w:sz="4" w:space="0" w:color="auto"/>
              <w:right w:val="single" w:sz="4" w:space="0" w:color="auto"/>
            </w:tcBorders>
            <w:shd w:val="clear" w:color="auto" w:fill="BDD7EE"/>
            <w:vAlign w:val="center"/>
            <w:hideMark/>
          </w:tcPr>
          <w:p w14:paraId="5D1604D4" w14:textId="77777777" w:rsidR="00E56162" w:rsidRPr="00A33B9F" w:rsidRDefault="00E5616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Poziom bazowy</w:t>
            </w:r>
          </w:p>
        </w:tc>
        <w:tc>
          <w:tcPr>
            <w:tcW w:w="678" w:type="dxa"/>
            <w:tcBorders>
              <w:top w:val="nil"/>
              <w:left w:val="nil"/>
              <w:bottom w:val="single" w:sz="4" w:space="0" w:color="auto"/>
              <w:right w:val="single" w:sz="4" w:space="0" w:color="auto"/>
            </w:tcBorders>
            <w:shd w:val="clear" w:color="auto" w:fill="BDD7EE"/>
            <w:vAlign w:val="center"/>
            <w:hideMark/>
          </w:tcPr>
          <w:p w14:paraId="30C421B1" w14:textId="77777777" w:rsidR="00E56162" w:rsidRPr="00A33B9F" w:rsidRDefault="00E5616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Cel</w:t>
            </w:r>
          </w:p>
        </w:tc>
        <w:tc>
          <w:tcPr>
            <w:tcW w:w="878" w:type="dxa"/>
            <w:tcBorders>
              <w:top w:val="nil"/>
              <w:left w:val="nil"/>
              <w:bottom w:val="single" w:sz="4" w:space="0" w:color="auto"/>
              <w:right w:val="single" w:sz="4" w:space="0" w:color="auto"/>
            </w:tcBorders>
            <w:shd w:val="clear" w:color="auto" w:fill="BDD7EE"/>
            <w:vAlign w:val="center"/>
            <w:hideMark/>
          </w:tcPr>
          <w:p w14:paraId="6F4D539F" w14:textId="77777777" w:rsidR="00E56162" w:rsidRPr="00A33B9F" w:rsidRDefault="00E5616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Kwartał</w:t>
            </w:r>
          </w:p>
        </w:tc>
        <w:tc>
          <w:tcPr>
            <w:tcW w:w="884" w:type="dxa"/>
            <w:tcBorders>
              <w:top w:val="nil"/>
              <w:left w:val="nil"/>
              <w:bottom w:val="single" w:sz="4" w:space="0" w:color="auto"/>
              <w:right w:val="single" w:sz="4" w:space="0" w:color="auto"/>
            </w:tcBorders>
            <w:shd w:val="clear" w:color="auto" w:fill="BDD7EE"/>
            <w:vAlign w:val="center"/>
            <w:hideMark/>
          </w:tcPr>
          <w:p w14:paraId="048DF02E" w14:textId="77777777" w:rsidR="00E56162" w:rsidRPr="00A33B9F" w:rsidRDefault="00E56162">
            <w:pPr>
              <w:spacing w:after="0" w:line="240" w:lineRule="auto"/>
              <w:jc w:val="center"/>
              <w:rPr>
                <w:rFonts w:ascii="Times New Roman" w:eastAsia="Times New Roman" w:hAnsi="Times New Roman" w:cs="Times New Roman"/>
                <w:b/>
                <w:noProof/>
                <w:sz w:val="18"/>
                <w:szCs w:val="18"/>
              </w:rPr>
            </w:pPr>
            <w:r w:rsidRPr="00A33B9F">
              <w:rPr>
                <w:rFonts w:ascii="Times New Roman" w:hAnsi="Times New Roman"/>
                <w:b/>
                <w:noProof/>
                <w:sz w:val="18"/>
              </w:rPr>
              <w:t>Rok</w:t>
            </w:r>
          </w:p>
        </w:tc>
        <w:tc>
          <w:tcPr>
            <w:tcW w:w="4146" w:type="dxa"/>
            <w:vMerge/>
            <w:tcBorders>
              <w:top w:val="single" w:sz="4" w:space="0" w:color="auto"/>
              <w:bottom w:val="single" w:sz="4" w:space="0" w:color="auto"/>
              <w:right w:val="single" w:sz="4" w:space="0" w:color="auto"/>
            </w:tcBorders>
            <w:vAlign w:val="center"/>
            <w:hideMark/>
          </w:tcPr>
          <w:p w14:paraId="5443BA19" w14:textId="77777777" w:rsidR="00E56162" w:rsidRPr="00A33B9F" w:rsidRDefault="00E56162">
            <w:pPr>
              <w:spacing w:after="0" w:line="240" w:lineRule="auto"/>
              <w:rPr>
                <w:rFonts w:ascii="Times New Roman" w:eastAsia="Times New Roman" w:hAnsi="Times New Roman" w:cs="Times New Roman"/>
                <w:b/>
                <w:bCs/>
                <w:noProof/>
                <w:sz w:val="24"/>
                <w:szCs w:val="24"/>
                <w:lang w:eastAsia="en-GB"/>
              </w:rPr>
            </w:pPr>
          </w:p>
        </w:tc>
      </w:tr>
      <w:tr w:rsidR="00E56162" w:rsidRPr="00A33B9F" w14:paraId="79A7AC6F" w14:textId="77777777" w:rsidTr="00AD0FC1">
        <w:trPr>
          <w:trHeight w:val="309"/>
          <w:jc w:val="center"/>
        </w:trPr>
        <w:tc>
          <w:tcPr>
            <w:tcW w:w="809" w:type="dxa"/>
            <w:tcBorders>
              <w:top w:val="single" w:sz="4" w:space="0" w:color="auto"/>
              <w:left w:val="single" w:sz="4" w:space="0" w:color="auto"/>
              <w:bottom w:val="single" w:sz="4" w:space="0" w:color="auto"/>
              <w:right w:val="single" w:sz="4" w:space="0" w:color="auto"/>
            </w:tcBorders>
            <w:shd w:val="clear" w:color="auto" w:fill="C6EFCE"/>
            <w:noWrap/>
          </w:tcPr>
          <w:p w14:paraId="33722662" w14:textId="427D8C3F" w:rsidR="00E56162" w:rsidRPr="00A33B9F" w:rsidRDefault="00A402D8" w:rsidP="00E56162">
            <w:pP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G20L</w:t>
            </w:r>
          </w:p>
        </w:tc>
        <w:tc>
          <w:tcPr>
            <w:tcW w:w="1474" w:type="dxa"/>
            <w:tcBorders>
              <w:top w:val="single" w:sz="4" w:space="0" w:color="auto"/>
              <w:left w:val="nil"/>
              <w:bottom w:val="single" w:sz="4" w:space="0" w:color="auto"/>
              <w:right w:val="single" w:sz="4" w:space="0" w:color="auto"/>
            </w:tcBorders>
            <w:shd w:val="clear" w:color="auto" w:fill="C6EFCE"/>
            <w:noWrap/>
          </w:tcPr>
          <w:p w14:paraId="3D375A83" w14:textId="31745D86" w:rsidR="00E56162" w:rsidRPr="00A33B9F" w:rsidRDefault="00E56162" w:rsidP="00E56162">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G3.2.1 Budowa infrastruktury gazu ziemnego</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 xml:space="preserve">u zapewnienia bezpieczeństwa energetycznego </w:t>
            </w:r>
          </w:p>
        </w:tc>
        <w:tc>
          <w:tcPr>
            <w:tcW w:w="1077" w:type="dxa"/>
            <w:tcBorders>
              <w:top w:val="single" w:sz="4" w:space="0" w:color="auto"/>
              <w:left w:val="nil"/>
              <w:bottom w:val="single" w:sz="4" w:space="0" w:color="auto"/>
              <w:right w:val="single" w:sz="4" w:space="0" w:color="auto"/>
            </w:tcBorders>
            <w:shd w:val="clear" w:color="auto" w:fill="C6EFCE"/>
            <w:noWrap/>
          </w:tcPr>
          <w:p w14:paraId="0F98366C" w14:textId="6707CDFF" w:rsidR="00E56162" w:rsidRPr="00A33B9F" w:rsidRDefault="00E56162" w:rsidP="00E56162">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 xml:space="preserve">Kamień milowy </w:t>
            </w:r>
          </w:p>
        </w:tc>
        <w:tc>
          <w:tcPr>
            <w:tcW w:w="1874" w:type="dxa"/>
            <w:tcBorders>
              <w:top w:val="single" w:sz="4" w:space="0" w:color="auto"/>
              <w:left w:val="nil"/>
              <w:bottom w:val="single" w:sz="4" w:space="0" w:color="auto"/>
              <w:right w:val="single" w:sz="4" w:space="0" w:color="auto"/>
            </w:tcBorders>
            <w:shd w:val="clear" w:color="auto" w:fill="C6EFCE"/>
            <w:noWrap/>
          </w:tcPr>
          <w:p w14:paraId="5D6C971D" w14:textId="19D75728" w:rsidR="00E56162" w:rsidRPr="00A33B9F" w:rsidRDefault="00E56162" w:rsidP="00E56162">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Wydanie pozwoleń na budowę</w:t>
            </w:r>
          </w:p>
        </w:tc>
        <w:tc>
          <w:tcPr>
            <w:tcW w:w="1606" w:type="dxa"/>
            <w:tcBorders>
              <w:top w:val="single" w:sz="4" w:space="0" w:color="auto"/>
              <w:left w:val="nil"/>
              <w:bottom w:val="single" w:sz="4" w:space="0" w:color="auto"/>
              <w:right w:val="single" w:sz="4" w:space="0" w:color="auto"/>
            </w:tcBorders>
            <w:shd w:val="clear" w:color="auto" w:fill="C6EFCE"/>
            <w:noWrap/>
          </w:tcPr>
          <w:p w14:paraId="29EE111F" w14:textId="07DBCF60" w:rsidR="00E56162" w:rsidRPr="00A33B9F" w:rsidRDefault="00A402D8" w:rsidP="00E56162">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Wydanie pozwoleń na budowę</w:t>
            </w:r>
          </w:p>
        </w:tc>
        <w:tc>
          <w:tcPr>
            <w:tcW w:w="1076" w:type="dxa"/>
            <w:tcBorders>
              <w:top w:val="nil"/>
              <w:left w:val="nil"/>
              <w:bottom w:val="single" w:sz="4" w:space="0" w:color="auto"/>
              <w:right w:val="single" w:sz="4" w:space="0" w:color="auto"/>
            </w:tcBorders>
            <w:shd w:val="clear" w:color="auto" w:fill="C6EFCE"/>
            <w:noWrap/>
          </w:tcPr>
          <w:p w14:paraId="2D13A715" w14:textId="77777777" w:rsidR="00E56162" w:rsidRPr="00A33B9F" w:rsidRDefault="00E56162" w:rsidP="00E56162">
            <w:pPr>
              <w:spacing w:after="0" w:line="240" w:lineRule="auto"/>
              <w:rPr>
                <w:rFonts w:ascii="Times New Roman" w:eastAsia="Times New Roman" w:hAnsi="Times New Roman" w:cs="Times New Roman"/>
                <w:noProof/>
                <w:color w:val="000000" w:themeColor="text1"/>
                <w:sz w:val="18"/>
                <w:szCs w:val="18"/>
              </w:rPr>
            </w:pPr>
          </w:p>
        </w:tc>
        <w:tc>
          <w:tcPr>
            <w:tcW w:w="943" w:type="dxa"/>
            <w:tcBorders>
              <w:top w:val="nil"/>
              <w:left w:val="nil"/>
              <w:bottom w:val="single" w:sz="4" w:space="0" w:color="auto"/>
              <w:right w:val="single" w:sz="4" w:space="0" w:color="auto"/>
            </w:tcBorders>
            <w:shd w:val="clear" w:color="auto" w:fill="C6EFCE"/>
            <w:noWrap/>
          </w:tcPr>
          <w:p w14:paraId="65FD9BC8" w14:textId="77777777" w:rsidR="00E56162" w:rsidRPr="00A33B9F" w:rsidRDefault="00E56162" w:rsidP="00E56162">
            <w:pPr>
              <w:spacing w:after="0" w:line="240" w:lineRule="auto"/>
              <w:jc w:val="center"/>
              <w:rPr>
                <w:rFonts w:ascii="Times New Roman" w:eastAsia="Times New Roman" w:hAnsi="Times New Roman" w:cs="Times New Roman"/>
                <w:noProof/>
                <w:color w:val="000000" w:themeColor="text1"/>
                <w:sz w:val="18"/>
                <w:szCs w:val="18"/>
              </w:rPr>
            </w:pPr>
          </w:p>
        </w:tc>
        <w:tc>
          <w:tcPr>
            <w:tcW w:w="678" w:type="dxa"/>
            <w:tcBorders>
              <w:top w:val="nil"/>
              <w:left w:val="nil"/>
              <w:bottom w:val="single" w:sz="4" w:space="0" w:color="auto"/>
              <w:right w:val="single" w:sz="4" w:space="0" w:color="auto"/>
            </w:tcBorders>
            <w:shd w:val="clear" w:color="auto" w:fill="C6EFCE"/>
            <w:noWrap/>
          </w:tcPr>
          <w:p w14:paraId="4D4E289D" w14:textId="395F9C3C" w:rsidR="00E56162" w:rsidRPr="00A33B9F" w:rsidRDefault="00E56162" w:rsidP="00E56162">
            <w:pPr>
              <w:spacing w:after="0" w:line="240" w:lineRule="auto"/>
              <w:jc w:val="center"/>
              <w:rPr>
                <w:rFonts w:ascii="Times New Roman" w:eastAsia="Times New Roman" w:hAnsi="Times New Roman" w:cs="Times New Roman"/>
                <w:noProof/>
                <w:color w:val="000000" w:themeColor="text1"/>
                <w:sz w:val="18"/>
                <w:szCs w:val="18"/>
              </w:rPr>
            </w:pPr>
          </w:p>
        </w:tc>
        <w:tc>
          <w:tcPr>
            <w:tcW w:w="878" w:type="dxa"/>
            <w:tcBorders>
              <w:top w:val="nil"/>
              <w:left w:val="nil"/>
              <w:bottom w:val="single" w:sz="4" w:space="0" w:color="auto"/>
              <w:right w:val="single" w:sz="4" w:space="0" w:color="auto"/>
            </w:tcBorders>
            <w:shd w:val="clear" w:color="auto" w:fill="C6EFCE"/>
            <w:noWrap/>
          </w:tcPr>
          <w:p w14:paraId="4A78EA86" w14:textId="4B7C730A" w:rsidR="00E56162" w:rsidRPr="00A33B9F" w:rsidRDefault="0009515E" w:rsidP="00E56162">
            <w:pP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II kw.</w:t>
            </w:r>
          </w:p>
        </w:tc>
        <w:tc>
          <w:tcPr>
            <w:tcW w:w="884" w:type="dxa"/>
            <w:tcBorders>
              <w:top w:val="nil"/>
              <w:left w:val="nil"/>
              <w:bottom w:val="single" w:sz="4" w:space="0" w:color="auto"/>
              <w:right w:val="single" w:sz="4" w:space="0" w:color="auto"/>
            </w:tcBorders>
            <w:shd w:val="clear" w:color="auto" w:fill="C6EFCE"/>
            <w:noWrap/>
          </w:tcPr>
          <w:p w14:paraId="1BC9E834" w14:textId="27CA33C9" w:rsidR="00E56162" w:rsidRPr="00A33B9F" w:rsidRDefault="0009515E" w:rsidP="00E56162">
            <w:pPr>
              <w:spacing w:after="0" w:line="240" w:lineRule="auto"/>
              <w:jc w:val="center"/>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2024</w:t>
            </w:r>
          </w:p>
        </w:tc>
        <w:tc>
          <w:tcPr>
            <w:tcW w:w="4146" w:type="dxa"/>
            <w:tcBorders>
              <w:top w:val="single" w:sz="4" w:space="0" w:color="auto"/>
              <w:left w:val="nil"/>
              <w:bottom w:val="single" w:sz="4" w:space="0" w:color="auto"/>
              <w:right w:val="single" w:sz="4" w:space="0" w:color="auto"/>
            </w:tcBorders>
            <w:shd w:val="clear" w:color="auto" w:fill="C6EFCE"/>
            <w:noWrap/>
          </w:tcPr>
          <w:p w14:paraId="2BDDDE58" w14:textId="460C1590" w:rsidR="00E56162" w:rsidRPr="00A33B9F" w:rsidRDefault="00A402D8" w:rsidP="00E56162">
            <w:pPr>
              <w:spacing w:after="0" w:line="240" w:lineRule="auto"/>
              <w:rPr>
                <w:rFonts w:ascii="Times New Roman" w:eastAsia="Times New Roman" w:hAnsi="Times New Roman" w:cs="Times New Roman"/>
                <w:noProof/>
                <w:color w:val="000000" w:themeColor="text1"/>
                <w:sz w:val="18"/>
                <w:szCs w:val="18"/>
              </w:rPr>
            </w:pPr>
            <w:r w:rsidRPr="00A33B9F">
              <w:rPr>
                <w:rFonts w:ascii="Times New Roman" w:hAnsi="Times New Roman"/>
                <w:noProof/>
                <w:color w:val="000000" w:themeColor="text1"/>
                <w:sz w:val="18"/>
              </w:rPr>
              <w:t>Wydane zostaną pozwolenia na budowę gazociągu</w:t>
            </w:r>
            <w:r w:rsidR="00A33B9F" w:rsidRPr="00A33B9F">
              <w:rPr>
                <w:rFonts w:ascii="Times New Roman" w:hAnsi="Times New Roman"/>
                <w:noProof/>
                <w:color w:val="000000" w:themeColor="text1"/>
                <w:sz w:val="18"/>
              </w:rPr>
              <w:t xml:space="preserve"> o dłu</w:t>
            </w:r>
            <w:r w:rsidRPr="00A33B9F">
              <w:rPr>
                <w:rFonts w:ascii="Times New Roman" w:hAnsi="Times New Roman"/>
                <w:noProof/>
                <w:color w:val="000000" w:themeColor="text1"/>
                <w:sz w:val="18"/>
              </w:rPr>
              <w:t>gości 250 km między Gdańskiem</w:t>
            </w:r>
            <w:r w:rsidR="00A33B9F" w:rsidRPr="00A33B9F">
              <w:rPr>
                <w:rFonts w:ascii="Times New Roman" w:hAnsi="Times New Roman"/>
                <w:noProof/>
                <w:color w:val="000000" w:themeColor="text1"/>
                <w:sz w:val="18"/>
              </w:rPr>
              <w:t xml:space="preserve"> a Gus</w:t>
            </w:r>
            <w:r w:rsidRPr="00A33B9F">
              <w:rPr>
                <w:rFonts w:ascii="Times New Roman" w:hAnsi="Times New Roman"/>
                <w:noProof/>
                <w:color w:val="000000" w:themeColor="text1"/>
                <w:sz w:val="18"/>
              </w:rPr>
              <w:t>torzynem.</w:t>
            </w:r>
          </w:p>
        </w:tc>
      </w:tr>
      <w:tr w:rsidR="00E56162" w:rsidRPr="00A33B9F" w14:paraId="360C44E3"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3166D580" w14:textId="1BD30C3C" w:rsidR="00E56162" w:rsidRPr="00A33B9F" w:rsidRDefault="00F72A6F" w:rsidP="00E5616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G21L</w:t>
            </w:r>
            <w:r w:rsidRPr="00A33B9F">
              <w:rPr>
                <w:rFonts w:ascii="Times New Roman" w:hAnsi="Times New Roman"/>
                <w:noProof/>
                <w:color w:val="0078D4"/>
                <w:sz w:val="18"/>
              </w:rPr>
              <w:t xml:space="preserve"> </w:t>
            </w:r>
          </w:p>
        </w:tc>
        <w:tc>
          <w:tcPr>
            <w:tcW w:w="1474" w:type="dxa"/>
            <w:tcBorders>
              <w:top w:val="nil"/>
              <w:left w:val="nil"/>
              <w:bottom w:val="single" w:sz="4" w:space="0" w:color="auto"/>
              <w:right w:val="single" w:sz="4" w:space="0" w:color="auto"/>
            </w:tcBorders>
            <w:shd w:val="clear" w:color="auto" w:fill="C6EFCE"/>
            <w:noWrap/>
          </w:tcPr>
          <w:p w14:paraId="5119619F" w14:textId="111E07FA" w:rsidR="00E56162" w:rsidRPr="00A33B9F" w:rsidRDefault="00E56162" w:rsidP="00E56162">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 G3.2.1 Budowa infrastruktury gazu ziemnego</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bezpieczeństwa energetycznego</w:t>
            </w:r>
            <w:r w:rsidRPr="00A33B9F">
              <w:rPr>
                <w:rFonts w:ascii="Times New Roman" w:hAnsi="Times New Roman"/>
                <w:noProof/>
                <w:color w:val="0078D4"/>
                <w:sz w:val="18"/>
              </w:rPr>
              <w:t xml:space="preserve"> </w:t>
            </w:r>
          </w:p>
        </w:tc>
        <w:tc>
          <w:tcPr>
            <w:tcW w:w="1077" w:type="dxa"/>
            <w:tcBorders>
              <w:top w:val="nil"/>
              <w:left w:val="nil"/>
              <w:bottom w:val="single" w:sz="4" w:space="0" w:color="auto"/>
              <w:right w:val="single" w:sz="4" w:space="0" w:color="auto"/>
            </w:tcBorders>
            <w:shd w:val="clear" w:color="auto" w:fill="C6EFCE"/>
            <w:noWrap/>
          </w:tcPr>
          <w:p w14:paraId="55C2ED99" w14:textId="315A47D2" w:rsidR="00E56162" w:rsidRPr="00A33B9F" w:rsidRDefault="00E56162" w:rsidP="00E56162">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Kamień milowy</w:t>
            </w:r>
            <w:r w:rsidRPr="00A33B9F">
              <w:rPr>
                <w:rFonts w:ascii="Times New Roman" w:hAnsi="Times New Roman"/>
                <w:noProof/>
                <w:color w:val="0078D4"/>
                <w:sz w:val="18"/>
              </w:rPr>
              <w:t xml:space="preserve"> </w:t>
            </w:r>
          </w:p>
        </w:tc>
        <w:tc>
          <w:tcPr>
            <w:tcW w:w="1874" w:type="dxa"/>
            <w:tcBorders>
              <w:top w:val="nil"/>
              <w:left w:val="nil"/>
              <w:bottom w:val="single" w:sz="4" w:space="0" w:color="auto"/>
              <w:right w:val="single" w:sz="4" w:space="0" w:color="auto"/>
            </w:tcBorders>
            <w:shd w:val="clear" w:color="auto" w:fill="C6EFCE"/>
            <w:noWrap/>
          </w:tcPr>
          <w:p w14:paraId="3221E272" w14:textId="02765809" w:rsidR="00E56162" w:rsidRPr="00A33B9F" w:rsidRDefault="00B90EE6" w:rsidP="00E56162">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Wybór wykonawcy</w:t>
            </w:r>
            <w:r w:rsidRPr="00A33B9F">
              <w:rPr>
                <w:rFonts w:ascii="Times New Roman" w:hAnsi="Times New Roman"/>
                <w:noProof/>
                <w:color w:val="0078D4"/>
                <w:sz w:val="18"/>
              </w:rPr>
              <w:t xml:space="preserve"> </w:t>
            </w:r>
          </w:p>
        </w:tc>
        <w:tc>
          <w:tcPr>
            <w:tcW w:w="1606" w:type="dxa"/>
            <w:tcBorders>
              <w:top w:val="nil"/>
              <w:left w:val="nil"/>
              <w:bottom w:val="single" w:sz="4" w:space="0" w:color="auto"/>
              <w:right w:val="single" w:sz="4" w:space="0" w:color="auto"/>
            </w:tcBorders>
            <w:shd w:val="clear" w:color="auto" w:fill="C6EFCE"/>
            <w:noWrap/>
          </w:tcPr>
          <w:p w14:paraId="58F8FD6A" w14:textId="3BB45660" w:rsidR="00E56162" w:rsidRPr="00A33B9F" w:rsidRDefault="00E56162" w:rsidP="00E56162">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Powiadomienie</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ieleniu zamówienia</w:t>
            </w:r>
            <w:r w:rsidRPr="00A33B9F">
              <w:rPr>
                <w:rFonts w:ascii="Times New Roman" w:hAnsi="Times New Roman"/>
                <w:noProof/>
                <w:color w:val="0078D4"/>
                <w:sz w:val="18"/>
              </w:rPr>
              <w:t xml:space="preserve"> </w:t>
            </w:r>
          </w:p>
        </w:tc>
        <w:tc>
          <w:tcPr>
            <w:tcW w:w="1076" w:type="dxa"/>
            <w:tcBorders>
              <w:top w:val="nil"/>
              <w:left w:val="nil"/>
              <w:bottom w:val="single" w:sz="4" w:space="0" w:color="auto"/>
              <w:right w:val="single" w:sz="4" w:space="0" w:color="auto"/>
            </w:tcBorders>
            <w:shd w:val="clear" w:color="auto" w:fill="C6EFCE"/>
            <w:noWrap/>
          </w:tcPr>
          <w:p w14:paraId="631EA8B7" w14:textId="636CEF55" w:rsidR="00E56162" w:rsidRPr="00A33B9F" w:rsidRDefault="00E56162" w:rsidP="00E56162">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 xml:space="preserve"> </w:t>
            </w:r>
          </w:p>
        </w:tc>
        <w:tc>
          <w:tcPr>
            <w:tcW w:w="943" w:type="dxa"/>
            <w:tcBorders>
              <w:top w:val="nil"/>
              <w:left w:val="nil"/>
              <w:bottom w:val="single" w:sz="4" w:space="0" w:color="auto"/>
              <w:right w:val="single" w:sz="4" w:space="0" w:color="auto"/>
            </w:tcBorders>
            <w:shd w:val="clear" w:color="auto" w:fill="C6EFCE"/>
            <w:noWrap/>
          </w:tcPr>
          <w:p w14:paraId="2A3B7330" w14:textId="652668E4" w:rsidR="00E56162" w:rsidRPr="00A33B9F" w:rsidRDefault="00E56162" w:rsidP="00E5616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 xml:space="preserve"> </w:t>
            </w:r>
          </w:p>
        </w:tc>
        <w:tc>
          <w:tcPr>
            <w:tcW w:w="678" w:type="dxa"/>
            <w:tcBorders>
              <w:top w:val="nil"/>
              <w:left w:val="nil"/>
              <w:bottom w:val="single" w:sz="4" w:space="0" w:color="auto"/>
              <w:right w:val="single" w:sz="4" w:space="0" w:color="auto"/>
            </w:tcBorders>
            <w:shd w:val="clear" w:color="auto" w:fill="C6EFCE"/>
            <w:noWrap/>
          </w:tcPr>
          <w:p w14:paraId="45BEB1D5" w14:textId="0D92EAF1" w:rsidR="00E56162" w:rsidRPr="00A33B9F" w:rsidRDefault="00E56162" w:rsidP="00E5616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 xml:space="preserve"> </w:t>
            </w:r>
          </w:p>
        </w:tc>
        <w:tc>
          <w:tcPr>
            <w:tcW w:w="878" w:type="dxa"/>
            <w:tcBorders>
              <w:top w:val="nil"/>
              <w:left w:val="nil"/>
              <w:bottom w:val="single" w:sz="4" w:space="0" w:color="auto"/>
              <w:right w:val="single" w:sz="4" w:space="0" w:color="auto"/>
            </w:tcBorders>
            <w:shd w:val="clear" w:color="auto" w:fill="C6EFCE"/>
            <w:noWrap/>
          </w:tcPr>
          <w:p w14:paraId="3FB91777" w14:textId="287164E8" w:rsidR="00E56162" w:rsidRPr="00A33B9F" w:rsidRDefault="00E56162" w:rsidP="00E5616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I kw.</w:t>
            </w:r>
            <w:r w:rsidR="00C3621A" w:rsidRPr="00A33B9F">
              <w:rPr>
                <w:rFonts w:ascii="Times New Roman" w:hAnsi="Times New Roman"/>
                <w:noProof/>
                <w:color w:val="000000" w:themeColor="text1"/>
                <w:sz w:val="18"/>
              </w:rPr>
              <w:t xml:space="preserve"> </w:t>
            </w:r>
          </w:p>
        </w:tc>
        <w:tc>
          <w:tcPr>
            <w:tcW w:w="884" w:type="dxa"/>
            <w:tcBorders>
              <w:top w:val="nil"/>
              <w:left w:val="nil"/>
              <w:bottom w:val="single" w:sz="4" w:space="0" w:color="auto"/>
              <w:right w:val="single" w:sz="4" w:space="0" w:color="auto"/>
            </w:tcBorders>
            <w:shd w:val="clear" w:color="auto" w:fill="C6EFCE"/>
            <w:noWrap/>
          </w:tcPr>
          <w:p w14:paraId="3AC5F6F7" w14:textId="70E599F6" w:rsidR="00E56162" w:rsidRPr="00A33B9F" w:rsidRDefault="00E56162" w:rsidP="00E56162">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2025</w:t>
            </w:r>
            <w:r w:rsidRPr="00A33B9F">
              <w:rPr>
                <w:rFonts w:ascii="Times New Roman" w:hAnsi="Times New Roman"/>
                <w:noProof/>
                <w:color w:val="0078D4"/>
                <w:sz w:val="18"/>
              </w:rPr>
              <w:t xml:space="preserve"> </w:t>
            </w:r>
          </w:p>
        </w:tc>
        <w:tc>
          <w:tcPr>
            <w:tcW w:w="4146" w:type="dxa"/>
            <w:tcBorders>
              <w:top w:val="nil"/>
              <w:left w:val="nil"/>
              <w:bottom w:val="single" w:sz="4" w:space="0" w:color="auto"/>
              <w:right w:val="single" w:sz="4" w:space="0" w:color="auto"/>
            </w:tcBorders>
            <w:shd w:val="clear" w:color="auto" w:fill="C6EFCE"/>
            <w:noWrap/>
          </w:tcPr>
          <w:p w14:paraId="57A02730" w14:textId="69253FA3" w:rsidR="00E56162" w:rsidRPr="00A33B9F" w:rsidRDefault="00E56162" w:rsidP="00E56162">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Powiadomienie</w:t>
            </w:r>
            <w:r w:rsidR="00A33B9F" w:rsidRPr="00A33B9F">
              <w:rPr>
                <w:rFonts w:ascii="Times New Roman" w:hAnsi="Times New Roman"/>
                <w:noProof/>
                <w:color w:val="000000" w:themeColor="text1"/>
                <w:sz w:val="18"/>
              </w:rPr>
              <w:t xml:space="preserve"> o udz</w:t>
            </w:r>
            <w:r w:rsidRPr="00A33B9F">
              <w:rPr>
                <w:rFonts w:ascii="Times New Roman" w:hAnsi="Times New Roman"/>
                <w:noProof/>
                <w:color w:val="000000" w:themeColor="text1"/>
                <w:sz w:val="18"/>
              </w:rPr>
              <w:t>ieleniu zamówienia na budowę gazociągu Gdańsk–Gustorzyn.</w:t>
            </w:r>
            <w:r w:rsidRPr="00A33B9F">
              <w:rPr>
                <w:rFonts w:ascii="Times New Roman" w:hAnsi="Times New Roman"/>
                <w:noProof/>
                <w:color w:val="0078D4"/>
                <w:sz w:val="18"/>
              </w:rPr>
              <w:t xml:space="preserve"> </w:t>
            </w:r>
          </w:p>
        </w:tc>
      </w:tr>
      <w:tr w:rsidR="00E56162" w:rsidRPr="00A33B9F" w14:paraId="2C6ED650"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0AD72A79" w14:textId="0A8914D8" w:rsidR="00E56162" w:rsidRPr="00A33B9F" w:rsidRDefault="00A402D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G22L</w:t>
            </w:r>
            <w:r w:rsidRPr="00A33B9F">
              <w:rPr>
                <w:rFonts w:ascii="Times New Roman" w:hAnsi="Times New Roman"/>
                <w:noProof/>
                <w:color w:val="0078D4"/>
                <w:sz w:val="18"/>
              </w:rPr>
              <w:t xml:space="preserve"> </w:t>
            </w:r>
          </w:p>
        </w:tc>
        <w:tc>
          <w:tcPr>
            <w:tcW w:w="1474" w:type="dxa"/>
            <w:tcBorders>
              <w:top w:val="nil"/>
              <w:left w:val="nil"/>
              <w:bottom w:val="single" w:sz="4" w:space="0" w:color="auto"/>
              <w:right w:val="single" w:sz="4" w:space="0" w:color="auto"/>
            </w:tcBorders>
            <w:shd w:val="clear" w:color="auto" w:fill="C6EFCE"/>
            <w:noWrap/>
          </w:tcPr>
          <w:p w14:paraId="7B8523A5" w14:textId="132464EE" w:rsidR="00E56162" w:rsidRPr="00A33B9F" w:rsidRDefault="00A402D8">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 G3.2.1 Budowa infrastruktury gazu ziemnego</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bezpieczeństwa energetycznego</w:t>
            </w:r>
            <w:r w:rsidRPr="00A33B9F">
              <w:rPr>
                <w:rFonts w:ascii="Times New Roman" w:hAnsi="Times New Roman"/>
                <w:noProof/>
                <w:color w:val="0078D4"/>
                <w:sz w:val="18"/>
              </w:rPr>
              <w:t xml:space="preserve"> </w:t>
            </w:r>
          </w:p>
        </w:tc>
        <w:tc>
          <w:tcPr>
            <w:tcW w:w="1077" w:type="dxa"/>
            <w:tcBorders>
              <w:top w:val="nil"/>
              <w:left w:val="nil"/>
              <w:bottom w:val="single" w:sz="4" w:space="0" w:color="auto"/>
              <w:right w:val="single" w:sz="4" w:space="0" w:color="auto"/>
            </w:tcBorders>
            <w:shd w:val="clear" w:color="auto" w:fill="C6EFCE"/>
            <w:noWrap/>
          </w:tcPr>
          <w:p w14:paraId="3DB559EB" w14:textId="05664CAF" w:rsidR="00E56162" w:rsidRPr="00A33B9F" w:rsidRDefault="00A402D8">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Kamień milowy</w:t>
            </w:r>
            <w:r w:rsidRPr="00A33B9F">
              <w:rPr>
                <w:rFonts w:ascii="Times New Roman" w:hAnsi="Times New Roman"/>
                <w:noProof/>
                <w:color w:val="0078D4"/>
                <w:sz w:val="18"/>
              </w:rPr>
              <w:t xml:space="preserve"> </w:t>
            </w:r>
          </w:p>
        </w:tc>
        <w:tc>
          <w:tcPr>
            <w:tcW w:w="1874" w:type="dxa"/>
            <w:tcBorders>
              <w:top w:val="nil"/>
              <w:left w:val="nil"/>
              <w:bottom w:val="single" w:sz="4" w:space="0" w:color="auto"/>
              <w:right w:val="single" w:sz="4" w:space="0" w:color="auto"/>
            </w:tcBorders>
            <w:shd w:val="clear" w:color="auto" w:fill="C6EFCE"/>
            <w:noWrap/>
          </w:tcPr>
          <w:p w14:paraId="71475247" w14:textId="322F69CC" w:rsidR="00E56162" w:rsidRPr="00A33B9F" w:rsidRDefault="00A402D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Rozpoczęcie prac budowlanych</w:t>
            </w:r>
          </w:p>
        </w:tc>
        <w:tc>
          <w:tcPr>
            <w:tcW w:w="1606" w:type="dxa"/>
            <w:tcBorders>
              <w:top w:val="nil"/>
              <w:left w:val="nil"/>
              <w:bottom w:val="single" w:sz="4" w:space="0" w:color="auto"/>
              <w:right w:val="single" w:sz="4" w:space="0" w:color="auto"/>
            </w:tcBorders>
            <w:shd w:val="clear" w:color="auto" w:fill="C6EFCE"/>
            <w:noWrap/>
          </w:tcPr>
          <w:p w14:paraId="582C59B0" w14:textId="68DA6965" w:rsidR="00E56162" w:rsidRPr="00A33B9F" w:rsidRDefault="00035459">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Sprawozdanie</w:t>
            </w:r>
            <w:r w:rsidR="00A33B9F" w:rsidRPr="00A33B9F">
              <w:rPr>
                <w:rFonts w:ascii="Times New Roman" w:hAnsi="Times New Roman"/>
                <w:noProof/>
                <w:sz w:val="18"/>
              </w:rPr>
              <w:t xml:space="preserve"> z pos</w:t>
            </w:r>
            <w:r w:rsidRPr="00A33B9F">
              <w:rPr>
                <w:rFonts w:ascii="Times New Roman" w:hAnsi="Times New Roman"/>
                <w:noProof/>
                <w:sz w:val="18"/>
              </w:rPr>
              <w:t>tępów sporządzone przez właściwe organy,</w:t>
            </w:r>
            <w:r w:rsidR="00A33B9F" w:rsidRPr="00A33B9F">
              <w:rPr>
                <w:rFonts w:ascii="Times New Roman" w:hAnsi="Times New Roman"/>
                <w:noProof/>
                <w:sz w:val="18"/>
              </w:rPr>
              <w:t xml:space="preserve"> w któ</w:t>
            </w:r>
            <w:r w:rsidRPr="00A33B9F">
              <w:rPr>
                <w:rFonts w:ascii="Times New Roman" w:hAnsi="Times New Roman"/>
                <w:noProof/>
                <w:sz w:val="18"/>
              </w:rPr>
              <w:t>rym potwierdzone zostanie rozpoczęcie prac budowlanych</w:t>
            </w:r>
          </w:p>
        </w:tc>
        <w:tc>
          <w:tcPr>
            <w:tcW w:w="1076" w:type="dxa"/>
            <w:tcBorders>
              <w:top w:val="nil"/>
              <w:left w:val="nil"/>
              <w:bottom w:val="single" w:sz="4" w:space="0" w:color="auto"/>
              <w:right w:val="single" w:sz="4" w:space="0" w:color="auto"/>
            </w:tcBorders>
            <w:shd w:val="clear" w:color="auto" w:fill="C6EFCE"/>
            <w:noWrap/>
          </w:tcPr>
          <w:p w14:paraId="3879A45B" w14:textId="77777777" w:rsidR="00E56162" w:rsidRPr="00A33B9F" w:rsidRDefault="00E5616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2DA314B8" w14:textId="5F71FFF9" w:rsidR="00E56162" w:rsidRPr="00A33B9F" w:rsidRDefault="00E5616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645EB2A1" w14:textId="77777777" w:rsidR="00E56162" w:rsidRPr="00A33B9F" w:rsidRDefault="00E5616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1FF7B7E3" w14:textId="47F15B0A" w:rsidR="00E56162" w:rsidRPr="00A33B9F" w:rsidRDefault="54EDD35A">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 kw.</w:t>
            </w:r>
          </w:p>
        </w:tc>
        <w:tc>
          <w:tcPr>
            <w:tcW w:w="884" w:type="dxa"/>
            <w:tcBorders>
              <w:top w:val="nil"/>
              <w:left w:val="nil"/>
              <w:bottom w:val="single" w:sz="4" w:space="0" w:color="auto"/>
              <w:right w:val="single" w:sz="4" w:space="0" w:color="auto"/>
            </w:tcBorders>
            <w:shd w:val="clear" w:color="auto" w:fill="C6EFCE"/>
            <w:noWrap/>
          </w:tcPr>
          <w:p w14:paraId="7D563A6E" w14:textId="4279E61C" w:rsidR="00E56162" w:rsidRPr="00A33B9F" w:rsidRDefault="00A402D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2025</w:t>
            </w:r>
          </w:p>
        </w:tc>
        <w:tc>
          <w:tcPr>
            <w:tcW w:w="4146" w:type="dxa"/>
            <w:tcBorders>
              <w:top w:val="nil"/>
              <w:left w:val="nil"/>
              <w:bottom w:val="single" w:sz="4" w:space="0" w:color="auto"/>
              <w:right w:val="single" w:sz="4" w:space="0" w:color="auto"/>
            </w:tcBorders>
            <w:shd w:val="clear" w:color="auto" w:fill="C6EFCE"/>
            <w:noWrap/>
          </w:tcPr>
          <w:p w14:paraId="700C8C4A" w14:textId="6A6F362F" w:rsidR="00E56162" w:rsidRPr="00A33B9F" w:rsidRDefault="00A402D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Prace budowlane muszą się rozpocząć</w:t>
            </w:r>
            <w:r w:rsidR="00A33B9F" w:rsidRPr="00A33B9F">
              <w:rPr>
                <w:rFonts w:ascii="Times New Roman" w:hAnsi="Times New Roman"/>
                <w:noProof/>
                <w:sz w:val="18"/>
              </w:rPr>
              <w:t xml:space="preserve"> w odn</w:t>
            </w:r>
            <w:r w:rsidRPr="00A33B9F">
              <w:rPr>
                <w:rFonts w:ascii="Times New Roman" w:hAnsi="Times New Roman"/>
                <w:noProof/>
                <w:sz w:val="18"/>
              </w:rPr>
              <w:t>iesieniu do co najmniej jednego odcinka gazociągu.</w:t>
            </w:r>
          </w:p>
        </w:tc>
      </w:tr>
      <w:tr w:rsidR="00E56162" w:rsidRPr="00A33B9F" w14:paraId="1FE63AA3"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A1EA60A" w14:textId="2306D273" w:rsidR="00E56162" w:rsidRPr="00A33B9F" w:rsidRDefault="00A402D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G23L</w:t>
            </w:r>
            <w:r w:rsidRPr="00A33B9F">
              <w:rPr>
                <w:rFonts w:ascii="Times New Roman" w:hAnsi="Times New Roman"/>
                <w:noProof/>
                <w:color w:val="0078D4"/>
                <w:sz w:val="18"/>
              </w:rPr>
              <w:t xml:space="preserve"> </w:t>
            </w:r>
          </w:p>
        </w:tc>
        <w:tc>
          <w:tcPr>
            <w:tcW w:w="1474" w:type="dxa"/>
            <w:tcBorders>
              <w:top w:val="nil"/>
              <w:left w:val="nil"/>
              <w:bottom w:val="single" w:sz="4" w:space="0" w:color="auto"/>
              <w:right w:val="single" w:sz="4" w:space="0" w:color="auto"/>
            </w:tcBorders>
            <w:shd w:val="clear" w:color="auto" w:fill="C6EFCE"/>
            <w:noWrap/>
          </w:tcPr>
          <w:p w14:paraId="24D49125" w14:textId="5FFA8FAD" w:rsidR="00E56162" w:rsidRPr="00A33B9F" w:rsidRDefault="00A402D8">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 G3.2.1 Budowa infrastruktury gazu ziemnego</w:t>
            </w:r>
            <w:r w:rsidR="00A33B9F" w:rsidRPr="00A33B9F">
              <w:rPr>
                <w:rFonts w:ascii="Times New Roman" w:hAnsi="Times New Roman"/>
                <w:noProof/>
                <w:color w:val="000000" w:themeColor="text1"/>
                <w:sz w:val="18"/>
              </w:rPr>
              <w:t xml:space="preserve"> w cel</w:t>
            </w:r>
            <w:r w:rsidRPr="00A33B9F">
              <w:rPr>
                <w:rFonts w:ascii="Times New Roman" w:hAnsi="Times New Roman"/>
                <w:noProof/>
                <w:color w:val="000000" w:themeColor="text1"/>
                <w:sz w:val="18"/>
              </w:rPr>
              <w:t>u zapewnienia bezpieczeństwa energetycznego</w:t>
            </w:r>
            <w:r w:rsidRPr="00A33B9F">
              <w:rPr>
                <w:rFonts w:ascii="Times New Roman" w:hAnsi="Times New Roman"/>
                <w:noProof/>
                <w:color w:val="0078D4"/>
                <w:sz w:val="18"/>
              </w:rPr>
              <w:t xml:space="preserve"> </w:t>
            </w:r>
          </w:p>
        </w:tc>
        <w:tc>
          <w:tcPr>
            <w:tcW w:w="1077" w:type="dxa"/>
            <w:tcBorders>
              <w:top w:val="nil"/>
              <w:left w:val="nil"/>
              <w:bottom w:val="single" w:sz="4" w:space="0" w:color="auto"/>
              <w:right w:val="single" w:sz="4" w:space="0" w:color="auto"/>
            </w:tcBorders>
            <w:shd w:val="clear" w:color="auto" w:fill="C6EFCE"/>
            <w:noWrap/>
          </w:tcPr>
          <w:p w14:paraId="09D1052C" w14:textId="436B4DB3" w:rsidR="00E56162" w:rsidRPr="00A33B9F" w:rsidRDefault="00A402D8">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32C01C76" w14:textId="57C4471D" w:rsidR="00E56162" w:rsidRPr="00A33B9F" w:rsidRDefault="00E11383">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Zakończenie budowy gazociągu</w:t>
            </w:r>
          </w:p>
        </w:tc>
        <w:tc>
          <w:tcPr>
            <w:tcW w:w="1606" w:type="dxa"/>
            <w:tcBorders>
              <w:top w:val="nil"/>
              <w:left w:val="nil"/>
              <w:bottom w:val="single" w:sz="4" w:space="0" w:color="auto"/>
              <w:right w:val="single" w:sz="4" w:space="0" w:color="auto"/>
            </w:tcBorders>
            <w:shd w:val="clear" w:color="auto" w:fill="C6EFCE"/>
            <w:noWrap/>
          </w:tcPr>
          <w:p w14:paraId="0F10AC8B" w14:textId="4A8C03AE" w:rsidR="00E56162" w:rsidRPr="00A33B9F" w:rsidRDefault="0D1BEE3A">
            <w:pPr>
              <w:spacing w:after="0" w:line="240" w:lineRule="auto"/>
              <w:rPr>
                <w:rFonts w:ascii="Times New Roman" w:eastAsia="Times New Roman" w:hAnsi="Times New Roman" w:cs="Times New Roman"/>
                <w:noProof/>
                <w:sz w:val="18"/>
                <w:szCs w:val="18"/>
              </w:rPr>
            </w:pPr>
            <w:r w:rsidRPr="00A33B9F">
              <w:rPr>
                <w:rFonts w:ascii="Times New Roman" w:hAnsi="Times New Roman"/>
                <w:noProof/>
                <w:sz w:val="18"/>
              </w:rPr>
              <w:t>Odbiór techniczny gazociągu</w:t>
            </w:r>
          </w:p>
        </w:tc>
        <w:tc>
          <w:tcPr>
            <w:tcW w:w="1076" w:type="dxa"/>
            <w:tcBorders>
              <w:top w:val="nil"/>
              <w:left w:val="nil"/>
              <w:bottom w:val="single" w:sz="4" w:space="0" w:color="auto"/>
              <w:right w:val="single" w:sz="4" w:space="0" w:color="auto"/>
            </w:tcBorders>
            <w:shd w:val="clear" w:color="auto" w:fill="C6EFCE"/>
            <w:noWrap/>
          </w:tcPr>
          <w:p w14:paraId="0DB80387" w14:textId="77777777" w:rsidR="00E56162" w:rsidRPr="00A33B9F" w:rsidRDefault="00E56162">
            <w:pPr>
              <w:spacing w:after="0"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676BF9E7" w14:textId="77777777" w:rsidR="00E56162" w:rsidRPr="00A33B9F" w:rsidRDefault="00E56162">
            <w:pPr>
              <w:spacing w:after="0"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345F0509" w14:textId="77777777" w:rsidR="00E56162" w:rsidRPr="00A33B9F" w:rsidRDefault="00E56162">
            <w:pPr>
              <w:spacing w:after="0"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3C50F63F" w14:textId="78761761" w:rsidR="00E56162" w:rsidRPr="00A33B9F" w:rsidRDefault="54EDD35A">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III kw.</w:t>
            </w:r>
          </w:p>
        </w:tc>
        <w:tc>
          <w:tcPr>
            <w:tcW w:w="884" w:type="dxa"/>
            <w:tcBorders>
              <w:top w:val="nil"/>
              <w:left w:val="nil"/>
              <w:bottom w:val="single" w:sz="4" w:space="0" w:color="auto"/>
              <w:right w:val="single" w:sz="4" w:space="0" w:color="auto"/>
            </w:tcBorders>
            <w:shd w:val="clear" w:color="auto" w:fill="C6EFCE"/>
            <w:noWrap/>
          </w:tcPr>
          <w:p w14:paraId="0903AFC6" w14:textId="3BC2879D" w:rsidR="00E56162" w:rsidRPr="00A33B9F" w:rsidRDefault="00A402D8">
            <w:pPr>
              <w:spacing w:after="0" w:line="240" w:lineRule="auto"/>
              <w:jc w:val="center"/>
              <w:rPr>
                <w:rFonts w:ascii="Times New Roman" w:eastAsia="Times New Roman" w:hAnsi="Times New Roman" w:cs="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6D7AED15" w14:textId="66A6E8B6" w:rsidR="00E56162" w:rsidRPr="00A33B9F" w:rsidRDefault="00A402D8">
            <w:pPr>
              <w:spacing w:after="0" w:line="240" w:lineRule="auto"/>
              <w:rPr>
                <w:rFonts w:ascii="Times New Roman" w:eastAsia="Times New Roman" w:hAnsi="Times New Roman" w:cs="Times New Roman"/>
                <w:noProof/>
                <w:sz w:val="18"/>
                <w:szCs w:val="18"/>
              </w:rPr>
            </w:pPr>
            <w:r w:rsidRPr="00A33B9F">
              <w:rPr>
                <w:rFonts w:ascii="Times New Roman" w:hAnsi="Times New Roman"/>
                <w:noProof/>
                <w:color w:val="000000" w:themeColor="text1"/>
                <w:sz w:val="18"/>
              </w:rPr>
              <w:t>Gazociąg</w:t>
            </w:r>
            <w:r w:rsidR="00A33B9F" w:rsidRPr="00A33B9F">
              <w:rPr>
                <w:rFonts w:ascii="Times New Roman" w:hAnsi="Times New Roman"/>
                <w:noProof/>
                <w:color w:val="000000" w:themeColor="text1"/>
                <w:sz w:val="18"/>
              </w:rPr>
              <w:t xml:space="preserve"> o dłu</w:t>
            </w:r>
            <w:r w:rsidRPr="00A33B9F">
              <w:rPr>
                <w:rFonts w:ascii="Times New Roman" w:hAnsi="Times New Roman"/>
                <w:noProof/>
                <w:color w:val="000000" w:themeColor="text1"/>
                <w:sz w:val="18"/>
              </w:rPr>
              <w:t>gości co najmniej 250 km między Gdańskiem</w:t>
            </w:r>
            <w:r w:rsidR="00A33B9F" w:rsidRPr="00A33B9F">
              <w:rPr>
                <w:rFonts w:ascii="Times New Roman" w:hAnsi="Times New Roman"/>
                <w:noProof/>
                <w:color w:val="000000" w:themeColor="text1"/>
                <w:sz w:val="18"/>
              </w:rPr>
              <w:t xml:space="preserve"> a Gus</w:t>
            </w:r>
            <w:r w:rsidRPr="00A33B9F">
              <w:rPr>
                <w:rFonts w:ascii="Times New Roman" w:hAnsi="Times New Roman"/>
                <w:noProof/>
                <w:color w:val="000000" w:themeColor="text1"/>
                <w:sz w:val="18"/>
              </w:rPr>
              <w:t>torzynem zostanie wybudowany do dnia 31 sierpnia 2026</w:t>
            </w:r>
            <w:r w:rsidR="00A33B9F" w:rsidRPr="00A33B9F">
              <w:rPr>
                <w:rFonts w:ascii="Times New Roman" w:hAnsi="Times New Roman"/>
                <w:noProof/>
                <w:color w:val="000000" w:themeColor="text1"/>
                <w:sz w:val="18"/>
              </w:rPr>
              <w:t> </w:t>
            </w:r>
            <w:r w:rsidRPr="00A33B9F">
              <w:rPr>
                <w:rFonts w:ascii="Times New Roman" w:hAnsi="Times New Roman"/>
                <w:noProof/>
                <w:color w:val="000000" w:themeColor="text1"/>
                <w:sz w:val="18"/>
              </w:rPr>
              <w:t>r.</w:t>
            </w:r>
          </w:p>
        </w:tc>
      </w:tr>
      <w:tr w:rsidR="5865826E" w:rsidRPr="00A33B9F" w14:paraId="7FBCCA84" w14:textId="77777777" w:rsidTr="00AD0FC1">
        <w:trPr>
          <w:trHeight w:val="309"/>
          <w:jc w:val="center"/>
        </w:trPr>
        <w:tc>
          <w:tcPr>
            <w:tcW w:w="809" w:type="dxa"/>
            <w:tcBorders>
              <w:top w:val="nil"/>
              <w:left w:val="single" w:sz="4" w:space="0" w:color="auto"/>
              <w:bottom w:val="single" w:sz="4" w:space="0" w:color="auto"/>
              <w:right w:val="single" w:sz="4" w:space="0" w:color="auto"/>
            </w:tcBorders>
            <w:shd w:val="clear" w:color="auto" w:fill="C6EFCE"/>
            <w:noWrap/>
          </w:tcPr>
          <w:p w14:paraId="1AF05490" w14:textId="39CA7A06" w:rsidR="79C32ED8" w:rsidRPr="00A33B9F" w:rsidRDefault="79C32ED8" w:rsidP="5865826E">
            <w:pPr>
              <w:spacing w:line="240" w:lineRule="auto"/>
              <w:jc w:val="center"/>
              <w:rPr>
                <w:rFonts w:ascii="Times New Roman" w:hAnsi="Times New Roman"/>
                <w:noProof/>
                <w:color w:val="000000" w:themeColor="text1"/>
                <w:sz w:val="18"/>
                <w:szCs w:val="18"/>
              </w:rPr>
            </w:pPr>
            <w:r w:rsidRPr="00A33B9F">
              <w:rPr>
                <w:rFonts w:ascii="Times New Roman" w:hAnsi="Times New Roman"/>
                <w:noProof/>
                <w:color w:val="000000" w:themeColor="text1"/>
                <w:sz w:val="18"/>
              </w:rPr>
              <w:t>G24L</w:t>
            </w:r>
          </w:p>
        </w:tc>
        <w:tc>
          <w:tcPr>
            <w:tcW w:w="1474" w:type="dxa"/>
            <w:tcBorders>
              <w:top w:val="nil"/>
              <w:left w:val="nil"/>
              <w:bottom w:val="single" w:sz="4" w:space="0" w:color="auto"/>
              <w:right w:val="single" w:sz="4" w:space="0" w:color="auto"/>
            </w:tcBorders>
            <w:shd w:val="clear" w:color="auto" w:fill="C6EFCE"/>
            <w:noWrap/>
          </w:tcPr>
          <w:p w14:paraId="7F465FB0" w14:textId="6A77041A" w:rsidR="79C32ED8" w:rsidRPr="00A33B9F" w:rsidRDefault="79C32ED8" w:rsidP="5865826E">
            <w:pPr>
              <w:spacing w:line="240" w:lineRule="auto"/>
              <w:rPr>
                <w:rFonts w:ascii="Times New Roman" w:hAnsi="Times New Roman"/>
                <w:noProof/>
                <w:color w:val="000000" w:themeColor="text1"/>
                <w:sz w:val="18"/>
                <w:szCs w:val="18"/>
              </w:rPr>
            </w:pPr>
            <w:r w:rsidRPr="00A33B9F">
              <w:rPr>
                <w:rFonts w:ascii="Times New Roman" w:hAnsi="Times New Roman"/>
                <w:noProof/>
                <w:color w:val="000000" w:themeColor="text1"/>
                <w:sz w:val="18"/>
              </w:rPr>
              <w:t>G3.3.1 Systemy magazynowania energii (wsparcie zwrotne)</w:t>
            </w:r>
          </w:p>
        </w:tc>
        <w:tc>
          <w:tcPr>
            <w:tcW w:w="1077" w:type="dxa"/>
            <w:tcBorders>
              <w:top w:val="nil"/>
              <w:left w:val="nil"/>
              <w:bottom w:val="single" w:sz="4" w:space="0" w:color="auto"/>
              <w:right w:val="single" w:sz="4" w:space="0" w:color="auto"/>
            </w:tcBorders>
            <w:shd w:val="clear" w:color="auto" w:fill="C6EFCE"/>
            <w:noWrap/>
          </w:tcPr>
          <w:p w14:paraId="6F1A64FA" w14:textId="11B73C37" w:rsidR="79C32ED8" w:rsidRPr="00A33B9F" w:rsidRDefault="79C32ED8" w:rsidP="5865826E">
            <w:pPr>
              <w:spacing w:line="240" w:lineRule="auto"/>
              <w:rPr>
                <w:rFonts w:ascii="Times New Roman" w:hAnsi="Times New Roman"/>
                <w:noProof/>
                <w:sz w:val="18"/>
                <w:szCs w:val="18"/>
              </w:rPr>
            </w:pPr>
            <w:r w:rsidRPr="00A33B9F">
              <w:rPr>
                <w:rFonts w:ascii="Times New Roman" w:hAnsi="Times New Roman"/>
                <w:noProof/>
                <w:sz w:val="18"/>
              </w:rPr>
              <w:t>Kamień milowy</w:t>
            </w:r>
          </w:p>
        </w:tc>
        <w:tc>
          <w:tcPr>
            <w:tcW w:w="1874" w:type="dxa"/>
            <w:tcBorders>
              <w:top w:val="nil"/>
              <w:left w:val="nil"/>
              <w:bottom w:val="single" w:sz="4" w:space="0" w:color="auto"/>
              <w:right w:val="single" w:sz="4" w:space="0" w:color="auto"/>
            </w:tcBorders>
            <w:shd w:val="clear" w:color="auto" w:fill="C6EFCE"/>
            <w:noWrap/>
          </w:tcPr>
          <w:p w14:paraId="0C3529A3" w14:textId="2A5C7702" w:rsidR="79C32ED8" w:rsidRPr="00A33B9F" w:rsidRDefault="79C32ED8" w:rsidP="5865826E">
            <w:pPr>
              <w:spacing w:line="240" w:lineRule="auto"/>
              <w:rPr>
                <w:rFonts w:ascii="Times New Roman" w:hAnsi="Times New Roman"/>
                <w:noProof/>
                <w:sz w:val="18"/>
                <w:szCs w:val="18"/>
              </w:rPr>
            </w:pPr>
            <w:r w:rsidRPr="00A33B9F">
              <w:rPr>
                <w:rFonts w:ascii="Times New Roman" w:hAnsi="Times New Roman"/>
                <w:noProof/>
                <w:sz w:val="18"/>
              </w:rPr>
              <w:t>Modernizacja magazynu szczytowo-pompowego</w:t>
            </w:r>
          </w:p>
        </w:tc>
        <w:tc>
          <w:tcPr>
            <w:tcW w:w="1606" w:type="dxa"/>
            <w:tcBorders>
              <w:top w:val="nil"/>
              <w:left w:val="nil"/>
              <w:bottom w:val="single" w:sz="4" w:space="0" w:color="auto"/>
              <w:right w:val="single" w:sz="4" w:space="0" w:color="auto"/>
            </w:tcBorders>
            <w:shd w:val="clear" w:color="auto" w:fill="C6EFCE"/>
            <w:noWrap/>
          </w:tcPr>
          <w:p w14:paraId="6EBEEE93" w14:textId="42F2B1E6" w:rsidR="79C32ED8" w:rsidRPr="00A33B9F" w:rsidRDefault="79C32ED8" w:rsidP="5865826E">
            <w:pPr>
              <w:spacing w:line="240" w:lineRule="auto"/>
              <w:rPr>
                <w:rFonts w:ascii="Times New Roman" w:hAnsi="Times New Roman"/>
                <w:noProof/>
                <w:sz w:val="18"/>
                <w:szCs w:val="18"/>
              </w:rPr>
            </w:pPr>
            <w:r w:rsidRPr="00A33B9F">
              <w:rPr>
                <w:rFonts w:ascii="Times New Roman" w:hAnsi="Times New Roman"/>
                <w:noProof/>
                <w:sz w:val="18"/>
              </w:rPr>
              <w:t>Ukończenie modernizacji</w:t>
            </w:r>
          </w:p>
        </w:tc>
        <w:tc>
          <w:tcPr>
            <w:tcW w:w="1076" w:type="dxa"/>
            <w:tcBorders>
              <w:top w:val="nil"/>
              <w:left w:val="nil"/>
              <w:bottom w:val="single" w:sz="4" w:space="0" w:color="auto"/>
              <w:right w:val="single" w:sz="4" w:space="0" w:color="auto"/>
            </w:tcBorders>
            <w:shd w:val="clear" w:color="auto" w:fill="C6EFCE"/>
            <w:noWrap/>
          </w:tcPr>
          <w:p w14:paraId="73B6D105" w14:textId="4C09F3A3" w:rsidR="5865826E" w:rsidRPr="00A33B9F" w:rsidRDefault="5865826E" w:rsidP="5865826E">
            <w:pPr>
              <w:spacing w:line="240" w:lineRule="auto"/>
              <w:rPr>
                <w:rFonts w:ascii="Times New Roman" w:eastAsia="Times New Roman" w:hAnsi="Times New Roman" w:cs="Times New Roman"/>
                <w:noProof/>
                <w:sz w:val="18"/>
                <w:szCs w:val="18"/>
                <w:lang w:eastAsia="en-GB"/>
              </w:rPr>
            </w:pPr>
          </w:p>
        </w:tc>
        <w:tc>
          <w:tcPr>
            <w:tcW w:w="943" w:type="dxa"/>
            <w:tcBorders>
              <w:top w:val="nil"/>
              <w:left w:val="nil"/>
              <w:bottom w:val="single" w:sz="4" w:space="0" w:color="auto"/>
              <w:right w:val="single" w:sz="4" w:space="0" w:color="auto"/>
            </w:tcBorders>
            <w:shd w:val="clear" w:color="auto" w:fill="C6EFCE"/>
            <w:noWrap/>
          </w:tcPr>
          <w:p w14:paraId="3F2DDCE4" w14:textId="02E66C7F" w:rsidR="5865826E" w:rsidRPr="00A33B9F" w:rsidRDefault="5865826E" w:rsidP="5865826E">
            <w:pPr>
              <w:spacing w:line="240" w:lineRule="auto"/>
              <w:jc w:val="center"/>
              <w:rPr>
                <w:rFonts w:ascii="Times New Roman" w:eastAsia="Times New Roman" w:hAnsi="Times New Roman" w:cs="Times New Roman"/>
                <w:noProof/>
                <w:sz w:val="18"/>
                <w:szCs w:val="18"/>
                <w:lang w:eastAsia="en-GB"/>
              </w:rPr>
            </w:pPr>
          </w:p>
        </w:tc>
        <w:tc>
          <w:tcPr>
            <w:tcW w:w="678" w:type="dxa"/>
            <w:tcBorders>
              <w:top w:val="nil"/>
              <w:left w:val="nil"/>
              <w:bottom w:val="single" w:sz="4" w:space="0" w:color="auto"/>
              <w:right w:val="single" w:sz="4" w:space="0" w:color="auto"/>
            </w:tcBorders>
            <w:shd w:val="clear" w:color="auto" w:fill="C6EFCE"/>
            <w:noWrap/>
          </w:tcPr>
          <w:p w14:paraId="1AB0D6D1" w14:textId="52BB6970" w:rsidR="5865826E" w:rsidRPr="00A33B9F" w:rsidRDefault="5865826E" w:rsidP="5865826E">
            <w:pPr>
              <w:spacing w:line="240" w:lineRule="auto"/>
              <w:jc w:val="center"/>
              <w:rPr>
                <w:rFonts w:ascii="Times New Roman" w:eastAsia="Times New Roman" w:hAnsi="Times New Roman" w:cs="Times New Roman"/>
                <w:noProof/>
                <w:sz w:val="18"/>
                <w:szCs w:val="18"/>
                <w:lang w:eastAsia="en-GB"/>
              </w:rPr>
            </w:pPr>
          </w:p>
        </w:tc>
        <w:tc>
          <w:tcPr>
            <w:tcW w:w="878" w:type="dxa"/>
            <w:tcBorders>
              <w:top w:val="nil"/>
              <w:left w:val="nil"/>
              <w:bottom w:val="single" w:sz="4" w:space="0" w:color="auto"/>
              <w:right w:val="single" w:sz="4" w:space="0" w:color="auto"/>
            </w:tcBorders>
            <w:shd w:val="clear" w:color="auto" w:fill="C6EFCE"/>
            <w:noWrap/>
          </w:tcPr>
          <w:p w14:paraId="3C0AEC9B" w14:textId="278444DC" w:rsidR="79C32ED8" w:rsidRPr="00A33B9F" w:rsidRDefault="79C32ED8" w:rsidP="5865826E">
            <w:pPr>
              <w:spacing w:line="240" w:lineRule="auto"/>
              <w:jc w:val="center"/>
              <w:rPr>
                <w:rFonts w:ascii="Times New Roman" w:hAnsi="Times New Roman"/>
                <w:noProof/>
                <w:sz w:val="18"/>
                <w:szCs w:val="18"/>
              </w:rPr>
            </w:pPr>
            <w:r w:rsidRPr="00A33B9F">
              <w:rPr>
                <w:rFonts w:ascii="Times New Roman" w:hAnsi="Times New Roman"/>
                <w:noProof/>
                <w:sz w:val="18"/>
              </w:rPr>
              <w:t>II kw.</w:t>
            </w:r>
          </w:p>
        </w:tc>
        <w:tc>
          <w:tcPr>
            <w:tcW w:w="884" w:type="dxa"/>
            <w:tcBorders>
              <w:top w:val="nil"/>
              <w:left w:val="nil"/>
              <w:bottom w:val="single" w:sz="4" w:space="0" w:color="auto"/>
              <w:right w:val="single" w:sz="4" w:space="0" w:color="auto"/>
            </w:tcBorders>
            <w:shd w:val="clear" w:color="auto" w:fill="C6EFCE"/>
            <w:noWrap/>
          </w:tcPr>
          <w:p w14:paraId="4B28D3DE" w14:textId="61E0B32A" w:rsidR="79C32ED8" w:rsidRPr="00A33B9F" w:rsidRDefault="79C32ED8" w:rsidP="5865826E">
            <w:pPr>
              <w:spacing w:line="240" w:lineRule="auto"/>
              <w:jc w:val="center"/>
              <w:rPr>
                <w:rFonts w:ascii="Times New Roman" w:hAnsi="Times New Roman"/>
                <w:noProof/>
                <w:sz w:val="18"/>
                <w:szCs w:val="18"/>
              </w:rPr>
            </w:pPr>
            <w:r w:rsidRPr="00A33B9F">
              <w:rPr>
                <w:rFonts w:ascii="Times New Roman" w:hAnsi="Times New Roman"/>
                <w:noProof/>
                <w:sz w:val="18"/>
              </w:rPr>
              <w:t>2026</w:t>
            </w:r>
          </w:p>
        </w:tc>
        <w:tc>
          <w:tcPr>
            <w:tcW w:w="4146" w:type="dxa"/>
            <w:tcBorders>
              <w:top w:val="nil"/>
              <w:left w:val="nil"/>
              <w:bottom w:val="single" w:sz="4" w:space="0" w:color="auto"/>
              <w:right w:val="single" w:sz="4" w:space="0" w:color="auto"/>
            </w:tcBorders>
            <w:shd w:val="clear" w:color="auto" w:fill="C6EFCE"/>
            <w:noWrap/>
          </w:tcPr>
          <w:p w14:paraId="02EBF6F6" w14:textId="731FA7AA" w:rsidR="79C32ED8" w:rsidRPr="00A33B9F" w:rsidRDefault="79C32ED8" w:rsidP="5865826E">
            <w:pPr>
              <w:spacing w:line="240" w:lineRule="auto"/>
              <w:rPr>
                <w:rFonts w:ascii="Times New Roman" w:hAnsi="Times New Roman"/>
                <w:noProof/>
                <w:color w:val="000000" w:themeColor="text1"/>
                <w:sz w:val="18"/>
                <w:szCs w:val="18"/>
              </w:rPr>
            </w:pPr>
            <w:r w:rsidRPr="00A33B9F">
              <w:rPr>
                <w:rFonts w:ascii="Times New Roman" w:hAnsi="Times New Roman"/>
                <w:noProof/>
                <w:color w:val="000000" w:themeColor="text1"/>
                <w:sz w:val="18"/>
              </w:rPr>
              <w:t>Ukończenie modernizacji zbiornika górnego, górnego ujęcia wody</w:t>
            </w:r>
            <w:r w:rsidR="00A33B9F" w:rsidRPr="00A33B9F">
              <w:rPr>
                <w:rFonts w:ascii="Times New Roman" w:hAnsi="Times New Roman"/>
                <w:noProof/>
                <w:color w:val="000000" w:themeColor="text1"/>
                <w:sz w:val="18"/>
              </w:rPr>
              <w:t xml:space="preserve"> i tun</w:t>
            </w:r>
            <w:r w:rsidRPr="00A33B9F">
              <w:rPr>
                <w:rFonts w:ascii="Times New Roman" w:hAnsi="Times New Roman"/>
                <w:noProof/>
                <w:color w:val="000000" w:themeColor="text1"/>
                <w:sz w:val="18"/>
              </w:rPr>
              <w:t>eli derywacyjnych oraz jednego hydrogeneratora elektrowni szczytowo-pompowej.</w:t>
            </w:r>
          </w:p>
          <w:p w14:paraId="034A1DDF" w14:textId="46638E61" w:rsidR="79C32ED8" w:rsidRPr="00A33B9F" w:rsidRDefault="79C32ED8" w:rsidP="5865826E">
            <w:pPr>
              <w:spacing w:line="240" w:lineRule="auto"/>
              <w:rPr>
                <w:rFonts w:ascii="Times New Roman" w:hAnsi="Times New Roman"/>
                <w:noProof/>
                <w:color w:val="000000" w:themeColor="text1"/>
                <w:sz w:val="18"/>
                <w:szCs w:val="18"/>
              </w:rPr>
            </w:pPr>
            <w:r w:rsidRPr="00A33B9F">
              <w:rPr>
                <w:rFonts w:ascii="Times New Roman" w:hAnsi="Times New Roman"/>
                <w:noProof/>
                <w:color w:val="000000" w:themeColor="text1"/>
                <w:sz w:val="18"/>
              </w:rPr>
              <w:t>Projekt doprowadzi do zwiększenia dyspozycyjności</w:t>
            </w:r>
            <w:r w:rsidR="00A33B9F" w:rsidRPr="00A33B9F">
              <w:rPr>
                <w:rFonts w:ascii="Times New Roman" w:hAnsi="Times New Roman"/>
                <w:noProof/>
                <w:color w:val="000000" w:themeColor="text1"/>
                <w:sz w:val="18"/>
              </w:rPr>
              <w:t xml:space="preserve"> i efe</w:t>
            </w:r>
            <w:r w:rsidRPr="00A33B9F">
              <w:rPr>
                <w:rFonts w:ascii="Times New Roman" w:hAnsi="Times New Roman"/>
                <w:noProof/>
                <w:color w:val="000000" w:themeColor="text1"/>
                <w:sz w:val="18"/>
              </w:rPr>
              <w:t>ktywności elektrowni</w:t>
            </w:r>
            <w:r w:rsidR="00A33B9F" w:rsidRPr="00A33B9F">
              <w:rPr>
                <w:rFonts w:ascii="Times New Roman" w:hAnsi="Times New Roman"/>
                <w:noProof/>
                <w:color w:val="000000" w:themeColor="text1"/>
                <w:sz w:val="18"/>
              </w:rPr>
              <w:t xml:space="preserve"> w try</w:t>
            </w:r>
            <w:r w:rsidRPr="00A33B9F">
              <w:rPr>
                <w:rFonts w:ascii="Times New Roman" w:hAnsi="Times New Roman"/>
                <w:noProof/>
                <w:color w:val="000000" w:themeColor="text1"/>
                <w:sz w:val="18"/>
              </w:rPr>
              <w:t>bie wytwarzania</w:t>
            </w:r>
            <w:r w:rsidR="00A33B9F" w:rsidRPr="00A33B9F">
              <w:rPr>
                <w:rFonts w:ascii="Times New Roman" w:hAnsi="Times New Roman"/>
                <w:noProof/>
                <w:color w:val="000000" w:themeColor="text1"/>
                <w:sz w:val="18"/>
              </w:rPr>
              <w:t xml:space="preserve"> i tur</w:t>
            </w:r>
            <w:r w:rsidRPr="00A33B9F">
              <w:rPr>
                <w:rFonts w:ascii="Times New Roman" w:hAnsi="Times New Roman"/>
                <w:noProof/>
                <w:color w:val="000000" w:themeColor="text1"/>
                <w:sz w:val="18"/>
              </w:rPr>
              <w:t>binowym,</w:t>
            </w:r>
            <w:r w:rsidR="00A33B9F" w:rsidRPr="00A33B9F">
              <w:rPr>
                <w:rFonts w:ascii="Times New Roman" w:hAnsi="Times New Roman"/>
                <w:noProof/>
                <w:color w:val="000000" w:themeColor="text1"/>
                <w:sz w:val="18"/>
              </w:rPr>
              <w:t xml:space="preserve"> a zmo</w:t>
            </w:r>
            <w:r w:rsidRPr="00A33B9F">
              <w:rPr>
                <w:rFonts w:ascii="Times New Roman" w:hAnsi="Times New Roman"/>
                <w:noProof/>
                <w:color w:val="000000" w:themeColor="text1"/>
                <w:sz w:val="18"/>
              </w:rPr>
              <w:t>dernizowana elektrownia będzie miała moc co najmniej 135 MW (w trybie działania turbin).</w:t>
            </w:r>
          </w:p>
        </w:tc>
      </w:tr>
    </w:tbl>
    <w:p w14:paraId="2CFB420A" w14:textId="13749C96" w:rsidR="00403E29" w:rsidRPr="00A33B9F" w:rsidRDefault="00403E29" w:rsidP="009F3E37">
      <w:pPr>
        <w:rPr>
          <w:rFonts w:ascii="Times New Roman" w:hAnsi="Times New Roman" w:cs="Times New Roman"/>
          <w:noProof/>
          <w:sz w:val="24"/>
          <w:szCs w:val="24"/>
        </w:rPr>
      </w:pPr>
    </w:p>
    <w:p w14:paraId="4B433FB9" w14:textId="5C18582B" w:rsidR="00403E29" w:rsidRPr="00A33B9F" w:rsidRDefault="00403E29" w:rsidP="009F3E37">
      <w:pPr>
        <w:rPr>
          <w:rFonts w:ascii="Times New Roman" w:hAnsi="Times New Roman" w:cs="Times New Roman"/>
          <w:noProof/>
          <w:sz w:val="24"/>
        </w:rPr>
        <w:sectPr w:rsidR="00403E29" w:rsidRPr="00A33B9F" w:rsidSect="00A17569">
          <w:headerReference w:type="even" r:id="rId181"/>
          <w:headerReference w:type="default" r:id="rId182"/>
          <w:footerReference w:type="even" r:id="rId183"/>
          <w:footerReference w:type="default" r:id="rId184"/>
          <w:headerReference w:type="first" r:id="rId185"/>
          <w:footerReference w:type="first" r:id="rId186"/>
          <w:pgSz w:w="16839" w:h="11907" w:orient="landscape"/>
          <w:pgMar w:top="1418" w:right="720" w:bottom="1418" w:left="720" w:header="709" w:footer="709" w:gutter="0"/>
          <w:cols w:space="720"/>
          <w:docGrid w:linePitch="299"/>
        </w:sectPr>
      </w:pPr>
    </w:p>
    <w:p w14:paraId="7F96C69F" w14:textId="78BE79E4" w:rsidR="2D9FA479" w:rsidRPr="00A33B9F" w:rsidRDefault="2D9FA479" w:rsidP="3F9B933D">
      <w:pPr>
        <w:rPr>
          <w:rFonts w:ascii="Times New Roman" w:eastAsia="Times New Roman" w:hAnsi="Times New Roman" w:cs="Times New Roman"/>
          <w:b/>
          <w:bCs/>
          <w:noProof/>
        </w:rPr>
      </w:pPr>
      <w:r w:rsidRPr="00A33B9F">
        <w:rPr>
          <w:rFonts w:ascii="Times New Roman" w:hAnsi="Times New Roman"/>
          <w:b/>
          <w:noProof/>
        </w:rPr>
        <w:t xml:space="preserve">SEKCJA 2: WSPARCIE FINANSOWE </w:t>
      </w:r>
    </w:p>
    <w:p w14:paraId="6DD6D074" w14:textId="32800FAB" w:rsidR="00851180" w:rsidRPr="00A33B9F" w:rsidRDefault="00851180" w:rsidP="00851180">
      <w:pPr>
        <w:pStyle w:val="ListParagraph"/>
        <w:numPr>
          <w:ilvl w:val="3"/>
          <w:numId w:val="97"/>
        </w:numPr>
        <w:tabs>
          <w:tab w:val="num" w:pos="850"/>
        </w:tabs>
        <w:spacing w:before="120" w:after="120" w:line="240" w:lineRule="auto"/>
        <w:ind w:left="426"/>
        <w:jc w:val="both"/>
        <w:rPr>
          <w:rFonts w:ascii="Times New Roman" w:hAnsi="Times New Roman" w:cs="Times New Roman"/>
          <w:b/>
          <w:noProof/>
          <w:sz w:val="24"/>
        </w:rPr>
      </w:pPr>
      <w:r w:rsidRPr="00A33B9F">
        <w:rPr>
          <w:rFonts w:ascii="Times New Roman" w:hAnsi="Times New Roman"/>
          <w:b/>
          <w:noProof/>
          <w:sz w:val="24"/>
        </w:rPr>
        <w:t xml:space="preserve">Wkład finansowy </w:t>
      </w:r>
    </w:p>
    <w:p w14:paraId="6507E1B5" w14:textId="72D27129" w:rsidR="00851180" w:rsidRPr="00A33B9F" w:rsidRDefault="00851180" w:rsidP="00851180">
      <w:pPr>
        <w:tabs>
          <w:tab w:val="num" w:pos="850"/>
        </w:tabs>
        <w:spacing w:before="120" w:after="120" w:line="240" w:lineRule="auto"/>
        <w:ind w:left="850" w:hanging="850"/>
        <w:jc w:val="both"/>
        <w:rPr>
          <w:rFonts w:ascii="Times New Roman" w:hAnsi="Times New Roman" w:cs="Times New Roman"/>
          <w:bCs/>
          <w:noProof/>
          <w:sz w:val="24"/>
        </w:rPr>
      </w:pPr>
      <w:r w:rsidRPr="00A33B9F">
        <w:rPr>
          <w:rFonts w:ascii="Times New Roman" w:hAnsi="Times New Roman"/>
          <w:noProof/>
          <w:sz w:val="24"/>
        </w:rPr>
        <w:t>Transze,</w:t>
      </w:r>
      <w:r w:rsidR="00A33B9F" w:rsidRPr="00A33B9F">
        <w:rPr>
          <w:rFonts w:ascii="Times New Roman" w:hAnsi="Times New Roman"/>
          <w:noProof/>
          <w:sz w:val="24"/>
        </w:rPr>
        <w:t xml:space="preserve"> o któ</w:t>
      </w:r>
      <w:r w:rsidRPr="00A33B9F">
        <w:rPr>
          <w:rFonts w:ascii="Times New Roman" w:hAnsi="Times New Roman"/>
          <w:noProof/>
          <w:sz w:val="24"/>
        </w:rPr>
        <w:t>rych mowa</w:t>
      </w:r>
      <w:r w:rsidR="00A33B9F" w:rsidRPr="00A33B9F">
        <w:rPr>
          <w:rFonts w:ascii="Times New Roman" w:hAnsi="Times New Roman"/>
          <w:noProof/>
          <w:sz w:val="24"/>
        </w:rPr>
        <w:t xml:space="preserve"> w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2 ust.</w:t>
      </w:r>
      <w:r w:rsidR="00A33B9F" w:rsidRPr="00A33B9F">
        <w:rPr>
          <w:rFonts w:ascii="Times New Roman" w:hAnsi="Times New Roman"/>
          <w:noProof/>
          <w:sz w:val="24"/>
        </w:rPr>
        <w:t> </w:t>
      </w:r>
      <w:r w:rsidRPr="00A33B9F">
        <w:rPr>
          <w:rFonts w:ascii="Times New Roman" w:hAnsi="Times New Roman"/>
          <w:noProof/>
          <w:sz w:val="24"/>
        </w:rPr>
        <w:t>2, zostaną zorganizowane</w:t>
      </w:r>
      <w:r w:rsidR="00A33B9F" w:rsidRPr="00A33B9F">
        <w:rPr>
          <w:rFonts w:ascii="Times New Roman" w:hAnsi="Times New Roman"/>
          <w:noProof/>
          <w:sz w:val="24"/>
        </w:rPr>
        <w:t xml:space="preserve"> w spo</w:t>
      </w:r>
      <w:r w:rsidRPr="00A33B9F">
        <w:rPr>
          <w:rFonts w:ascii="Times New Roman" w:hAnsi="Times New Roman"/>
          <w:noProof/>
          <w:sz w:val="24"/>
        </w:rPr>
        <w:t>sób następujący:</w:t>
      </w:r>
    </w:p>
    <w:p w14:paraId="5B188D0F" w14:textId="0A264BD7" w:rsidR="00851180" w:rsidRPr="00A33B9F" w:rsidRDefault="00851180" w:rsidP="00851180">
      <w:pPr>
        <w:tabs>
          <w:tab w:val="num" w:pos="850"/>
        </w:tabs>
        <w:spacing w:before="120" w:after="120" w:line="240" w:lineRule="auto"/>
        <w:ind w:left="850" w:hanging="850"/>
        <w:jc w:val="both"/>
        <w:rPr>
          <w:rFonts w:ascii="Times New Roman" w:hAnsi="Times New Roman" w:cs="Times New Roman"/>
          <w:bCs/>
          <w:noProof/>
          <w:sz w:val="24"/>
          <w:lang w:eastAsia="en-US"/>
        </w:rPr>
      </w:pPr>
    </w:p>
    <w:p w14:paraId="7984432B"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bookmarkStart w:id="4" w:name="_Hlk150508445"/>
      <w:r w:rsidRPr="00A33B9F">
        <w:rPr>
          <w:rFonts w:ascii="Times New Roman" w:hAnsi="Times New Roman"/>
          <w:noProof/>
          <w:color w:val="000000" w:themeColor="text1"/>
        </w:rPr>
        <w:t>2.1.1 Pierwsza transza (wsparcie bezzwrotne):</w:t>
      </w:r>
    </w:p>
    <w:tbl>
      <w:tblPr>
        <w:tblW w:w="10482" w:type="dxa"/>
        <w:tblLayout w:type="fixed"/>
        <w:tblLook w:val="0000" w:firstRow="0" w:lastRow="0" w:firstColumn="0" w:lastColumn="0" w:noHBand="0" w:noVBand="0"/>
      </w:tblPr>
      <w:tblGrid>
        <w:gridCol w:w="1220"/>
        <w:gridCol w:w="4213"/>
        <w:gridCol w:w="1219"/>
        <w:gridCol w:w="3830"/>
      </w:tblGrid>
      <w:tr w:rsidR="00D8141F" w:rsidRPr="00A33B9F" w14:paraId="108D8BDD" w14:textId="77777777" w:rsidTr="00AD0FC1">
        <w:trPr>
          <w:trHeight w:val="661"/>
          <w:tblHeader/>
        </w:trPr>
        <w:tc>
          <w:tcPr>
            <w:tcW w:w="1247" w:type="dxa"/>
            <w:tcBorders>
              <w:top w:val="single" w:sz="6" w:space="0" w:color="auto"/>
              <w:left w:val="single" w:sz="6" w:space="0" w:color="auto"/>
              <w:bottom w:val="single" w:sz="6" w:space="0" w:color="auto"/>
              <w:right w:val="single" w:sz="6" w:space="0" w:color="auto"/>
            </w:tcBorders>
            <w:shd w:val="clear" w:color="auto" w:fill="BDD6EE"/>
            <w:vAlign w:val="center"/>
          </w:tcPr>
          <w:p w14:paraId="6211BCF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4320" w:type="dxa"/>
            <w:tcBorders>
              <w:top w:val="single" w:sz="6" w:space="0" w:color="auto"/>
              <w:left w:val="single" w:sz="6" w:space="0" w:color="auto"/>
              <w:bottom w:val="single" w:sz="6" w:space="0" w:color="auto"/>
              <w:right w:val="single" w:sz="6" w:space="0" w:color="auto"/>
            </w:tcBorders>
            <w:shd w:val="clear" w:color="auto" w:fill="BDD6EE"/>
            <w:vAlign w:val="center"/>
          </w:tcPr>
          <w:p w14:paraId="5D8BECD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C0986B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7480E99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5E54ECFE"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213B60A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7DF77F1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A1.1 Reforma ram budżetowych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AD39DC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599278" w14:textId="22E3F2D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Opracowanie dokumentu koncepcyjnego</w:t>
            </w:r>
            <w:r w:rsidR="00A33B9F" w:rsidRPr="00A33B9F">
              <w:rPr>
                <w:rFonts w:ascii="Times New Roman" w:hAnsi="Times New Roman"/>
                <w:noProof/>
              </w:rPr>
              <w:t xml:space="preserve"> w spr</w:t>
            </w:r>
            <w:r w:rsidRPr="00A33B9F">
              <w:rPr>
                <w:rFonts w:ascii="Times New Roman" w:hAnsi="Times New Roman"/>
                <w:noProof/>
              </w:rPr>
              <w:t>awie standardowego planu kont zintegrowanego</w:t>
            </w:r>
            <w:r w:rsidR="00A33B9F" w:rsidRPr="00A33B9F">
              <w:rPr>
                <w:rFonts w:ascii="Times New Roman" w:hAnsi="Times New Roman"/>
                <w:noProof/>
              </w:rPr>
              <w:t xml:space="preserve"> z kla</w:t>
            </w:r>
            <w:r w:rsidRPr="00A33B9F">
              <w:rPr>
                <w:rFonts w:ascii="Times New Roman" w:hAnsi="Times New Roman"/>
                <w:noProof/>
              </w:rPr>
              <w:t>syfikacją budżetową</w:t>
            </w:r>
          </w:p>
        </w:tc>
      </w:tr>
      <w:tr w:rsidR="00D8141F" w:rsidRPr="00A33B9F" w14:paraId="1F50749E"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7B14BF9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606CC3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A1.1 Reforma ram budżetowych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D6059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A266DA" w14:textId="4E33CEA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zmienionej ustawy</w:t>
            </w:r>
            <w:r w:rsidR="00A33B9F" w:rsidRPr="00A33B9F">
              <w:rPr>
                <w:rFonts w:ascii="Times New Roman" w:hAnsi="Times New Roman"/>
                <w:noProof/>
              </w:rPr>
              <w:t xml:space="preserve"> o fin</w:t>
            </w:r>
            <w:r w:rsidRPr="00A33B9F">
              <w:rPr>
                <w:rFonts w:ascii="Times New Roman" w:hAnsi="Times New Roman"/>
                <w:noProof/>
              </w:rPr>
              <w:t>ansowaniu publicznym ukierunkowanej na rozszerzenie zakresu stabilizującej reguły wydatkowej (SRW)</w:t>
            </w:r>
            <w:r w:rsidR="00A33B9F" w:rsidRPr="00A33B9F">
              <w:rPr>
                <w:rFonts w:ascii="Times New Roman" w:hAnsi="Times New Roman"/>
                <w:noProof/>
              </w:rPr>
              <w:t xml:space="preserve"> w cel</w:t>
            </w:r>
            <w:r w:rsidRPr="00A33B9F">
              <w:rPr>
                <w:rFonts w:ascii="Times New Roman" w:hAnsi="Times New Roman"/>
                <w:noProof/>
              </w:rPr>
              <w:t>u uwzględnienia państwowych funduszy celowych</w:t>
            </w:r>
          </w:p>
        </w:tc>
      </w:tr>
      <w:tr w:rsidR="00D8141F" w:rsidRPr="00A33B9F" w14:paraId="5C24FE36"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C96867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5B0B454" w14:textId="43718BC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A1.2 Dalsze ograniczanie obciążenia regulacyjnego</w:t>
            </w:r>
            <w:r w:rsidR="00A33B9F" w:rsidRPr="00A33B9F">
              <w:rPr>
                <w:rFonts w:ascii="Times New Roman" w:hAnsi="Times New Roman"/>
                <w:noProof/>
              </w:rPr>
              <w:t xml:space="preserve"> i adm</w:t>
            </w:r>
            <w:r w:rsidRPr="00A33B9F">
              <w:rPr>
                <w:rFonts w:ascii="Times New Roman" w:hAnsi="Times New Roman"/>
                <w:noProof/>
              </w:rPr>
              <w:t>inistracyjnego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702F08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D2481A" w14:textId="5F4AA88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pakietu legislacyjnego ukierunkowanego na ograniczenie administracyjnego obciążenia przedsiębiorstw</w:t>
            </w:r>
            <w:r w:rsidR="00A33B9F" w:rsidRPr="00A33B9F">
              <w:rPr>
                <w:rFonts w:ascii="Times New Roman" w:hAnsi="Times New Roman"/>
                <w:noProof/>
              </w:rPr>
              <w:t xml:space="preserve"> i oby</w:t>
            </w:r>
            <w:r w:rsidRPr="00A33B9F">
              <w:rPr>
                <w:rFonts w:ascii="Times New Roman" w:hAnsi="Times New Roman"/>
                <w:noProof/>
              </w:rPr>
              <w:t>wateli</w:t>
            </w:r>
          </w:p>
        </w:tc>
      </w:tr>
      <w:tr w:rsidR="00D8141F" w:rsidRPr="00A33B9F" w14:paraId="0C39A909"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239459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A18G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A309CBC" w14:textId="638E812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 Reforma na rzecz poprawienia warunków konkurencyjności</w:t>
            </w:r>
            <w:r w:rsidR="00A33B9F" w:rsidRPr="00A33B9F">
              <w:rPr>
                <w:rFonts w:ascii="Times New Roman" w:hAnsi="Times New Roman"/>
                <w:noProof/>
              </w:rPr>
              <w:t xml:space="preserve"> i och</w:t>
            </w:r>
            <w:r w:rsidRPr="00A33B9F">
              <w:rPr>
                <w:rFonts w:ascii="Times New Roman" w:hAnsi="Times New Roman"/>
                <w:noProof/>
              </w:rPr>
              <w:t>rony producentów/konsumentów</w:t>
            </w:r>
            <w:r w:rsidR="00A33B9F" w:rsidRPr="00A33B9F">
              <w:rPr>
                <w:rFonts w:ascii="Times New Roman" w:hAnsi="Times New Roman"/>
                <w:noProof/>
              </w:rPr>
              <w:t xml:space="preserve"> w sek</w:t>
            </w:r>
            <w:r w:rsidRPr="00A33B9F">
              <w:rPr>
                <w:rFonts w:ascii="Times New Roman" w:hAnsi="Times New Roman"/>
                <w:noProof/>
              </w:rPr>
              <w:t>torze rolnym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5F9A61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64EF36" w14:textId="04342D9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nowej ustawy</w:t>
            </w:r>
            <w:r w:rsidR="00A33B9F" w:rsidRPr="00A33B9F">
              <w:rPr>
                <w:rFonts w:ascii="Times New Roman" w:hAnsi="Times New Roman"/>
                <w:noProof/>
              </w:rPr>
              <w:t xml:space="preserve"> o prz</w:t>
            </w:r>
            <w:r w:rsidRPr="00A33B9F">
              <w:rPr>
                <w:rFonts w:ascii="Times New Roman" w:hAnsi="Times New Roman"/>
                <w:noProof/>
              </w:rPr>
              <w:t>eciwdziałaniu nieuczciwemu wykorzystywaniu przewagi kontraktowej</w:t>
            </w:r>
            <w:r w:rsidR="00A33B9F" w:rsidRPr="00A33B9F">
              <w:rPr>
                <w:rFonts w:ascii="Times New Roman" w:hAnsi="Times New Roman"/>
                <w:noProof/>
              </w:rPr>
              <w:t xml:space="preserve"> w obr</w:t>
            </w:r>
            <w:r w:rsidRPr="00A33B9F">
              <w:rPr>
                <w:rFonts w:ascii="Times New Roman" w:hAnsi="Times New Roman"/>
                <w:noProof/>
              </w:rPr>
              <w:t>ocie produktami rolnymi</w:t>
            </w:r>
            <w:r w:rsidR="00A33B9F" w:rsidRPr="00A33B9F">
              <w:rPr>
                <w:rFonts w:ascii="Times New Roman" w:hAnsi="Times New Roman"/>
                <w:noProof/>
              </w:rPr>
              <w:t xml:space="preserve"> i spo</w:t>
            </w:r>
            <w:r w:rsidRPr="00A33B9F">
              <w:rPr>
                <w:rFonts w:ascii="Times New Roman" w:hAnsi="Times New Roman"/>
                <w:noProof/>
              </w:rPr>
              <w:t>żywczymi</w:t>
            </w:r>
          </w:p>
        </w:tc>
      </w:tr>
      <w:tr w:rsidR="00D8141F" w:rsidRPr="00A33B9F" w14:paraId="556F1990"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B167D8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A20G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8D9C9C1" w14:textId="0C8CAF1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A1.4.1 Inwestycje na rzecz dywersyfikacji</w:t>
            </w:r>
            <w:r w:rsidR="00A33B9F" w:rsidRPr="00A33B9F">
              <w:rPr>
                <w:rFonts w:ascii="Times New Roman" w:hAnsi="Times New Roman"/>
                <w:noProof/>
              </w:rPr>
              <w:t xml:space="preserve"> i skr</w:t>
            </w:r>
            <w:r w:rsidRPr="00A33B9F">
              <w:rPr>
                <w:rFonts w:ascii="Times New Roman" w:hAnsi="Times New Roman"/>
                <w:noProof/>
              </w:rPr>
              <w:t>acania łańcucha dostaw produktów rolnych</w:t>
            </w:r>
            <w:r w:rsidR="00A33B9F" w:rsidRPr="00A33B9F">
              <w:rPr>
                <w:rFonts w:ascii="Times New Roman" w:hAnsi="Times New Roman"/>
                <w:noProof/>
              </w:rPr>
              <w:t xml:space="preserve"> i spo</w:t>
            </w:r>
            <w:r w:rsidRPr="00A33B9F">
              <w:rPr>
                <w:rFonts w:ascii="Times New Roman" w:hAnsi="Times New Roman"/>
                <w:noProof/>
              </w:rPr>
              <w:t>żywczych oraz budowy odporności podmiotów uczestniczących</w:t>
            </w:r>
            <w:r w:rsidR="00A33B9F" w:rsidRPr="00A33B9F">
              <w:rPr>
                <w:rFonts w:ascii="Times New Roman" w:hAnsi="Times New Roman"/>
                <w:noProof/>
              </w:rPr>
              <w:t xml:space="preserve"> w łań</w:t>
            </w:r>
            <w:r w:rsidRPr="00A33B9F">
              <w:rPr>
                <w:rFonts w:ascii="Times New Roman" w:hAnsi="Times New Roman"/>
                <w:noProof/>
              </w:rPr>
              <w:t>cuchu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1DCFA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B4DC2B" w14:textId="3833EBB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kryteriów kwalifikacji beneficjentów</w:t>
            </w:r>
            <w:r w:rsidR="00A33B9F" w:rsidRPr="00A33B9F">
              <w:rPr>
                <w:rFonts w:ascii="Times New Roman" w:hAnsi="Times New Roman"/>
                <w:noProof/>
              </w:rPr>
              <w:t xml:space="preserve"> w odn</w:t>
            </w:r>
            <w:r w:rsidRPr="00A33B9F">
              <w:rPr>
                <w:rFonts w:ascii="Times New Roman" w:hAnsi="Times New Roman"/>
                <w:noProof/>
              </w:rPr>
              <w:t>iesieniu do wszystkich projektów objętych zakresem tej inwestycji</w:t>
            </w:r>
          </w:p>
        </w:tc>
      </w:tr>
      <w:tr w:rsidR="00D8141F" w:rsidRPr="00A33B9F" w14:paraId="72DEAD93"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22348F2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A27G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55642C26" w14:textId="63DAF01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A2.1 Przyśpieszenie procesów robotyzacji</w:t>
            </w:r>
            <w:r w:rsidR="00A33B9F" w:rsidRPr="00A33B9F">
              <w:rPr>
                <w:rFonts w:ascii="Times New Roman" w:hAnsi="Times New Roman"/>
                <w:noProof/>
              </w:rPr>
              <w:t xml:space="preserve"> i cyf</w:t>
            </w:r>
            <w:r w:rsidRPr="00A33B9F">
              <w:rPr>
                <w:rFonts w:ascii="Times New Roman" w:hAnsi="Times New Roman"/>
                <w:noProof/>
              </w:rPr>
              <w:t>ryzacji</w:t>
            </w:r>
            <w:r w:rsidR="00A33B9F" w:rsidRPr="00A33B9F">
              <w:rPr>
                <w:rFonts w:ascii="Times New Roman" w:hAnsi="Times New Roman"/>
                <w:noProof/>
              </w:rPr>
              <w:t xml:space="preserve"> i inn</w:t>
            </w:r>
            <w:r w:rsidRPr="00A33B9F">
              <w:rPr>
                <w:rFonts w:ascii="Times New Roman" w:hAnsi="Times New Roman"/>
                <w:noProof/>
              </w:rPr>
              <w:t>owacji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FE7FF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8163CF" w14:textId="6DF831C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nowej ustawy</w:t>
            </w:r>
            <w:r w:rsidR="00A33B9F" w:rsidRPr="00A33B9F">
              <w:rPr>
                <w:rFonts w:ascii="Times New Roman" w:hAnsi="Times New Roman"/>
                <w:noProof/>
              </w:rPr>
              <w:t xml:space="preserve"> o wsp</w:t>
            </w:r>
            <w:r w:rsidRPr="00A33B9F">
              <w:rPr>
                <w:rFonts w:ascii="Times New Roman" w:hAnsi="Times New Roman"/>
                <w:noProof/>
              </w:rPr>
              <w:t>ieraniu automatyzacji</w:t>
            </w:r>
            <w:r w:rsidR="00A33B9F" w:rsidRPr="00A33B9F">
              <w:rPr>
                <w:rFonts w:ascii="Times New Roman" w:hAnsi="Times New Roman"/>
                <w:noProof/>
              </w:rPr>
              <w:t xml:space="preserve"> i cyf</w:t>
            </w:r>
            <w:r w:rsidRPr="00A33B9F">
              <w:rPr>
                <w:rFonts w:ascii="Times New Roman" w:hAnsi="Times New Roman"/>
                <w:noProof/>
              </w:rPr>
              <w:t>ryzacji oraz innowacyjności przedsiębiorstw poprzez wprowadzenie ulgi podatkowej</w:t>
            </w:r>
            <w:r w:rsidR="00A33B9F" w:rsidRPr="00A33B9F">
              <w:rPr>
                <w:rFonts w:ascii="Times New Roman" w:hAnsi="Times New Roman"/>
                <w:noProof/>
              </w:rPr>
              <w:t xml:space="preserve"> w zak</w:t>
            </w:r>
            <w:r w:rsidRPr="00A33B9F">
              <w:rPr>
                <w:rFonts w:ascii="Times New Roman" w:hAnsi="Times New Roman"/>
                <w:noProof/>
              </w:rPr>
              <w:t>resie robotyzacji</w:t>
            </w:r>
          </w:p>
        </w:tc>
      </w:tr>
      <w:tr w:rsidR="00D8141F" w:rsidRPr="00A33B9F" w14:paraId="2E86F331"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3B5D52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A38G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51BE9FE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A2.4 Wzmocnienie mechanizmów współpracy pomiędzy sektorem nauki oraz przemysłem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909CC0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E59B63" w14:textId="275DF9C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 Prawo</w:t>
            </w:r>
            <w:r w:rsidR="00A33B9F" w:rsidRPr="00A33B9F">
              <w:rPr>
                <w:rFonts w:ascii="Times New Roman" w:hAnsi="Times New Roman"/>
                <w:noProof/>
              </w:rPr>
              <w:t xml:space="preserve"> o szk</w:t>
            </w:r>
            <w:r w:rsidRPr="00A33B9F">
              <w:rPr>
                <w:rFonts w:ascii="Times New Roman" w:hAnsi="Times New Roman"/>
                <w:noProof/>
              </w:rPr>
              <w:t>olnictwie wyższym</w:t>
            </w:r>
            <w:r w:rsidR="00A33B9F" w:rsidRPr="00A33B9F">
              <w:rPr>
                <w:rFonts w:ascii="Times New Roman" w:hAnsi="Times New Roman"/>
                <w:noProof/>
              </w:rPr>
              <w:t xml:space="preserve"> i nau</w:t>
            </w:r>
            <w:r w:rsidRPr="00A33B9F">
              <w:rPr>
                <w:rFonts w:ascii="Times New Roman" w:hAnsi="Times New Roman"/>
                <w:noProof/>
              </w:rPr>
              <w:t>ce</w:t>
            </w:r>
            <w:r w:rsidR="00A33B9F" w:rsidRPr="00A33B9F">
              <w:rPr>
                <w:rFonts w:ascii="Times New Roman" w:hAnsi="Times New Roman"/>
                <w:noProof/>
              </w:rPr>
              <w:t xml:space="preserve"> w zak</w:t>
            </w:r>
            <w:r w:rsidRPr="00A33B9F">
              <w:rPr>
                <w:rFonts w:ascii="Times New Roman" w:hAnsi="Times New Roman"/>
                <w:noProof/>
              </w:rPr>
              <w:t>resie katalogu podmiotów, które mogą tworzyć spółki celowe wraz ze szkołami wyższymi</w:t>
            </w:r>
          </w:p>
        </w:tc>
      </w:tr>
      <w:tr w:rsidR="00D8141F" w:rsidRPr="00A33B9F" w14:paraId="3B8E9F38"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0A2C6A8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500959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A2.4 Wzmocnienie mechanizmów współpracy pomiędzy sektorem nauki oraz przemysłem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276963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6CD0AE" w14:textId="0E4FCDA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Ustanowienie zasad korzystania</w:t>
            </w:r>
            <w:r w:rsidR="00A33B9F" w:rsidRPr="00A33B9F">
              <w:rPr>
                <w:rFonts w:ascii="Times New Roman" w:hAnsi="Times New Roman"/>
                <w:noProof/>
              </w:rPr>
              <w:t xml:space="preserve"> z lab</w:t>
            </w:r>
            <w:r w:rsidRPr="00A33B9F">
              <w:rPr>
                <w:rFonts w:ascii="Times New Roman" w:hAnsi="Times New Roman"/>
                <w:noProof/>
              </w:rPr>
              <w:t>oratoriów</w:t>
            </w:r>
            <w:r w:rsidR="00A33B9F" w:rsidRPr="00A33B9F">
              <w:rPr>
                <w:rFonts w:ascii="Times New Roman" w:hAnsi="Times New Roman"/>
                <w:noProof/>
              </w:rPr>
              <w:t xml:space="preserve"> i tra</w:t>
            </w:r>
            <w:r w:rsidRPr="00A33B9F">
              <w:rPr>
                <w:rFonts w:ascii="Times New Roman" w:hAnsi="Times New Roman"/>
                <w:noProof/>
              </w:rPr>
              <w:t>nsferu wiedzy instytutów pod nadzorem Ministra Rolnictwa</w:t>
            </w:r>
            <w:r w:rsidR="00A33B9F" w:rsidRPr="00A33B9F">
              <w:rPr>
                <w:rFonts w:ascii="Times New Roman" w:hAnsi="Times New Roman"/>
                <w:noProof/>
              </w:rPr>
              <w:t xml:space="preserve"> i Roz</w:t>
            </w:r>
            <w:r w:rsidRPr="00A33B9F">
              <w:rPr>
                <w:rFonts w:ascii="Times New Roman" w:hAnsi="Times New Roman"/>
                <w:noProof/>
              </w:rPr>
              <w:t>woju Wsi</w:t>
            </w:r>
            <w:r w:rsidR="00C3621A" w:rsidRPr="00A33B9F">
              <w:rPr>
                <w:rFonts w:ascii="Times New Roman" w:hAnsi="Times New Roman"/>
                <w:noProof/>
              </w:rPr>
              <w:t xml:space="preserve"> </w:t>
            </w:r>
          </w:p>
        </w:tc>
      </w:tr>
      <w:tr w:rsidR="00D8141F" w:rsidRPr="00A33B9F" w14:paraId="6CB94ABE"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97EF27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629D31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A4.2 Reforma na rzecz poprawy sytuacji rodziców na rynku pracy poprzez zwiększenie dostępu do opieki nad dziećmi do lat trzech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D941B3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5E491C7" w14:textId="5803DDB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opi</w:t>
            </w:r>
            <w:r w:rsidRPr="00A33B9F">
              <w:rPr>
                <w:rFonts w:ascii="Times New Roman" w:hAnsi="Times New Roman"/>
                <w:noProof/>
              </w:rPr>
              <w:t>ece nad dziećmi</w:t>
            </w:r>
            <w:r w:rsidR="00A33B9F" w:rsidRPr="00A33B9F">
              <w:rPr>
                <w:rFonts w:ascii="Times New Roman" w:hAnsi="Times New Roman"/>
                <w:noProof/>
              </w:rPr>
              <w:t xml:space="preserve"> w wie</w:t>
            </w:r>
            <w:r w:rsidRPr="00A33B9F">
              <w:rPr>
                <w:rFonts w:ascii="Times New Roman" w:hAnsi="Times New Roman"/>
                <w:noProof/>
              </w:rPr>
              <w:t>ku do lat trzech mającej na celu zmianę organizacji systemu finansowania opieki nad dziećmi</w:t>
            </w:r>
            <w:r w:rsidR="00A33B9F" w:rsidRPr="00A33B9F">
              <w:rPr>
                <w:rFonts w:ascii="Times New Roman" w:hAnsi="Times New Roman"/>
                <w:noProof/>
              </w:rPr>
              <w:t xml:space="preserve"> w wie</w:t>
            </w:r>
            <w:r w:rsidRPr="00A33B9F">
              <w:rPr>
                <w:rFonts w:ascii="Times New Roman" w:hAnsi="Times New Roman"/>
                <w:noProof/>
              </w:rPr>
              <w:t>ku do lat trzech, aby wdrożyć jeden spójny system zarządzania finansowaniem</w:t>
            </w:r>
            <w:r w:rsidR="00A33B9F" w:rsidRPr="00A33B9F">
              <w:rPr>
                <w:rFonts w:ascii="Times New Roman" w:hAnsi="Times New Roman"/>
                <w:noProof/>
              </w:rPr>
              <w:t xml:space="preserve"> w zak</w:t>
            </w:r>
            <w:r w:rsidRPr="00A33B9F">
              <w:rPr>
                <w:rFonts w:ascii="Times New Roman" w:hAnsi="Times New Roman"/>
                <w:noProof/>
              </w:rPr>
              <w:t>resie tworzenia</w:t>
            </w:r>
            <w:r w:rsidR="00A33B9F" w:rsidRPr="00A33B9F">
              <w:rPr>
                <w:rFonts w:ascii="Times New Roman" w:hAnsi="Times New Roman"/>
                <w:noProof/>
              </w:rPr>
              <w:t xml:space="preserve"> i fun</w:t>
            </w:r>
            <w:r w:rsidRPr="00A33B9F">
              <w:rPr>
                <w:rFonts w:ascii="Times New Roman" w:hAnsi="Times New Roman"/>
                <w:noProof/>
              </w:rPr>
              <w:t>kcjonowania usług opieki nad dziećmi do lat trzech</w:t>
            </w:r>
          </w:p>
        </w:tc>
      </w:tr>
      <w:tr w:rsidR="00D8141F" w:rsidRPr="00A33B9F" w14:paraId="1370A398"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B7557D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A60G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7FB837B5" w14:textId="6FDD0BAA" w:rsidR="00D8141F" w:rsidRPr="00A33B9F" w:rsidRDefault="00D8141F" w:rsidP="00753103">
            <w:pPr>
              <w:spacing w:line="240" w:lineRule="auto"/>
              <w:rPr>
                <w:rFonts w:ascii="Times New Roman" w:hAnsi="Times New Roman"/>
                <w:noProof/>
              </w:rPr>
            </w:pPr>
            <w:r w:rsidRPr="00A33B9F">
              <w:rPr>
                <w:rFonts w:ascii="Times New Roman" w:hAnsi="Times New Roman"/>
                <w:noProof/>
              </w:rPr>
              <w:t>A4.2.1 Wsparcie placówek opieki nad dziećmi</w:t>
            </w:r>
            <w:r w:rsidR="00A33B9F" w:rsidRPr="00A33B9F">
              <w:rPr>
                <w:rFonts w:ascii="Times New Roman" w:hAnsi="Times New Roman"/>
                <w:noProof/>
              </w:rPr>
              <w:t xml:space="preserve"> w wie</w:t>
            </w:r>
            <w:r w:rsidRPr="00A33B9F">
              <w:rPr>
                <w:rFonts w:ascii="Times New Roman" w:hAnsi="Times New Roman"/>
                <w:noProof/>
              </w:rPr>
              <w:t>ku do trzech lat (żłobki, kluby dziecięce)</w:t>
            </w:r>
            <w:r w:rsidR="00A33B9F" w:rsidRPr="00A33B9F">
              <w:rPr>
                <w:rFonts w:ascii="Times New Roman" w:hAnsi="Times New Roman"/>
                <w:noProof/>
              </w:rPr>
              <w:t xml:space="preserve"> w ram</w:t>
            </w:r>
            <w:r w:rsidRPr="00A33B9F">
              <w:rPr>
                <w:rFonts w:ascii="Times New Roman" w:hAnsi="Times New Roman"/>
                <w:noProof/>
              </w:rPr>
              <w:t>ach programu MALUCH+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3E221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AE0E8A" w14:textId="5255E5D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Stworzenie systemu informatycznego na potrzeby zarządzania finansowaniem</w:t>
            </w:r>
            <w:r w:rsidR="00A33B9F" w:rsidRPr="00A33B9F">
              <w:rPr>
                <w:rFonts w:ascii="Times New Roman" w:hAnsi="Times New Roman"/>
                <w:noProof/>
              </w:rPr>
              <w:t xml:space="preserve"> i two</w:t>
            </w:r>
            <w:r w:rsidRPr="00A33B9F">
              <w:rPr>
                <w:rFonts w:ascii="Times New Roman" w:hAnsi="Times New Roman"/>
                <w:noProof/>
              </w:rPr>
              <w:t>rzeniem placówek opieki nad dziećmi</w:t>
            </w:r>
            <w:r w:rsidR="00A33B9F" w:rsidRPr="00A33B9F">
              <w:rPr>
                <w:rFonts w:ascii="Times New Roman" w:hAnsi="Times New Roman"/>
                <w:noProof/>
              </w:rPr>
              <w:t xml:space="preserve"> w wie</w:t>
            </w:r>
            <w:r w:rsidRPr="00A33B9F">
              <w:rPr>
                <w:rFonts w:ascii="Times New Roman" w:hAnsi="Times New Roman"/>
                <w:noProof/>
              </w:rPr>
              <w:t>ku do lat trzech, który łączy różne źródła finansowania opieki nad dziećmi</w:t>
            </w:r>
          </w:p>
        </w:tc>
      </w:tr>
      <w:tr w:rsidR="00D8141F" w:rsidRPr="00A33B9F" w14:paraId="5ED4AA81"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340C16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A62G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649702D"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A.4.3 Wdrożenie ram prawnych dla podmiotów ekonomii społecznej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A6158A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3938EA8" w14:textId="772AFCD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eko</w:t>
            </w:r>
            <w:r w:rsidRPr="00A33B9F">
              <w:rPr>
                <w:rFonts w:ascii="Times New Roman" w:hAnsi="Times New Roman"/>
                <w:noProof/>
              </w:rPr>
              <w:t>nomii społecznej</w:t>
            </w:r>
          </w:p>
        </w:tc>
      </w:tr>
      <w:tr w:rsidR="00D8141F" w:rsidRPr="00A33B9F" w14:paraId="02AA846E"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F9E112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E04A311" w14:textId="53755BC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 Czyste powietrze</w:t>
            </w:r>
            <w:r w:rsidR="00A33B9F" w:rsidRPr="00A33B9F">
              <w:rPr>
                <w:rFonts w:ascii="Times New Roman" w:hAnsi="Times New Roman"/>
                <w:noProof/>
              </w:rPr>
              <w:t xml:space="preserve"> i efe</w:t>
            </w:r>
            <w:r w:rsidRPr="00A33B9F">
              <w:rPr>
                <w:rFonts w:ascii="Times New Roman" w:hAnsi="Times New Roman"/>
                <w:noProof/>
              </w:rPr>
              <w:t>ktywność 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2F088D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0BF36EA" w14:textId="03D2C45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efe</w:t>
            </w:r>
            <w:r w:rsidRPr="00A33B9F">
              <w:rPr>
                <w:rFonts w:ascii="Times New Roman" w:hAnsi="Times New Roman"/>
                <w:noProof/>
              </w:rPr>
              <w:t>ktywności energetycznej</w:t>
            </w:r>
            <w:r w:rsidR="00A33B9F" w:rsidRPr="00A33B9F">
              <w:rPr>
                <w:rFonts w:ascii="Times New Roman" w:hAnsi="Times New Roman"/>
                <w:noProof/>
              </w:rPr>
              <w:t xml:space="preserve"> i pow</w:t>
            </w:r>
            <w:r w:rsidRPr="00A33B9F">
              <w:rPr>
                <w:rFonts w:ascii="Times New Roman" w:hAnsi="Times New Roman"/>
                <w:noProof/>
              </w:rPr>
              <w:t>iązanych aktów ustawodawczych</w:t>
            </w:r>
          </w:p>
        </w:tc>
      </w:tr>
      <w:tr w:rsidR="00D8141F" w:rsidRPr="00A33B9F" w14:paraId="3D1992DA"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2A7262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416ECCB5" w14:textId="5FD94FD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 Czyste powietrze</w:t>
            </w:r>
            <w:r w:rsidR="00A33B9F" w:rsidRPr="00A33B9F">
              <w:rPr>
                <w:rFonts w:ascii="Times New Roman" w:hAnsi="Times New Roman"/>
                <w:noProof/>
              </w:rPr>
              <w:t xml:space="preserve"> i efe</w:t>
            </w:r>
            <w:r w:rsidRPr="00A33B9F">
              <w:rPr>
                <w:rFonts w:ascii="Times New Roman" w:hAnsi="Times New Roman"/>
                <w:noProof/>
              </w:rPr>
              <w:t>ktywność 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B00AE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9E2C6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Aktualizacja Krajowego Programu Ochrony Powietrza</w:t>
            </w:r>
          </w:p>
        </w:tc>
      </w:tr>
      <w:tr w:rsidR="00D8141F" w:rsidRPr="00A33B9F" w14:paraId="2F4A42DF"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9239A9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B16G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5EDCA0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B2.1 Poprawa warunków dla rozwoju technologii wodorowych oraz innych gazów zdekarbonizowanych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6C331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F14E00" w14:textId="591AD8F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aktów zmieniających akty ustawodawcze regulujące funkcjonowanie wodoru jako paliwa alternatywnego</w:t>
            </w:r>
            <w:r w:rsidR="00A33B9F" w:rsidRPr="00A33B9F">
              <w:rPr>
                <w:rFonts w:ascii="Times New Roman" w:hAnsi="Times New Roman"/>
                <w:noProof/>
              </w:rPr>
              <w:t xml:space="preserve"> w tra</w:t>
            </w:r>
            <w:r w:rsidRPr="00A33B9F">
              <w:rPr>
                <w:rFonts w:ascii="Times New Roman" w:hAnsi="Times New Roman"/>
                <w:noProof/>
              </w:rPr>
              <w:t>nsporcie</w:t>
            </w:r>
          </w:p>
        </w:tc>
      </w:tr>
      <w:tr w:rsidR="00D8141F" w:rsidRPr="00A33B9F" w14:paraId="10C4855D"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4EF43BE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B39G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AABE7E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B3.1 Wsparcie zrównoważonej gospodarki wodno-ściekowej na obszarach wiejskich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FECB64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1A8DF3" w14:textId="7F50F93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Opracowanie zasad terytorialnego ukierunkowania wsparcia inwestycji wodociągowych lub kanalizacyjnych</w:t>
            </w:r>
            <w:r w:rsidR="00A33B9F" w:rsidRPr="00A33B9F">
              <w:rPr>
                <w:rFonts w:ascii="Times New Roman" w:hAnsi="Times New Roman"/>
                <w:noProof/>
              </w:rPr>
              <w:t xml:space="preserve"> w ram</w:t>
            </w:r>
            <w:r w:rsidRPr="00A33B9F">
              <w:rPr>
                <w:rFonts w:ascii="Times New Roman" w:hAnsi="Times New Roman"/>
                <w:noProof/>
              </w:rPr>
              <w:t>ach KPO na obszarach wiejskich</w:t>
            </w:r>
          </w:p>
        </w:tc>
      </w:tr>
      <w:tr w:rsidR="00D8141F" w:rsidRPr="00A33B9F" w14:paraId="737A917C"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5E3CEB5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B4039G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621D6F6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B3.1 Wsparcie zrównoważonej gospodarki wodno-ściekowej na obszarach wiejskich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47937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AF210C8" w14:textId="44113F6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ustanawiającego obowiązek przeprowadzania regularnego monitorowania</w:t>
            </w:r>
            <w:r w:rsidR="00A33B9F" w:rsidRPr="00A33B9F">
              <w:rPr>
                <w:rFonts w:ascii="Times New Roman" w:hAnsi="Times New Roman"/>
                <w:noProof/>
              </w:rPr>
              <w:t xml:space="preserve"> i kon</w:t>
            </w:r>
            <w:r w:rsidRPr="00A33B9F">
              <w:rPr>
                <w:rFonts w:ascii="Times New Roman" w:hAnsi="Times New Roman"/>
                <w:noProof/>
              </w:rPr>
              <w:t>trolowania odpowiednich konkretnych systemów</w:t>
            </w:r>
          </w:p>
        </w:tc>
      </w:tr>
      <w:tr w:rsidR="00D8141F" w:rsidRPr="00A33B9F" w14:paraId="573064C3"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402C312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7A67007B" w14:textId="684D31A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C1.1. Ułatwienie rozwoju infrastruktury sieciowej</w:t>
            </w:r>
            <w:r w:rsidR="00A33B9F" w:rsidRPr="00A33B9F">
              <w:rPr>
                <w:rFonts w:ascii="Times New Roman" w:hAnsi="Times New Roman"/>
                <w:noProof/>
              </w:rPr>
              <w:t xml:space="preserve"> w cel</w:t>
            </w:r>
            <w:r w:rsidRPr="00A33B9F">
              <w:rPr>
                <w:rFonts w:ascii="Times New Roman" w:hAnsi="Times New Roman"/>
                <w:noProof/>
              </w:rPr>
              <w:t>u zapewnienia powszechnego dostępu do szybkiego internetu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C8A61E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DB82A9"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Ramy przygotowane przez Kancelarię Prezesa Rady Ministrów na rzecz dofinansowania projektów budowy sieci szerokopasmowych na obszarach białych NGA (dostęp nowej generacji), na których obecnie nie istnieją sieci dostępu nowej generacji.</w:t>
            </w:r>
          </w:p>
        </w:tc>
      </w:tr>
      <w:tr w:rsidR="00D8141F" w:rsidRPr="00A33B9F" w14:paraId="32950EA5"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76965EB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1BD409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 Stworzenie odpowiednich warunków dla zwiększenia liczebności kadry medycznej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463C91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25F783" w14:textId="6FFFD7D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prawa</w:t>
            </w:r>
            <w:r w:rsidR="00A33B9F" w:rsidRPr="00A33B9F">
              <w:rPr>
                <w:rFonts w:ascii="Times New Roman" w:hAnsi="Times New Roman"/>
                <w:noProof/>
              </w:rPr>
              <w:t xml:space="preserve"> o szk</w:t>
            </w:r>
            <w:r w:rsidRPr="00A33B9F">
              <w:rPr>
                <w:rFonts w:ascii="Times New Roman" w:hAnsi="Times New Roman"/>
                <w:noProof/>
              </w:rPr>
              <w:t>olnictwie wyższym</w:t>
            </w:r>
            <w:r w:rsidR="00A33B9F" w:rsidRPr="00A33B9F">
              <w:rPr>
                <w:rFonts w:ascii="Times New Roman" w:hAnsi="Times New Roman"/>
                <w:noProof/>
              </w:rPr>
              <w:t xml:space="preserve"> i nau</w:t>
            </w:r>
            <w:r w:rsidRPr="00A33B9F">
              <w:rPr>
                <w:rFonts w:ascii="Times New Roman" w:hAnsi="Times New Roman"/>
                <w:noProof/>
              </w:rPr>
              <w:t>ce</w:t>
            </w:r>
            <w:r w:rsidR="00A33B9F" w:rsidRPr="00A33B9F">
              <w:rPr>
                <w:rFonts w:ascii="Times New Roman" w:hAnsi="Times New Roman"/>
                <w:noProof/>
              </w:rPr>
              <w:t xml:space="preserve"> i ust</w:t>
            </w:r>
            <w:r w:rsidRPr="00A33B9F">
              <w:rPr>
                <w:rFonts w:ascii="Times New Roman" w:hAnsi="Times New Roman"/>
                <w:noProof/>
              </w:rPr>
              <w:t>awy</w:t>
            </w:r>
            <w:r w:rsidR="00A33B9F" w:rsidRPr="00A33B9F">
              <w:rPr>
                <w:rFonts w:ascii="Times New Roman" w:hAnsi="Times New Roman"/>
                <w:noProof/>
              </w:rPr>
              <w:t xml:space="preserve"> o zaw</w:t>
            </w:r>
            <w:r w:rsidRPr="00A33B9F">
              <w:rPr>
                <w:rFonts w:ascii="Times New Roman" w:hAnsi="Times New Roman"/>
                <w:noProof/>
              </w:rPr>
              <w:t>odach lekarza</w:t>
            </w:r>
            <w:r w:rsidR="00A33B9F" w:rsidRPr="00A33B9F">
              <w:rPr>
                <w:rFonts w:ascii="Times New Roman" w:hAnsi="Times New Roman"/>
                <w:noProof/>
              </w:rPr>
              <w:t xml:space="preserve"> i lek</w:t>
            </w:r>
            <w:r w:rsidRPr="00A33B9F">
              <w:rPr>
                <w:rFonts w:ascii="Times New Roman" w:hAnsi="Times New Roman"/>
                <w:noProof/>
              </w:rPr>
              <w:t>arza dentysty, aby zapewnić podstawę prawną wsparcia finansowego studentów medycyny</w:t>
            </w:r>
            <w:r w:rsidR="00A33B9F" w:rsidRPr="00A33B9F">
              <w:rPr>
                <w:rFonts w:ascii="Times New Roman" w:hAnsi="Times New Roman"/>
                <w:noProof/>
              </w:rPr>
              <w:t xml:space="preserve"> w Pol</w:t>
            </w:r>
            <w:r w:rsidRPr="00A33B9F">
              <w:rPr>
                <w:rFonts w:ascii="Times New Roman" w:hAnsi="Times New Roman"/>
                <w:noProof/>
              </w:rPr>
              <w:t>sce, począwszy od roku akademickiego 2021/2022.</w:t>
            </w:r>
          </w:p>
        </w:tc>
      </w:tr>
      <w:tr w:rsidR="00D8141F" w:rsidRPr="00A33B9F" w14:paraId="061F5986"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B5F904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D29G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C2FDB4D" w14:textId="627D764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D2.1.1. Inwestycje związane</w:t>
            </w:r>
            <w:r w:rsidR="00A33B9F" w:rsidRPr="00A33B9F">
              <w:rPr>
                <w:rFonts w:ascii="Times New Roman" w:hAnsi="Times New Roman"/>
                <w:noProof/>
              </w:rPr>
              <w:t xml:space="preserve"> z mod</w:t>
            </w:r>
            <w:r w:rsidRPr="00A33B9F">
              <w:rPr>
                <w:rFonts w:ascii="Times New Roman" w:hAnsi="Times New Roman"/>
                <w:noProof/>
              </w:rPr>
              <w:t>ernizacją</w:t>
            </w:r>
            <w:r w:rsidR="00A33B9F" w:rsidRPr="00A33B9F">
              <w:rPr>
                <w:rFonts w:ascii="Times New Roman" w:hAnsi="Times New Roman"/>
                <w:noProof/>
              </w:rPr>
              <w:t xml:space="preserve"> i dop</w:t>
            </w:r>
            <w:r w:rsidRPr="00A33B9F">
              <w:rPr>
                <w:rFonts w:ascii="Times New Roman" w:hAnsi="Times New Roman"/>
                <w:noProof/>
              </w:rPr>
              <w:t>osażeniem obiektów dydaktycznych</w:t>
            </w:r>
            <w:r w:rsidR="00A33B9F" w:rsidRPr="00A33B9F">
              <w:rPr>
                <w:rFonts w:ascii="Times New Roman" w:hAnsi="Times New Roman"/>
                <w:noProof/>
              </w:rPr>
              <w:t xml:space="preserve"> w zwi</w:t>
            </w:r>
            <w:r w:rsidRPr="00A33B9F">
              <w:rPr>
                <w:rFonts w:ascii="Times New Roman" w:hAnsi="Times New Roman"/>
                <w:noProof/>
              </w:rPr>
              <w:t>ązku ze zwiększeniem limitów przyjęć na studia medyczne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FCE01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2D4792" w14:textId="00D2B91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wprowadzającego system zachęt do podejmowania</w:t>
            </w:r>
            <w:r w:rsidR="00A33B9F" w:rsidRPr="00A33B9F">
              <w:rPr>
                <w:rFonts w:ascii="Times New Roman" w:hAnsi="Times New Roman"/>
                <w:noProof/>
              </w:rPr>
              <w:t xml:space="preserve"> i kon</w:t>
            </w:r>
            <w:r w:rsidRPr="00A33B9F">
              <w:rPr>
                <w:rFonts w:ascii="Times New Roman" w:hAnsi="Times New Roman"/>
                <w:noProof/>
              </w:rPr>
              <w:t>tynuowania studiów uniwersyteckich na wybranych kierunkach medycznych poprzez stypendia, finansowanie studiów</w:t>
            </w:r>
            <w:r w:rsidR="00A33B9F" w:rsidRPr="00A33B9F">
              <w:rPr>
                <w:rFonts w:ascii="Times New Roman" w:hAnsi="Times New Roman"/>
                <w:noProof/>
              </w:rPr>
              <w:t xml:space="preserve"> i men</w:t>
            </w:r>
            <w:r w:rsidRPr="00A33B9F">
              <w:rPr>
                <w:rFonts w:ascii="Times New Roman" w:hAnsi="Times New Roman"/>
                <w:noProof/>
              </w:rPr>
              <w:t>toring</w:t>
            </w:r>
          </w:p>
        </w:tc>
      </w:tr>
      <w:tr w:rsidR="00D8141F" w:rsidRPr="00A33B9F" w14:paraId="5095D395"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7BBA26F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E8G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2F75E84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E1.1.1 Wsparcie dla gospodarki niskoemisyjnej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5C290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9EF7D1" w14:textId="5943BA0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Ustanowienie instrumentu finansowego (Fundusz) na rzecz mobilności zeroemisyjnej/niskoemisyjnej</w:t>
            </w:r>
            <w:r w:rsidR="00A33B9F" w:rsidRPr="00A33B9F">
              <w:rPr>
                <w:rFonts w:ascii="Times New Roman" w:hAnsi="Times New Roman"/>
                <w:noProof/>
              </w:rPr>
              <w:t xml:space="preserve"> i ene</w:t>
            </w:r>
            <w:r w:rsidRPr="00A33B9F">
              <w:rPr>
                <w:rFonts w:ascii="Times New Roman" w:hAnsi="Times New Roman"/>
                <w:noProof/>
              </w:rPr>
              <w:t>rgii</w:t>
            </w:r>
          </w:p>
        </w:tc>
      </w:tr>
      <w:tr w:rsidR="00D8141F" w:rsidRPr="00A33B9F" w14:paraId="448FABE9"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1EE2DFF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E23G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0B78CC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E2.2 Zwiększenie bezpieczeństwa transportu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C9FA98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4373241" w14:textId="5F17343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aktów prawnych wprowadzających: pierwszeństwo pieszych na przejściach, jednakową prędkość na obszarach zabudowanych, minimalny odstęp pomiędzy pojazdami, cele</w:t>
            </w:r>
            <w:r w:rsidR="00A33B9F" w:rsidRPr="00A33B9F">
              <w:rPr>
                <w:rFonts w:ascii="Times New Roman" w:hAnsi="Times New Roman"/>
                <w:noProof/>
              </w:rPr>
              <w:t xml:space="preserve"> w zak</w:t>
            </w:r>
            <w:r w:rsidRPr="00A33B9F">
              <w:rPr>
                <w:rFonts w:ascii="Times New Roman" w:hAnsi="Times New Roman"/>
                <w:noProof/>
              </w:rPr>
              <w:t>resie bezpieczeństwa ruchu drogowego do</w:t>
            </w:r>
            <w:r w:rsidR="00A33B9F" w:rsidRPr="00A33B9F">
              <w:rPr>
                <w:rFonts w:ascii="Times New Roman" w:hAnsi="Times New Roman"/>
                <w:noProof/>
              </w:rPr>
              <w:t> </w:t>
            </w:r>
            <w:r w:rsidRPr="00A33B9F">
              <w:rPr>
                <w:rFonts w:ascii="Times New Roman" w:hAnsi="Times New Roman"/>
                <w:noProof/>
              </w:rPr>
              <w:t>2030</w:t>
            </w:r>
            <w:r w:rsidR="00A33B9F" w:rsidRPr="00A33B9F">
              <w:rPr>
                <w:rFonts w:ascii="Times New Roman" w:hAnsi="Times New Roman"/>
                <w:noProof/>
              </w:rPr>
              <w:t> </w:t>
            </w:r>
            <w:r w:rsidRPr="00A33B9F">
              <w:rPr>
                <w:rFonts w:ascii="Times New Roman" w:hAnsi="Times New Roman"/>
                <w:noProof/>
              </w:rPr>
              <w:t>r. (-50</w:t>
            </w:r>
            <w:r w:rsidR="00A33B9F" w:rsidRPr="00A33B9F">
              <w:rPr>
                <w:rFonts w:ascii="Times New Roman" w:hAnsi="Times New Roman"/>
                <w:noProof/>
              </w:rPr>
              <w:t> </w:t>
            </w:r>
            <w:r w:rsidRPr="00A33B9F">
              <w:rPr>
                <w:rFonts w:ascii="Times New Roman" w:hAnsi="Times New Roman"/>
                <w:noProof/>
              </w:rPr>
              <w:t>% ofiar śmiertelnych</w:t>
            </w:r>
            <w:r w:rsidR="00A33B9F" w:rsidRPr="00A33B9F">
              <w:rPr>
                <w:rFonts w:ascii="Times New Roman" w:hAnsi="Times New Roman"/>
                <w:noProof/>
              </w:rPr>
              <w:t xml:space="preserve"> w wyp</w:t>
            </w:r>
            <w:r w:rsidRPr="00A33B9F">
              <w:rPr>
                <w:rFonts w:ascii="Times New Roman" w:hAnsi="Times New Roman"/>
                <w:noProof/>
              </w:rPr>
              <w:t>adkach)</w:t>
            </w:r>
          </w:p>
        </w:tc>
      </w:tr>
      <w:tr w:rsidR="00D8141F" w:rsidRPr="00A33B9F" w14:paraId="4C2941E5"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56C2E5F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F1G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0DFE296D" w14:textId="716777E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F1.1 Reforma zwiększająca niezależność</w:t>
            </w:r>
            <w:r w:rsidR="00A33B9F" w:rsidRPr="00A33B9F">
              <w:rPr>
                <w:rFonts w:ascii="Times New Roman" w:hAnsi="Times New Roman"/>
                <w:noProof/>
              </w:rPr>
              <w:t xml:space="preserve"> i bez</w:t>
            </w:r>
            <w:r w:rsidRPr="00A33B9F">
              <w:rPr>
                <w:rFonts w:ascii="Times New Roman" w:hAnsi="Times New Roman"/>
                <w:noProof/>
              </w:rPr>
              <w:t>stronność sądów</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88008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8840C2" w14:textId="2D8CC78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reformy zwiększającej niezależność</w:t>
            </w:r>
            <w:r w:rsidR="00A33B9F" w:rsidRPr="00A33B9F">
              <w:rPr>
                <w:rFonts w:ascii="Times New Roman" w:hAnsi="Times New Roman"/>
                <w:noProof/>
              </w:rPr>
              <w:t xml:space="preserve"> i bez</w:t>
            </w:r>
            <w:r w:rsidRPr="00A33B9F">
              <w:rPr>
                <w:rFonts w:ascii="Times New Roman" w:hAnsi="Times New Roman"/>
                <w:noProof/>
              </w:rPr>
              <w:t>stronność sądów</w:t>
            </w:r>
          </w:p>
        </w:tc>
      </w:tr>
      <w:tr w:rsidR="00D8141F" w:rsidRPr="00A33B9F" w14:paraId="45BF946B"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5D1CBE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F2G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C8925DB" w14:textId="675D755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F2.1 Reforma mająca na celu poprawę sytuacji sędziów, których dotyczą uchwały Izby Dyscyplinarnej polskiego Sądu Najwyższego</w:t>
            </w:r>
            <w:r w:rsidR="00A33B9F" w:rsidRPr="00A33B9F">
              <w:rPr>
                <w:rFonts w:ascii="Times New Roman" w:hAnsi="Times New Roman"/>
                <w:noProof/>
              </w:rPr>
              <w:t xml:space="preserve"> w spr</w:t>
            </w:r>
            <w:r w:rsidRPr="00A33B9F">
              <w:rPr>
                <w:rFonts w:ascii="Times New Roman" w:hAnsi="Times New Roman"/>
                <w:noProof/>
              </w:rPr>
              <w:t>awach dyscyplinarnych</w:t>
            </w:r>
            <w:r w:rsidR="00A33B9F" w:rsidRPr="00A33B9F">
              <w:rPr>
                <w:rFonts w:ascii="Times New Roman" w:hAnsi="Times New Roman"/>
                <w:noProof/>
              </w:rPr>
              <w:t xml:space="preserve"> i dot</w:t>
            </w:r>
            <w:r w:rsidRPr="00A33B9F">
              <w:rPr>
                <w:rFonts w:ascii="Times New Roman" w:hAnsi="Times New Roman"/>
                <w:noProof/>
              </w:rPr>
              <w:t>yczących immunitetu sędziowskiego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47E057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A4AE4D" w14:textId="42CE4F2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reformy zwiększającej niezależność</w:t>
            </w:r>
            <w:r w:rsidR="00A33B9F" w:rsidRPr="00A33B9F">
              <w:rPr>
                <w:rFonts w:ascii="Times New Roman" w:hAnsi="Times New Roman"/>
                <w:noProof/>
              </w:rPr>
              <w:t xml:space="preserve"> i bez</w:t>
            </w:r>
            <w:r w:rsidRPr="00A33B9F">
              <w:rPr>
                <w:rFonts w:ascii="Times New Roman" w:hAnsi="Times New Roman"/>
                <w:noProof/>
              </w:rPr>
              <w:t>stronność sądów</w:t>
            </w:r>
          </w:p>
        </w:tc>
      </w:tr>
      <w:tr w:rsidR="00D8141F" w:rsidRPr="00A33B9F" w14:paraId="234F4961"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61AD9B8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F5G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5C35190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F3.1 Poprawa warunków realizacji KPO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0F2E0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D66FEF1" w14:textId="54C7EA5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 Wejście</w:t>
            </w:r>
            <w:r w:rsidR="00A33B9F" w:rsidRPr="00A33B9F">
              <w:rPr>
                <w:rFonts w:ascii="Times New Roman" w:hAnsi="Times New Roman"/>
                <w:noProof/>
              </w:rPr>
              <w:t xml:space="preserve"> w życ</w:t>
            </w:r>
            <w:r w:rsidRPr="00A33B9F">
              <w:rPr>
                <w:rFonts w:ascii="Times New Roman" w:hAnsi="Times New Roman"/>
                <w:noProof/>
              </w:rPr>
              <w:t>ie aktu prawnego ustanawiającego komitet monitorujący</w:t>
            </w:r>
            <w:r w:rsidR="00A33B9F" w:rsidRPr="00A33B9F">
              <w:rPr>
                <w:rFonts w:ascii="Times New Roman" w:hAnsi="Times New Roman"/>
                <w:noProof/>
              </w:rPr>
              <w:t xml:space="preserve"> i pow</w:t>
            </w:r>
            <w:r w:rsidRPr="00A33B9F">
              <w:rPr>
                <w:rFonts w:ascii="Times New Roman" w:hAnsi="Times New Roman"/>
                <w:noProof/>
              </w:rPr>
              <w:t>ierzającego mu nadzór nad skuteczną realizacją KPO</w:t>
            </w:r>
          </w:p>
        </w:tc>
      </w:tr>
      <w:tr w:rsidR="00D8141F" w:rsidRPr="00A33B9F" w14:paraId="234FE2FC" w14:textId="77777777" w:rsidTr="00AD0FC1">
        <w:trPr>
          <w:trHeight w:val="300"/>
        </w:trPr>
        <w:tc>
          <w:tcPr>
            <w:tcW w:w="1247" w:type="dxa"/>
            <w:tcBorders>
              <w:top w:val="single" w:sz="6" w:space="0" w:color="auto"/>
              <w:left w:val="single" w:sz="6" w:space="0" w:color="auto"/>
              <w:bottom w:val="single" w:sz="6" w:space="0" w:color="auto"/>
              <w:right w:val="single" w:sz="6" w:space="0" w:color="auto"/>
            </w:tcBorders>
            <w:shd w:val="clear" w:color="auto" w:fill="C6EFCE"/>
          </w:tcPr>
          <w:p w14:paraId="33BEE26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F6G</w:t>
            </w:r>
          </w:p>
        </w:tc>
        <w:tc>
          <w:tcPr>
            <w:tcW w:w="4320" w:type="dxa"/>
            <w:tcBorders>
              <w:top w:val="single" w:sz="6" w:space="0" w:color="auto"/>
              <w:left w:val="single" w:sz="6" w:space="0" w:color="auto"/>
              <w:bottom w:val="single" w:sz="6" w:space="0" w:color="auto"/>
              <w:right w:val="single" w:sz="6" w:space="0" w:color="auto"/>
            </w:tcBorders>
            <w:shd w:val="clear" w:color="auto" w:fill="C6EFCE"/>
          </w:tcPr>
          <w:p w14:paraId="3CFFA2C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F3.1 Poprawa warunków realizacji KPO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1418E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C0B9495" w14:textId="76C2329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przez ministra odpowiedzialnego za rozwój regionalny wytycznych ustanawiających zasady udziału zainteresowanych stron</w:t>
            </w:r>
            <w:r w:rsidR="00A33B9F" w:rsidRPr="00A33B9F">
              <w:rPr>
                <w:rFonts w:ascii="Times New Roman" w:hAnsi="Times New Roman"/>
                <w:noProof/>
              </w:rPr>
              <w:t xml:space="preserve"> i par</w:t>
            </w:r>
            <w:r w:rsidRPr="00A33B9F">
              <w:rPr>
                <w:rFonts w:ascii="Times New Roman" w:hAnsi="Times New Roman"/>
                <w:noProof/>
              </w:rPr>
              <w:t>tnerów społecznych</w:t>
            </w:r>
            <w:r w:rsidR="00A33B9F" w:rsidRPr="00A33B9F">
              <w:rPr>
                <w:rFonts w:ascii="Times New Roman" w:hAnsi="Times New Roman"/>
                <w:noProof/>
              </w:rPr>
              <w:t xml:space="preserve"> w rea</w:t>
            </w:r>
            <w:r w:rsidRPr="00A33B9F">
              <w:rPr>
                <w:rFonts w:ascii="Times New Roman" w:hAnsi="Times New Roman"/>
                <w:noProof/>
              </w:rPr>
              <w:t>lizacji KPO</w:t>
            </w:r>
          </w:p>
        </w:tc>
      </w:tr>
      <w:tr w:rsidR="00D8141F" w:rsidRPr="00A33B9F" w14:paraId="22BCD263" w14:textId="77777777" w:rsidTr="00AD0FC1">
        <w:tc>
          <w:tcPr>
            <w:tcW w:w="1247" w:type="dxa"/>
            <w:tcBorders>
              <w:top w:val="single" w:sz="6" w:space="0" w:color="auto"/>
              <w:left w:val="single" w:sz="6" w:space="0" w:color="auto"/>
              <w:bottom w:val="single" w:sz="4" w:space="0" w:color="auto"/>
              <w:right w:val="single" w:sz="6" w:space="0" w:color="auto"/>
            </w:tcBorders>
            <w:shd w:val="clear" w:color="auto" w:fill="C6EFCE"/>
          </w:tcPr>
          <w:p w14:paraId="4AC3A2A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F7G</w:t>
            </w:r>
          </w:p>
        </w:tc>
        <w:tc>
          <w:tcPr>
            <w:tcW w:w="4320" w:type="dxa"/>
            <w:tcBorders>
              <w:top w:val="single" w:sz="6" w:space="0" w:color="auto"/>
              <w:left w:val="single" w:sz="6" w:space="0" w:color="auto"/>
              <w:bottom w:val="single" w:sz="4" w:space="0" w:color="auto"/>
              <w:right w:val="single" w:sz="6" w:space="0" w:color="auto"/>
            </w:tcBorders>
            <w:shd w:val="clear" w:color="auto" w:fill="C6EFCE"/>
          </w:tcPr>
          <w:p w14:paraId="4E42E67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F3.1 Poprawa warunków realizacji KPO</w:t>
            </w:r>
          </w:p>
        </w:tc>
        <w:tc>
          <w:tcPr>
            <w:tcW w:w="1245" w:type="dxa"/>
            <w:tcBorders>
              <w:top w:val="single" w:sz="6" w:space="0" w:color="auto"/>
              <w:left w:val="single" w:sz="6" w:space="0" w:color="auto"/>
              <w:bottom w:val="single" w:sz="4" w:space="0" w:color="auto"/>
              <w:right w:val="single" w:sz="6" w:space="0" w:color="auto"/>
            </w:tcBorders>
            <w:shd w:val="clear" w:color="auto" w:fill="C6EFCE"/>
          </w:tcPr>
          <w:p w14:paraId="77900CE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4" w:space="0" w:color="auto"/>
              <w:right w:val="single" w:sz="6" w:space="0" w:color="auto"/>
            </w:tcBorders>
            <w:shd w:val="clear" w:color="auto" w:fill="C6EFCE"/>
          </w:tcPr>
          <w:p w14:paraId="6C4B605D" w14:textId="69933C1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Zapewnienie skutecznego audytu</w:t>
            </w:r>
            <w:r w:rsidR="00A33B9F" w:rsidRPr="00A33B9F">
              <w:rPr>
                <w:rFonts w:ascii="Times New Roman" w:hAnsi="Times New Roman"/>
                <w:noProof/>
              </w:rPr>
              <w:t xml:space="preserve"> i kon</w:t>
            </w:r>
            <w:r w:rsidRPr="00A33B9F">
              <w:rPr>
                <w:rFonts w:ascii="Times New Roman" w:hAnsi="Times New Roman"/>
                <w:noProof/>
              </w:rPr>
              <w:t>troli</w:t>
            </w:r>
            <w:r w:rsidR="00A33B9F" w:rsidRPr="00A33B9F">
              <w:rPr>
                <w:rFonts w:ascii="Times New Roman" w:hAnsi="Times New Roman"/>
                <w:noProof/>
              </w:rPr>
              <w:t xml:space="preserve"> w ram</w:t>
            </w:r>
            <w:r w:rsidRPr="00A33B9F">
              <w:rPr>
                <w:rFonts w:ascii="Times New Roman" w:hAnsi="Times New Roman"/>
                <w:noProof/>
              </w:rPr>
              <w:t>ach realizacji RRF; ochrona interesów finansowych Unii</w:t>
            </w:r>
          </w:p>
        </w:tc>
      </w:tr>
      <w:tr w:rsidR="00D8141F" w:rsidRPr="00A33B9F" w14:paraId="5D45829A" w14:textId="77777777" w:rsidTr="00AD0FC1">
        <w:tc>
          <w:tcPr>
            <w:tcW w:w="1247" w:type="dxa"/>
            <w:tcBorders>
              <w:top w:val="single" w:sz="4" w:space="0" w:color="auto"/>
              <w:left w:val="single" w:sz="6" w:space="0" w:color="auto"/>
              <w:bottom w:val="single" w:sz="6" w:space="0" w:color="auto"/>
              <w:right w:val="single" w:sz="6" w:space="0" w:color="auto"/>
            </w:tcBorders>
            <w:shd w:val="clear" w:color="auto" w:fill="C6EFCE"/>
            <w:vAlign w:val="center"/>
          </w:tcPr>
          <w:p w14:paraId="40DFEA85" w14:textId="77777777" w:rsidR="00D8141F" w:rsidRPr="00A33B9F" w:rsidRDefault="00D8141F" w:rsidP="00753103">
            <w:pPr>
              <w:spacing w:line="240" w:lineRule="auto"/>
              <w:rPr>
                <w:rFonts w:ascii="Times New Roman" w:eastAsia="Times New Roman" w:hAnsi="Times New Roman" w:cs="Times New Roman"/>
                <w:noProof/>
              </w:rPr>
            </w:pPr>
          </w:p>
        </w:tc>
        <w:tc>
          <w:tcPr>
            <w:tcW w:w="4320" w:type="dxa"/>
            <w:tcBorders>
              <w:top w:val="single" w:sz="4" w:space="0" w:color="auto"/>
              <w:left w:val="single" w:sz="6" w:space="0" w:color="auto"/>
              <w:bottom w:val="single" w:sz="6" w:space="0" w:color="auto"/>
              <w:right w:val="single" w:sz="6" w:space="0" w:color="auto"/>
            </w:tcBorders>
            <w:shd w:val="clear" w:color="auto" w:fill="C6EFCE"/>
            <w:vAlign w:val="center"/>
          </w:tcPr>
          <w:p w14:paraId="6934BFE3"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4" w:space="0" w:color="auto"/>
              <w:left w:val="single" w:sz="6" w:space="0" w:color="auto"/>
              <w:bottom w:val="single" w:sz="6" w:space="0" w:color="auto"/>
              <w:right w:val="single" w:sz="6" w:space="0" w:color="auto"/>
            </w:tcBorders>
            <w:shd w:val="clear" w:color="auto" w:fill="C6EFCE"/>
            <w:vAlign w:val="center"/>
          </w:tcPr>
          <w:p w14:paraId="27B263E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4" w:space="0" w:color="auto"/>
              <w:left w:val="single" w:sz="6" w:space="0" w:color="auto"/>
              <w:bottom w:val="single" w:sz="6" w:space="0" w:color="auto"/>
              <w:right w:val="single" w:sz="6" w:space="0" w:color="auto"/>
            </w:tcBorders>
            <w:shd w:val="clear" w:color="auto" w:fill="C6EFCE"/>
            <w:vAlign w:val="center"/>
          </w:tcPr>
          <w:p w14:paraId="01B0234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2 758 738 902 EUR </w:t>
            </w:r>
          </w:p>
        </w:tc>
      </w:tr>
      <w:bookmarkEnd w:id="4"/>
    </w:tbl>
    <w:p w14:paraId="4EB02FCE"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5826C4DB"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2.1.2 Druga transza (wsparcie bezzwrotne):</w:t>
      </w:r>
    </w:p>
    <w:tbl>
      <w:tblPr>
        <w:tblW w:w="10482" w:type="dxa"/>
        <w:tblLayout w:type="fixed"/>
        <w:tblLook w:val="0000" w:firstRow="0" w:lastRow="0" w:firstColumn="0" w:lastColumn="0" w:noHBand="0" w:noVBand="0"/>
      </w:tblPr>
      <w:tblGrid>
        <w:gridCol w:w="1350"/>
        <w:gridCol w:w="3960"/>
        <w:gridCol w:w="1245"/>
        <w:gridCol w:w="3927"/>
      </w:tblGrid>
      <w:tr w:rsidR="00D8141F" w:rsidRPr="00A33B9F" w14:paraId="1715C7AE" w14:textId="77777777" w:rsidTr="1CE0CE0C">
        <w:trPr>
          <w:trHeight w:val="764"/>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625AE94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4B48CA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D84DB8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CE6A35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54422C3A"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3B00A27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2663CFA" w14:textId="55F7DC1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A1.3.1 Wdrożenie reformy planowania</w:t>
            </w:r>
            <w:r w:rsidR="00A33B9F" w:rsidRPr="00A33B9F">
              <w:rPr>
                <w:rFonts w:ascii="Times New Roman" w:hAnsi="Times New Roman"/>
                <w:noProof/>
              </w:rPr>
              <w:t xml:space="preserve"> i zag</w:t>
            </w:r>
            <w:r w:rsidRPr="00A33B9F">
              <w:rPr>
                <w:rFonts w:ascii="Times New Roman" w:hAnsi="Times New Roman"/>
                <w:noProof/>
              </w:rPr>
              <w:t>ospodarowania przestrzennego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73E09B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0711C9" w14:textId="5BD964B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Opublikowanie dokumentu,</w:t>
            </w:r>
            <w:r w:rsidR="00A33B9F" w:rsidRPr="00A33B9F">
              <w:rPr>
                <w:rFonts w:ascii="Times New Roman" w:hAnsi="Times New Roman"/>
                <w:noProof/>
              </w:rPr>
              <w:t xml:space="preserve"> w któ</w:t>
            </w:r>
            <w:r w:rsidRPr="00A33B9F">
              <w:rPr>
                <w:rFonts w:ascii="Times New Roman" w:hAnsi="Times New Roman"/>
                <w:noProof/>
              </w:rPr>
              <w:t>rym określono mechanizm przydziału</w:t>
            </w:r>
            <w:r w:rsidR="00A33B9F" w:rsidRPr="00A33B9F">
              <w:rPr>
                <w:rFonts w:ascii="Times New Roman" w:hAnsi="Times New Roman"/>
                <w:noProof/>
              </w:rPr>
              <w:t xml:space="preserve"> i ori</w:t>
            </w:r>
            <w:r w:rsidRPr="00A33B9F">
              <w:rPr>
                <w:rFonts w:ascii="Times New Roman" w:hAnsi="Times New Roman"/>
                <w:noProof/>
              </w:rPr>
              <w:t>entacyjną kwotę wsparcia, jakie ma zostać przyznane każdej gminie</w:t>
            </w:r>
            <w:r w:rsidR="00A33B9F" w:rsidRPr="00A33B9F">
              <w:rPr>
                <w:rFonts w:ascii="Times New Roman" w:hAnsi="Times New Roman"/>
                <w:noProof/>
              </w:rPr>
              <w:t xml:space="preserve"> w Pol</w:t>
            </w:r>
            <w:r w:rsidRPr="00A33B9F">
              <w:rPr>
                <w:rFonts w:ascii="Times New Roman" w:hAnsi="Times New Roman"/>
                <w:noProof/>
              </w:rPr>
              <w:t>sce na wdrożenie reformy planowania</w:t>
            </w:r>
            <w:r w:rsidR="00A33B9F" w:rsidRPr="00A33B9F">
              <w:rPr>
                <w:rFonts w:ascii="Times New Roman" w:hAnsi="Times New Roman"/>
                <w:noProof/>
              </w:rPr>
              <w:t xml:space="preserve"> i zag</w:t>
            </w:r>
            <w:r w:rsidRPr="00A33B9F">
              <w:rPr>
                <w:rFonts w:ascii="Times New Roman" w:hAnsi="Times New Roman"/>
                <w:noProof/>
              </w:rPr>
              <w:t>ospodarowania przestrzennego</w:t>
            </w:r>
          </w:p>
        </w:tc>
      </w:tr>
      <w:tr w:rsidR="00D8141F" w:rsidRPr="00A33B9F" w14:paraId="13E5A899"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09A78F9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C3CDB5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A3.1.1 Wsparcie rozwoju nowoczesnego szkolenia zawodowego, szkolnictwa wyższego oraz uczenia się przez całe życie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5B67A2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783DC0" w14:textId="6F5A855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Powołanie funkcjonujących Wojewódzkich Zespołów Koordynacji koordynujących politykę</w:t>
            </w:r>
            <w:r w:rsidR="00A33B9F" w:rsidRPr="00A33B9F">
              <w:rPr>
                <w:rFonts w:ascii="Times New Roman" w:hAnsi="Times New Roman"/>
                <w:noProof/>
              </w:rPr>
              <w:t xml:space="preserve"> w zak</w:t>
            </w:r>
            <w:r w:rsidRPr="00A33B9F">
              <w:rPr>
                <w:rFonts w:ascii="Times New Roman" w:hAnsi="Times New Roman"/>
                <w:noProof/>
              </w:rPr>
              <w:t>resie kształcenia</w:t>
            </w:r>
            <w:r w:rsidR="00A33B9F" w:rsidRPr="00A33B9F">
              <w:rPr>
                <w:rFonts w:ascii="Times New Roman" w:hAnsi="Times New Roman"/>
                <w:noProof/>
              </w:rPr>
              <w:t xml:space="preserve"> i szk</w:t>
            </w:r>
            <w:r w:rsidRPr="00A33B9F">
              <w:rPr>
                <w:rFonts w:ascii="Times New Roman" w:hAnsi="Times New Roman"/>
                <w:noProof/>
              </w:rPr>
              <w:t>olenia zawodowego oraz uczenia się przez całe życie</w:t>
            </w:r>
          </w:p>
        </w:tc>
      </w:tr>
      <w:tr w:rsidR="00D8141F" w:rsidRPr="00A33B9F" w14:paraId="46258D87"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6C81B1B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8CE71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A4.1 Efektywne instytucje na rzecz rynku pracy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68B581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AC05828" w14:textId="35224A4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nowej ustawy</w:t>
            </w:r>
            <w:r w:rsidR="00A33B9F" w:rsidRPr="00A33B9F">
              <w:rPr>
                <w:rFonts w:ascii="Times New Roman" w:hAnsi="Times New Roman"/>
                <w:noProof/>
              </w:rPr>
              <w:t xml:space="preserve"> o pub</w:t>
            </w:r>
            <w:r w:rsidRPr="00A33B9F">
              <w:rPr>
                <w:rFonts w:ascii="Times New Roman" w:hAnsi="Times New Roman"/>
                <w:noProof/>
              </w:rPr>
              <w:t>licznych służbach zatrudnienia, ustawy</w:t>
            </w:r>
            <w:r w:rsidR="00A33B9F" w:rsidRPr="00A33B9F">
              <w:rPr>
                <w:rFonts w:ascii="Times New Roman" w:hAnsi="Times New Roman"/>
                <w:noProof/>
              </w:rPr>
              <w:t xml:space="preserve"> o zat</w:t>
            </w:r>
            <w:r w:rsidRPr="00A33B9F">
              <w:rPr>
                <w:rFonts w:ascii="Times New Roman" w:hAnsi="Times New Roman"/>
                <w:noProof/>
              </w:rPr>
              <w:t>rudnianiu obywateli państw trzecich oraz ustawy</w:t>
            </w:r>
            <w:r w:rsidR="00A33B9F" w:rsidRPr="00A33B9F">
              <w:rPr>
                <w:rFonts w:ascii="Times New Roman" w:hAnsi="Times New Roman"/>
                <w:noProof/>
              </w:rPr>
              <w:t xml:space="preserve"> o zaw</w:t>
            </w:r>
            <w:r w:rsidRPr="00A33B9F">
              <w:rPr>
                <w:rFonts w:ascii="Times New Roman" w:hAnsi="Times New Roman"/>
                <w:noProof/>
              </w:rPr>
              <w:t>ieraniu niektórych umów</w:t>
            </w:r>
            <w:r w:rsidR="00A33B9F" w:rsidRPr="00A33B9F">
              <w:rPr>
                <w:rFonts w:ascii="Times New Roman" w:hAnsi="Times New Roman"/>
                <w:noProof/>
              </w:rPr>
              <w:t xml:space="preserve"> o pra</w:t>
            </w:r>
            <w:r w:rsidRPr="00A33B9F">
              <w:rPr>
                <w:rFonts w:ascii="Times New Roman" w:hAnsi="Times New Roman"/>
                <w:noProof/>
              </w:rPr>
              <w:t>cę</w:t>
            </w:r>
            <w:r w:rsidR="00A33B9F" w:rsidRPr="00A33B9F">
              <w:rPr>
                <w:rFonts w:ascii="Times New Roman" w:hAnsi="Times New Roman"/>
                <w:noProof/>
              </w:rPr>
              <w:t xml:space="preserve"> w spo</w:t>
            </w:r>
            <w:r w:rsidRPr="00A33B9F">
              <w:rPr>
                <w:rFonts w:ascii="Times New Roman" w:hAnsi="Times New Roman"/>
                <w:noProof/>
              </w:rPr>
              <w:t>sób elektroniczny:</w:t>
            </w:r>
          </w:p>
          <w:p w14:paraId="5002C787" w14:textId="3DC0038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wprowadzanie zmian</w:t>
            </w:r>
            <w:r w:rsidR="00A33B9F" w:rsidRPr="00A33B9F">
              <w:rPr>
                <w:rFonts w:ascii="Times New Roman" w:hAnsi="Times New Roman"/>
                <w:noProof/>
              </w:rPr>
              <w:t xml:space="preserve"> w pub</w:t>
            </w:r>
            <w:r w:rsidRPr="00A33B9F">
              <w:rPr>
                <w:rFonts w:ascii="Times New Roman" w:hAnsi="Times New Roman"/>
                <w:noProof/>
              </w:rPr>
              <w:t>licznych służbach zatrudnienia</w:t>
            </w:r>
            <w:r w:rsidR="00A33B9F" w:rsidRPr="00A33B9F">
              <w:rPr>
                <w:rFonts w:ascii="Times New Roman" w:hAnsi="Times New Roman"/>
                <w:noProof/>
              </w:rPr>
              <w:t xml:space="preserve"> i akt</w:t>
            </w:r>
            <w:r w:rsidRPr="00A33B9F">
              <w:rPr>
                <w:rFonts w:ascii="Times New Roman" w:hAnsi="Times New Roman"/>
                <w:noProof/>
              </w:rPr>
              <w:t>ywnej polityce rynku pracy</w:t>
            </w:r>
            <w:r w:rsidR="00A33B9F" w:rsidRPr="00A33B9F">
              <w:rPr>
                <w:rFonts w:ascii="Times New Roman" w:hAnsi="Times New Roman"/>
                <w:noProof/>
              </w:rPr>
              <w:t xml:space="preserve"> w cel</w:t>
            </w:r>
            <w:r w:rsidRPr="00A33B9F">
              <w:rPr>
                <w:rFonts w:ascii="Times New Roman" w:hAnsi="Times New Roman"/>
                <w:noProof/>
              </w:rPr>
              <w:t>u zwiększenia aktywności zawodowej</w:t>
            </w:r>
          </w:p>
          <w:p w14:paraId="15AD6D7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zmniejszanie barier administracyjnych przy zatrudnianiu cudzoziemców</w:t>
            </w:r>
          </w:p>
          <w:p w14:paraId="394C7B5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upraszczanie procesu zawierania niektórych umów</w:t>
            </w:r>
          </w:p>
        </w:tc>
      </w:tr>
      <w:tr w:rsidR="00D8141F" w:rsidRPr="00A33B9F" w14:paraId="56D50C2D"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29B35FB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6BC9F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A4.1 Efektywne instytucje na rzecz rynku pracy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F30FF4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BEE147" w14:textId="5602D61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Przeprowadzenie procesu konsultacji</w:t>
            </w:r>
            <w:r w:rsidR="00A33B9F" w:rsidRPr="00A33B9F">
              <w:rPr>
                <w:rFonts w:ascii="Times New Roman" w:hAnsi="Times New Roman"/>
                <w:noProof/>
              </w:rPr>
              <w:t xml:space="preserve"> z par</w:t>
            </w:r>
            <w:r w:rsidRPr="00A33B9F">
              <w:rPr>
                <w:rFonts w:ascii="Times New Roman" w:hAnsi="Times New Roman"/>
                <w:noProof/>
              </w:rPr>
              <w:t>tnerami społecznymi na temat potencjału porozumień zbiorowych oraz przeprowadzenie kompleksowego badania dotyczącego potencjalnej roli jednolitej umowy</w:t>
            </w:r>
            <w:r w:rsidR="00A33B9F" w:rsidRPr="00A33B9F">
              <w:rPr>
                <w:rFonts w:ascii="Times New Roman" w:hAnsi="Times New Roman"/>
                <w:noProof/>
              </w:rPr>
              <w:t xml:space="preserve"> o pra</w:t>
            </w:r>
            <w:r w:rsidRPr="00A33B9F">
              <w:rPr>
                <w:rFonts w:ascii="Times New Roman" w:hAnsi="Times New Roman"/>
                <w:noProof/>
              </w:rPr>
              <w:t>cę</w:t>
            </w:r>
            <w:r w:rsidR="00A33B9F" w:rsidRPr="00A33B9F">
              <w:rPr>
                <w:rFonts w:ascii="Times New Roman" w:hAnsi="Times New Roman"/>
                <w:noProof/>
              </w:rPr>
              <w:t xml:space="preserve"> w zap</w:t>
            </w:r>
            <w:r w:rsidRPr="00A33B9F">
              <w:rPr>
                <w:rFonts w:ascii="Times New Roman" w:hAnsi="Times New Roman"/>
                <w:noProof/>
              </w:rPr>
              <w:t>ewnianiu nowej elastyczności</w:t>
            </w:r>
            <w:r w:rsidR="00A33B9F" w:rsidRPr="00A33B9F">
              <w:rPr>
                <w:rFonts w:ascii="Times New Roman" w:hAnsi="Times New Roman"/>
                <w:noProof/>
              </w:rPr>
              <w:t xml:space="preserve"> i bez</w:t>
            </w:r>
            <w:r w:rsidRPr="00A33B9F">
              <w:rPr>
                <w:rFonts w:ascii="Times New Roman" w:hAnsi="Times New Roman"/>
                <w:noProof/>
              </w:rPr>
              <w:t>pieczeństwa na polskim rynku pracy</w:t>
            </w:r>
          </w:p>
        </w:tc>
      </w:tr>
      <w:tr w:rsidR="00D8141F" w:rsidRPr="00A33B9F" w14:paraId="7C442AFC"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4640FAB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5DEBBDC" w14:textId="44940A0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A4.4 Uelastycznienie form zatrudnienia</w:t>
            </w:r>
            <w:r w:rsidR="00A33B9F" w:rsidRPr="00A33B9F">
              <w:rPr>
                <w:rFonts w:ascii="Times New Roman" w:hAnsi="Times New Roman"/>
                <w:noProof/>
              </w:rPr>
              <w:t xml:space="preserve"> i wpr</w:t>
            </w:r>
            <w:r w:rsidRPr="00A33B9F">
              <w:rPr>
                <w:rFonts w:ascii="Times New Roman" w:hAnsi="Times New Roman"/>
                <w:noProof/>
              </w:rPr>
              <w:t>owadzenie pracy zdalnej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D9B30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B6C22E" w14:textId="17C7B13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Kodeksu pracy wprowadzającej na stałe do przepisów Kodeksu pracy instytucję pracy zdalnej oraz elastyczne formy organizacji czasu pracy</w:t>
            </w:r>
          </w:p>
        </w:tc>
      </w:tr>
      <w:tr w:rsidR="00D8141F" w:rsidRPr="00A33B9F" w14:paraId="11E0DDC1"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5E32024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8F2E72" w14:textId="638BA40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A4.5 Przedłużanie kariery zawodowej</w:t>
            </w:r>
            <w:r w:rsidR="00A33B9F" w:rsidRPr="00A33B9F">
              <w:rPr>
                <w:rFonts w:ascii="Times New Roman" w:hAnsi="Times New Roman"/>
                <w:noProof/>
              </w:rPr>
              <w:t xml:space="preserve"> i pro</w:t>
            </w:r>
            <w:r w:rsidRPr="00A33B9F">
              <w:rPr>
                <w:rFonts w:ascii="Times New Roman" w:hAnsi="Times New Roman"/>
                <w:noProof/>
              </w:rPr>
              <w:t>mowanie pracy po przekroczeniu ustawowego wieku emerytalnego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F5A98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57558EA" w14:textId="23829D8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pod</w:t>
            </w:r>
            <w:r w:rsidRPr="00A33B9F">
              <w:rPr>
                <w:rFonts w:ascii="Times New Roman" w:hAnsi="Times New Roman"/>
                <w:noProof/>
              </w:rPr>
              <w:t>atku dochodowym od osób fizycznych wprowadzającej od</w:t>
            </w:r>
            <w:r w:rsidR="00A33B9F" w:rsidRPr="00A33B9F">
              <w:rPr>
                <w:rFonts w:ascii="Times New Roman" w:hAnsi="Times New Roman"/>
                <w:noProof/>
              </w:rPr>
              <w:t> </w:t>
            </w:r>
            <w:r w:rsidRPr="00A33B9F">
              <w:rPr>
                <w:rFonts w:ascii="Times New Roman" w:hAnsi="Times New Roman"/>
                <w:noProof/>
              </w:rPr>
              <w:t>2023</w:t>
            </w:r>
            <w:r w:rsidR="00A33B9F" w:rsidRPr="00A33B9F">
              <w:rPr>
                <w:rFonts w:ascii="Times New Roman" w:hAnsi="Times New Roman"/>
                <w:noProof/>
              </w:rPr>
              <w:t> </w:t>
            </w:r>
            <w:r w:rsidRPr="00A33B9F">
              <w:rPr>
                <w:rFonts w:ascii="Times New Roman" w:hAnsi="Times New Roman"/>
                <w:noProof/>
              </w:rPr>
              <w:t>r. obniżenie stawki podatku dochodowego od osób fizycznych dla osób, które osiągnęły wiek emerytalny</w:t>
            </w:r>
            <w:r w:rsidR="00A33B9F" w:rsidRPr="00A33B9F">
              <w:rPr>
                <w:rFonts w:ascii="Times New Roman" w:hAnsi="Times New Roman"/>
                <w:noProof/>
              </w:rPr>
              <w:t xml:space="preserve"> i nad</w:t>
            </w:r>
            <w:r w:rsidRPr="00A33B9F">
              <w:rPr>
                <w:rFonts w:ascii="Times New Roman" w:hAnsi="Times New Roman"/>
                <w:noProof/>
              </w:rPr>
              <w:t>al pracują</w:t>
            </w:r>
          </w:p>
        </w:tc>
      </w:tr>
      <w:tr w:rsidR="00D8141F" w:rsidRPr="00A33B9F" w14:paraId="0CBFF828"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7AA7F94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913BDB1" w14:textId="69B2822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 Czyste powietrze</w:t>
            </w:r>
            <w:r w:rsidR="00A33B9F" w:rsidRPr="00A33B9F">
              <w:rPr>
                <w:rFonts w:ascii="Times New Roman" w:hAnsi="Times New Roman"/>
                <w:noProof/>
              </w:rPr>
              <w:t xml:space="preserve"> i efe</w:t>
            </w:r>
            <w:r w:rsidRPr="00A33B9F">
              <w:rPr>
                <w:rFonts w:ascii="Times New Roman" w:hAnsi="Times New Roman"/>
                <w:noProof/>
              </w:rPr>
              <w:t>ktywność 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60E42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1C7BA4" w14:textId="5CB1FE3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zmiany rozporządzenia Ministra Klimatu</w:t>
            </w:r>
            <w:r w:rsidR="00A33B9F" w:rsidRPr="00A33B9F">
              <w:rPr>
                <w:rFonts w:ascii="Times New Roman" w:hAnsi="Times New Roman"/>
                <w:noProof/>
              </w:rPr>
              <w:t xml:space="preserve"> i Śro</w:t>
            </w:r>
            <w:r w:rsidRPr="00A33B9F">
              <w:rPr>
                <w:rFonts w:ascii="Times New Roman" w:hAnsi="Times New Roman"/>
                <w:noProof/>
              </w:rPr>
              <w:t>dowiska</w:t>
            </w:r>
            <w:r w:rsidR="00A33B9F" w:rsidRPr="00A33B9F">
              <w:rPr>
                <w:rFonts w:ascii="Times New Roman" w:hAnsi="Times New Roman"/>
                <w:noProof/>
              </w:rPr>
              <w:t xml:space="preserve"> w spr</w:t>
            </w:r>
            <w:r w:rsidRPr="00A33B9F">
              <w:rPr>
                <w:rFonts w:ascii="Times New Roman" w:hAnsi="Times New Roman"/>
                <w:noProof/>
              </w:rPr>
              <w:t>awie norm jakości dla paliw stałych</w:t>
            </w:r>
          </w:p>
        </w:tc>
      </w:tr>
      <w:tr w:rsidR="00D8141F" w:rsidRPr="00A33B9F" w14:paraId="5A785958"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3B9FC52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B5AA8CD" w14:textId="4880BDE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C1.1. Ułatwienie rozwoju infrastruktury sieciowej</w:t>
            </w:r>
            <w:r w:rsidR="00A33B9F" w:rsidRPr="00A33B9F">
              <w:rPr>
                <w:rFonts w:ascii="Times New Roman" w:hAnsi="Times New Roman"/>
                <w:noProof/>
              </w:rPr>
              <w:t xml:space="preserve"> w cel</w:t>
            </w:r>
            <w:r w:rsidRPr="00A33B9F">
              <w:rPr>
                <w:rFonts w:ascii="Times New Roman" w:hAnsi="Times New Roman"/>
                <w:noProof/>
              </w:rPr>
              <w:t>u zapewnienia powszechnego dostępu do szybkiego internetu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0ABF8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636076" w14:textId="57FAACE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rozporządzenia</w:t>
            </w:r>
            <w:r w:rsidR="00A33B9F" w:rsidRPr="00A33B9F">
              <w:rPr>
                <w:rFonts w:ascii="Times New Roman" w:hAnsi="Times New Roman"/>
                <w:noProof/>
              </w:rPr>
              <w:t xml:space="preserve"> w spr</w:t>
            </w:r>
            <w:r w:rsidRPr="00A33B9F">
              <w:rPr>
                <w:rFonts w:ascii="Times New Roman" w:hAnsi="Times New Roman"/>
                <w:noProof/>
              </w:rPr>
              <w:t>awie Pojedynczego Punktu Informacyjnego przez Prezesa Rady Ministrów</w:t>
            </w:r>
          </w:p>
        </w:tc>
      </w:tr>
      <w:tr w:rsidR="00D8141F" w:rsidRPr="00A33B9F" w14:paraId="31DC3CC0"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560873F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549867" w14:textId="461E571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 Zwiększenie skali zastosowań rozwiązań cyfrowych</w:t>
            </w:r>
            <w:r w:rsidR="00A33B9F" w:rsidRPr="00A33B9F">
              <w:rPr>
                <w:rFonts w:ascii="Times New Roman" w:hAnsi="Times New Roman"/>
                <w:noProof/>
              </w:rPr>
              <w:t xml:space="preserve"> w sfe</w:t>
            </w:r>
            <w:r w:rsidRPr="00A33B9F">
              <w:rPr>
                <w:rFonts w:ascii="Times New Roman" w:hAnsi="Times New Roman"/>
                <w:noProof/>
              </w:rPr>
              <w:t>rze publicznej, gospodarce</w:t>
            </w:r>
            <w:r w:rsidR="00A33B9F" w:rsidRPr="00A33B9F">
              <w:rPr>
                <w:rFonts w:ascii="Times New Roman" w:hAnsi="Times New Roman"/>
                <w:noProof/>
              </w:rPr>
              <w:t xml:space="preserve"> i spo</w:t>
            </w:r>
            <w:r w:rsidRPr="00A33B9F">
              <w:rPr>
                <w:rFonts w:ascii="Times New Roman" w:hAnsi="Times New Roman"/>
                <w:noProof/>
              </w:rPr>
              <w:t>łeczeństwie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167759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91626D4" w14:textId="34850B7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Minimalne wiążące standardy wyposażenia wszystkich szkół</w:t>
            </w:r>
            <w:r w:rsidR="00A33B9F" w:rsidRPr="00A33B9F">
              <w:rPr>
                <w:rFonts w:ascii="Times New Roman" w:hAnsi="Times New Roman"/>
                <w:noProof/>
              </w:rPr>
              <w:t xml:space="preserve"> w inf</w:t>
            </w:r>
            <w:r w:rsidRPr="00A33B9F">
              <w:rPr>
                <w:rFonts w:ascii="Times New Roman" w:hAnsi="Times New Roman"/>
                <w:noProof/>
              </w:rPr>
              <w:t>rastrukturę cyfrową</w:t>
            </w:r>
            <w:r w:rsidR="00A33B9F" w:rsidRPr="00A33B9F">
              <w:rPr>
                <w:rFonts w:ascii="Times New Roman" w:hAnsi="Times New Roman"/>
                <w:noProof/>
              </w:rPr>
              <w:t xml:space="preserve"> w cel</w:t>
            </w:r>
            <w:r w:rsidRPr="00A33B9F">
              <w:rPr>
                <w:rFonts w:ascii="Times New Roman" w:hAnsi="Times New Roman"/>
                <w:noProof/>
              </w:rPr>
              <w:t>u umożliwienia wykorzystania technologii cyfrowych</w:t>
            </w:r>
            <w:r w:rsidR="00A33B9F" w:rsidRPr="00A33B9F">
              <w:rPr>
                <w:rFonts w:ascii="Times New Roman" w:hAnsi="Times New Roman"/>
                <w:noProof/>
              </w:rPr>
              <w:t xml:space="preserve"> w nau</w:t>
            </w:r>
            <w:r w:rsidRPr="00A33B9F">
              <w:rPr>
                <w:rFonts w:ascii="Times New Roman" w:hAnsi="Times New Roman"/>
                <w:noProof/>
              </w:rPr>
              <w:t>czaniu na równym poziomie</w:t>
            </w:r>
            <w:r w:rsidR="00A33B9F" w:rsidRPr="00A33B9F">
              <w:rPr>
                <w:rFonts w:ascii="Times New Roman" w:hAnsi="Times New Roman"/>
                <w:noProof/>
              </w:rPr>
              <w:t xml:space="preserve"> w każ</w:t>
            </w:r>
            <w:r w:rsidRPr="00A33B9F">
              <w:rPr>
                <w:rFonts w:ascii="Times New Roman" w:hAnsi="Times New Roman"/>
                <w:noProof/>
              </w:rPr>
              <w:t>dej szkole.</w:t>
            </w:r>
          </w:p>
        </w:tc>
      </w:tr>
      <w:tr w:rsidR="00D8141F" w:rsidRPr="00A33B9F" w14:paraId="6DC3C5D0"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6913724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132605" w14:textId="14DABAB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 Zwiększenie skali zastosowań rozwiązań cyfrowych</w:t>
            </w:r>
            <w:r w:rsidR="00A33B9F" w:rsidRPr="00A33B9F">
              <w:rPr>
                <w:rFonts w:ascii="Times New Roman" w:hAnsi="Times New Roman"/>
                <w:noProof/>
              </w:rPr>
              <w:t xml:space="preserve"> w sfe</w:t>
            </w:r>
            <w:r w:rsidRPr="00A33B9F">
              <w:rPr>
                <w:rFonts w:ascii="Times New Roman" w:hAnsi="Times New Roman"/>
                <w:noProof/>
              </w:rPr>
              <w:t>rze publicznej, gospodarce</w:t>
            </w:r>
            <w:r w:rsidR="00A33B9F" w:rsidRPr="00A33B9F">
              <w:rPr>
                <w:rFonts w:ascii="Times New Roman" w:hAnsi="Times New Roman"/>
                <w:noProof/>
              </w:rPr>
              <w:t xml:space="preserve"> i spo</w:t>
            </w:r>
            <w:r w:rsidRPr="00A33B9F">
              <w:rPr>
                <w:rFonts w:ascii="Times New Roman" w:hAnsi="Times New Roman"/>
                <w:noProof/>
              </w:rPr>
              <w:t>łeczeństwie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BA651B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992F98" w14:textId="3DB9982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rozporządzenia Rady Ministrów</w:t>
            </w:r>
            <w:r w:rsidR="00A33B9F" w:rsidRPr="00A33B9F">
              <w:rPr>
                <w:rFonts w:ascii="Times New Roman" w:hAnsi="Times New Roman"/>
                <w:noProof/>
              </w:rPr>
              <w:t xml:space="preserve"> w spr</w:t>
            </w:r>
            <w:r w:rsidRPr="00A33B9F">
              <w:rPr>
                <w:rFonts w:ascii="Times New Roman" w:hAnsi="Times New Roman"/>
                <w:noProof/>
              </w:rPr>
              <w:t>awie Programu Rozwoju Kompetencji Cyfrowych mającego na celu zarządzanie rozwojem kompetencji cyfrowych oraz edukacji cyfrowej obywateli</w:t>
            </w:r>
            <w:r w:rsidR="00A33B9F" w:rsidRPr="00A33B9F">
              <w:rPr>
                <w:rFonts w:ascii="Times New Roman" w:hAnsi="Times New Roman"/>
                <w:noProof/>
              </w:rPr>
              <w:t xml:space="preserve"> i pra</w:t>
            </w:r>
            <w:r w:rsidRPr="00A33B9F">
              <w:rPr>
                <w:rFonts w:ascii="Times New Roman" w:hAnsi="Times New Roman"/>
                <w:noProof/>
              </w:rPr>
              <w:t>cowników</w:t>
            </w:r>
            <w:r w:rsidR="00A33B9F" w:rsidRPr="00A33B9F">
              <w:rPr>
                <w:rFonts w:ascii="Times New Roman" w:hAnsi="Times New Roman"/>
                <w:noProof/>
              </w:rPr>
              <w:t xml:space="preserve"> w róż</w:t>
            </w:r>
            <w:r w:rsidRPr="00A33B9F">
              <w:rPr>
                <w:rFonts w:ascii="Times New Roman" w:hAnsi="Times New Roman"/>
                <w:noProof/>
              </w:rPr>
              <w:t>nych sektorach. Obejmuje on powołanie Centrum Rozwoju Kompetencji Cyfrowych (CRKC).</w:t>
            </w:r>
          </w:p>
        </w:tc>
      </w:tr>
      <w:tr w:rsidR="00D8141F" w:rsidRPr="00A33B9F" w14:paraId="6EEEEBEB"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0A88B67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9CD07D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C2.1.3 E-kompetencje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B197D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D1A244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Utworzenie Centrum Rozwoju Kompetencji Cyfrowych (CRKC)</w:t>
            </w:r>
          </w:p>
        </w:tc>
      </w:tr>
      <w:tr w:rsidR="00D8141F" w:rsidRPr="00A33B9F" w14:paraId="2DF2BE30"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5EDD89A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3F7ED6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C3.1 Zwiększenie cyberbezpieczeństwa systemów informacyjnych, wzmocnienie infrastruktury przetwarzania danych oraz optymalizacja infrastruktury służb państwowych odpowiedzialnych za bezpieczeństwo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5B07F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4D8BA4" w14:textId="4C94340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ustawy</w:t>
            </w:r>
            <w:r w:rsidR="00A33B9F" w:rsidRPr="00A33B9F">
              <w:rPr>
                <w:rFonts w:ascii="Times New Roman" w:hAnsi="Times New Roman"/>
                <w:noProof/>
              </w:rPr>
              <w:t xml:space="preserve"> z dni</w:t>
            </w:r>
            <w:r w:rsidRPr="00A33B9F">
              <w:rPr>
                <w:rFonts w:ascii="Times New Roman" w:hAnsi="Times New Roman"/>
                <w:noProof/>
              </w:rPr>
              <w:t>a 5 lipca 2018</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o kra</w:t>
            </w:r>
            <w:r w:rsidRPr="00A33B9F">
              <w:rPr>
                <w:rFonts w:ascii="Times New Roman" w:hAnsi="Times New Roman"/>
                <w:noProof/>
              </w:rPr>
              <w:t>jowym systemie cyberbezpieczeństwa służąca wdrożeniu dyrektywy</w:t>
            </w:r>
            <w:r w:rsidR="00A33B9F" w:rsidRPr="00A33B9F">
              <w:rPr>
                <w:rFonts w:ascii="Times New Roman" w:hAnsi="Times New Roman"/>
                <w:noProof/>
              </w:rPr>
              <w:t xml:space="preserve"> w spr</w:t>
            </w:r>
            <w:r w:rsidRPr="00A33B9F">
              <w:rPr>
                <w:rFonts w:ascii="Times New Roman" w:hAnsi="Times New Roman"/>
                <w:noProof/>
              </w:rPr>
              <w:t>awie bezpieczeństwa sieci</w:t>
            </w:r>
            <w:r w:rsidR="00A33B9F" w:rsidRPr="00A33B9F">
              <w:rPr>
                <w:rFonts w:ascii="Times New Roman" w:hAnsi="Times New Roman"/>
                <w:noProof/>
              </w:rPr>
              <w:t xml:space="preserve"> i inf</w:t>
            </w:r>
            <w:r w:rsidRPr="00A33B9F">
              <w:rPr>
                <w:rFonts w:ascii="Times New Roman" w:hAnsi="Times New Roman"/>
                <w:noProof/>
              </w:rPr>
              <w:t>ormacji oraz ustanowieniu kompleksowych podstaw prawnych</w:t>
            </w:r>
            <w:r w:rsidR="00A33B9F" w:rsidRPr="00A33B9F">
              <w:rPr>
                <w:rFonts w:ascii="Times New Roman" w:hAnsi="Times New Roman"/>
                <w:noProof/>
              </w:rPr>
              <w:t xml:space="preserve"> i org</w:t>
            </w:r>
            <w:r w:rsidRPr="00A33B9F">
              <w:rPr>
                <w:rFonts w:ascii="Times New Roman" w:hAnsi="Times New Roman"/>
                <w:noProof/>
              </w:rPr>
              <w:t>anizacyjnych cyberbezpieczeństwa dla krajowego systemu cyberbezpieczeństwa</w:t>
            </w:r>
          </w:p>
        </w:tc>
      </w:tr>
      <w:tr w:rsidR="00D8141F" w:rsidRPr="00A33B9F" w14:paraId="2A2506BD"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5477065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53AF558" w14:textId="5F64E3A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E3249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1FF4C76" w14:textId="2870DA5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mod</w:t>
            </w:r>
            <w:r w:rsidRPr="00A33B9F">
              <w:rPr>
                <w:rFonts w:ascii="Times New Roman" w:hAnsi="Times New Roman"/>
                <w:noProof/>
              </w:rPr>
              <w:t>ernizacji</w:t>
            </w:r>
            <w:r w:rsidR="00A33B9F" w:rsidRPr="00A33B9F">
              <w:rPr>
                <w:rFonts w:ascii="Times New Roman" w:hAnsi="Times New Roman"/>
                <w:noProof/>
              </w:rPr>
              <w:t xml:space="preserve"> i pop</w:t>
            </w:r>
            <w:r w:rsidRPr="00A33B9F">
              <w:rPr>
                <w:rFonts w:ascii="Times New Roman" w:hAnsi="Times New Roman"/>
                <w:noProof/>
              </w:rPr>
              <w:t>rawie efektywności szpitalnictwa</w:t>
            </w:r>
          </w:p>
        </w:tc>
      </w:tr>
      <w:tr w:rsidR="00D8141F" w:rsidRPr="00A33B9F" w14:paraId="70F151FE"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6980392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1D8BB8" w14:textId="70C460A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3860A0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3B95DF" w14:textId="5B36F5C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zarządzenia Prezesa Narodowego Funduszu Zdrowia (NFZ)</w:t>
            </w:r>
            <w:r w:rsidR="00A33B9F" w:rsidRPr="00A33B9F">
              <w:rPr>
                <w:rFonts w:ascii="Times New Roman" w:hAnsi="Times New Roman"/>
                <w:noProof/>
              </w:rPr>
              <w:t xml:space="preserve"> w spr</w:t>
            </w:r>
            <w:r w:rsidRPr="00A33B9F">
              <w:rPr>
                <w:rFonts w:ascii="Times New Roman" w:hAnsi="Times New Roman"/>
                <w:noProof/>
              </w:rPr>
              <w:t>awie wzmocnienia podstawowej opieki zdrowotnej</w:t>
            </w:r>
            <w:r w:rsidR="00A33B9F" w:rsidRPr="00A33B9F">
              <w:rPr>
                <w:rFonts w:ascii="Times New Roman" w:hAnsi="Times New Roman"/>
                <w:noProof/>
              </w:rPr>
              <w:t xml:space="preserve"> i sko</w:t>
            </w:r>
            <w:r w:rsidRPr="00A33B9F">
              <w:rPr>
                <w:rFonts w:ascii="Times New Roman" w:hAnsi="Times New Roman"/>
                <w:noProof/>
              </w:rPr>
              <w:t>ordynowanej opieki zdrowotnej,</w:t>
            </w:r>
            <w:r w:rsidR="00A33B9F" w:rsidRPr="00A33B9F">
              <w:rPr>
                <w:rFonts w:ascii="Times New Roman" w:hAnsi="Times New Roman"/>
                <w:noProof/>
              </w:rPr>
              <w:t xml:space="preserve"> a nas</w:t>
            </w:r>
            <w:r w:rsidRPr="00A33B9F">
              <w:rPr>
                <w:rFonts w:ascii="Times New Roman" w:hAnsi="Times New Roman"/>
                <w:noProof/>
              </w:rPr>
              <w:t>tępnie przepisów finansowych (w tym zmian</w:t>
            </w:r>
            <w:r w:rsidR="00A33B9F" w:rsidRPr="00A33B9F">
              <w:rPr>
                <w:rFonts w:ascii="Times New Roman" w:hAnsi="Times New Roman"/>
                <w:noProof/>
              </w:rPr>
              <w:t xml:space="preserve"> w umo</w:t>
            </w:r>
            <w:r w:rsidRPr="00A33B9F">
              <w:rPr>
                <w:rFonts w:ascii="Times New Roman" w:hAnsi="Times New Roman"/>
                <w:noProof/>
              </w:rPr>
              <w:t>wach), umożliwiającego wdrożenie na szczeblu krajowym</w:t>
            </w:r>
          </w:p>
        </w:tc>
      </w:tr>
      <w:tr w:rsidR="00D8141F" w:rsidRPr="00A33B9F" w14:paraId="4786CFB6"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74E3702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51DA16" w14:textId="458984B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328631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F6D84A7" w14:textId="0948FEC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jak</w:t>
            </w:r>
            <w:r w:rsidRPr="00A33B9F">
              <w:rPr>
                <w:rFonts w:ascii="Times New Roman" w:hAnsi="Times New Roman"/>
                <w:noProof/>
              </w:rPr>
              <w:t>ości</w:t>
            </w:r>
            <w:r w:rsidR="00A33B9F" w:rsidRPr="00A33B9F">
              <w:rPr>
                <w:rFonts w:ascii="Times New Roman" w:hAnsi="Times New Roman"/>
                <w:noProof/>
              </w:rPr>
              <w:t xml:space="preserve"> w och</w:t>
            </w:r>
            <w:r w:rsidRPr="00A33B9F">
              <w:rPr>
                <w:rFonts w:ascii="Times New Roman" w:hAnsi="Times New Roman"/>
                <w:noProof/>
              </w:rPr>
              <w:t>ronie zdrowia</w:t>
            </w:r>
            <w:r w:rsidR="00A33B9F" w:rsidRPr="00A33B9F">
              <w:rPr>
                <w:rFonts w:ascii="Times New Roman" w:hAnsi="Times New Roman"/>
                <w:noProof/>
              </w:rPr>
              <w:t xml:space="preserve"> i bez</w:t>
            </w:r>
            <w:r w:rsidRPr="00A33B9F">
              <w:rPr>
                <w:rFonts w:ascii="Times New Roman" w:hAnsi="Times New Roman"/>
                <w:noProof/>
              </w:rPr>
              <w:t>pieczeństwie pacjentów, wraz</w:t>
            </w:r>
            <w:r w:rsidR="00A33B9F" w:rsidRPr="00A33B9F">
              <w:rPr>
                <w:rFonts w:ascii="Times New Roman" w:hAnsi="Times New Roman"/>
                <w:noProof/>
              </w:rPr>
              <w:t xml:space="preserve"> z nie</w:t>
            </w:r>
            <w:r w:rsidRPr="00A33B9F">
              <w:rPr>
                <w:rFonts w:ascii="Times New Roman" w:hAnsi="Times New Roman"/>
                <w:noProof/>
              </w:rPr>
              <w:t>zbędnymi przepisami wykonawczymi</w:t>
            </w:r>
          </w:p>
        </w:tc>
      </w:tr>
      <w:tr w:rsidR="00D8141F" w:rsidRPr="00A33B9F" w14:paraId="72096F6B"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19DB592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F8E7F2" w14:textId="5925EFC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E6E52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F24338" w14:textId="64FFCFC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Kra</w:t>
            </w:r>
            <w:r w:rsidRPr="00A33B9F">
              <w:rPr>
                <w:rFonts w:ascii="Times New Roman" w:hAnsi="Times New Roman"/>
                <w:noProof/>
              </w:rPr>
              <w:t>jowej Sieci Onkologicznej służącej ustanowieniu zasad funkcjonowania sieci poprzez wprowadzenie nowej struktury</w:t>
            </w:r>
            <w:r w:rsidR="00A33B9F" w:rsidRPr="00A33B9F">
              <w:rPr>
                <w:rFonts w:ascii="Times New Roman" w:hAnsi="Times New Roman"/>
                <w:noProof/>
              </w:rPr>
              <w:t xml:space="preserve"> i now</w:t>
            </w:r>
            <w:r w:rsidRPr="00A33B9F">
              <w:rPr>
                <w:rFonts w:ascii="Times New Roman" w:hAnsi="Times New Roman"/>
                <w:noProof/>
              </w:rPr>
              <w:t>ego modelu zarządzania opieką onkologiczną</w:t>
            </w:r>
          </w:p>
        </w:tc>
      </w:tr>
      <w:tr w:rsidR="00D8141F" w:rsidRPr="00A33B9F" w14:paraId="3A46E6F8"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6F043EE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EEE909" w14:textId="16C9769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D1.1.1 Rozwój</w:t>
            </w:r>
            <w:r w:rsidR="00A33B9F" w:rsidRPr="00A33B9F">
              <w:rPr>
                <w:rFonts w:ascii="Times New Roman" w:hAnsi="Times New Roman"/>
                <w:noProof/>
              </w:rPr>
              <w:t xml:space="preserve"> i mod</w:t>
            </w:r>
            <w:r w:rsidRPr="00A33B9F">
              <w:rPr>
                <w:rFonts w:ascii="Times New Roman" w:hAnsi="Times New Roman"/>
                <w:noProof/>
              </w:rPr>
              <w:t>ernizacja infrastruktury centrów opieki wysokospecjalistycznej</w:t>
            </w:r>
            <w:r w:rsidR="00A33B9F" w:rsidRPr="00A33B9F">
              <w:rPr>
                <w:rFonts w:ascii="Times New Roman" w:hAnsi="Times New Roman"/>
                <w:noProof/>
              </w:rPr>
              <w:t xml:space="preserve"> i inn</w:t>
            </w:r>
            <w:r w:rsidRPr="00A33B9F">
              <w:rPr>
                <w:rFonts w:ascii="Times New Roman" w:hAnsi="Times New Roman"/>
                <w:noProof/>
              </w:rPr>
              <w:t>ych podmiotów leczniczych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6EB72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74B4C0" w14:textId="399149B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w:t>
            </w:r>
            <w:r w:rsidR="00A33B9F" w:rsidRPr="00A33B9F">
              <w:rPr>
                <w:rFonts w:ascii="Times New Roman" w:hAnsi="Times New Roman"/>
                <w:noProof/>
              </w:rPr>
              <w:t xml:space="preserve"> w spr</w:t>
            </w:r>
            <w:r w:rsidRPr="00A33B9F">
              <w:rPr>
                <w:rFonts w:ascii="Times New Roman" w:hAnsi="Times New Roman"/>
                <w:noProof/>
              </w:rPr>
              <w:t>awie wykazu dokładnych kryteriów kwalifikujących szpitale do poszczególnych kategorii, aby pomóc</w:t>
            </w:r>
            <w:r w:rsidR="00A33B9F" w:rsidRPr="00A33B9F">
              <w:rPr>
                <w:rFonts w:ascii="Times New Roman" w:hAnsi="Times New Roman"/>
                <w:noProof/>
              </w:rPr>
              <w:t xml:space="preserve"> w okr</w:t>
            </w:r>
            <w:r w:rsidRPr="00A33B9F">
              <w:rPr>
                <w:rFonts w:ascii="Times New Roman" w:hAnsi="Times New Roman"/>
                <w:noProof/>
              </w:rPr>
              <w:t>eśleniu potrzeb inwestycyjnych wynikających</w:t>
            </w:r>
            <w:r w:rsidR="00A33B9F" w:rsidRPr="00A33B9F">
              <w:rPr>
                <w:rFonts w:ascii="Times New Roman" w:hAnsi="Times New Roman"/>
                <w:noProof/>
              </w:rPr>
              <w:t xml:space="preserve"> z ref</w:t>
            </w:r>
            <w:r w:rsidRPr="00A33B9F">
              <w:rPr>
                <w:rFonts w:ascii="Times New Roman" w:hAnsi="Times New Roman"/>
                <w:noProof/>
              </w:rPr>
              <w:t>ormy</w:t>
            </w:r>
          </w:p>
        </w:tc>
      </w:tr>
      <w:tr w:rsidR="00D8141F" w:rsidRPr="00A33B9F" w14:paraId="36C7558A"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4D177AE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D3D73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 Stworzenie odpowiednich warunków dla zwiększenia liczebności kadry medycznej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1F3981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1E9F05" w14:textId="315C034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ustawodawczego</w:t>
            </w:r>
            <w:r w:rsidR="00A33B9F" w:rsidRPr="00A33B9F">
              <w:rPr>
                <w:rFonts w:ascii="Times New Roman" w:hAnsi="Times New Roman"/>
                <w:noProof/>
              </w:rPr>
              <w:t xml:space="preserve"> o zaw</w:t>
            </w:r>
            <w:r w:rsidRPr="00A33B9F">
              <w:rPr>
                <w:rFonts w:ascii="Times New Roman" w:hAnsi="Times New Roman"/>
                <w:noProof/>
              </w:rPr>
              <w:t>odzie ratownika medycznego oraz samorządzie ratowników medycznych, który wprowadzi możliwość tworzenia programów studiów II stopnia</w:t>
            </w:r>
            <w:r w:rsidR="00A33B9F" w:rsidRPr="00A33B9F">
              <w:rPr>
                <w:rFonts w:ascii="Times New Roman" w:hAnsi="Times New Roman"/>
                <w:noProof/>
              </w:rPr>
              <w:t xml:space="preserve"> w ram</w:t>
            </w:r>
            <w:r w:rsidRPr="00A33B9F">
              <w:rPr>
                <w:rFonts w:ascii="Times New Roman" w:hAnsi="Times New Roman"/>
                <w:noProof/>
              </w:rPr>
              <w:t>ach przygotowania do wykonywania zawodu ratownika medycznego</w:t>
            </w:r>
          </w:p>
        </w:tc>
      </w:tr>
      <w:tr w:rsidR="00D8141F" w:rsidRPr="00A33B9F" w14:paraId="4035486D"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182956F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4FB092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 Stworzenie odpowiednich warunków dla zwiększenia liczebności kadry medycznej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9B879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2AE9FCD" w14:textId="04285BD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aktów prawnych mających na celu zwiększenie atrakcyjności miejsc pracy</w:t>
            </w:r>
            <w:r w:rsidR="00A33B9F" w:rsidRPr="00A33B9F">
              <w:rPr>
                <w:rFonts w:ascii="Times New Roman" w:hAnsi="Times New Roman"/>
                <w:noProof/>
              </w:rPr>
              <w:t xml:space="preserve"> w sek</w:t>
            </w:r>
            <w:r w:rsidRPr="00A33B9F">
              <w:rPr>
                <w:rFonts w:ascii="Times New Roman" w:hAnsi="Times New Roman"/>
                <w:noProof/>
              </w:rPr>
              <w:t>torze medycznym</w:t>
            </w:r>
            <w:r w:rsidR="00A33B9F" w:rsidRPr="00A33B9F">
              <w:rPr>
                <w:rFonts w:ascii="Times New Roman" w:hAnsi="Times New Roman"/>
                <w:noProof/>
              </w:rPr>
              <w:t xml:space="preserve"> i war</w:t>
            </w:r>
            <w:r w:rsidRPr="00A33B9F">
              <w:rPr>
                <w:rFonts w:ascii="Times New Roman" w:hAnsi="Times New Roman"/>
                <w:noProof/>
              </w:rPr>
              <w:t>unków pracy pracowników medycznych</w:t>
            </w:r>
          </w:p>
        </w:tc>
      </w:tr>
      <w:tr w:rsidR="00D8141F" w:rsidRPr="00A33B9F" w14:paraId="210DBC29"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572845F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11737E" w14:textId="4268371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D3.1 Zwiększenie efektywności</w:t>
            </w:r>
            <w:r w:rsidR="00A33B9F" w:rsidRPr="00A33B9F">
              <w:rPr>
                <w:rFonts w:ascii="Times New Roman" w:hAnsi="Times New Roman"/>
                <w:noProof/>
              </w:rPr>
              <w:t xml:space="preserve"> i jak</w:t>
            </w:r>
            <w:r w:rsidRPr="00A33B9F">
              <w:rPr>
                <w:rFonts w:ascii="Times New Roman" w:hAnsi="Times New Roman"/>
                <w:noProof/>
              </w:rPr>
              <w:t>ości systemu opieki zdrowotnej przez wzmocnienie zaplecza naukowego</w:t>
            </w:r>
            <w:r w:rsidR="00A33B9F" w:rsidRPr="00A33B9F">
              <w:rPr>
                <w:rFonts w:ascii="Times New Roman" w:hAnsi="Times New Roman"/>
                <w:noProof/>
              </w:rPr>
              <w:t xml:space="preserve"> w dzi</w:t>
            </w:r>
            <w:r w:rsidRPr="00A33B9F">
              <w:rPr>
                <w:rFonts w:ascii="Times New Roman" w:hAnsi="Times New Roman"/>
                <w:noProof/>
              </w:rPr>
              <w:t>edzinie nauk medycznych</w:t>
            </w:r>
            <w:r w:rsidR="00A33B9F" w:rsidRPr="00A33B9F">
              <w:rPr>
                <w:rFonts w:ascii="Times New Roman" w:hAnsi="Times New Roman"/>
                <w:noProof/>
              </w:rPr>
              <w:t xml:space="preserve"> i nau</w:t>
            </w:r>
            <w:r w:rsidRPr="00A33B9F">
              <w:rPr>
                <w:rFonts w:ascii="Times New Roman" w:hAnsi="Times New Roman"/>
                <w:noProof/>
              </w:rPr>
              <w:t>k</w:t>
            </w:r>
            <w:r w:rsidR="00A33B9F" w:rsidRPr="00A33B9F">
              <w:rPr>
                <w:rFonts w:ascii="Times New Roman" w:hAnsi="Times New Roman"/>
                <w:noProof/>
              </w:rPr>
              <w:t xml:space="preserve"> o zdr</w:t>
            </w:r>
            <w:r w:rsidRPr="00A33B9F">
              <w:rPr>
                <w:rFonts w:ascii="Times New Roman" w:hAnsi="Times New Roman"/>
                <w:noProof/>
              </w:rPr>
              <w:t>owiu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B88834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21718B" w14:textId="474E0A9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bad</w:t>
            </w:r>
            <w:r w:rsidRPr="00A33B9F">
              <w:rPr>
                <w:rFonts w:ascii="Times New Roman" w:hAnsi="Times New Roman"/>
                <w:noProof/>
              </w:rPr>
              <w:t>aniach klinicznych produktów leczniczych stosowanych</w:t>
            </w:r>
            <w:r w:rsidR="00A33B9F" w:rsidRPr="00A33B9F">
              <w:rPr>
                <w:rFonts w:ascii="Times New Roman" w:hAnsi="Times New Roman"/>
                <w:noProof/>
              </w:rPr>
              <w:t xml:space="preserve"> u lud</w:t>
            </w:r>
            <w:r w:rsidRPr="00A33B9F">
              <w:rPr>
                <w:rFonts w:ascii="Times New Roman" w:hAnsi="Times New Roman"/>
                <w:noProof/>
              </w:rPr>
              <w:t>zi</w:t>
            </w:r>
          </w:p>
        </w:tc>
      </w:tr>
      <w:tr w:rsidR="00D8141F" w:rsidRPr="00A33B9F" w14:paraId="537E6B98"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26F8427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1BAE32" w14:textId="5E80256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D3.1 Zwiększenie efektywności</w:t>
            </w:r>
            <w:r w:rsidR="00A33B9F" w:rsidRPr="00A33B9F">
              <w:rPr>
                <w:rFonts w:ascii="Times New Roman" w:hAnsi="Times New Roman"/>
                <w:noProof/>
              </w:rPr>
              <w:t xml:space="preserve"> i jak</w:t>
            </w:r>
            <w:r w:rsidRPr="00A33B9F">
              <w:rPr>
                <w:rFonts w:ascii="Times New Roman" w:hAnsi="Times New Roman"/>
                <w:noProof/>
              </w:rPr>
              <w:t>ości systemu opieki zdrowotnej przez wzmocnienie zaplecza naukowego</w:t>
            </w:r>
            <w:r w:rsidR="00A33B9F" w:rsidRPr="00A33B9F">
              <w:rPr>
                <w:rFonts w:ascii="Times New Roman" w:hAnsi="Times New Roman"/>
                <w:noProof/>
              </w:rPr>
              <w:t xml:space="preserve"> w dzi</w:t>
            </w:r>
            <w:r w:rsidRPr="00A33B9F">
              <w:rPr>
                <w:rFonts w:ascii="Times New Roman" w:hAnsi="Times New Roman"/>
                <w:noProof/>
              </w:rPr>
              <w:t>edzinie nauk medycznych</w:t>
            </w:r>
            <w:r w:rsidR="00A33B9F" w:rsidRPr="00A33B9F">
              <w:rPr>
                <w:rFonts w:ascii="Times New Roman" w:hAnsi="Times New Roman"/>
                <w:noProof/>
              </w:rPr>
              <w:t xml:space="preserve"> i nau</w:t>
            </w:r>
            <w:r w:rsidRPr="00A33B9F">
              <w:rPr>
                <w:rFonts w:ascii="Times New Roman" w:hAnsi="Times New Roman"/>
                <w:noProof/>
              </w:rPr>
              <w:t>k</w:t>
            </w:r>
            <w:r w:rsidR="00A33B9F" w:rsidRPr="00A33B9F">
              <w:rPr>
                <w:rFonts w:ascii="Times New Roman" w:hAnsi="Times New Roman"/>
                <w:noProof/>
              </w:rPr>
              <w:t xml:space="preserve"> o zdr</w:t>
            </w:r>
            <w:r w:rsidRPr="00A33B9F">
              <w:rPr>
                <w:rFonts w:ascii="Times New Roman" w:hAnsi="Times New Roman"/>
                <w:noProof/>
              </w:rPr>
              <w:t>owiu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9F6868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931AF9" w14:textId="3393232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lub wdrożenie kluczowych działań określonych</w:t>
            </w:r>
            <w:r w:rsidR="00A33B9F" w:rsidRPr="00A33B9F">
              <w:rPr>
                <w:rFonts w:ascii="Times New Roman" w:hAnsi="Times New Roman"/>
                <w:noProof/>
              </w:rPr>
              <w:t xml:space="preserve"> w rzą</w:t>
            </w:r>
            <w:r w:rsidRPr="00A33B9F">
              <w:rPr>
                <w:rFonts w:ascii="Times New Roman" w:hAnsi="Times New Roman"/>
                <w:noProof/>
              </w:rPr>
              <w:t>dowym planie strategicznym dla rozwoju sektora biomedycznego, zgodnie</w:t>
            </w:r>
            <w:r w:rsidR="00A33B9F" w:rsidRPr="00A33B9F">
              <w:rPr>
                <w:rFonts w:ascii="Times New Roman" w:hAnsi="Times New Roman"/>
                <w:noProof/>
              </w:rPr>
              <w:t xml:space="preserve"> z har</w:t>
            </w:r>
            <w:r w:rsidRPr="00A33B9F">
              <w:rPr>
                <w:rFonts w:ascii="Times New Roman" w:hAnsi="Times New Roman"/>
                <w:noProof/>
              </w:rPr>
              <w:t>monogramem określonym</w:t>
            </w:r>
            <w:r w:rsidR="00A33B9F" w:rsidRPr="00A33B9F">
              <w:rPr>
                <w:rFonts w:ascii="Times New Roman" w:hAnsi="Times New Roman"/>
                <w:noProof/>
              </w:rPr>
              <w:t xml:space="preserve"> w pla</w:t>
            </w:r>
            <w:r w:rsidRPr="00A33B9F">
              <w:rPr>
                <w:rFonts w:ascii="Times New Roman" w:hAnsi="Times New Roman"/>
                <w:noProof/>
              </w:rPr>
              <w:t>nie strategicznym</w:t>
            </w:r>
          </w:p>
        </w:tc>
      </w:tr>
      <w:tr w:rsidR="00D8141F" w:rsidRPr="00A33B9F" w14:paraId="586255EB"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33F2755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8C839D" w14:textId="1F3E642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D3.1.1 Kompleksowy rozwój badań</w:t>
            </w:r>
            <w:r w:rsidR="00A33B9F" w:rsidRPr="00A33B9F">
              <w:rPr>
                <w:rFonts w:ascii="Times New Roman" w:hAnsi="Times New Roman"/>
                <w:noProof/>
              </w:rPr>
              <w:t xml:space="preserve"> w zak</w:t>
            </w:r>
            <w:r w:rsidRPr="00A33B9F">
              <w:rPr>
                <w:rFonts w:ascii="Times New Roman" w:hAnsi="Times New Roman"/>
                <w:noProof/>
              </w:rPr>
              <w:t>resie nauk medycznych</w:t>
            </w:r>
            <w:r w:rsidR="00A33B9F" w:rsidRPr="00A33B9F">
              <w:rPr>
                <w:rFonts w:ascii="Times New Roman" w:hAnsi="Times New Roman"/>
                <w:noProof/>
              </w:rPr>
              <w:t xml:space="preserve"> i nau</w:t>
            </w:r>
            <w:r w:rsidRPr="00A33B9F">
              <w:rPr>
                <w:rFonts w:ascii="Times New Roman" w:hAnsi="Times New Roman"/>
                <w:noProof/>
              </w:rPr>
              <w:t>k</w:t>
            </w:r>
            <w:r w:rsidR="00A33B9F" w:rsidRPr="00A33B9F">
              <w:rPr>
                <w:rFonts w:ascii="Times New Roman" w:hAnsi="Times New Roman"/>
                <w:noProof/>
              </w:rPr>
              <w:t xml:space="preserve"> o zdr</w:t>
            </w:r>
            <w:r w:rsidRPr="00A33B9F">
              <w:rPr>
                <w:rFonts w:ascii="Times New Roman" w:hAnsi="Times New Roman"/>
                <w:noProof/>
              </w:rPr>
              <w:t>owiu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A2054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B1A70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Uruchomienie elektronicznej platformy dla Polskiej Sieci Ośrodków Badań Klinicznych.</w:t>
            </w:r>
          </w:p>
        </w:tc>
      </w:tr>
      <w:tr w:rsidR="00D8141F" w:rsidRPr="00A33B9F" w14:paraId="58D70C53"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4F86FB0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5A040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 Wzrost wykorzystania transportu przyjaznego dla środowiska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59666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0B91E96" w14:textId="7FF02C6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 wprowadzającej obowiązek zakupu tylko niskoemisyjnych</w:t>
            </w:r>
            <w:r w:rsidR="00A33B9F" w:rsidRPr="00A33B9F">
              <w:rPr>
                <w:rFonts w:ascii="Times New Roman" w:hAnsi="Times New Roman"/>
                <w:noProof/>
              </w:rPr>
              <w:t xml:space="preserve"> i zer</w:t>
            </w:r>
            <w:r w:rsidRPr="00A33B9F">
              <w:rPr>
                <w:rFonts w:ascii="Times New Roman" w:hAnsi="Times New Roman"/>
                <w:noProof/>
              </w:rPr>
              <w:t>oemisyjnych autobusów</w:t>
            </w:r>
            <w:r w:rsidR="00A33B9F" w:rsidRPr="00A33B9F">
              <w:rPr>
                <w:rFonts w:ascii="Times New Roman" w:hAnsi="Times New Roman"/>
                <w:noProof/>
              </w:rPr>
              <w:t xml:space="preserve"> w mia</w:t>
            </w:r>
            <w:r w:rsidRPr="00A33B9F">
              <w:rPr>
                <w:rFonts w:ascii="Times New Roman" w:hAnsi="Times New Roman"/>
                <w:noProof/>
              </w:rPr>
              <w:t>stach powyżej 100 000 mieszkańców począwszy od</w:t>
            </w:r>
            <w:r w:rsidR="00A33B9F" w:rsidRPr="00A33B9F">
              <w:rPr>
                <w:rFonts w:ascii="Times New Roman" w:hAnsi="Times New Roman"/>
                <w:noProof/>
              </w:rPr>
              <w:t> </w:t>
            </w:r>
            <w:r w:rsidRPr="00A33B9F">
              <w:rPr>
                <w:rFonts w:ascii="Times New Roman" w:hAnsi="Times New Roman"/>
                <w:noProof/>
              </w:rPr>
              <w:t>2025</w:t>
            </w:r>
            <w:r w:rsidR="00A33B9F" w:rsidRPr="00A33B9F">
              <w:rPr>
                <w:rFonts w:ascii="Times New Roman" w:hAnsi="Times New Roman"/>
                <w:noProof/>
              </w:rPr>
              <w:t> </w:t>
            </w:r>
            <w:r w:rsidRPr="00A33B9F">
              <w:rPr>
                <w:rFonts w:ascii="Times New Roman" w:hAnsi="Times New Roman"/>
                <w:noProof/>
              </w:rPr>
              <w:t>r.</w:t>
            </w:r>
          </w:p>
        </w:tc>
      </w:tr>
      <w:tr w:rsidR="00D8141F" w:rsidRPr="00A33B9F" w14:paraId="7A6599B8"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4D00BE5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0928A7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E1.1.1 Wsparcie dla gospodarki niskoemisyjnej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D5B01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D0840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Wybór pośredników finansowych</w:t>
            </w:r>
          </w:p>
        </w:tc>
      </w:tr>
      <w:tr w:rsidR="00D8141F" w:rsidRPr="00A33B9F" w14:paraId="784B28EA"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26C70E6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7FA27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 Zwiększenie konkurencyjności sektora kolejowego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877E8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D0EB539" w14:textId="2B7C01C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tra</w:t>
            </w:r>
            <w:r w:rsidRPr="00A33B9F">
              <w:rPr>
                <w:rFonts w:ascii="Times New Roman" w:hAnsi="Times New Roman"/>
                <w:noProof/>
              </w:rPr>
              <w:t>nsporcie kolejowym zapewniającej odporność przewoźników kolejowych. Decyzja ministerialna</w:t>
            </w:r>
            <w:r w:rsidR="00A33B9F" w:rsidRPr="00A33B9F">
              <w:rPr>
                <w:rFonts w:ascii="Times New Roman" w:hAnsi="Times New Roman"/>
                <w:noProof/>
              </w:rPr>
              <w:t xml:space="preserve"> w spr</w:t>
            </w:r>
            <w:r w:rsidRPr="00A33B9F">
              <w:rPr>
                <w:rFonts w:ascii="Times New Roman" w:hAnsi="Times New Roman"/>
                <w:noProof/>
              </w:rPr>
              <w:t>awie ustalenia priorytetów dla transportu intermodalnego oraz usunięcia wąskich gardeł</w:t>
            </w:r>
            <w:r w:rsidR="00A33B9F" w:rsidRPr="00A33B9F">
              <w:rPr>
                <w:rFonts w:ascii="Times New Roman" w:hAnsi="Times New Roman"/>
                <w:noProof/>
              </w:rPr>
              <w:t xml:space="preserve"> w cel</w:t>
            </w:r>
            <w:r w:rsidRPr="00A33B9F">
              <w:rPr>
                <w:rFonts w:ascii="Times New Roman" w:hAnsi="Times New Roman"/>
                <w:noProof/>
              </w:rPr>
              <w:t>u zwiększenia przepustowości kolei.</w:t>
            </w:r>
          </w:p>
        </w:tc>
      </w:tr>
      <w:tr w:rsidR="00D8141F" w:rsidRPr="00A33B9F" w14:paraId="273504A6"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tcPr>
          <w:p w14:paraId="766D97B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F4G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6200F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F3.1 Usprawnienie procesu stanowienia prawa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BCB506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D86F5C" w14:textId="25DA2B6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zmiany do Regulaminu Parlamentu, Senatu</w:t>
            </w:r>
            <w:r w:rsidR="00A33B9F" w:rsidRPr="00A33B9F">
              <w:rPr>
                <w:rFonts w:ascii="Times New Roman" w:hAnsi="Times New Roman"/>
                <w:noProof/>
              </w:rPr>
              <w:t xml:space="preserve"> i Rad</w:t>
            </w:r>
            <w:r w:rsidRPr="00A33B9F">
              <w:rPr>
                <w:rFonts w:ascii="Times New Roman" w:hAnsi="Times New Roman"/>
                <w:noProof/>
              </w:rPr>
              <w:t>y Ministrów</w:t>
            </w:r>
            <w:r w:rsidR="00A33B9F" w:rsidRPr="00A33B9F">
              <w:rPr>
                <w:rFonts w:ascii="Times New Roman" w:hAnsi="Times New Roman"/>
                <w:noProof/>
              </w:rPr>
              <w:t xml:space="preserve"> w cel</w:t>
            </w:r>
            <w:r w:rsidRPr="00A33B9F">
              <w:rPr>
                <w:rFonts w:ascii="Times New Roman" w:hAnsi="Times New Roman"/>
                <w:noProof/>
              </w:rPr>
              <w:t>u większego wykorzystania konsultacji publicznych</w:t>
            </w:r>
            <w:r w:rsidR="00A33B9F" w:rsidRPr="00A33B9F">
              <w:rPr>
                <w:rFonts w:ascii="Times New Roman" w:hAnsi="Times New Roman"/>
                <w:noProof/>
              </w:rPr>
              <w:t xml:space="preserve"> i oce</w:t>
            </w:r>
            <w:r w:rsidRPr="00A33B9F">
              <w:rPr>
                <w:rFonts w:ascii="Times New Roman" w:hAnsi="Times New Roman"/>
                <w:noProof/>
              </w:rPr>
              <w:t>ny skutków</w:t>
            </w:r>
            <w:r w:rsidR="00A33B9F" w:rsidRPr="00A33B9F">
              <w:rPr>
                <w:rFonts w:ascii="Times New Roman" w:hAnsi="Times New Roman"/>
                <w:noProof/>
              </w:rPr>
              <w:t xml:space="preserve"> w pro</w:t>
            </w:r>
            <w:r w:rsidRPr="00A33B9F">
              <w:rPr>
                <w:rFonts w:ascii="Times New Roman" w:hAnsi="Times New Roman"/>
                <w:noProof/>
              </w:rPr>
              <w:t>cesie stanowienia prawa</w:t>
            </w:r>
          </w:p>
        </w:tc>
      </w:tr>
      <w:tr w:rsidR="00D8141F" w:rsidRPr="00A33B9F" w14:paraId="3F795312" w14:textId="77777777" w:rsidTr="1CE0CE0C">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3800212F"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805C97C"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110F89D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C27D73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3 097 113 475 EUR </w:t>
            </w:r>
          </w:p>
        </w:tc>
      </w:tr>
    </w:tbl>
    <w:p w14:paraId="2C74A272"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1188BF24"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2.1.3 Trzecia transza (wsparcie bezzwrotne):</w:t>
      </w:r>
    </w:p>
    <w:tbl>
      <w:tblPr>
        <w:tblW w:w="10482" w:type="dxa"/>
        <w:tblLayout w:type="fixed"/>
        <w:tblLook w:val="0000" w:firstRow="0" w:lastRow="0" w:firstColumn="0" w:lastColumn="0" w:noHBand="0" w:noVBand="0"/>
      </w:tblPr>
      <w:tblGrid>
        <w:gridCol w:w="1350"/>
        <w:gridCol w:w="3960"/>
        <w:gridCol w:w="1245"/>
        <w:gridCol w:w="3927"/>
      </w:tblGrid>
      <w:tr w:rsidR="00D8141F" w:rsidRPr="00A33B9F" w14:paraId="2A0AB9D0" w14:textId="77777777" w:rsidTr="00753103">
        <w:trPr>
          <w:trHeight w:val="856"/>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61985B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C2CB6A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3A68A67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BC830F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1C93E36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8872AB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47F8E1E" w14:textId="7C582C9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A1.3 Reforma planowania</w:t>
            </w:r>
            <w:r w:rsidR="00A33B9F" w:rsidRPr="00A33B9F">
              <w:rPr>
                <w:rFonts w:ascii="Times New Roman" w:hAnsi="Times New Roman"/>
                <w:noProof/>
              </w:rPr>
              <w:t xml:space="preserve"> i zag</w:t>
            </w:r>
            <w:r w:rsidRPr="00A33B9F">
              <w:rPr>
                <w:rFonts w:ascii="Times New Roman" w:hAnsi="Times New Roman"/>
                <w:noProof/>
              </w:rPr>
              <w:t>ospodarowania przestrzennego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C7BFFA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C0C3D2F" w14:textId="4BFABC7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nowej ustawy</w:t>
            </w:r>
            <w:r w:rsidR="00A33B9F" w:rsidRPr="00A33B9F">
              <w:rPr>
                <w:rFonts w:ascii="Times New Roman" w:hAnsi="Times New Roman"/>
                <w:noProof/>
              </w:rPr>
              <w:t xml:space="preserve"> o pla</w:t>
            </w:r>
            <w:r w:rsidRPr="00A33B9F">
              <w:rPr>
                <w:rFonts w:ascii="Times New Roman" w:hAnsi="Times New Roman"/>
                <w:noProof/>
              </w:rPr>
              <w:t>nowaniu przestrzennym</w:t>
            </w:r>
          </w:p>
        </w:tc>
      </w:tr>
      <w:tr w:rsidR="00D8141F" w:rsidRPr="00A33B9F" w14:paraId="6DBF527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088C50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FAB398" w14:textId="5F1A9AD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A2.3 Zapewnienie instytucjonalnych</w:t>
            </w:r>
            <w:r w:rsidR="00A33B9F" w:rsidRPr="00A33B9F">
              <w:rPr>
                <w:rFonts w:ascii="Times New Roman" w:hAnsi="Times New Roman"/>
                <w:noProof/>
              </w:rPr>
              <w:t xml:space="preserve"> i pra</w:t>
            </w:r>
            <w:r w:rsidRPr="00A33B9F">
              <w:rPr>
                <w:rFonts w:ascii="Times New Roman" w:hAnsi="Times New Roman"/>
                <w:noProof/>
              </w:rPr>
              <w:t>wnych podstaw rozwoju bezzałogowych statków powietrznych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1C8AE5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D58E41" w14:textId="2BF83D6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Pol</w:t>
            </w:r>
            <w:r w:rsidRPr="00A33B9F">
              <w:rPr>
                <w:rFonts w:ascii="Times New Roman" w:hAnsi="Times New Roman"/>
                <w:noProof/>
              </w:rPr>
              <w:t>skiej Agencji Żeglugi Powietrznej</w:t>
            </w:r>
          </w:p>
        </w:tc>
      </w:tr>
      <w:tr w:rsidR="00D8141F" w:rsidRPr="00A33B9F" w14:paraId="74D47CB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FCB8D0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ED16E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A4.2 Reforma na rzecz poprawy sytuacji rodziców na rynku pracy poprzez zwiększenie dostępu do wysokiej jakości opieki nad dziećmi do lat trzech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93CCC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2468C8" w14:textId="70A4427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norm jakości</w:t>
            </w:r>
            <w:r w:rsidR="00A33B9F" w:rsidRPr="00A33B9F">
              <w:rPr>
                <w:rFonts w:ascii="Times New Roman" w:hAnsi="Times New Roman"/>
                <w:noProof/>
              </w:rPr>
              <w:t xml:space="preserve"> w zak</w:t>
            </w:r>
            <w:r w:rsidRPr="00A33B9F">
              <w:rPr>
                <w:rFonts w:ascii="Times New Roman" w:hAnsi="Times New Roman"/>
                <w:noProof/>
              </w:rPr>
              <w:t>resie opieki nad dziećmi,</w:t>
            </w:r>
            <w:r w:rsidR="00A33B9F" w:rsidRPr="00A33B9F">
              <w:rPr>
                <w:rFonts w:ascii="Times New Roman" w:hAnsi="Times New Roman"/>
                <w:noProof/>
              </w:rPr>
              <w:t xml:space="preserve"> w tym</w:t>
            </w:r>
            <w:r w:rsidRPr="00A33B9F">
              <w:rPr>
                <w:rFonts w:ascii="Times New Roman" w:hAnsi="Times New Roman"/>
                <w:noProof/>
              </w:rPr>
              <w:t xml:space="preserve"> wytycznych</w:t>
            </w:r>
            <w:r w:rsidR="00A33B9F" w:rsidRPr="00A33B9F">
              <w:rPr>
                <w:rFonts w:ascii="Times New Roman" w:hAnsi="Times New Roman"/>
                <w:noProof/>
              </w:rPr>
              <w:t xml:space="preserve"> w zak</w:t>
            </w:r>
            <w:r w:rsidRPr="00A33B9F">
              <w:rPr>
                <w:rFonts w:ascii="Times New Roman" w:hAnsi="Times New Roman"/>
                <w:noProof/>
              </w:rPr>
              <w:t>resie edukacji</w:t>
            </w:r>
            <w:r w:rsidR="00A33B9F" w:rsidRPr="00A33B9F">
              <w:rPr>
                <w:rFonts w:ascii="Times New Roman" w:hAnsi="Times New Roman"/>
                <w:noProof/>
              </w:rPr>
              <w:t xml:space="preserve"> i sta</w:t>
            </w:r>
            <w:r w:rsidRPr="00A33B9F">
              <w:rPr>
                <w:rFonts w:ascii="Times New Roman" w:hAnsi="Times New Roman"/>
                <w:noProof/>
              </w:rPr>
              <w:t>ndardów usług opieki nad dziećmi poniżej trzeciego roku życia, zapewniających wysoką jakość,</w:t>
            </w:r>
            <w:r w:rsidR="00A33B9F" w:rsidRPr="00A33B9F">
              <w:rPr>
                <w:rFonts w:ascii="Times New Roman" w:hAnsi="Times New Roman"/>
                <w:noProof/>
              </w:rPr>
              <w:t xml:space="preserve"> w tym</w:t>
            </w:r>
            <w:r w:rsidRPr="00A33B9F">
              <w:rPr>
                <w:rFonts w:ascii="Times New Roman" w:hAnsi="Times New Roman"/>
                <w:noProof/>
              </w:rPr>
              <w:t xml:space="preserve"> edukacji</w:t>
            </w:r>
            <w:r w:rsidR="00A33B9F" w:rsidRPr="00A33B9F">
              <w:rPr>
                <w:rFonts w:ascii="Times New Roman" w:hAnsi="Times New Roman"/>
                <w:noProof/>
              </w:rPr>
              <w:t xml:space="preserve"> i opi</w:t>
            </w:r>
            <w:r w:rsidRPr="00A33B9F">
              <w:rPr>
                <w:rFonts w:ascii="Times New Roman" w:hAnsi="Times New Roman"/>
                <w:noProof/>
              </w:rPr>
              <w:t>eki</w:t>
            </w:r>
          </w:p>
        </w:tc>
      </w:tr>
      <w:tr w:rsidR="00D8141F" w:rsidRPr="00A33B9F" w14:paraId="25ACCEE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6C29F2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3606712" w14:textId="7D205F7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 Czyste powietrze</w:t>
            </w:r>
            <w:r w:rsidR="00A33B9F" w:rsidRPr="00A33B9F">
              <w:rPr>
                <w:rFonts w:ascii="Times New Roman" w:hAnsi="Times New Roman"/>
                <w:noProof/>
              </w:rPr>
              <w:t xml:space="preserve"> i efe</w:t>
            </w:r>
            <w:r w:rsidRPr="00A33B9F">
              <w:rPr>
                <w:rFonts w:ascii="Times New Roman" w:hAnsi="Times New Roman"/>
                <w:noProof/>
              </w:rPr>
              <w:t>ktywność 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45EF77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A47F5C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Aktualizacja Programu Priorytetowego „Czyste Powietrze”</w:t>
            </w:r>
          </w:p>
        </w:tc>
      </w:tr>
      <w:tr w:rsidR="00D8141F" w:rsidRPr="00A33B9F" w14:paraId="68A12B4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18B28B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A52343" w14:textId="1221A5C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C1.1. Ułatwienie rozwoju infrastruktury sieciowej</w:t>
            </w:r>
            <w:r w:rsidR="00A33B9F" w:rsidRPr="00A33B9F">
              <w:rPr>
                <w:rFonts w:ascii="Times New Roman" w:hAnsi="Times New Roman"/>
                <w:noProof/>
              </w:rPr>
              <w:t xml:space="preserve"> w cel</w:t>
            </w:r>
            <w:r w:rsidRPr="00A33B9F">
              <w:rPr>
                <w:rFonts w:ascii="Times New Roman" w:hAnsi="Times New Roman"/>
                <w:noProof/>
              </w:rPr>
              <w:t>u zapewnienia powszechnego dostępu do szybkiego internetu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4678B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E91C0DF" w14:textId="69EBB40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rozporządzenia Ministra Administracji</w:t>
            </w:r>
            <w:r w:rsidR="00A33B9F" w:rsidRPr="00A33B9F">
              <w:rPr>
                <w:rFonts w:ascii="Times New Roman" w:hAnsi="Times New Roman"/>
                <w:noProof/>
              </w:rPr>
              <w:t xml:space="preserve"> i Cyf</w:t>
            </w:r>
            <w:r w:rsidRPr="00A33B9F">
              <w:rPr>
                <w:rFonts w:ascii="Times New Roman" w:hAnsi="Times New Roman"/>
                <w:noProof/>
              </w:rPr>
              <w:t>ryzacji</w:t>
            </w:r>
            <w:r w:rsidR="00A33B9F" w:rsidRPr="00A33B9F">
              <w:rPr>
                <w:rFonts w:ascii="Times New Roman" w:hAnsi="Times New Roman"/>
                <w:noProof/>
              </w:rPr>
              <w:t xml:space="preserve"> w spr</w:t>
            </w:r>
            <w:r w:rsidRPr="00A33B9F">
              <w:rPr>
                <w:rFonts w:ascii="Times New Roman" w:hAnsi="Times New Roman"/>
                <w:noProof/>
              </w:rPr>
              <w:t>awie inwentaryzacji infrastruktury</w:t>
            </w:r>
            <w:r w:rsidR="00A33B9F" w:rsidRPr="00A33B9F">
              <w:rPr>
                <w:rFonts w:ascii="Times New Roman" w:hAnsi="Times New Roman"/>
                <w:noProof/>
              </w:rPr>
              <w:t xml:space="preserve"> i usł</w:t>
            </w:r>
            <w:r w:rsidRPr="00A33B9F">
              <w:rPr>
                <w:rFonts w:ascii="Times New Roman" w:hAnsi="Times New Roman"/>
                <w:noProof/>
              </w:rPr>
              <w:t>ug telekomunikacyjnych</w:t>
            </w:r>
          </w:p>
        </w:tc>
      </w:tr>
      <w:tr w:rsidR="00D8141F" w:rsidRPr="00A33B9F" w14:paraId="35159DD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A068E8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967FF3" w14:textId="0E3917B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B75BE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4C8EF9" w14:textId="142DF68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rozporządzenia</w:t>
            </w:r>
            <w:r w:rsidR="00A33B9F" w:rsidRPr="00A33B9F">
              <w:rPr>
                <w:rFonts w:ascii="Times New Roman" w:hAnsi="Times New Roman"/>
                <w:noProof/>
              </w:rPr>
              <w:t xml:space="preserve"> w spr</w:t>
            </w:r>
            <w:r w:rsidRPr="00A33B9F">
              <w:rPr>
                <w:rFonts w:ascii="Times New Roman" w:hAnsi="Times New Roman"/>
                <w:noProof/>
              </w:rPr>
              <w:t>awie wykazu wojewódzkich centrów monitorowania</w:t>
            </w:r>
            <w:r w:rsidR="00A33B9F" w:rsidRPr="00A33B9F">
              <w:rPr>
                <w:rFonts w:ascii="Times New Roman" w:hAnsi="Times New Roman"/>
                <w:noProof/>
              </w:rPr>
              <w:t xml:space="preserve"> w ram</w:t>
            </w:r>
            <w:r w:rsidRPr="00A33B9F">
              <w:rPr>
                <w:rFonts w:ascii="Times New Roman" w:hAnsi="Times New Roman"/>
                <w:noProof/>
              </w:rPr>
              <w:t>ach Sieci Onkologicznej</w:t>
            </w:r>
          </w:p>
        </w:tc>
      </w:tr>
      <w:tr w:rsidR="00D8141F" w:rsidRPr="00A33B9F" w14:paraId="5D0E459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954BC4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2C79AFD" w14:textId="5EE58D2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D1.1.1 Rozwój</w:t>
            </w:r>
            <w:r w:rsidR="00A33B9F" w:rsidRPr="00A33B9F">
              <w:rPr>
                <w:rFonts w:ascii="Times New Roman" w:hAnsi="Times New Roman"/>
                <w:noProof/>
              </w:rPr>
              <w:t xml:space="preserve"> i mod</w:t>
            </w:r>
            <w:r w:rsidRPr="00A33B9F">
              <w:rPr>
                <w:rFonts w:ascii="Times New Roman" w:hAnsi="Times New Roman"/>
                <w:noProof/>
              </w:rPr>
              <w:t>ernizacja infrastruktury centrów opieki wysokospecjalistycznej</w:t>
            </w:r>
            <w:r w:rsidR="00A33B9F" w:rsidRPr="00A33B9F">
              <w:rPr>
                <w:rFonts w:ascii="Times New Roman" w:hAnsi="Times New Roman"/>
                <w:noProof/>
              </w:rPr>
              <w:t xml:space="preserve"> i inn</w:t>
            </w:r>
            <w:r w:rsidRPr="00A33B9F">
              <w:rPr>
                <w:rFonts w:ascii="Times New Roman" w:hAnsi="Times New Roman"/>
                <w:noProof/>
              </w:rPr>
              <w:t>ych podmiotów leczniczych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E91BE0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833FA18" w14:textId="6ACFEDE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Pierwsze zaproszenie do składania wniosków dla szpitali ubiegających się</w:t>
            </w:r>
            <w:r w:rsidR="00A33B9F" w:rsidRPr="00A33B9F">
              <w:rPr>
                <w:rFonts w:ascii="Times New Roman" w:hAnsi="Times New Roman"/>
                <w:noProof/>
              </w:rPr>
              <w:t xml:space="preserve"> o fin</w:t>
            </w:r>
            <w:r w:rsidRPr="00A33B9F">
              <w:rPr>
                <w:rFonts w:ascii="Times New Roman" w:hAnsi="Times New Roman"/>
                <w:noProof/>
              </w:rPr>
              <w:t>ansowanie</w:t>
            </w:r>
          </w:p>
        </w:tc>
      </w:tr>
      <w:tr w:rsidR="00D8141F" w:rsidRPr="00A33B9F" w14:paraId="5BB41A1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79131D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830BE9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 Wzrost wykorzystania transportu przyjaznego dla środowiska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10DAD3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4BB979B" w14:textId="5EDC3F1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Działania wspierające rozwój planów zrównoważonej mobilności miejskiej (SUMP) oraz przyjęcie przez Ministerstwo Infrastruktury zachęt do ich wdrażania</w:t>
            </w:r>
            <w:r w:rsidR="00A33B9F" w:rsidRPr="00A33B9F">
              <w:rPr>
                <w:rFonts w:ascii="Times New Roman" w:hAnsi="Times New Roman"/>
                <w:noProof/>
              </w:rPr>
              <w:t xml:space="preserve"> z zap</w:t>
            </w:r>
            <w:r w:rsidRPr="00A33B9F">
              <w:rPr>
                <w:rFonts w:ascii="Times New Roman" w:hAnsi="Times New Roman"/>
                <w:noProof/>
              </w:rPr>
              <w:t>ewnieniem wsparcia technicznego</w:t>
            </w:r>
            <w:r w:rsidR="00A33B9F" w:rsidRPr="00A33B9F">
              <w:rPr>
                <w:rFonts w:ascii="Times New Roman" w:hAnsi="Times New Roman"/>
                <w:noProof/>
              </w:rPr>
              <w:t xml:space="preserve"> i fin</w:t>
            </w:r>
            <w:r w:rsidRPr="00A33B9F">
              <w:rPr>
                <w:rFonts w:ascii="Times New Roman" w:hAnsi="Times New Roman"/>
                <w:noProof/>
              </w:rPr>
              <w:t>ansowego dla wszystkich funkcjonalnych obszarów miejskich</w:t>
            </w:r>
          </w:p>
        </w:tc>
      </w:tr>
      <w:tr w:rsidR="00D8141F" w:rsidRPr="00A33B9F" w14:paraId="2548049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7596C60"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C9F6310"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79A81B8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134E52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2 079 743 156 EUR </w:t>
            </w:r>
          </w:p>
        </w:tc>
      </w:tr>
    </w:tbl>
    <w:p w14:paraId="56E45B76"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11959277"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2.1.4 Czwarta transza (wsparcie bezzwrotne):</w:t>
      </w:r>
    </w:p>
    <w:tbl>
      <w:tblPr>
        <w:tblW w:w="10482" w:type="dxa"/>
        <w:tblLayout w:type="fixed"/>
        <w:tblLook w:val="0000" w:firstRow="0" w:lastRow="0" w:firstColumn="0" w:lastColumn="0" w:noHBand="0" w:noVBand="0"/>
      </w:tblPr>
      <w:tblGrid>
        <w:gridCol w:w="1350"/>
        <w:gridCol w:w="3960"/>
        <w:gridCol w:w="1245"/>
        <w:gridCol w:w="3927"/>
      </w:tblGrid>
      <w:tr w:rsidR="00D8141F" w:rsidRPr="00A33B9F" w14:paraId="4652081F" w14:textId="77777777" w:rsidTr="00753103">
        <w:trPr>
          <w:trHeight w:val="753"/>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220957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271356A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2BEFABF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4A418A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506CFCA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40E5E1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3D31A3" w14:textId="57481D8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A1.4.1 Inwestycje na rzecz dywersyfikacji</w:t>
            </w:r>
            <w:r w:rsidR="00A33B9F" w:rsidRPr="00A33B9F">
              <w:rPr>
                <w:rFonts w:ascii="Times New Roman" w:hAnsi="Times New Roman"/>
                <w:noProof/>
              </w:rPr>
              <w:t xml:space="preserve"> i skr</w:t>
            </w:r>
            <w:r w:rsidRPr="00A33B9F">
              <w:rPr>
                <w:rFonts w:ascii="Times New Roman" w:hAnsi="Times New Roman"/>
                <w:noProof/>
              </w:rPr>
              <w:t>acania łańcucha dostaw produktów rolnych</w:t>
            </w:r>
            <w:r w:rsidR="00A33B9F" w:rsidRPr="00A33B9F">
              <w:rPr>
                <w:rFonts w:ascii="Times New Roman" w:hAnsi="Times New Roman"/>
                <w:noProof/>
              </w:rPr>
              <w:t xml:space="preserve"> i spo</w:t>
            </w:r>
            <w:r w:rsidRPr="00A33B9F">
              <w:rPr>
                <w:rFonts w:ascii="Times New Roman" w:hAnsi="Times New Roman"/>
                <w:noProof/>
              </w:rPr>
              <w:t>żywczych oraz budowy odporności podmiotów uczestniczących</w:t>
            </w:r>
            <w:r w:rsidR="00A33B9F" w:rsidRPr="00A33B9F">
              <w:rPr>
                <w:rFonts w:ascii="Times New Roman" w:hAnsi="Times New Roman"/>
                <w:noProof/>
              </w:rPr>
              <w:t xml:space="preserve"> w łań</w:t>
            </w:r>
            <w:r w:rsidRPr="00A33B9F">
              <w:rPr>
                <w:rFonts w:ascii="Times New Roman" w:hAnsi="Times New Roman"/>
                <w:noProof/>
              </w:rPr>
              <w:t>cuchu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A60F6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1A9F6C6" w14:textId="127616C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Rolnicy</w:t>
            </w:r>
            <w:r w:rsidR="00A33B9F" w:rsidRPr="00A33B9F">
              <w:rPr>
                <w:rFonts w:ascii="Times New Roman" w:hAnsi="Times New Roman"/>
                <w:noProof/>
              </w:rPr>
              <w:t xml:space="preserve"> i ryb</w:t>
            </w:r>
            <w:r w:rsidRPr="00A33B9F">
              <w:rPr>
                <w:rFonts w:ascii="Times New Roman" w:hAnsi="Times New Roman"/>
                <w:noProof/>
              </w:rPr>
              <w:t>acy, którzy zakończyli realizację projektów ukierunkowanych na modernizację infrastruktury</w:t>
            </w:r>
            <w:r w:rsidR="00A33B9F" w:rsidRPr="00A33B9F">
              <w:rPr>
                <w:rFonts w:ascii="Times New Roman" w:hAnsi="Times New Roman"/>
                <w:noProof/>
              </w:rPr>
              <w:t xml:space="preserve"> i wyp</w:t>
            </w:r>
            <w:r w:rsidRPr="00A33B9F">
              <w:rPr>
                <w:rFonts w:ascii="Times New Roman" w:hAnsi="Times New Roman"/>
                <w:noProof/>
              </w:rPr>
              <w:t>osażenia, skracają łańcuchy zaopatrzenia</w:t>
            </w:r>
            <w:r w:rsidR="00A33B9F" w:rsidRPr="00A33B9F">
              <w:rPr>
                <w:rFonts w:ascii="Times New Roman" w:hAnsi="Times New Roman"/>
                <w:noProof/>
              </w:rPr>
              <w:t xml:space="preserve"> w żyw</w:t>
            </w:r>
            <w:r w:rsidRPr="00A33B9F">
              <w:rPr>
                <w:rFonts w:ascii="Times New Roman" w:hAnsi="Times New Roman"/>
                <w:noProof/>
              </w:rPr>
              <w:t>ność</w:t>
            </w:r>
            <w:r w:rsidR="00A33B9F" w:rsidRPr="00A33B9F">
              <w:rPr>
                <w:rFonts w:ascii="Times New Roman" w:hAnsi="Times New Roman"/>
                <w:noProof/>
              </w:rPr>
              <w:t xml:space="preserve"> i wdr</w:t>
            </w:r>
            <w:r w:rsidRPr="00A33B9F">
              <w:rPr>
                <w:rFonts w:ascii="Times New Roman" w:hAnsi="Times New Roman"/>
                <w:noProof/>
              </w:rPr>
              <w:t>ażają rozwiązania</w:t>
            </w:r>
            <w:r w:rsidR="00A33B9F" w:rsidRPr="00A33B9F">
              <w:rPr>
                <w:rFonts w:ascii="Times New Roman" w:hAnsi="Times New Roman"/>
                <w:noProof/>
              </w:rPr>
              <w:t xml:space="preserve"> w zak</w:t>
            </w:r>
            <w:r w:rsidRPr="00A33B9F">
              <w:rPr>
                <w:rFonts w:ascii="Times New Roman" w:hAnsi="Times New Roman"/>
                <w:noProof/>
              </w:rPr>
              <w:t>resie rolnictwa 4.0</w:t>
            </w:r>
            <w:r w:rsidR="00A33B9F" w:rsidRPr="00A33B9F">
              <w:rPr>
                <w:rFonts w:ascii="Times New Roman" w:hAnsi="Times New Roman"/>
                <w:noProof/>
              </w:rPr>
              <w:t xml:space="preserve"> w ram</w:t>
            </w:r>
            <w:r w:rsidRPr="00A33B9F">
              <w:rPr>
                <w:rFonts w:ascii="Times New Roman" w:hAnsi="Times New Roman"/>
                <w:noProof/>
              </w:rPr>
              <w:t>ach procesów produkcji.</w:t>
            </w:r>
            <w:r w:rsidR="00C3621A" w:rsidRPr="00A33B9F">
              <w:rPr>
                <w:rFonts w:ascii="Times New Roman" w:hAnsi="Times New Roman"/>
                <w:noProof/>
              </w:rPr>
              <w:t xml:space="preserve"> </w:t>
            </w:r>
          </w:p>
        </w:tc>
      </w:tr>
      <w:tr w:rsidR="00D8141F" w:rsidRPr="00A33B9F" w14:paraId="051C2A7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025234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BC82740" w14:textId="2E828E8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 Siła robocza dla nowoczesnej gospodarki: poprawa dopasowania umiejętności</w:t>
            </w:r>
            <w:r w:rsidR="00A33B9F" w:rsidRPr="00A33B9F">
              <w:rPr>
                <w:rFonts w:ascii="Times New Roman" w:hAnsi="Times New Roman"/>
                <w:noProof/>
              </w:rPr>
              <w:t xml:space="preserve"> i kwa</w:t>
            </w:r>
            <w:r w:rsidRPr="00A33B9F">
              <w:rPr>
                <w:rFonts w:ascii="Times New Roman" w:hAnsi="Times New Roman"/>
                <w:noProof/>
              </w:rPr>
              <w:t>lifikacji do wymogów rynku pracy</w:t>
            </w:r>
            <w:r w:rsidR="00A33B9F" w:rsidRPr="00A33B9F">
              <w:rPr>
                <w:rFonts w:ascii="Times New Roman" w:hAnsi="Times New Roman"/>
                <w:noProof/>
              </w:rPr>
              <w:t xml:space="preserve"> w zwi</w:t>
            </w:r>
            <w:r w:rsidRPr="00A33B9F">
              <w:rPr>
                <w:rFonts w:ascii="Times New Roman" w:hAnsi="Times New Roman"/>
                <w:noProof/>
              </w:rPr>
              <w:t>ązku</w:t>
            </w:r>
            <w:r w:rsidR="00A33B9F" w:rsidRPr="00A33B9F">
              <w:rPr>
                <w:rFonts w:ascii="Times New Roman" w:hAnsi="Times New Roman"/>
                <w:noProof/>
              </w:rPr>
              <w:t xml:space="preserve"> z wdr</w:t>
            </w:r>
            <w:r w:rsidRPr="00A33B9F">
              <w:rPr>
                <w:rFonts w:ascii="Times New Roman" w:hAnsi="Times New Roman"/>
                <w:noProof/>
              </w:rPr>
              <w:t>ażaniem nowych technologii</w:t>
            </w:r>
            <w:r w:rsidR="00A33B9F" w:rsidRPr="00A33B9F">
              <w:rPr>
                <w:rFonts w:ascii="Times New Roman" w:hAnsi="Times New Roman"/>
                <w:noProof/>
              </w:rPr>
              <w:t xml:space="preserve"> w gos</w:t>
            </w:r>
            <w:r w:rsidRPr="00A33B9F">
              <w:rPr>
                <w:rFonts w:ascii="Times New Roman" w:hAnsi="Times New Roman"/>
                <w:noProof/>
              </w:rPr>
              <w:t>podarce oraz transformacją zieloną</w:t>
            </w:r>
            <w:r w:rsidR="00A33B9F" w:rsidRPr="00A33B9F">
              <w:rPr>
                <w:rFonts w:ascii="Times New Roman" w:hAnsi="Times New Roman"/>
                <w:noProof/>
              </w:rPr>
              <w:t xml:space="preserve"> i cyf</w:t>
            </w:r>
            <w:r w:rsidRPr="00A33B9F">
              <w:rPr>
                <w:rFonts w:ascii="Times New Roman" w:hAnsi="Times New Roman"/>
                <w:noProof/>
              </w:rPr>
              <w:t>rową</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9699C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95E26D" w14:textId="158C912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 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 – Prawo oświatowe,</w:t>
            </w:r>
            <w:r w:rsidR="00A33B9F" w:rsidRPr="00A33B9F">
              <w:rPr>
                <w:rFonts w:ascii="Times New Roman" w:hAnsi="Times New Roman"/>
                <w:noProof/>
              </w:rPr>
              <w:t xml:space="preserve"> w ram</w:t>
            </w:r>
            <w:r w:rsidRPr="00A33B9F">
              <w:rPr>
                <w:rFonts w:ascii="Times New Roman" w:hAnsi="Times New Roman"/>
                <w:noProof/>
              </w:rPr>
              <w:t>ach której ustanowiono ramy prawne dotyczące sieci branżowych centrów umiejętności zapewniających ukierunkowane podnoszenie</w:t>
            </w:r>
            <w:r w:rsidR="00A33B9F" w:rsidRPr="00A33B9F">
              <w:rPr>
                <w:rFonts w:ascii="Times New Roman" w:hAnsi="Times New Roman"/>
                <w:noProof/>
              </w:rPr>
              <w:t xml:space="preserve"> i zmi</w:t>
            </w:r>
            <w:r w:rsidRPr="00A33B9F">
              <w:rPr>
                <w:rFonts w:ascii="Times New Roman" w:hAnsi="Times New Roman"/>
                <w:noProof/>
              </w:rPr>
              <w:t>anę kwalifikacji</w:t>
            </w:r>
            <w:r w:rsidR="00A33B9F" w:rsidRPr="00A33B9F">
              <w:rPr>
                <w:rFonts w:ascii="Times New Roman" w:hAnsi="Times New Roman"/>
                <w:noProof/>
              </w:rPr>
              <w:t xml:space="preserve"> w wys</w:t>
            </w:r>
            <w:r w:rsidRPr="00A33B9F">
              <w:rPr>
                <w:rFonts w:ascii="Times New Roman" w:hAnsi="Times New Roman"/>
                <w:noProof/>
              </w:rPr>
              <w:t>okim stopniu odpowiadające potrzebom rynku pracy.</w:t>
            </w:r>
            <w:r w:rsidR="00C3621A" w:rsidRPr="00A33B9F">
              <w:rPr>
                <w:rFonts w:ascii="Times New Roman" w:hAnsi="Times New Roman"/>
                <w:noProof/>
              </w:rPr>
              <w:t xml:space="preserve"> </w:t>
            </w:r>
          </w:p>
        </w:tc>
      </w:tr>
      <w:tr w:rsidR="00D8141F" w:rsidRPr="00A33B9F" w14:paraId="6BA0417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496F4C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3910F8" w14:textId="76BCC5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 Siła robocza dla nowoczesnej gospodarki: poprawa dopasowania umiejętności</w:t>
            </w:r>
            <w:r w:rsidR="00A33B9F" w:rsidRPr="00A33B9F">
              <w:rPr>
                <w:rFonts w:ascii="Times New Roman" w:hAnsi="Times New Roman"/>
                <w:noProof/>
              </w:rPr>
              <w:t xml:space="preserve"> i kwa</w:t>
            </w:r>
            <w:r w:rsidRPr="00A33B9F">
              <w:rPr>
                <w:rFonts w:ascii="Times New Roman" w:hAnsi="Times New Roman"/>
                <w:noProof/>
              </w:rPr>
              <w:t>lifikacji do wymogów rynku pracy</w:t>
            </w:r>
            <w:r w:rsidR="00A33B9F" w:rsidRPr="00A33B9F">
              <w:rPr>
                <w:rFonts w:ascii="Times New Roman" w:hAnsi="Times New Roman"/>
                <w:noProof/>
              </w:rPr>
              <w:t xml:space="preserve"> w zwi</w:t>
            </w:r>
            <w:r w:rsidRPr="00A33B9F">
              <w:rPr>
                <w:rFonts w:ascii="Times New Roman" w:hAnsi="Times New Roman"/>
                <w:noProof/>
              </w:rPr>
              <w:t>ązku</w:t>
            </w:r>
            <w:r w:rsidR="00A33B9F" w:rsidRPr="00A33B9F">
              <w:rPr>
                <w:rFonts w:ascii="Times New Roman" w:hAnsi="Times New Roman"/>
                <w:noProof/>
              </w:rPr>
              <w:t xml:space="preserve"> z wdr</w:t>
            </w:r>
            <w:r w:rsidRPr="00A33B9F">
              <w:rPr>
                <w:rFonts w:ascii="Times New Roman" w:hAnsi="Times New Roman"/>
                <w:noProof/>
              </w:rPr>
              <w:t>ażaniem nowych technologii</w:t>
            </w:r>
            <w:r w:rsidR="00A33B9F" w:rsidRPr="00A33B9F">
              <w:rPr>
                <w:rFonts w:ascii="Times New Roman" w:hAnsi="Times New Roman"/>
                <w:noProof/>
              </w:rPr>
              <w:t xml:space="preserve"> w gos</w:t>
            </w:r>
            <w:r w:rsidRPr="00A33B9F">
              <w:rPr>
                <w:rFonts w:ascii="Times New Roman" w:hAnsi="Times New Roman"/>
                <w:noProof/>
              </w:rPr>
              <w:t>podarce oraz transformacją zieloną</w:t>
            </w:r>
            <w:r w:rsidR="00A33B9F" w:rsidRPr="00A33B9F">
              <w:rPr>
                <w:rFonts w:ascii="Times New Roman" w:hAnsi="Times New Roman"/>
                <w:noProof/>
              </w:rPr>
              <w:t xml:space="preserve"> i cyf</w:t>
            </w:r>
            <w:r w:rsidRPr="00A33B9F">
              <w:rPr>
                <w:rFonts w:ascii="Times New Roman" w:hAnsi="Times New Roman"/>
                <w:noProof/>
              </w:rPr>
              <w:t>rową</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4CC70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27CDFBD" w14:textId="33C08E3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 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 – Karta nauczyciela umożliwiającej realizację szkoleń branżowych dla nauczycieli ustawicznego kształcenia zawodowego</w:t>
            </w:r>
            <w:r w:rsidR="00A33B9F" w:rsidRPr="00A33B9F">
              <w:rPr>
                <w:rFonts w:ascii="Times New Roman" w:hAnsi="Times New Roman"/>
                <w:noProof/>
              </w:rPr>
              <w:t xml:space="preserve"> w bra</w:t>
            </w:r>
            <w:r w:rsidRPr="00A33B9F">
              <w:rPr>
                <w:rFonts w:ascii="Times New Roman" w:hAnsi="Times New Roman"/>
                <w:noProof/>
              </w:rPr>
              <w:t>nżowych centrach umiejętności</w:t>
            </w:r>
          </w:p>
        </w:tc>
      </w:tr>
      <w:tr w:rsidR="00D8141F" w:rsidRPr="00A33B9F" w14:paraId="414A923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DFCF42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2E9E4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A3.1.1 Wsparcie rozwoju nowoczesnego szkolenia zawodowego, szkolnictwa wyższego oraz uczenia się przez całe życie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37B199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491327C" w14:textId="561435F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Opracowanie zoperacjonalizowanych programów wdrożenia Zintegrowanej Strategii Umiejętności na poziomie regionalnym przez powołane Wojewódzkie Zespoły Koordynacji kształcenia</w:t>
            </w:r>
            <w:r w:rsidR="00A33B9F" w:rsidRPr="00A33B9F">
              <w:rPr>
                <w:rFonts w:ascii="Times New Roman" w:hAnsi="Times New Roman"/>
                <w:noProof/>
              </w:rPr>
              <w:t xml:space="preserve"> i szk</w:t>
            </w:r>
            <w:r w:rsidRPr="00A33B9F">
              <w:rPr>
                <w:rFonts w:ascii="Times New Roman" w:hAnsi="Times New Roman"/>
                <w:noProof/>
              </w:rPr>
              <w:t>olenia zawodowego oraz uczenia się przez całe życie</w:t>
            </w:r>
          </w:p>
        </w:tc>
      </w:tr>
      <w:tr w:rsidR="00D8141F" w:rsidRPr="00A33B9F" w14:paraId="796EF07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4D839A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6285DD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A4.1 Efektywne instytucje na rzecz rynku pracy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A4ADF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B3952E" w14:textId="25D5F3E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Nowe normy</w:t>
            </w:r>
            <w:r w:rsidR="00A33B9F" w:rsidRPr="00A33B9F">
              <w:rPr>
                <w:rFonts w:ascii="Times New Roman" w:hAnsi="Times New Roman"/>
                <w:noProof/>
              </w:rPr>
              <w:t xml:space="preserve"> i ram</w:t>
            </w:r>
            <w:r w:rsidRPr="00A33B9F">
              <w:rPr>
                <w:rFonts w:ascii="Times New Roman" w:hAnsi="Times New Roman"/>
                <w:noProof/>
              </w:rPr>
              <w:t>y wykonania</w:t>
            </w:r>
            <w:r w:rsidR="00A33B9F" w:rsidRPr="00A33B9F">
              <w:rPr>
                <w:rFonts w:ascii="Times New Roman" w:hAnsi="Times New Roman"/>
                <w:noProof/>
              </w:rPr>
              <w:t xml:space="preserve"> w zak</w:t>
            </w:r>
            <w:r w:rsidRPr="00A33B9F">
              <w:rPr>
                <w:rFonts w:ascii="Times New Roman" w:hAnsi="Times New Roman"/>
                <w:noProof/>
              </w:rPr>
              <w:t>resie funkcjonowania</w:t>
            </w:r>
            <w:r w:rsidR="00A33B9F" w:rsidRPr="00A33B9F">
              <w:rPr>
                <w:rFonts w:ascii="Times New Roman" w:hAnsi="Times New Roman"/>
                <w:noProof/>
              </w:rPr>
              <w:t xml:space="preserve"> i koo</w:t>
            </w:r>
            <w:r w:rsidRPr="00A33B9F">
              <w:rPr>
                <w:rFonts w:ascii="Times New Roman" w:hAnsi="Times New Roman"/>
                <w:noProof/>
              </w:rPr>
              <w:t>rdynacji publicznych służb zatrudnienia</w:t>
            </w:r>
          </w:p>
        </w:tc>
      </w:tr>
      <w:tr w:rsidR="00D8141F" w:rsidRPr="00A33B9F" w14:paraId="6836AEF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00C98B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E4C86D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A4.6 Wzrost współczynnika aktywności zawodowej określonych grup poprzez rozwój opieki długoterminowej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DCD8F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7B674D" w14:textId="7A995D8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Strategiczny przegląd opieki długoterminowej</w:t>
            </w:r>
            <w:r w:rsidR="00A33B9F" w:rsidRPr="00A33B9F">
              <w:rPr>
                <w:rFonts w:ascii="Times New Roman" w:hAnsi="Times New Roman"/>
                <w:noProof/>
              </w:rPr>
              <w:t xml:space="preserve"> w Pol</w:t>
            </w:r>
            <w:r w:rsidRPr="00A33B9F">
              <w:rPr>
                <w:rFonts w:ascii="Times New Roman" w:hAnsi="Times New Roman"/>
                <w:noProof/>
              </w:rPr>
              <w:t>sce</w:t>
            </w:r>
            <w:r w:rsidR="00A33B9F" w:rsidRPr="00A33B9F">
              <w:rPr>
                <w:rFonts w:ascii="Times New Roman" w:hAnsi="Times New Roman"/>
                <w:noProof/>
              </w:rPr>
              <w:t xml:space="preserve"> w cel</w:t>
            </w:r>
            <w:r w:rsidRPr="00A33B9F">
              <w:rPr>
                <w:rFonts w:ascii="Times New Roman" w:hAnsi="Times New Roman"/>
                <w:noProof/>
              </w:rPr>
              <w:t>u określenia priorytetów</w:t>
            </w:r>
            <w:r w:rsidR="00A33B9F" w:rsidRPr="00A33B9F">
              <w:rPr>
                <w:rFonts w:ascii="Times New Roman" w:hAnsi="Times New Roman"/>
                <w:noProof/>
              </w:rPr>
              <w:t xml:space="preserve"> w zak</w:t>
            </w:r>
            <w:r w:rsidRPr="00A33B9F">
              <w:rPr>
                <w:rFonts w:ascii="Times New Roman" w:hAnsi="Times New Roman"/>
                <w:noProof/>
              </w:rPr>
              <w:t>resie reform</w:t>
            </w:r>
          </w:p>
        </w:tc>
      </w:tr>
      <w:tr w:rsidR="00D8141F" w:rsidRPr="00A33B9F" w14:paraId="4795187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4E32A3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A71G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D6B2A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A4.7 Ograniczenie segmentacji rynku pracy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C909F7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3434AB1" w14:textId="7A275EF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sys</w:t>
            </w:r>
            <w:r w:rsidRPr="00A33B9F">
              <w:rPr>
                <w:rFonts w:ascii="Times New Roman" w:hAnsi="Times New Roman"/>
                <w:noProof/>
              </w:rPr>
              <w:t>temie ubezpieczeń społecznych ograniczającej segmentację rynku pracy</w:t>
            </w:r>
            <w:r w:rsidR="00A33B9F" w:rsidRPr="00A33B9F">
              <w:rPr>
                <w:rFonts w:ascii="Times New Roman" w:hAnsi="Times New Roman"/>
                <w:noProof/>
              </w:rPr>
              <w:t xml:space="preserve"> i zwi</w:t>
            </w:r>
            <w:r w:rsidRPr="00A33B9F">
              <w:rPr>
                <w:rFonts w:ascii="Times New Roman" w:hAnsi="Times New Roman"/>
                <w:noProof/>
              </w:rPr>
              <w:t>ększającej ochronę socjalną wszystkich osób wykonujących pracę na podstawie umów cywilnoprawnych, poprzez objęcie tych umów składkami na ubezpieczenia społeczne</w:t>
            </w:r>
          </w:p>
        </w:tc>
      </w:tr>
      <w:tr w:rsidR="00D8141F" w:rsidRPr="00A33B9F" w14:paraId="0DFF7E9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DD8F8A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C82AEF" w14:textId="12F1450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 Czyste powietrze</w:t>
            </w:r>
            <w:r w:rsidR="00A33B9F" w:rsidRPr="00A33B9F">
              <w:rPr>
                <w:rFonts w:ascii="Times New Roman" w:hAnsi="Times New Roman"/>
                <w:noProof/>
              </w:rPr>
              <w:t xml:space="preserve"> i efe</w:t>
            </w:r>
            <w:r w:rsidRPr="00A33B9F">
              <w:rPr>
                <w:rFonts w:ascii="Times New Roman" w:hAnsi="Times New Roman"/>
                <w:noProof/>
              </w:rPr>
              <w:t>ktywność 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23EDD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E69055D" w14:textId="166B97A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rozporządzenia</w:t>
            </w:r>
            <w:r w:rsidR="00A33B9F" w:rsidRPr="00A33B9F">
              <w:rPr>
                <w:rFonts w:ascii="Times New Roman" w:hAnsi="Times New Roman"/>
                <w:noProof/>
              </w:rPr>
              <w:t xml:space="preserve"> w spr</w:t>
            </w:r>
            <w:r w:rsidRPr="00A33B9F">
              <w:rPr>
                <w:rFonts w:ascii="Times New Roman" w:hAnsi="Times New Roman"/>
                <w:noProof/>
              </w:rPr>
              <w:t>awie norm jakości dla paliw stałych</w:t>
            </w:r>
            <w:r w:rsidR="00A33B9F" w:rsidRPr="00A33B9F">
              <w:rPr>
                <w:rFonts w:ascii="Times New Roman" w:hAnsi="Times New Roman"/>
                <w:noProof/>
              </w:rPr>
              <w:t xml:space="preserve"> z bio</w:t>
            </w:r>
            <w:r w:rsidRPr="00A33B9F">
              <w:rPr>
                <w:rFonts w:ascii="Times New Roman" w:hAnsi="Times New Roman"/>
                <w:noProof/>
              </w:rPr>
              <w:t>masy</w:t>
            </w:r>
          </w:p>
        </w:tc>
      </w:tr>
      <w:tr w:rsidR="00D8141F" w:rsidRPr="00A33B9F" w14:paraId="7BEB9BE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DA8AE2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2E6163" w14:textId="01A833A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B1.1.2 Wymiana źródeł ciepła</w:t>
            </w:r>
            <w:r w:rsidR="00A33B9F" w:rsidRPr="00A33B9F">
              <w:rPr>
                <w:rFonts w:ascii="Times New Roman" w:hAnsi="Times New Roman"/>
                <w:noProof/>
              </w:rPr>
              <w:t xml:space="preserve"> i pop</w:t>
            </w:r>
            <w:r w:rsidRPr="00A33B9F">
              <w:rPr>
                <w:rFonts w:ascii="Times New Roman" w:hAnsi="Times New Roman"/>
                <w:noProof/>
              </w:rPr>
              <w:t>rawa efektywności energetycznej</w:t>
            </w:r>
            <w:r w:rsidR="00A33B9F" w:rsidRPr="00A33B9F">
              <w:rPr>
                <w:rFonts w:ascii="Times New Roman" w:hAnsi="Times New Roman"/>
                <w:noProof/>
              </w:rPr>
              <w:t xml:space="preserve"> w bud</w:t>
            </w:r>
            <w:r w:rsidRPr="00A33B9F">
              <w:rPr>
                <w:rFonts w:ascii="Times New Roman" w:hAnsi="Times New Roman"/>
                <w:noProof/>
              </w:rPr>
              <w:t>ynkach mieszkalnych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5B14E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3D4778" w14:textId="0280FBF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Wymiana źródeł ciepła</w:t>
            </w:r>
            <w:r w:rsidR="00A33B9F" w:rsidRPr="00A33B9F">
              <w:rPr>
                <w:rFonts w:ascii="Times New Roman" w:hAnsi="Times New Roman"/>
                <w:noProof/>
              </w:rPr>
              <w:t xml:space="preserve"> w bud</w:t>
            </w:r>
            <w:r w:rsidRPr="00A33B9F">
              <w:rPr>
                <w:rFonts w:ascii="Times New Roman" w:hAnsi="Times New Roman"/>
                <w:noProof/>
              </w:rPr>
              <w:t>ynkach jednorodzinnych</w:t>
            </w:r>
          </w:p>
        </w:tc>
      </w:tr>
      <w:tr w:rsidR="00D8141F" w:rsidRPr="00A33B9F" w14:paraId="6963F1C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8CA1BC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C97A5BD" w14:textId="7B1138C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B1.1.2 Wymiana źródeł ciepła</w:t>
            </w:r>
            <w:r w:rsidR="00A33B9F" w:rsidRPr="00A33B9F">
              <w:rPr>
                <w:rFonts w:ascii="Times New Roman" w:hAnsi="Times New Roman"/>
                <w:noProof/>
              </w:rPr>
              <w:t xml:space="preserve"> i pop</w:t>
            </w:r>
            <w:r w:rsidRPr="00A33B9F">
              <w:rPr>
                <w:rFonts w:ascii="Times New Roman" w:hAnsi="Times New Roman"/>
                <w:noProof/>
              </w:rPr>
              <w:t>rawa efektywności energetycznej</w:t>
            </w:r>
            <w:r w:rsidR="00A33B9F" w:rsidRPr="00A33B9F">
              <w:rPr>
                <w:rFonts w:ascii="Times New Roman" w:hAnsi="Times New Roman"/>
                <w:noProof/>
              </w:rPr>
              <w:t xml:space="preserve"> w bud</w:t>
            </w:r>
            <w:r w:rsidRPr="00A33B9F">
              <w:rPr>
                <w:rFonts w:ascii="Times New Roman" w:hAnsi="Times New Roman"/>
                <w:noProof/>
              </w:rPr>
              <w:t>ynkach mieszkalnych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0BE095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794BF7" w14:textId="58A8106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Termomodernizacja</w:t>
            </w:r>
            <w:r w:rsidR="00A33B9F" w:rsidRPr="00A33B9F">
              <w:rPr>
                <w:rFonts w:ascii="Times New Roman" w:hAnsi="Times New Roman"/>
                <w:noProof/>
              </w:rPr>
              <w:t xml:space="preserve"> i ins</w:t>
            </w:r>
            <w:r w:rsidRPr="00A33B9F">
              <w:rPr>
                <w:rFonts w:ascii="Times New Roman" w:hAnsi="Times New Roman"/>
                <w:noProof/>
              </w:rPr>
              <w:t>talacja odnawialnych źródeł energii</w:t>
            </w:r>
            <w:r w:rsidR="00A33B9F" w:rsidRPr="00A33B9F">
              <w:rPr>
                <w:rFonts w:ascii="Times New Roman" w:hAnsi="Times New Roman"/>
                <w:noProof/>
              </w:rPr>
              <w:t xml:space="preserve"> w bud</w:t>
            </w:r>
            <w:r w:rsidRPr="00A33B9F">
              <w:rPr>
                <w:rFonts w:ascii="Times New Roman" w:hAnsi="Times New Roman"/>
                <w:noProof/>
              </w:rPr>
              <w:t>ynkach mieszkalnych (budynki jedno-</w:t>
            </w:r>
            <w:r w:rsidR="00A33B9F" w:rsidRPr="00A33B9F">
              <w:rPr>
                <w:rFonts w:ascii="Times New Roman" w:hAnsi="Times New Roman"/>
                <w:noProof/>
              </w:rPr>
              <w:t xml:space="preserve"> i wie</w:t>
            </w:r>
            <w:r w:rsidRPr="00A33B9F">
              <w:rPr>
                <w:rFonts w:ascii="Times New Roman" w:hAnsi="Times New Roman"/>
                <w:noProof/>
              </w:rPr>
              <w:t>lorodzinne)</w:t>
            </w:r>
          </w:p>
        </w:tc>
      </w:tr>
      <w:tr w:rsidR="00D8141F" w:rsidRPr="00A33B9F" w14:paraId="3041AFD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A3F940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1FD22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B2.1 Poprawa warunków dla rozwoju technologii wodorowych oraz innych gazów zdekarbonizowanych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3CCE4D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734C45" w14:textId="2F5A5E5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 określającej zasady dotyczące wodoru</w:t>
            </w:r>
          </w:p>
        </w:tc>
      </w:tr>
      <w:tr w:rsidR="00D8141F" w:rsidRPr="00A33B9F" w14:paraId="4F73A02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303642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253975" w14:textId="7721158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B2.1.1. Inwestycje</w:t>
            </w:r>
            <w:r w:rsidR="00A33B9F" w:rsidRPr="00A33B9F">
              <w:rPr>
                <w:rFonts w:ascii="Times New Roman" w:hAnsi="Times New Roman"/>
                <w:noProof/>
              </w:rPr>
              <w:t xml:space="preserve"> w tec</w:t>
            </w:r>
            <w:r w:rsidRPr="00A33B9F">
              <w:rPr>
                <w:rFonts w:ascii="Times New Roman" w:hAnsi="Times New Roman"/>
                <w:noProof/>
              </w:rPr>
              <w:t>hnologie wodorowe, wytwarzanie, magazynowanie</w:t>
            </w:r>
            <w:r w:rsidR="00A33B9F" w:rsidRPr="00A33B9F">
              <w:rPr>
                <w:rFonts w:ascii="Times New Roman" w:hAnsi="Times New Roman"/>
                <w:noProof/>
              </w:rPr>
              <w:t xml:space="preserve"> i tra</w:t>
            </w:r>
            <w:r w:rsidRPr="00A33B9F">
              <w:rPr>
                <w:rFonts w:ascii="Times New Roman" w:hAnsi="Times New Roman"/>
                <w:noProof/>
              </w:rPr>
              <w:t>nsport wodoru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319ED7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B784EF" w14:textId="6C7B317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Wydane decyzje</w:t>
            </w:r>
            <w:r w:rsidR="00A33B9F" w:rsidRPr="00A33B9F">
              <w:rPr>
                <w:rFonts w:ascii="Times New Roman" w:hAnsi="Times New Roman"/>
                <w:noProof/>
              </w:rPr>
              <w:t xml:space="preserve"> o śro</w:t>
            </w:r>
            <w:r w:rsidRPr="00A33B9F">
              <w:rPr>
                <w:rFonts w:ascii="Times New Roman" w:hAnsi="Times New Roman"/>
                <w:noProof/>
              </w:rPr>
              <w:t>dowiskowych uwarunkowaniach dla stacji tankowania wodoru</w:t>
            </w:r>
          </w:p>
        </w:tc>
      </w:tr>
      <w:tr w:rsidR="00D8141F" w:rsidRPr="00A33B9F" w14:paraId="7D73EA8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1D42ED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415E829" w14:textId="77A1057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 Zwiększenie skali zastosowań rozwiązań cyfrowych</w:t>
            </w:r>
            <w:r w:rsidR="00A33B9F" w:rsidRPr="00A33B9F">
              <w:rPr>
                <w:rFonts w:ascii="Times New Roman" w:hAnsi="Times New Roman"/>
                <w:noProof/>
              </w:rPr>
              <w:t xml:space="preserve"> w sfe</w:t>
            </w:r>
            <w:r w:rsidRPr="00A33B9F">
              <w:rPr>
                <w:rFonts w:ascii="Times New Roman" w:hAnsi="Times New Roman"/>
                <w:noProof/>
              </w:rPr>
              <w:t>rze publicznej, gospodarce</w:t>
            </w:r>
            <w:r w:rsidR="00A33B9F" w:rsidRPr="00A33B9F">
              <w:rPr>
                <w:rFonts w:ascii="Times New Roman" w:hAnsi="Times New Roman"/>
                <w:noProof/>
              </w:rPr>
              <w:t xml:space="preserve"> i spo</w:t>
            </w:r>
            <w:r w:rsidRPr="00A33B9F">
              <w:rPr>
                <w:rFonts w:ascii="Times New Roman" w:hAnsi="Times New Roman"/>
                <w:noProof/>
              </w:rPr>
              <w:t>łeczeństwie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7868F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6010DE" w14:textId="6B05DA8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ustawy</w:t>
            </w:r>
            <w:r w:rsidR="00A33B9F" w:rsidRPr="00A33B9F">
              <w:rPr>
                <w:rFonts w:ascii="Times New Roman" w:hAnsi="Times New Roman"/>
                <w:noProof/>
              </w:rPr>
              <w:t xml:space="preserve"> z dni</w:t>
            </w:r>
            <w:r w:rsidRPr="00A33B9F">
              <w:rPr>
                <w:rFonts w:ascii="Times New Roman" w:hAnsi="Times New Roman"/>
                <w:noProof/>
              </w:rPr>
              <w:t>a 17 lutego 2005</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o inf</w:t>
            </w:r>
            <w:r w:rsidRPr="00A33B9F">
              <w:rPr>
                <w:rFonts w:ascii="Times New Roman" w:hAnsi="Times New Roman"/>
                <w:noProof/>
              </w:rPr>
              <w:t>ormatyzacji działalności podmiotów realizujących zadania publiczne pod kątem wprowadzania domyślności cyfrowej postaci dokumentów</w:t>
            </w:r>
            <w:r w:rsidR="00A33B9F" w:rsidRPr="00A33B9F">
              <w:rPr>
                <w:rFonts w:ascii="Times New Roman" w:hAnsi="Times New Roman"/>
                <w:noProof/>
              </w:rPr>
              <w:t xml:space="preserve"> i ele</w:t>
            </w:r>
            <w:r w:rsidRPr="00A33B9F">
              <w:rPr>
                <w:rFonts w:ascii="Times New Roman" w:hAnsi="Times New Roman"/>
                <w:noProof/>
              </w:rPr>
              <w:t>ktronicznej formy usług oraz cyfryzacji procesów administracyjnych.</w:t>
            </w:r>
          </w:p>
        </w:tc>
      </w:tr>
      <w:tr w:rsidR="00D8141F" w:rsidRPr="00A33B9F" w14:paraId="00EA00E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2F8A9E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89C29E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C3.1 Zwiększenie cyberbezpieczeństwa systemów informacyjnych, wzmocnienie infrastruktury przetwarzania danych oraz optymalizacja infrastruktury organów ścigania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9FFD12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082116" w14:textId="40D1D47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Zmiany</w:t>
            </w:r>
            <w:r w:rsidR="00A33B9F" w:rsidRPr="00A33B9F">
              <w:rPr>
                <w:rFonts w:ascii="Times New Roman" w:hAnsi="Times New Roman"/>
                <w:noProof/>
              </w:rPr>
              <w:t xml:space="preserve"> w roz</w:t>
            </w:r>
            <w:r w:rsidRPr="00A33B9F">
              <w:rPr>
                <w:rFonts w:ascii="Times New Roman" w:hAnsi="Times New Roman"/>
                <w:noProof/>
              </w:rPr>
              <w:t>porządzeniu Rady Ministrów</w:t>
            </w:r>
            <w:r w:rsidR="00A33B9F" w:rsidRPr="00A33B9F">
              <w:rPr>
                <w:rFonts w:ascii="Times New Roman" w:hAnsi="Times New Roman"/>
                <w:noProof/>
              </w:rPr>
              <w:t xml:space="preserve"> z dni</w:t>
            </w:r>
            <w:r w:rsidRPr="00A33B9F">
              <w:rPr>
                <w:rFonts w:ascii="Times New Roman" w:hAnsi="Times New Roman"/>
                <w:noProof/>
              </w:rPr>
              <w:t>a 11 września 2018</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w spr</w:t>
            </w:r>
            <w:r w:rsidRPr="00A33B9F">
              <w:rPr>
                <w:rFonts w:ascii="Times New Roman" w:hAnsi="Times New Roman"/>
                <w:noProof/>
              </w:rPr>
              <w:t>awie wykazu usług kluczowych oraz progów istotności skutku zakłócającego incydentu dla świadczenia usług kluczowych</w:t>
            </w:r>
          </w:p>
        </w:tc>
      </w:tr>
      <w:tr w:rsidR="00D8141F" w:rsidRPr="00A33B9F" w14:paraId="6BC1099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C30F1A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B2C6A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C3.1.1 Cyberbezpieczeństwo – CyberPL, infrastruktura przetwarzania danych oraz optymalizacja infrastruktury służb państwowych odpowiedzialnych za bezpieczeństwo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17B716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BA93B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Ważny projekt stanowiący przedmiot wspólnego europejskiego zainteresowania (projekt IPCEI): Wybór projektów dotyczących chmury obliczeniowej nowej generacji</w:t>
            </w:r>
          </w:p>
        </w:tc>
      </w:tr>
      <w:tr w:rsidR="00D8141F" w:rsidRPr="00A33B9F" w14:paraId="0D28E38D" w14:textId="77777777" w:rsidTr="00753103">
        <w:trPr>
          <w:trHeight w:val="1287"/>
        </w:trPr>
        <w:tc>
          <w:tcPr>
            <w:tcW w:w="1350" w:type="dxa"/>
            <w:tcBorders>
              <w:top w:val="single" w:sz="6" w:space="0" w:color="auto"/>
              <w:left w:val="single" w:sz="6" w:space="0" w:color="auto"/>
              <w:bottom w:val="single" w:sz="6" w:space="0" w:color="auto"/>
              <w:right w:val="single" w:sz="6" w:space="0" w:color="auto"/>
            </w:tcBorders>
            <w:shd w:val="clear" w:color="auto" w:fill="C6EFCE"/>
          </w:tcPr>
          <w:p w14:paraId="679A2F0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10B613C" w14:textId="09D99DD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D1.1.1 Rozwój</w:t>
            </w:r>
            <w:r w:rsidR="00A33B9F" w:rsidRPr="00A33B9F">
              <w:rPr>
                <w:rFonts w:ascii="Times New Roman" w:hAnsi="Times New Roman"/>
                <w:noProof/>
              </w:rPr>
              <w:t xml:space="preserve"> i mod</w:t>
            </w:r>
            <w:r w:rsidRPr="00A33B9F">
              <w:rPr>
                <w:rFonts w:ascii="Times New Roman" w:hAnsi="Times New Roman"/>
                <w:noProof/>
              </w:rPr>
              <w:t>ernizacja infrastruktury centrów opieki wysokospecjalistycznej</w:t>
            </w:r>
            <w:r w:rsidR="00A33B9F" w:rsidRPr="00A33B9F">
              <w:rPr>
                <w:rFonts w:ascii="Times New Roman" w:hAnsi="Times New Roman"/>
                <w:noProof/>
              </w:rPr>
              <w:t xml:space="preserve"> i inn</w:t>
            </w:r>
            <w:r w:rsidRPr="00A33B9F">
              <w:rPr>
                <w:rFonts w:ascii="Times New Roman" w:hAnsi="Times New Roman"/>
                <w:noProof/>
              </w:rPr>
              <w:t>ych podmiotów leczniczych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C9E030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4E70147" w14:textId="2716F17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Umowy podpisane między szpitalami</w:t>
            </w:r>
            <w:r w:rsidR="00A33B9F" w:rsidRPr="00A33B9F">
              <w:rPr>
                <w:rFonts w:ascii="Times New Roman" w:hAnsi="Times New Roman"/>
                <w:noProof/>
              </w:rPr>
              <w:t xml:space="preserve"> a Min</w:t>
            </w:r>
            <w:r w:rsidRPr="00A33B9F">
              <w:rPr>
                <w:rFonts w:ascii="Times New Roman" w:hAnsi="Times New Roman"/>
                <w:noProof/>
              </w:rPr>
              <w:t>isterstwem Zdrowia na zakup sprzętu medycznego lub przeprowadzenie inwestycji infrastrukturalnych</w:t>
            </w:r>
          </w:p>
        </w:tc>
      </w:tr>
      <w:tr w:rsidR="00D8141F" w:rsidRPr="00A33B9F" w14:paraId="70626ED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4AE5B2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FEB090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 Zwiększenie konkurencyjności sektora kolejowego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C758E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AA17D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Ustanowienie systemu opłat za przejazd na nowych drogach</w:t>
            </w:r>
          </w:p>
        </w:tc>
      </w:tr>
      <w:tr w:rsidR="00D8141F" w:rsidRPr="00A33B9F" w14:paraId="60FB1D0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B43547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0B7C8C" w14:textId="43E55DD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E2.2.1 Inwestycje</w:t>
            </w:r>
            <w:r w:rsidR="00A33B9F" w:rsidRPr="00A33B9F">
              <w:rPr>
                <w:rFonts w:ascii="Times New Roman" w:hAnsi="Times New Roman"/>
                <w:noProof/>
              </w:rPr>
              <w:t xml:space="preserve"> w zak</w:t>
            </w:r>
            <w:r w:rsidRPr="00A33B9F">
              <w:rPr>
                <w:rFonts w:ascii="Times New Roman" w:hAnsi="Times New Roman"/>
                <w:noProof/>
              </w:rPr>
              <w:t>resie bezpieczeństwa transportu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0B5C64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8835259" w14:textId="4714E5B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Zakończenie budowy obwodnic</w:t>
            </w:r>
            <w:r w:rsidR="00A33B9F" w:rsidRPr="00A33B9F">
              <w:rPr>
                <w:rFonts w:ascii="Times New Roman" w:hAnsi="Times New Roman"/>
                <w:noProof/>
              </w:rPr>
              <w:t xml:space="preserve"> i usu</w:t>
            </w:r>
            <w:r w:rsidRPr="00A33B9F">
              <w:rPr>
                <w:rFonts w:ascii="Times New Roman" w:hAnsi="Times New Roman"/>
                <w:noProof/>
              </w:rPr>
              <w:t>nięcie czarnych punktów/hotspotów bezpieczeństwa ruchu drogowego</w:t>
            </w:r>
          </w:p>
        </w:tc>
      </w:tr>
      <w:tr w:rsidR="00D8141F" w:rsidRPr="00A33B9F" w14:paraId="2D15673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C94DF8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F3G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4FCC95" w14:textId="3D95AD1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F2.1 Poprawa sytuacji sędziów, których dotyczą uchwały Izby Dyscyplinarnej</w:t>
            </w:r>
            <w:r w:rsidR="00A33B9F" w:rsidRPr="00A33B9F">
              <w:rPr>
                <w:rFonts w:ascii="Times New Roman" w:hAnsi="Times New Roman"/>
                <w:noProof/>
              </w:rPr>
              <w:t xml:space="preserve"> w spr</w:t>
            </w:r>
            <w:r w:rsidRPr="00A33B9F">
              <w:rPr>
                <w:rFonts w:ascii="Times New Roman" w:hAnsi="Times New Roman"/>
                <w:noProof/>
              </w:rPr>
              <w:t>awach dyscyplinarnych</w:t>
            </w:r>
            <w:r w:rsidR="00A33B9F" w:rsidRPr="00A33B9F">
              <w:rPr>
                <w:rFonts w:ascii="Times New Roman" w:hAnsi="Times New Roman"/>
                <w:noProof/>
              </w:rPr>
              <w:t xml:space="preserve"> i dot</w:t>
            </w:r>
            <w:r w:rsidRPr="00A33B9F">
              <w:rPr>
                <w:rFonts w:ascii="Times New Roman" w:hAnsi="Times New Roman"/>
                <w:noProof/>
              </w:rPr>
              <w:t>yczących immunitetu sędziowskiego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682CC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897334" w14:textId="42AD9AF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Reforma mająca na celu poprawę sytuacji sędziów, których dotyczą uchwały Izby Dyscyplinarnej polskiego Sądu Najwyższego</w:t>
            </w:r>
            <w:r w:rsidR="00A33B9F" w:rsidRPr="00A33B9F">
              <w:rPr>
                <w:rFonts w:ascii="Times New Roman" w:hAnsi="Times New Roman"/>
                <w:noProof/>
              </w:rPr>
              <w:t xml:space="preserve"> w spr</w:t>
            </w:r>
            <w:r w:rsidRPr="00A33B9F">
              <w:rPr>
                <w:rFonts w:ascii="Times New Roman" w:hAnsi="Times New Roman"/>
                <w:noProof/>
              </w:rPr>
              <w:t>awach dyscyplinarnych</w:t>
            </w:r>
            <w:r w:rsidR="00A33B9F" w:rsidRPr="00A33B9F">
              <w:rPr>
                <w:rFonts w:ascii="Times New Roman" w:hAnsi="Times New Roman"/>
                <w:noProof/>
              </w:rPr>
              <w:t xml:space="preserve"> i dot</w:t>
            </w:r>
            <w:r w:rsidRPr="00A33B9F">
              <w:rPr>
                <w:rFonts w:ascii="Times New Roman" w:hAnsi="Times New Roman"/>
                <w:noProof/>
              </w:rPr>
              <w:t>yczących immunitetu sędziowskiego</w:t>
            </w:r>
          </w:p>
        </w:tc>
      </w:tr>
      <w:tr w:rsidR="00D8141F" w:rsidRPr="00A33B9F" w14:paraId="1DBC743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9263E5E"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B336042" w14:textId="77777777" w:rsidR="00D8141F" w:rsidRPr="00A33B9F" w:rsidRDefault="00D8141F" w:rsidP="00753103">
            <w:pPr>
              <w:spacing w:after="0" w:line="240" w:lineRule="auto"/>
              <w:rPr>
                <w:rFonts w:ascii="Times New Roman" w:eastAsia="Times New Roman" w:hAnsi="Times New Roman" w:cs="Times New Roman"/>
                <w:noProof/>
              </w:rPr>
            </w:pPr>
            <w:r w:rsidRPr="00A33B9F">
              <w:rPr>
                <w:rFonts w:ascii="Times New Roman" w:hAnsi="Times New Roman"/>
                <w:noProof/>
              </w:rPr>
              <w:t>G1.1.2 Instalacje odnawialnych źródeł energii realizowane przez społeczności energetyczne</w:t>
            </w:r>
          </w:p>
          <w:p w14:paraId="3D00A216" w14:textId="77777777" w:rsidR="00D8141F" w:rsidRPr="00A33B9F" w:rsidRDefault="00D8141F" w:rsidP="00753103">
            <w:pPr>
              <w:spacing w:line="240" w:lineRule="auto"/>
              <w:rPr>
                <w:rFonts w:ascii="Times New Roman" w:hAnsi="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C57053A"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7056BE"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Zaproszenie do składania wniosków dotyczących programu wsparcia inwestycyjnego</w:t>
            </w:r>
          </w:p>
        </w:tc>
      </w:tr>
      <w:tr w:rsidR="00D8141F" w:rsidRPr="00A33B9F" w14:paraId="69EE875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1C4315C"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EA67129" w14:textId="365102A9"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G1.2.2 Usuwanie barier ograniczających integrację odnawialnych źródeł energii</w:t>
            </w:r>
            <w:r w:rsidR="00A33B9F" w:rsidRPr="00A33B9F">
              <w:rPr>
                <w:rFonts w:ascii="Times New Roman" w:hAnsi="Times New Roman"/>
                <w:noProof/>
              </w:rPr>
              <w:t xml:space="preserve"> z sie</w:t>
            </w:r>
            <w:r w:rsidRPr="00A33B9F">
              <w:rPr>
                <w:rFonts w:ascii="Times New Roman" w:hAnsi="Times New Roman"/>
                <w:noProof/>
              </w:rPr>
              <w:t>ciami elektroenergetycznymi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500A76"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3AE1F2B" w14:textId="7F080CDB"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ram prawnych umożliwiających łączenie przewodów</w:t>
            </w:r>
          </w:p>
        </w:tc>
      </w:tr>
      <w:tr w:rsidR="00D8141F" w:rsidRPr="00A33B9F" w14:paraId="68A27FE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ECB02D2"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D3839E9"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011270C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3B7DEAB9"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2 429 188 865 EUR </w:t>
            </w:r>
          </w:p>
        </w:tc>
      </w:tr>
    </w:tbl>
    <w:p w14:paraId="3D122EF7"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7DA09657"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2.1.5 Piąta transza (wsparcie bezzwrotne):</w:t>
      </w:r>
    </w:p>
    <w:tbl>
      <w:tblPr>
        <w:tblW w:w="10482" w:type="dxa"/>
        <w:tblLayout w:type="fixed"/>
        <w:tblLook w:val="0000" w:firstRow="0" w:lastRow="0" w:firstColumn="0" w:lastColumn="0" w:noHBand="0" w:noVBand="0"/>
      </w:tblPr>
      <w:tblGrid>
        <w:gridCol w:w="1350"/>
        <w:gridCol w:w="3960"/>
        <w:gridCol w:w="1245"/>
        <w:gridCol w:w="3927"/>
      </w:tblGrid>
      <w:tr w:rsidR="00D8141F" w:rsidRPr="00A33B9F" w14:paraId="70B3C6E8" w14:textId="77777777" w:rsidTr="00753103">
        <w:trPr>
          <w:trHeight w:val="655"/>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14B474E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9F6828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30FAA4D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1A92117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125891F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BE2AE9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509786" w14:textId="31E08B7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A1.3.1 Wdrożenie reformy planowania</w:t>
            </w:r>
            <w:r w:rsidR="00A33B9F" w:rsidRPr="00A33B9F">
              <w:rPr>
                <w:rFonts w:ascii="Times New Roman" w:hAnsi="Times New Roman"/>
                <w:noProof/>
              </w:rPr>
              <w:t xml:space="preserve"> i zag</w:t>
            </w:r>
            <w:r w:rsidRPr="00A33B9F">
              <w:rPr>
                <w:rFonts w:ascii="Times New Roman" w:hAnsi="Times New Roman"/>
                <w:noProof/>
              </w:rPr>
              <w:t>ospodarowania przestrzennego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8D199C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C05B75F" w14:textId="1304B23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Pracownicy samorządów</w:t>
            </w:r>
            <w:r w:rsidR="00A33B9F" w:rsidRPr="00A33B9F">
              <w:rPr>
                <w:rFonts w:ascii="Times New Roman" w:hAnsi="Times New Roman"/>
                <w:noProof/>
              </w:rPr>
              <w:t xml:space="preserve"> i pla</w:t>
            </w:r>
            <w:r w:rsidRPr="00A33B9F">
              <w:rPr>
                <w:rFonts w:ascii="Times New Roman" w:hAnsi="Times New Roman"/>
                <w:noProof/>
              </w:rPr>
              <w:t>niści przestrzenni terytorialnych, którzy ukończyli szkolenie dotyczące nowej ustawy</w:t>
            </w:r>
            <w:r w:rsidR="00A33B9F" w:rsidRPr="00A33B9F">
              <w:rPr>
                <w:rFonts w:ascii="Times New Roman" w:hAnsi="Times New Roman"/>
                <w:noProof/>
              </w:rPr>
              <w:t xml:space="preserve"> o pla</w:t>
            </w:r>
            <w:r w:rsidRPr="00A33B9F">
              <w:rPr>
                <w:rFonts w:ascii="Times New Roman" w:hAnsi="Times New Roman"/>
                <w:noProof/>
              </w:rPr>
              <w:t>nowaniu przestrzennym.</w:t>
            </w:r>
          </w:p>
        </w:tc>
      </w:tr>
      <w:tr w:rsidR="00D8141F" w:rsidRPr="00A33B9F" w14:paraId="3ABD1E7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AE3FA5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076DAA" w14:textId="2B5C06E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A2.2 Stworzenie warunków do przejścia na model gospodarki</w:t>
            </w:r>
            <w:r w:rsidR="00A33B9F" w:rsidRPr="00A33B9F">
              <w:rPr>
                <w:rFonts w:ascii="Times New Roman" w:hAnsi="Times New Roman"/>
                <w:noProof/>
              </w:rPr>
              <w:t xml:space="preserve"> o obi</w:t>
            </w:r>
            <w:r w:rsidRPr="00A33B9F">
              <w:rPr>
                <w:rFonts w:ascii="Times New Roman" w:hAnsi="Times New Roman"/>
                <w:noProof/>
              </w:rPr>
              <w:t>egu zamkniętym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06E40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A67C9FF" w14:textId="401CAF2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nowych przepisów,</w:t>
            </w:r>
            <w:r w:rsidR="00A33B9F" w:rsidRPr="00A33B9F">
              <w:rPr>
                <w:rFonts w:ascii="Times New Roman" w:hAnsi="Times New Roman"/>
                <w:noProof/>
              </w:rPr>
              <w:t xml:space="preserve"> z pom</w:t>
            </w:r>
            <w:r w:rsidRPr="00A33B9F">
              <w:rPr>
                <w:rFonts w:ascii="Times New Roman" w:hAnsi="Times New Roman"/>
                <w:noProof/>
              </w:rPr>
              <w:t>ocą których wprowadza się zmiany do ram legislacyjnych</w:t>
            </w:r>
            <w:r w:rsidR="00A33B9F" w:rsidRPr="00A33B9F">
              <w:rPr>
                <w:rFonts w:ascii="Times New Roman" w:hAnsi="Times New Roman"/>
                <w:noProof/>
              </w:rPr>
              <w:t xml:space="preserve"> w cel</w:t>
            </w:r>
            <w:r w:rsidRPr="00A33B9F">
              <w:rPr>
                <w:rFonts w:ascii="Times New Roman" w:hAnsi="Times New Roman"/>
                <w:noProof/>
              </w:rPr>
              <w:t>u umożliwienia obrotu surowcami wtórnymi</w:t>
            </w:r>
            <w:r w:rsidR="00C3621A" w:rsidRPr="00A33B9F">
              <w:rPr>
                <w:rFonts w:ascii="Times New Roman" w:hAnsi="Times New Roman"/>
                <w:noProof/>
              </w:rPr>
              <w:t xml:space="preserve"> </w:t>
            </w:r>
          </w:p>
        </w:tc>
      </w:tr>
      <w:tr w:rsidR="00D8141F" w:rsidRPr="00A33B9F" w14:paraId="0FEC120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446C27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9F96D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A3.1.1 Wsparcie rozwoju nowoczesnego szkolenia zawodowego, szkolnictwa wyższego oraz uczenia się przez całe życie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6A8BB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4800FD5" w14:textId="399AE0C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Ustanowienie sieci funkcjonujących branżowych centrów umiejętności zapewniających ukierunkowane podnoszenie</w:t>
            </w:r>
            <w:r w:rsidR="00A33B9F" w:rsidRPr="00A33B9F">
              <w:rPr>
                <w:rFonts w:ascii="Times New Roman" w:hAnsi="Times New Roman"/>
                <w:noProof/>
              </w:rPr>
              <w:t xml:space="preserve"> i zmi</w:t>
            </w:r>
            <w:r w:rsidRPr="00A33B9F">
              <w:rPr>
                <w:rFonts w:ascii="Times New Roman" w:hAnsi="Times New Roman"/>
                <w:noProof/>
              </w:rPr>
              <w:t>anę kwalifikacji</w:t>
            </w:r>
            <w:r w:rsidR="00A33B9F" w:rsidRPr="00A33B9F">
              <w:rPr>
                <w:rFonts w:ascii="Times New Roman" w:hAnsi="Times New Roman"/>
                <w:noProof/>
              </w:rPr>
              <w:t xml:space="preserve"> w wys</w:t>
            </w:r>
            <w:r w:rsidRPr="00A33B9F">
              <w:rPr>
                <w:rFonts w:ascii="Times New Roman" w:hAnsi="Times New Roman"/>
                <w:noProof/>
              </w:rPr>
              <w:t>okim stopniu odpowiadające potrzebom rynku pracy</w:t>
            </w:r>
          </w:p>
        </w:tc>
      </w:tr>
      <w:tr w:rsidR="00D8141F" w:rsidRPr="00A33B9F" w14:paraId="34F2407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E7B8FF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54F149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A4.2 Reforma na rzecz poprawy sytuacji rodziców na rynku pracy poprzez zwiększenie dostępu do wysokiej jakości opieki nad dziećmi do lat trzech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D64D5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9628E19" w14:textId="306F4FD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opi</w:t>
            </w:r>
            <w:r w:rsidRPr="00A33B9F">
              <w:rPr>
                <w:rFonts w:ascii="Times New Roman" w:hAnsi="Times New Roman"/>
                <w:noProof/>
              </w:rPr>
              <w:t>ece nad dziećmi</w:t>
            </w:r>
            <w:r w:rsidR="00A33B9F" w:rsidRPr="00A33B9F">
              <w:rPr>
                <w:rFonts w:ascii="Times New Roman" w:hAnsi="Times New Roman"/>
                <w:noProof/>
              </w:rPr>
              <w:t xml:space="preserve"> w wie</w:t>
            </w:r>
            <w:r w:rsidRPr="00A33B9F">
              <w:rPr>
                <w:rFonts w:ascii="Times New Roman" w:hAnsi="Times New Roman"/>
                <w:noProof/>
              </w:rPr>
              <w:t>ku do lat trzech zapewniającej stabilne, długoterminowe finansowanie usług opieki nad dziećmi</w:t>
            </w:r>
            <w:r w:rsidR="00A33B9F" w:rsidRPr="00A33B9F">
              <w:rPr>
                <w:rFonts w:ascii="Times New Roman" w:hAnsi="Times New Roman"/>
                <w:noProof/>
              </w:rPr>
              <w:t xml:space="preserve"> w wie</w:t>
            </w:r>
            <w:r w:rsidRPr="00A33B9F">
              <w:rPr>
                <w:rFonts w:ascii="Times New Roman" w:hAnsi="Times New Roman"/>
                <w:noProof/>
              </w:rPr>
              <w:t>ku do lat trzech ze środków krajowych</w:t>
            </w:r>
          </w:p>
        </w:tc>
      </w:tr>
      <w:tr w:rsidR="00D8141F" w:rsidRPr="00A33B9F" w14:paraId="39E7DD9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C9F8725"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B21aG</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FCE"/>
          </w:tcPr>
          <w:p w14:paraId="1F106A97" w14:textId="0328F6BB" w:rsidR="00D8141F" w:rsidRPr="00A33B9F" w:rsidRDefault="00D8141F" w:rsidP="00753103">
            <w:pPr>
              <w:spacing w:line="240" w:lineRule="auto"/>
              <w:rPr>
                <w:rFonts w:ascii="Times New Roman" w:hAnsi="Times New Roman"/>
                <w:noProof/>
              </w:rPr>
            </w:pPr>
            <w:r w:rsidRPr="00A33B9F">
              <w:rPr>
                <w:rFonts w:ascii="Times New Roman" w:hAnsi="Times New Roman"/>
                <w:noProof/>
              </w:rPr>
              <w:t>B2.1.1. Inwestycje</w:t>
            </w:r>
            <w:r w:rsidR="00A33B9F" w:rsidRPr="00A33B9F">
              <w:rPr>
                <w:rFonts w:ascii="Times New Roman" w:hAnsi="Times New Roman"/>
                <w:noProof/>
              </w:rPr>
              <w:t xml:space="preserve"> w tec</w:t>
            </w:r>
            <w:r w:rsidRPr="00A33B9F">
              <w:rPr>
                <w:rFonts w:ascii="Times New Roman" w:hAnsi="Times New Roman"/>
                <w:noProof/>
              </w:rPr>
              <w:t>hnologie wodorowe, wytwarzanie, magazynowanie</w:t>
            </w:r>
            <w:r w:rsidR="00A33B9F" w:rsidRPr="00A33B9F">
              <w:rPr>
                <w:rFonts w:ascii="Times New Roman" w:hAnsi="Times New Roman"/>
                <w:noProof/>
              </w:rPr>
              <w:t xml:space="preserve"> i tra</w:t>
            </w:r>
            <w:r w:rsidRPr="00A33B9F">
              <w:rPr>
                <w:rFonts w:ascii="Times New Roman" w:hAnsi="Times New Roman"/>
                <w:noProof/>
              </w:rPr>
              <w:t>nsport wodoru </w:t>
            </w:r>
          </w:p>
        </w:tc>
        <w:tc>
          <w:tcPr>
            <w:tcW w:w="1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EFCE"/>
          </w:tcPr>
          <w:p w14:paraId="53D5D5A8" w14:textId="3B468492"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r w:rsidR="00C3621A" w:rsidRPr="00A33B9F">
              <w:rPr>
                <w:rFonts w:ascii="Times New Roman" w:hAnsi="Times New Roman"/>
                <w:noProof/>
              </w:rPr>
              <w:t xml:space="preserve">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726DB7" w14:textId="4C72ABB2" w:rsidR="00D8141F" w:rsidRPr="00A33B9F" w:rsidRDefault="00D8141F" w:rsidP="00753103">
            <w:pPr>
              <w:spacing w:line="240" w:lineRule="auto"/>
              <w:rPr>
                <w:rFonts w:ascii="Times New Roman" w:hAnsi="Times New Roman"/>
                <w:noProof/>
              </w:rPr>
            </w:pPr>
            <w:r w:rsidRPr="00A33B9F">
              <w:rPr>
                <w:rFonts w:ascii="Times New Roman" w:hAnsi="Times New Roman"/>
                <w:noProof/>
              </w:rPr>
              <w:t>Umowa wykonawcza</w:t>
            </w:r>
            <w:r w:rsidR="00C3621A" w:rsidRPr="00A33B9F">
              <w:rPr>
                <w:rFonts w:ascii="Times New Roman" w:hAnsi="Times New Roman"/>
                <w:noProof/>
              </w:rPr>
              <w:t xml:space="preserve"> </w:t>
            </w:r>
          </w:p>
        </w:tc>
      </w:tr>
      <w:tr w:rsidR="00D8141F" w:rsidRPr="00A33B9F" w14:paraId="5B91E91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F2D017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C9CEAC5" w14:textId="310087A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 Zwiększenie skali zastosowań rozwiązań cyfrowych</w:t>
            </w:r>
            <w:r w:rsidR="00A33B9F" w:rsidRPr="00A33B9F">
              <w:rPr>
                <w:rFonts w:ascii="Times New Roman" w:hAnsi="Times New Roman"/>
                <w:noProof/>
              </w:rPr>
              <w:t xml:space="preserve"> w sfe</w:t>
            </w:r>
            <w:r w:rsidRPr="00A33B9F">
              <w:rPr>
                <w:rFonts w:ascii="Times New Roman" w:hAnsi="Times New Roman"/>
                <w:noProof/>
              </w:rPr>
              <w:t>rze publicznej, gospodarce</w:t>
            </w:r>
            <w:r w:rsidR="00A33B9F" w:rsidRPr="00A33B9F">
              <w:rPr>
                <w:rFonts w:ascii="Times New Roman" w:hAnsi="Times New Roman"/>
                <w:noProof/>
              </w:rPr>
              <w:t xml:space="preserve"> i spo</w:t>
            </w:r>
            <w:r w:rsidRPr="00A33B9F">
              <w:rPr>
                <w:rFonts w:ascii="Times New Roman" w:hAnsi="Times New Roman"/>
                <w:noProof/>
              </w:rPr>
              <w:t>łeczeństwie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E7738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C484528" w14:textId="5AEC884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ustawy</w:t>
            </w:r>
            <w:r w:rsidR="00A33B9F" w:rsidRPr="00A33B9F">
              <w:rPr>
                <w:rFonts w:ascii="Times New Roman" w:hAnsi="Times New Roman"/>
                <w:noProof/>
              </w:rPr>
              <w:t xml:space="preserve"> z dni</w:t>
            </w:r>
            <w:r w:rsidRPr="00A33B9F">
              <w:rPr>
                <w:rFonts w:ascii="Times New Roman" w:hAnsi="Times New Roman"/>
                <w:noProof/>
              </w:rPr>
              <w:t>a 11 marca 2004</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o pod</w:t>
            </w:r>
            <w:r w:rsidRPr="00A33B9F">
              <w:rPr>
                <w:rFonts w:ascii="Times New Roman" w:hAnsi="Times New Roman"/>
                <w:noProof/>
              </w:rPr>
              <w:t>atku od towarów</w:t>
            </w:r>
            <w:r w:rsidR="00A33B9F" w:rsidRPr="00A33B9F">
              <w:rPr>
                <w:rFonts w:ascii="Times New Roman" w:hAnsi="Times New Roman"/>
                <w:noProof/>
              </w:rPr>
              <w:t xml:space="preserve"> i usł</w:t>
            </w:r>
            <w:r w:rsidRPr="00A33B9F">
              <w:rPr>
                <w:rFonts w:ascii="Times New Roman" w:hAnsi="Times New Roman"/>
                <w:noProof/>
              </w:rPr>
              <w:t>ug (stosowanie ustrukturyzowanych faktur) – wprowadzająca do obrotu gospodarczego elektroniczne faktury ustrukturyzowane oraz wprowadzająca obowiązek wystawiania</w:t>
            </w:r>
            <w:r w:rsidR="00A33B9F" w:rsidRPr="00A33B9F">
              <w:rPr>
                <w:rFonts w:ascii="Times New Roman" w:hAnsi="Times New Roman"/>
                <w:noProof/>
              </w:rPr>
              <w:t xml:space="preserve"> i otr</w:t>
            </w:r>
            <w:r w:rsidRPr="00A33B9F">
              <w:rPr>
                <w:rFonts w:ascii="Times New Roman" w:hAnsi="Times New Roman"/>
                <w:noProof/>
              </w:rPr>
              <w:t>zymywania za pośrednictwem Krajowego Systemu e-Faktur.</w:t>
            </w:r>
          </w:p>
        </w:tc>
      </w:tr>
      <w:tr w:rsidR="00D8141F" w:rsidRPr="00A33B9F" w14:paraId="66CBBA5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7A733B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7743E7" w14:textId="59421A4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74C1A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035B0C8" w14:textId="4839CC8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Kra</w:t>
            </w:r>
            <w:r w:rsidRPr="00A33B9F">
              <w:rPr>
                <w:rFonts w:ascii="Times New Roman" w:hAnsi="Times New Roman"/>
                <w:noProof/>
              </w:rPr>
              <w:t>jowej Sieci Kardiologicznej ustanawiającej przepisy</w:t>
            </w:r>
            <w:r w:rsidR="00A33B9F" w:rsidRPr="00A33B9F">
              <w:rPr>
                <w:rFonts w:ascii="Times New Roman" w:hAnsi="Times New Roman"/>
                <w:noProof/>
              </w:rPr>
              <w:t xml:space="preserve"> w zak</w:t>
            </w:r>
            <w:r w:rsidRPr="00A33B9F">
              <w:rPr>
                <w:rFonts w:ascii="Times New Roman" w:hAnsi="Times New Roman"/>
                <w:noProof/>
              </w:rPr>
              <w:t>resie funkcjonowania sieci poprzez wprowadzenie nowej struktury</w:t>
            </w:r>
            <w:r w:rsidR="00A33B9F" w:rsidRPr="00A33B9F">
              <w:rPr>
                <w:rFonts w:ascii="Times New Roman" w:hAnsi="Times New Roman"/>
                <w:noProof/>
              </w:rPr>
              <w:t xml:space="preserve"> i now</w:t>
            </w:r>
            <w:r w:rsidRPr="00A33B9F">
              <w:rPr>
                <w:rFonts w:ascii="Times New Roman" w:hAnsi="Times New Roman"/>
                <w:noProof/>
              </w:rPr>
              <w:t>ego modelu zarządzania opieką kardiologiczną</w:t>
            </w:r>
          </w:p>
        </w:tc>
      </w:tr>
      <w:tr w:rsidR="00D8141F" w:rsidRPr="00A33B9F" w14:paraId="489BCBC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0B801E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2DEF8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E2.1.2 Pasażerski tabor kolejowy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34A19F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CD37E2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Podpisanie umów dotyczących pasażerskiego taboru kolejowego</w:t>
            </w:r>
          </w:p>
        </w:tc>
      </w:tr>
      <w:tr w:rsidR="00D8141F" w:rsidRPr="00A33B9F" w14:paraId="0A2C8D21" w14:textId="77777777" w:rsidTr="00753103">
        <w:tc>
          <w:tcPr>
            <w:tcW w:w="1350" w:type="dxa"/>
            <w:tcBorders>
              <w:top w:val="single" w:sz="4" w:space="0" w:color="auto"/>
              <w:left w:val="single" w:sz="4" w:space="0" w:color="auto"/>
              <w:bottom w:val="single" w:sz="4" w:space="0" w:color="auto"/>
              <w:right w:val="single" w:sz="4" w:space="0" w:color="auto"/>
            </w:tcBorders>
            <w:shd w:val="clear" w:color="auto" w:fill="C6EFCE"/>
          </w:tcPr>
          <w:p w14:paraId="1BE565D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F8G</w:t>
            </w:r>
          </w:p>
        </w:tc>
        <w:tc>
          <w:tcPr>
            <w:tcW w:w="3960" w:type="dxa"/>
            <w:tcBorders>
              <w:top w:val="single" w:sz="4" w:space="0" w:color="auto"/>
              <w:left w:val="single" w:sz="4" w:space="0" w:color="auto"/>
              <w:bottom w:val="single" w:sz="4" w:space="0" w:color="auto"/>
              <w:right w:val="single" w:sz="4" w:space="0" w:color="auto"/>
            </w:tcBorders>
            <w:shd w:val="clear" w:color="auto" w:fill="C6EFCE"/>
          </w:tcPr>
          <w:p w14:paraId="4A7FB235"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F3.1 Poprawa warunków realizacji KPO</w:t>
            </w:r>
          </w:p>
        </w:tc>
        <w:tc>
          <w:tcPr>
            <w:tcW w:w="1245" w:type="dxa"/>
            <w:tcBorders>
              <w:top w:val="single" w:sz="4" w:space="0" w:color="auto"/>
              <w:left w:val="single" w:sz="4" w:space="0" w:color="auto"/>
              <w:bottom w:val="single" w:sz="4" w:space="0" w:color="auto"/>
              <w:right w:val="single" w:sz="4" w:space="0" w:color="auto"/>
            </w:tcBorders>
            <w:shd w:val="clear" w:color="auto" w:fill="C6EFCE"/>
          </w:tcPr>
          <w:p w14:paraId="1FE46656"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3927" w:type="dxa"/>
            <w:tcBorders>
              <w:top w:val="single" w:sz="4" w:space="0" w:color="auto"/>
              <w:left w:val="single" w:sz="4" w:space="0" w:color="auto"/>
              <w:bottom w:val="single" w:sz="4" w:space="0" w:color="auto"/>
              <w:right w:val="single" w:sz="4" w:space="0" w:color="auto"/>
            </w:tcBorders>
            <w:shd w:val="clear" w:color="auto" w:fill="C6EFCE"/>
          </w:tcPr>
          <w:p w14:paraId="1836A4DF" w14:textId="18391914" w:rsidR="00D8141F" w:rsidRPr="00A33B9F" w:rsidRDefault="00D8141F" w:rsidP="00753103">
            <w:pPr>
              <w:spacing w:after="0" w:line="240" w:lineRule="auto"/>
              <w:rPr>
                <w:rFonts w:ascii="Times New Roman" w:eastAsia="Times New Roman" w:hAnsi="Times New Roman" w:cs="Times New Roman"/>
                <w:noProof/>
              </w:rPr>
            </w:pPr>
            <w:r w:rsidRPr="00A33B9F">
              <w:rPr>
                <w:rFonts w:ascii="Times New Roman" w:hAnsi="Times New Roman"/>
                <w:noProof/>
              </w:rPr>
              <w:t>Utworzenie dodatkowych miejsc pracy</w:t>
            </w:r>
            <w:r w:rsidR="00A33B9F" w:rsidRPr="00A33B9F">
              <w:rPr>
                <w:rFonts w:ascii="Times New Roman" w:hAnsi="Times New Roman"/>
                <w:noProof/>
              </w:rPr>
              <w:t xml:space="preserve"> w ins</w:t>
            </w:r>
            <w:r w:rsidRPr="00A33B9F">
              <w:rPr>
                <w:rFonts w:ascii="Times New Roman" w:hAnsi="Times New Roman"/>
                <w:noProof/>
              </w:rPr>
              <w:t>tytucjach zaangażowanych we wdrażanie KPO</w:t>
            </w:r>
          </w:p>
          <w:p w14:paraId="035FB843" w14:textId="77777777" w:rsidR="00D8141F" w:rsidRPr="00A33B9F" w:rsidRDefault="00D8141F" w:rsidP="00753103">
            <w:pPr>
              <w:spacing w:line="240" w:lineRule="auto"/>
              <w:rPr>
                <w:rFonts w:ascii="Times New Roman" w:hAnsi="Times New Roman"/>
                <w:noProof/>
                <w:szCs w:val="28"/>
              </w:rPr>
            </w:pPr>
          </w:p>
        </w:tc>
      </w:tr>
      <w:tr w:rsidR="00D8141F" w:rsidRPr="00A33B9F" w14:paraId="1D5FD25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A2ED399"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21787FA8"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6C6192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8C01E87" w14:textId="34595DF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2 250 941 985 EUR</w:t>
            </w:r>
            <w:r w:rsidR="00C3621A" w:rsidRPr="00A33B9F">
              <w:rPr>
                <w:rFonts w:ascii="Times New Roman" w:hAnsi="Times New Roman"/>
                <w:noProof/>
              </w:rPr>
              <w:t xml:space="preserve"> </w:t>
            </w:r>
          </w:p>
        </w:tc>
      </w:tr>
    </w:tbl>
    <w:p w14:paraId="001567BE"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50399B78" w14:textId="77777777" w:rsidR="00D8141F" w:rsidRPr="00A33B9F" w:rsidRDefault="00D8141F" w:rsidP="00D8141F">
      <w:pPr>
        <w:pageBreakBefore/>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2.1.6 Szósta transza (wsparcie bezzwrotne):</w:t>
      </w:r>
    </w:p>
    <w:tbl>
      <w:tblPr>
        <w:tblW w:w="10567" w:type="dxa"/>
        <w:tblLayout w:type="fixed"/>
        <w:tblLook w:val="0000" w:firstRow="0" w:lastRow="0" w:firstColumn="0" w:lastColumn="0" w:noHBand="0" w:noVBand="0"/>
      </w:tblPr>
      <w:tblGrid>
        <w:gridCol w:w="1410"/>
        <w:gridCol w:w="3827"/>
        <w:gridCol w:w="1276"/>
        <w:gridCol w:w="4054"/>
      </w:tblGrid>
      <w:tr w:rsidR="00D8141F" w:rsidRPr="00A33B9F" w14:paraId="3C5C159A" w14:textId="77777777" w:rsidTr="00753103">
        <w:trPr>
          <w:trHeight w:val="714"/>
          <w:tblHeader/>
        </w:trPr>
        <w:tc>
          <w:tcPr>
            <w:tcW w:w="1410" w:type="dxa"/>
            <w:tcBorders>
              <w:top w:val="single" w:sz="6" w:space="0" w:color="auto"/>
              <w:left w:val="single" w:sz="6" w:space="0" w:color="auto"/>
              <w:bottom w:val="single" w:sz="6" w:space="0" w:color="auto"/>
              <w:right w:val="single" w:sz="6" w:space="0" w:color="auto"/>
            </w:tcBorders>
            <w:shd w:val="clear" w:color="auto" w:fill="BDD6EE"/>
            <w:vAlign w:val="center"/>
          </w:tcPr>
          <w:p w14:paraId="4D0E345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827" w:type="dxa"/>
            <w:tcBorders>
              <w:top w:val="single" w:sz="6" w:space="0" w:color="auto"/>
              <w:left w:val="single" w:sz="6" w:space="0" w:color="auto"/>
              <w:bottom w:val="single" w:sz="6" w:space="0" w:color="auto"/>
              <w:right w:val="single" w:sz="6" w:space="0" w:color="auto"/>
            </w:tcBorders>
            <w:shd w:val="clear" w:color="auto" w:fill="BDD6EE"/>
            <w:vAlign w:val="center"/>
          </w:tcPr>
          <w:p w14:paraId="34F9FA3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76" w:type="dxa"/>
            <w:tcBorders>
              <w:top w:val="single" w:sz="6" w:space="0" w:color="auto"/>
              <w:left w:val="single" w:sz="6" w:space="0" w:color="auto"/>
              <w:bottom w:val="single" w:sz="6" w:space="0" w:color="auto"/>
              <w:right w:val="single" w:sz="6" w:space="0" w:color="auto"/>
            </w:tcBorders>
            <w:shd w:val="clear" w:color="auto" w:fill="BDD6EE"/>
            <w:vAlign w:val="center"/>
          </w:tcPr>
          <w:p w14:paraId="7500F44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BDD6EE"/>
            <w:vAlign w:val="center"/>
          </w:tcPr>
          <w:p w14:paraId="40A95CD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638A40AE"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3B578D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A7G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3E94C95" w14:textId="7AC111C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A1.2.1 Inwestycje dla przedsiębiorstw</w:t>
            </w:r>
            <w:r w:rsidR="00A33B9F" w:rsidRPr="00A33B9F">
              <w:rPr>
                <w:rFonts w:ascii="Times New Roman" w:hAnsi="Times New Roman"/>
                <w:noProof/>
              </w:rPr>
              <w:t xml:space="preserve"> w pro</w:t>
            </w:r>
            <w:r w:rsidRPr="00A33B9F">
              <w:rPr>
                <w:rFonts w:ascii="Times New Roman" w:hAnsi="Times New Roman"/>
                <w:noProof/>
              </w:rPr>
              <w:t>dukty, usługi</w:t>
            </w:r>
            <w:r w:rsidR="00A33B9F" w:rsidRPr="00A33B9F">
              <w:rPr>
                <w:rFonts w:ascii="Times New Roman" w:hAnsi="Times New Roman"/>
                <w:noProof/>
              </w:rPr>
              <w:t xml:space="preserve"> i kom</w:t>
            </w:r>
            <w:r w:rsidRPr="00A33B9F">
              <w:rPr>
                <w:rFonts w:ascii="Times New Roman" w:hAnsi="Times New Roman"/>
                <w:noProof/>
              </w:rPr>
              <w:t>petencje pracowników oraz kadry związane</w:t>
            </w:r>
            <w:r w:rsidR="00A33B9F" w:rsidRPr="00A33B9F">
              <w:rPr>
                <w:rFonts w:ascii="Times New Roman" w:hAnsi="Times New Roman"/>
                <w:noProof/>
              </w:rPr>
              <w:t xml:space="preserve"> z dyw</w:t>
            </w:r>
            <w:r w:rsidRPr="00A33B9F">
              <w:rPr>
                <w:rFonts w:ascii="Times New Roman" w:hAnsi="Times New Roman"/>
                <w:noProof/>
              </w:rPr>
              <w:t>ersyfikacją działalności</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382BDBB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0599421F" w14:textId="3878DF0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Liczba MŚP</w:t>
            </w:r>
            <w:r w:rsidR="00A33B9F" w:rsidRPr="00A33B9F">
              <w:rPr>
                <w:rFonts w:ascii="Times New Roman" w:hAnsi="Times New Roman"/>
                <w:noProof/>
              </w:rPr>
              <w:t xml:space="preserve"> i mik</w:t>
            </w:r>
            <w:r w:rsidRPr="00A33B9F">
              <w:rPr>
                <w:rFonts w:ascii="Times New Roman" w:hAnsi="Times New Roman"/>
                <w:noProof/>
              </w:rPr>
              <w:t>roprzedsiębiorstw</w:t>
            </w:r>
            <w:r w:rsidR="00A33B9F" w:rsidRPr="00A33B9F">
              <w:rPr>
                <w:rFonts w:ascii="Times New Roman" w:hAnsi="Times New Roman"/>
                <w:noProof/>
              </w:rPr>
              <w:t xml:space="preserve"> w sek</w:t>
            </w:r>
            <w:r w:rsidRPr="00A33B9F">
              <w:rPr>
                <w:rFonts w:ascii="Times New Roman" w:hAnsi="Times New Roman"/>
                <w:noProof/>
              </w:rPr>
              <w:t>torze HoReCa, kultury</w:t>
            </w:r>
            <w:r w:rsidR="00A33B9F" w:rsidRPr="00A33B9F">
              <w:rPr>
                <w:rFonts w:ascii="Times New Roman" w:hAnsi="Times New Roman"/>
                <w:noProof/>
              </w:rPr>
              <w:t xml:space="preserve"> i tur</w:t>
            </w:r>
            <w:r w:rsidRPr="00A33B9F">
              <w:rPr>
                <w:rFonts w:ascii="Times New Roman" w:hAnsi="Times New Roman"/>
                <w:noProof/>
              </w:rPr>
              <w:t>ystyki, które zmodernizowały swoją działalność gospodarczą</w:t>
            </w:r>
            <w:r w:rsidR="00C3621A" w:rsidRPr="00A33B9F">
              <w:rPr>
                <w:rFonts w:ascii="Times New Roman" w:hAnsi="Times New Roman"/>
                <w:noProof/>
              </w:rPr>
              <w:t xml:space="preserve"> </w:t>
            </w:r>
          </w:p>
        </w:tc>
      </w:tr>
      <w:tr w:rsidR="00D8141F" w:rsidRPr="00A33B9F" w14:paraId="2A5E5D87"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49E02D8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383E5C9F" w14:textId="4B1EB47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A1.3.1 Wdrożenie reformy planowania</w:t>
            </w:r>
            <w:r w:rsidR="00A33B9F" w:rsidRPr="00A33B9F">
              <w:rPr>
                <w:rFonts w:ascii="Times New Roman" w:hAnsi="Times New Roman"/>
                <w:noProof/>
              </w:rPr>
              <w:t xml:space="preserve"> i zag</w:t>
            </w:r>
            <w:r w:rsidRPr="00A33B9F">
              <w:rPr>
                <w:rFonts w:ascii="Times New Roman" w:hAnsi="Times New Roman"/>
                <w:noProof/>
              </w:rPr>
              <w:t>ospodarowania przestrzennego</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B74006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C41261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Odsetek gmin, które przyjęły ogólne plany zagospodarowania przestrzennego</w:t>
            </w:r>
          </w:p>
        </w:tc>
      </w:tr>
      <w:tr w:rsidR="00D8141F" w:rsidRPr="00A33B9F" w14:paraId="52831323"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136C77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A22G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2D8F7F71" w14:textId="7CFF5E3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A1.4.1 Inwestycje na rzecz dywersyfikacji</w:t>
            </w:r>
            <w:r w:rsidR="00A33B9F" w:rsidRPr="00A33B9F">
              <w:rPr>
                <w:rFonts w:ascii="Times New Roman" w:hAnsi="Times New Roman"/>
                <w:noProof/>
              </w:rPr>
              <w:t xml:space="preserve"> i skr</w:t>
            </w:r>
            <w:r w:rsidRPr="00A33B9F">
              <w:rPr>
                <w:rFonts w:ascii="Times New Roman" w:hAnsi="Times New Roman"/>
                <w:noProof/>
              </w:rPr>
              <w:t>acania łańcucha dostaw produktów rolnych</w:t>
            </w:r>
            <w:r w:rsidR="00A33B9F" w:rsidRPr="00A33B9F">
              <w:rPr>
                <w:rFonts w:ascii="Times New Roman" w:hAnsi="Times New Roman"/>
                <w:noProof/>
              </w:rPr>
              <w:t xml:space="preserve"> i spo</w:t>
            </w:r>
            <w:r w:rsidRPr="00A33B9F">
              <w:rPr>
                <w:rFonts w:ascii="Times New Roman" w:hAnsi="Times New Roman"/>
                <w:noProof/>
              </w:rPr>
              <w:t>żywczych oraz budowy odporności podmiotów uczestniczących</w:t>
            </w:r>
            <w:r w:rsidR="00A33B9F" w:rsidRPr="00A33B9F">
              <w:rPr>
                <w:rFonts w:ascii="Times New Roman" w:hAnsi="Times New Roman"/>
                <w:noProof/>
              </w:rPr>
              <w:t xml:space="preserve"> w łań</w:t>
            </w:r>
            <w:r w:rsidRPr="00A33B9F">
              <w:rPr>
                <w:rFonts w:ascii="Times New Roman" w:hAnsi="Times New Roman"/>
                <w:noProof/>
              </w:rPr>
              <w:t>cuchu</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518F00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8BC7FE3" w14:textId="4A91A94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MŚP</w:t>
            </w:r>
            <w:r w:rsidR="00A33B9F" w:rsidRPr="00A33B9F">
              <w:rPr>
                <w:rFonts w:ascii="Times New Roman" w:hAnsi="Times New Roman"/>
                <w:noProof/>
              </w:rPr>
              <w:t xml:space="preserve"> w sek</w:t>
            </w:r>
            <w:r w:rsidRPr="00A33B9F">
              <w:rPr>
                <w:rFonts w:ascii="Times New Roman" w:hAnsi="Times New Roman"/>
                <w:noProof/>
              </w:rPr>
              <w:t>torze rolno-spożywczym, które ukończyły projekty ukierunkowane na modernizację infrastruktury</w:t>
            </w:r>
            <w:r w:rsidR="00A33B9F" w:rsidRPr="00A33B9F">
              <w:rPr>
                <w:rFonts w:ascii="Times New Roman" w:hAnsi="Times New Roman"/>
                <w:noProof/>
              </w:rPr>
              <w:t xml:space="preserve"> i wyp</w:t>
            </w:r>
            <w:r w:rsidRPr="00A33B9F">
              <w:rPr>
                <w:rFonts w:ascii="Times New Roman" w:hAnsi="Times New Roman"/>
                <w:noProof/>
              </w:rPr>
              <w:t>osażenia</w:t>
            </w:r>
          </w:p>
        </w:tc>
      </w:tr>
      <w:tr w:rsidR="00D8141F" w:rsidRPr="00A33B9F" w14:paraId="75AFA5F2"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982003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A28G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B4F9B18" w14:textId="0F242BB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A2.1.1 Inwestycje</w:t>
            </w:r>
            <w:r w:rsidR="00A33B9F" w:rsidRPr="00A33B9F">
              <w:rPr>
                <w:rFonts w:ascii="Times New Roman" w:hAnsi="Times New Roman"/>
                <w:noProof/>
              </w:rPr>
              <w:t xml:space="preserve"> w obs</w:t>
            </w:r>
            <w:r w:rsidRPr="00A33B9F">
              <w:rPr>
                <w:rFonts w:ascii="Times New Roman" w:hAnsi="Times New Roman"/>
                <w:noProof/>
              </w:rPr>
              <w:t>zarze robotyzacji</w:t>
            </w:r>
            <w:r w:rsidR="00A33B9F" w:rsidRPr="00A33B9F">
              <w:rPr>
                <w:rFonts w:ascii="Times New Roman" w:hAnsi="Times New Roman"/>
                <w:noProof/>
              </w:rPr>
              <w:t xml:space="preserve"> i cyf</w:t>
            </w:r>
            <w:r w:rsidRPr="00A33B9F">
              <w:rPr>
                <w:rFonts w:ascii="Times New Roman" w:hAnsi="Times New Roman"/>
                <w:noProof/>
              </w:rPr>
              <w:t>ryzacji</w:t>
            </w:r>
            <w:r w:rsidR="00A33B9F" w:rsidRPr="00A33B9F">
              <w:rPr>
                <w:rFonts w:ascii="Times New Roman" w:hAnsi="Times New Roman"/>
                <w:noProof/>
              </w:rPr>
              <w:t xml:space="preserve"> w prz</w:t>
            </w:r>
            <w:r w:rsidRPr="00A33B9F">
              <w:rPr>
                <w:rFonts w:ascii="Times New Roman" w:hAnsi="Times New Roman"/>
                <w:noProof/>
              </w:rPr>
              <w:t>edsiębiorstwach</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17FDC26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D16FB32" w14:textId="1126EB2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Realizacja projektów związanych</w:t>
            </w:r>
            <w:r w:rsidR="00A33B9F" w:rsidRPr="00A33B9F">
              <w:rPr>
                <w:rFonts w:ascii="Times New Roman" w:hAnsi="Times New Roman"/>
                <w:noProof/>
              </w:rPr>
              <w:t xml:space="preserve"> z rob</w:t>
            </w:r>
            <w:r w:rsidRPr="00A33B9F">
              <w:rPr>
                <w:rFonts w:ascii="Times New Roman" w:hAnsi="Times New Roman"/>
                <w:noProof/>
              </w:rPr>
              <w:t>otyzacją, sztuczną inteligencją lub transformacją cyfrową procesów, technologii, produktów lub usług</w:t>
            </w:r>
          </w:p>
        </w:tc>
      </w:tr>
      <w:tr w:rsidR="00D8141F" w:rsidRPr="00A33B9F" w14:paraId="7A3E3740"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6E7E2D9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9A91E9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A3.1.1 Wsparcie rozwoju nowoczesnego szkolenia zawodowego, szkolnictwa wyższego oraz uczenia się przez całe życie</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806EA4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6C57AABE" w14:textId="776AFD6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Zapewnienie umiejętności osobom uczącym się</w:t>
            </w:r>
            <w:r w:rsidR="00A33B9F" w:rsidRPr="00A33B9F">
              <w:rPr>
                <w:rFonts w:ascii="Times New Roman" w:hAnsi="Times New Roman"/>
                <w:noProof/>
              </w:rPr>
              <w:t xml:space="preserve"> w bra</w:t>
            </w:r>
            <w:r w:rsidRPr="00A33B9F">
              <w:rPr>
                <w:rFonts w:ascii="Times New Roman" w:hAnsi="Times New Roman"/>
                <w:noProof/>
              </w:rPr>
              <w:t>nżowych centrach umiejętności,</w:t>
            </w:r>
            <w:r w:rsidR="00A33B9F" w:rsidRPr="00A33B9F">
              <w:rPr>
                <w:rFonts w:ascii="Times New Roman" w:hAnsi="Times New Roman"/>
                <w:noProof/>
              </w:rPr>
              <w:t xml:space="preserve"> w tym</w:t>
            </w:r>
            <w:r w:rsidRPr="00A33B9F">
              <w:rPr>
                <w:rFonts w:ascii="Times New Roman" w:hAnsi="Times New Roman"/>
                <w:noProof/>
              </w:rPr>
              <w:t xml:space="preserve"> poświadczenie efektów uczenia się (umiejętności) wydawane</w:t>
            </w:r>
            <w:r w:rsidR="00A33B9F" w:rsidRPr="00A33B9F">
              <w:rPr>
                <w:rFonts w:ascii="Times New Roman" w:hAnsi="Times New Roman"/>
                <w:noProof/>
              </w:rPr>
              <w:t xml:space="preserve"> i uzn</w:t>
            </w:r>
            <w:r w:rsidRPr="00A33B9F">
              <w:rPr>
                <w:rFonts w:ascii="Times New Roman" w:hAnsi="Times New Roman"/>
                <w:noProof/>
              </w:rPr>
              <w:t>awane przez sektor</w:t>
            </w:r>
          </w:p>
        </w:tc>
      </w:tr>
      <w:tr w:rsidR="00D8141F" w:rsidRPr="00A33B9F" w14:paraId="4B458699"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FDA98B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A54G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4022B30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A4.1 Efektywne instytucje na rzecz rynku pracy</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0E3ACCA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00C972CB" w14:textId="70CD888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zmienionych odpowiednich ustaw</w:t>
            </w:r>
            <w:r w:rsidR="00A33B9F" w:rsidRPr="00A33B9F">
              <w:rPr>
                <w:rFonts w:ascii="Times New Roman" w:hAnsi="Times New Roman"/>
                <w:noProof/>
              </w:rPr>
              <w:t xml:space="preserve"> w cel</w:t>
            </w:r>
            <w:r w:rsidRPr="00A33B9F">
              <w:rPr>
                <w:rFonts w:ascii="Times New Roman" w:hAnsi="Times New Roman"/>
                <w:noProof/>
              </w:rPr>
              <w:t>u wdrożenia priorytetów</w:t>
            </w:r>
            <w:r w:rsidR="00A33B9F" w:rsidRPr="00A33B9F">
              <w:rPr>
                <w:rFonts w:ascii="Times New Roman" w:hAnsi="Times New Roman"/>
                <w:noProof/>
              </w:rPr>
              <w:t xml:space="preserve"> w zak</w:t>
            </w:r>
            <w:r w:rsidRPr="00A33B9F">
              <w:rPr>
                <w:rFonts w:ascii="Times New Roman" w:hAnsi="Times New Roman"/>
                <w:noProof/>
              </w:rPr>
              <w:t>resie reformy określonych</w:t>
            </w:r>
            <w:r w:rsidR="00A33B9F" w:rsidRPr="00A33B9F">
              <w:rPr>
                <w:rFonts w:ascii="Times New Roman" w:hAnsi="Times New Roman"/>
                <w:noProof/>
              </w:rPr>
              <w:t xml:space="preserve"> w kon</w:t>
            </w:r>
            <w:r w:rsidRPr="00A33B9F">
              <w:rPr>
                <w:rFonts w:ascii="Times New Roman" w:hAnsi="Times New Roman"/>
                <w:noProof/>
              </w:rPr>
              <w:t>sultacjach na temat porozumień zbiorowych oraz</w:t>
            </w:r>
            <w:r w:rsidR="00A33B9F" w:rsidRPr="00A33B9F">
              <w:rPr>
                <w:rFonts w:ascii="Times New Roman" w:hAnsi="Times New Roman"/>
                <w:noProof/>
              </w:rPr>
              <w:t xml:space="preserve"> w bad</w:t>
            </w:r>
            <w:r w:rsidRPr="00A33B9F">
              <w:rPr>
                <w:rFonts w:ascii="Times New Roman" w:hAnsi="Times New Roman"/>
                <w:noProof/>
              </w:rPr>
              <w:t>aniu dotyczącym jednolitej umowy</w:t>
            </w:r>
            <w:r w:rsidR="00A33B9F" w:rsidRPr="00A33B9F">
              <w:rPr>
                <w:rFonts w:ascii="Times New Roman" w:hAnsi="Times New Roman"/>
                <w:noProof/>
              </w:rPr>
              <w:t xml:space="preserve"> o pra</w:t>
            </w:r>
            <w:r w:rsidRPr="00A33B9F">
              <w:rPr>
                <w:rFonts w:ascii="Times New Roman" w:hAnsi="Times New Roman"/>
                <w:noProof/>
              </w:rPr>
              <w:t>cę</w:t>
            </w:r>
            <w:r w:rsidR="00A33B9F" w:rsidRPr="00A33B9F">
              <w:rPr>
                <w:rFonts w:ascii="Times New Roman" w:hAnsi="Times New Roman"/>
                <w:noProof/>
              </w:rPr>
              <w:t xml:space="preserve"> w Pol</w:t>
            </w:r>
            <w:r w:rsidRPr="00A33B9F">
              <w:rPr>
                <w:rFonts w:ascii="Times New Roman" w:hAnsi="Times New Roman"/>
                <w:noProof/>
              </w:rPr>
              <w:t>sce</w:t>
            </w:r>
          </w:p>
        </w:tc>
      </w:tr>
      <w:tr w:rsidR="00D8141F" w:rsidRPr="00A33B9F" w14:paraId="6DE0A425"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454985E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A68G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30A2F0EB" w14:textId="71C220F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A4.5 Przedłużanie kariery zawodowej</w:t>
            </w:r>
            <w:r w:rsidR="00A33B9F" w:rsidRPr="00A33B9F">
              <w:rPr>
                <w:rFonts w:ascii="Times New Roman" w:hAnsi="Times New Roman"/>
                <w:noProof/>
              </w:rPr>
              <w:t xml:space="preserve"> i pro</w:t>
            </w:r>
            <w:r w:rsidRPr="00A33B9F">
              <w:rPr>
                <w:rFonts w:ascii="Times New Roman" w:hAnsi="Times New Roman"/>
                <w:noProof/>
              </w:rPr>
              <w:t>mowanie pracy po przekroczeniu ustawowego wieku emerytalnego</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60146D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A071C9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Sprawozdanie oceniające wpływ działań służących podwyższaniu rzeczywistego wieku przejścia na emeryturę</w:t>
            </w:r>
          </w:p>
        </w:tc>
      </w:tr>
      <w:tr w:rsidR="00D8141F" w:rsidRPr="00A33B9F" w14:paraId="72281CF9"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E0610B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A70G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29BCC85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A4.6 Wzrost współczynnika aktywności zawodowej określonych grup poprzez rozwój opieki długoterminowej</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A5EE62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5B16979" w14:textId="3BCDFA4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odpowiednich ustaw</w:t>
            </w:r>
            <w:r w:rsidR="00A33B9F" w:rsidRPr="00A33B9F">
              <w:rPr>
                <w:rFonts w:ascii="Times New Roman" w:hAnsi="Times New Roman"/>
                <w:noProof/>
              </w:rPr>
              <w:t xml:space="preserve"> w cel</w:t>
            </w:r>
            <w:r w:rsidRPr="00A33B9F">
              <w:rPr>
                <w:rFonts w:ascii="Times New Roman" w:hAnsi="Times New Roman"/>
                <w:noProof/>
              </w:rPr>
              <w:t>u realizacji priorytetów</w:t>
            </w:r>
            <w:r w:rsidR="00A33B9F" w:rsidRPr="00A33B9F">
              <w:rPr>
                <w:rFonts w:ascii="Times New Roman" w:hAnsi="Times New Roman"/>
                <w:noProof/>
              </w:rPr>
              <w:t xml:space="preserve"> w zak</w:t>
            </w:r>
            <w:r w:rsidRPr="00A33B9F">
              <w:rPr>
                <w:rFonts w:ascii="Times New Roman" w:hAnsi="Times New Roman"/>
                <w:noProof/>
              </w:rPr>
              <w:t>resie reform określonych</w:t>
            </w:r>
            <w:r w:rsidR="00A33B9F" w:rsidRPr="00A33B9F">
              <w:rPr>
                <w:rFonts w:ascii="Times New Roman" w:hAnsi="Times New Roman"/>
                <w:noProof/>
              </w:rPr>
              <w:t xml:space="preserve"> w str</w:t>
            </w:r>
            <w:r w:rsidRPr="00A33B9F">
              <w:rPr>
                <w:rFonts w:ascii="Times New Roman" w:hAnsi="Times New Roman"/>
                <w:noProof/>
              </w:rPr>
              <w:t>ategicznym przeglądzie opieki długoterminowej</w:t>
            </w:r>
            <w:r w:rsidR="00A33B9F" w:rsidRPr="00A33B9F">
              <w:rPr>
                <w:rFonts w:ascii="Times New Roman" w:hAnsi="Times New Roman"/>
                <w:noProof/>
              </w:rPr>
              <w:t xml:space="preserve"> w Pol</w:t>
            </w:r>
            <w:r w:rsidRPr="00A33B9F">
              <w:rPr>
                <w:rFonts w:ascii="Times New Roman" w:hAnsi="Times New Roman"/>
                <w:noProof/>
              </w:rPr>
              <w:t>sce (zgodnie</w:t>
            </w:r>
            <w:r w:rsidR="00A33B9F" w:rsidRPr="00A33B9F">
              <w:rPr>
                <w:rFonts w:ascii="Times New Roman" w:hAnsi="Times New Roman"/>
                <w:noProof/>
              </w:rPr>
              <w:t xml:space="preserve"> z kam</w:t>
            </w:r>
            <w:r w:rsidRPr="00A33B9F">
              <w:rPr>
                <w:rFonts w:ascii="Times New Roman" w:hAnsi="Times New Roman"/>
                <w:noProof/>
              </w:rPr>
              <w:t>ieniem milowym A69G)</w:t>
            </w:r>
          </w:p>
        </w:tc>
      </w:tr>
      <w:tr w:rsidR="00D8141F" w:rsidRPr="00A33B9F" w14:paraId="322D1DD7"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7EC6A6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13B9D0B3" w14:textId="0B3B882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B1.1.1 Inwestycje</w:t>
            </w:r>
            <w:r w:rsidR="00A33B9F" w:rsidRPr="00A33B9F">
              <w:rPr>
                <w:rFonts w:ascii="Times New Roman" w:hAnsi="Times New Roman"/>
                <w:noProof/>
              </w:rPr>
              <w:t xml:space="preserve"> w źró</w:t>
            </w:r>
            <w:r w:rsidRPr="00A33B9F">
              <w:rPr>
                <w:rFonts w:ascii="Times New Roman" w:hAnsi="Times New Roman"/>
                <w:noProof/>
              </w:rPr>
              <w:t>dła ciepła</w:t>
            </w:r>
            <w:r w:rsidR="00A33B9F" w:rsidRPr="00A33B9F">
              <w:rPr>
                <w:rFonts w:ascii="Times New Roman" w:hAnsi="Times New Roman"/>
                <w:noProof/>
              </w:rPr>
              <w:t xml:space="preserve"> w sys</w:t>
            </w:r>
            <w:r w:rsidRPr="00A33B9F">
              <w:rPr>
                <w:rFonts w:ascii="Times New Roman" w:hAnsi="Times New Roman"/>
                <w:noProof/>
              </w:rPr>
              <w:t>temach ciepłowniczych</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A88251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404AB51" w14:textId="3862E42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Źródła ciepła</w:t>
            </w:r>
            <w:r w:rsidR="00A33B9F" w:rsidRPr="00A33B9F">
              <w:rPr>
                <w:rFonts w:ascii="Times New Roman" w:hAnsi="Times New Roman"/>
                <w:noProof/>
              </w:rPr>
              <w:t xml:space="preserve"> w sys</w:t>
            </w:r>
            <w:r w:rsidRPr="00A33B9F">
              <w:rPr>
                <w:rFonts w:ascii="Times New Roman" w:hAnsi="Times New Roman"/>
                <w:noProof/>
              </w:rPr>
              <w:t>temach ciepłowniczych</w:t>
            </w:r>
          </w:p>
        </w:tc>
      </w:tr>
      <w:tr w:rsidR="00D8141F" w:rsidRPr="00A33B9F" w14:paraId="5C7F6CDD"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7DE8BA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C4G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FA0A1F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C1.1.1 Zapewnienie dostępu do bardzo szybkiego internetu na obszarach białych plam</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0727D3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3396909" w14:textId="12A2C05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Dodatkowe gospodarstwa domowe (lokale mieszkalne)</w:t>
            </w:r>
            <w:r w:rsidR="00A33B9F" w:rsidRPr="00A33B9F">
              <w:rPr>
                <w:rFonts w:ascii="Times New Roman" w:hAnsi="Times New Roman"/>
                <w:noProof/>
              </w:rPr>
              <w:t xml:space="preserve"> z sze</w:t>
            </w:r>
            <w:r w:rsidRPr="00A33B9F">
              <w:rPr>
                <w:rFonts w:ascii="Times New Roman" w:hAnsi="Times New Roman"/>
                <w:noProof/>
              </w:rPr>
              <w:t>rokopasmowym dostępem do internetu</w:t>
            </w:r>
            <w:r w:rsidR="00A33B9F" w:rsidRPr="00A33B9F">
              <w:rPr>
                <w:rFonts w:ascii="Times New Roman" w:hAnsi="Times New Roman"/>
                <w:noProof/>
              </w:rPr>
              <w:t xml:space="preserve"> o prz</w:t>
            </w:r>
            <w:r w:rsidRPr="00A33B9F">
              <w:rPr>
                <w:rFonts w:ascii="Times New Roman" w:hAnsi="Times New Roman"/>
                <w:noProof/>
              </w:rPr>
              <w:t>epustowości co najmniej 100 Mb/s (z możliwością jej zwiększenia do prędkości mierzonych w Gb/s)</w:t>
            </w:r>
          </w:p>
        </w:tc>
      </w:tr>
      <w:tr w:rsidR="00D8141F" w:rsidRPr="00A33B9F" w14:paraId="59A37C02"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1F80380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C19G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14F1FA9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C2.1.3 E-kompetencje</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22269C5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E478AC5" w14:textId="5104CA3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Dodatkowe osoby przeszkolone</w:t>
            </w:r>
            <w:r w:rsidR="00A33B9F" w:rsidRPr="00A33B9F">
              <w:rPr>
                <w:rFonts w:ascii="Times New Roman" w:hAnsi="Times New Roman"/>
                <w:noProof/>
              </w:rPr>
              <w:t xml:space="preserve"> w zak</w:t>
            </w:r>
            <w:r w:rsidRPr="00A33B9F">
              <w:rPr>
                <w:rFonts w:ascii="Times New Roman" w:hAnsi="Times New Roman"/>
                <w:noProof/>
              </w:rPr>
              <w:t>resie kompetencji cyfrowych,</w:t>
            </w:r>
            <w:r w:rsidR="00A33B9F" w:rsidRPr="00A33B9F">
              <w:rPr>
                <w:rFonts w:ascii="Times New Roman" w:hAnsi="Times New Roman"/>
                <w:noProof/>
              </w:rPr>
              <w:t xml:space="preserve"> w tym</w:t>
            </w:r>
            <w:r w:rsidRPr="00A33B9F">
              <w:rPr>
                <w:rFonts w:ascii="Times New Roman" w:hAnsi="Times New Roman"/>
                <w:noProof/>
              </w:rPr>
              <w:t xml:space="preserve"> umiejętności cyfrowych</w:t>
            </w:r>
          </w:p>
        </w:tc>
      </w:tr>
      <w:tr w:rsidR="00D8141F" w:rsidRPr="00A33B9F" w14:paraId="5AF99ADB"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6FD94DC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C24G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E89276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C3.1.1 Cyberbezpieczeństwo – CyberPL, infrastruktura przetwarzania danych oraz optymalizacja infrastruktury służb państwowych odpowiedzialnych za bezpieczeństwo</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EB9741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BA819FB" w14:textId="6F75A75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Podpisanie umów</w:t>
            </w:r>
            <w:r w:rsidR="00A33B9F" w:rsidRPr="00A33B9F">
              <w:rPr>
                <w:rFonts w:ascii="Times New Roman" w:hAnsi="Times New Roman"/>
                <w:noProof/>
              </w:rPr>
              <w:t xml:space="preserve"> o udz</w:t>
            </w:r>
            <w:r w:rsidRPr="00A33B9F">
              <w:rPr>
                <w:rFonts w:ascii="Times New Roman" w:hAnsi="Times New Roman"/>
                <w:noProof/>
              </w:rPr>
              <w:t>ielenie zamówienia</w:t>
            </w:r>
            <w:r w:rsidR="00A33B9F" w:rsidRPr="00A33B9F">
              <w:rPr>
                <w:rFonts w:ascii="Times New Roman" w:hAnsi="Times New Roman"/>
                <w:noProof/>
              </w:rPr>
              <w:t xml:space="preserve"> w odn</w:t>
            </w:r>
            <w:r w:rsidRPr="00A33B9F">
              <w:rPr>
                <w:rFonts w:ascii="Times New Roman" w:hAnsi="Times New Roman"/>
                <w:noProof/>
              </w:rPr>
              <w:t>iesieniu do obiektów należących do centrów danych</w:t>
            </w:r>
          </w:p>
        </w:tc>
      </w:tr>
      <w:tr w:rsidR="00D8141F" w:rsidRPr="00A33B9F" w14:paraId="0A62BE0A"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4B6BA3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D12G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6113D1EF" w14:textId="50A9207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D1.1.1 Rozwój</w:t>
            </w:r>
            <w:r w:rsidR="00A33B9F" w:rsidRPr="00A33B9F">
              <w:rPr>
                <w:rFonts w:ascii="Times New Roman" w:hAnsi="Times New Roman"/>
                <w:noProof/>
              </w:rPr>
              <w:t xml:space="preserve"> i mod</w:t>
            </w:r>
            <w:r w:rsidRPr="00A33B9F">
              <w:rPr>
                <w:rFonts w:ascii="Times New Roman" w:hAnsi="Times New Roman"/>
                <w:noProof/>
              </w:rPr>
              <w:t>ernizacja infrastruktury centrów opieki wysokospecjalistycznej</w:t>
            </w:r>
            <w:r w:rsidR="00A33B9F" w:rsidRPr="00A33B9F">
              <w:rPr>
                <w:rFonts w:ascii="Times New Roman" w:hAnsi="Times New Roman"/>
                <w:noProof/>
              </w:rPr>
              <w:t xml:space="preserve"> i inn</w:t>
            </w:r>
            <w:r w:rsidRPr="00A33B9F">
              <w:rPr>
                <w:rFonts w:ascii="Times New Roman" w:hAnsi="Times New Roman"/>
                <w:noProof/>
              </w:rPr>
              <w:t>ych podmiotów leczniczych</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069AFD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018C9CA9" w14:textId="624B913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Umowy podpisane między szpitalami</w:t>
            </w:r>
            <w:r w:rsidR="00A33B9F" w:rsidRPr="00A33B9F">
              <w:rPr>
                <w:rFonts w:ascii="Times New Roman" w:hAnsi="Times New Roman"/>
                <w:noProof/>
              </w:rPr>
              <w:t xml:space="preserve"> a Min</w:t>
            </w:r>
            <w:r w:rsidRPr="00A33B9F">
              <w:rPr>
                <w:rFonts w:ascii="Times New Roman" w:hAnsi="Times New Roman"/>
                <w:noProof/>
              </w:rPr>
              <w:t>isterstwem Zdrowia na zakup sprzętu medycznego lub przeprowadzenie inwestycji infrastrukturalnych</w:t>
            </w:r>
          </w:p>
        </w:tc>
      </w:tr>
      <w:tr w:rsidR="00D8141F" w:rsidRPr="00A33B9F" w14:paraId="0671C9BA"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921336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E3G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9BE4E2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 Wzrost wykorzystania transportu przyjaznego dla środowiska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4C9DC5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F15E7FD" w14:textId="42B65F0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wprowadzającego opłatę rejestracyjną od posiadania pojazdów związanych</w:t>
            </w:r>
            <w:r w:rsidR="00A33B9F" w:rsidRPr="00A33B9F">
              <w:rPr>
                <w:rFonts w:ascii="Times New Roman" w:hAnsi="Times New Roman"/>
                <w:noProof/>
              </w:rPr>
              <w:t xml:space="preserve"> z emi</w:t>
            </w:r>
            <w:r w:rsidRPr="00A33B9F">
              <w:rPr>
                <w:rFonts w:ascii="Times New Roman" w:hAnsi="Times New Roman"/>
                <w:noProof/>
              </w:rPr>
              <w:t>sjami zgodne</w:t>
            </w:r>
            <w:r w:rsidR="00A33B9F" w:rsidRPr="00A33B9F">
              <w:rPr>
                <w:rFonts w:ascii="Times New Roman" w:hAnsi="Times New Roman"/>
                <w:noProof/>
              </w:rPr>
              <w:t xml:space="preserve"> z zas</w:t>
            </w:r>
            <w:r w:rsidRPr="00A33B9F">
              <w:rPr>
                <w:rFonts w:ascii="Times New Roman" w:hAnsi="Times New Roman"/>
                <w:noProof/>
              </w:rPr>
              <w:t>adą „zanieczyszczający płaci”</w:t>
            </w:r>
          </w:p>
        </w:tc>
      </w:tr>
      <w:tr w:rsidR="00D8141F" w:rsidRPr="00A33B9F" w14:paraId="2DDEAA72"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6549EF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07624A2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 Wzrost wykorzystania transportu przyjaznego dla środowiska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0C2D83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DEE667E" w14:textId="131F638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Linie autobusowe wspierane</w:t>
            </w:r>
            <w:r w:rsidR="00A33B9F" w:rsidRPr="00A33B9F">
              <w:rPr>
                <w:rFonts w:ascii="Times New Roman" w:hAnsi="Times New Roman"/>
                <w:noProof/>
              </w:rPr>
              <w:t xml:space="preserve"> z Fun</w:t>
            </w:r>
            <w:r w:rsidRPr="00A33B9F">
              <w:rPr>
                <w:rFonts w:ascii="Times New Roman" w:hAnsi="Times New Roman"/>
                <w:noProof/>
              </w:rPr>
              <w:t>duszu rozwoju przewozów autobusowych</w:t>
            </w:r>
            <w:r w:rsidR="00A33B9F" w:rsidRPr="00A33B9F">
              <w:rPr>
                <w:rFonts w:ascii="Times New Roman" w:hAnsi="Times New Roman"/>
                <w:noProof/>
              </w:rPr>
              <w:t xml:space="preserve"> o cha</w:t>
            </w:r>
            <w:r w:rsidRPr="00A33B9F">
              <w:rPr>
                <w:rFonts w:ascii="Times New Roman" w:hAnsi="Times New Roman"/>
                <w:noProof/>
              </w:rPr>
              <w:t>rakterze użyteczności publicznej</w:t>
            </w:r>
          </w:p>
        </w:tc>
      </w:tr>
      <w:tr w:rsidR="00D8141F" w:rsidRPr="00A33B9F" w14:paraId="30352E59"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23D938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E13G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1F50AFA1" w14:textId="783B2ED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E1.1.2 Zeroemisyjny</w:t>
            </w:r>
            <w:r w:rsidR="00A33B9F" w:rsidRPr="00A33B9F">
              <w:rPr>
                <w:rFonts w:ascii="Times New Roman" w:hAnsi="Times New Roman"/>
                <w:noProof/>
              </w:rPr>
              <w:t xml:space="preserve"> i nis</w:t>
            </w:r>
            <w:r w:rsidRPr="00A33B9F">
              <w:rPr>
                <w:rFonts w:ascii="Times New Roman" w:hAnsi="Times New Roman"/>
                <w:noProof/>
              </w:rPr>
              <w:t>koemisyjny transport zbiorowy (autobusy)</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56E7F5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B17195F" w14:textId="7E8EC74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Pojazdy zeroemisyjne</w:t>
            </w:r>
            <w:r w:rsidR="00A33B9F" w:rsidRPr="00A33B9F">
              <w:rPr>
                <w:rFonts w:ascii="Times New Roman" w:hAnsi="Times New Roman"/>
                <w:noProof/>
              </w:rPr>
              <w:t xml:space="preserve"> i nis</w:t>
            </w:r>
            <w:r w:rsidRPr="00A33B9F">
              <w:rPr>
                <w:rFonts w:ascii="Times New Roman" w:hAnsi="Times New Roman"/>
                <w:noProof/>
              </w:rPr>
              <w:t>koemisyjne: wybór beneficjentów</w:t>
            </w:r>
          </w:p>
        </w:tc>
      </w:tr>
      <w:tr w:rsidR="00D8141F" w:rsidRPr="00A33B9F" w14:paraId="2F041BE2"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033FE83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E17G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45BB942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E2.1.1 Linie kolejowe</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82FEC7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18FA6EF" w14:textId="25E6135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Podpisywanie umów</w:t>
            </w:r>
            <w:r w:rsidR="00A33B9F" w:rsidRPr="00A33B9F">
              <w:rPr>
                <w:rFonts w:ascii="Times New Roman" w:hAnsi="Times New Roman"/>
                <w:noProof/>
              </w:rPr>
              <w:t xml:space="preserve"> w dro</w:t>
            </w:r>
            <w:r w:rsidRPr="00A33B9F">
              <w:rPr>
                <w:rFonts w:ascii="Times New Roman" w:hAnsi="Times New Roman"/>
                <w:noProof/>
              </w:rPr>
              <w:t>dze otwartych</w:t>
            </w:r>
            <w:r w:rsidR="00A33B9F" w:rsidRPr="00A33B9F">
              <w:rPr>
                <w:rFonts w:ascii="Times New Roman" w:hAnsi="Times New Roman"/>
                <w:noProof/>
              </w:rPr>
              <w:t xml:space="preserve"> i kon</w:t>
            </w:r>
            <w:r w:rsidRPr="00A33B9F">
              <w:rPr>
                <w:rFonts w:ascii="Times New Roman" w:hAnsi="Times New Roman"/>
                <w:noProof/>
              </w:rPr>
              <w:t>kurencyjnych przetargów</w:t>
            </w:r>
          </w:p>
        </w:tc>
      </w:tr>
      <w:tr w:rsidR="00D8141F" w:rsidRPr="00A33B9F" w14:paraId="6E948FA7"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4BAE66B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E21G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CA794D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E2.1.3 Projekty intermodalne</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4405901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4766F3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Podpisanie zamówień na projekty dotyczące transportu intermodalnego</w:t>
            </w:r>
          </w:p>
        </w:tc>
      </w:tr>
      <w:tr w:rsidR="00D8141F" w:rsidRPr="00A33B9F" w14:paraId="2FBFEC5C"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5457E63D"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4B2893A4" w14:textId="77212F2F" w:rsidR="00D8141F" w:rsidRPr="00A33B9F" w:rsidRDefault="00D8141F" w:rsidP="00753103">
            <w:pPr>
              <w:spacing w:line="240" w:lineRule="auto"/>
              <w:rPr>
                <w:rFonts w:ascii="Times New Roman" w:hAnsi="Times New Roman"/>
                <w:noProof/>
              </w:rPr>
            </w:pPr>
            <w:r w:rsidRPr="00A33B9F">
              <w:rPr>
                <w:rFonts w:ascii="Times New Roman" w:hAnsi="Times New Roman"/>
                <w:noProof/>
              </w:rPr>
              <w:t>G1.1.1 Wspieranie rozwoju lokalnych społeczności energetycznych</w:t>
            </w:r>
            <w:r w:rsidR="00C3621A" w:rsidRPr="00A33B9F">
              <w:rPr>
                <w:rFonts w:ascii="Times New Roman" w:hAnsi="Times New Roman"/>
                <w:noProof/>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6EB4E07A"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2C14A9B9" w14:textId="4DD9920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Analiza barier utrudniających rozwój społeczności energetycznych</w:t>
            </w:r>
            <w:r w:rsidR="00A33B9F" w:rsidRPr="00A33B9F">
              <w:rPr>
                <w:rFonts w:ascii="Times New Roman" w:hAnsi="Times New Roman"/>
                <w:noProof/>
              </w:rPr>
              <w:t xml:space="preserve"> i spó</w:t>
            </w:r>
            <w:r w:rsidRPr="00A33B9F">
              <w:rPr>
                <w:rFonts w:ascii="Times New Roman" w:hAnsi="Times New Roman"/>
                <w:noProof/>
              </w:rPr>
              <w:t>łdzielni energetycznych zidentyfikowanych</w:t>
            </w:r>
            <w:r w:rsidR="00A33B9F" w:rsidRPr="00A33B9F">
              <w:rPr>
                <w:rFonts w:ascii="Times New Roman" w:hAnsi="Times New Roman"/>
                <w:noProof/>
              </w:rPr>
              <w:t xml:space="preserve"> w tra</w:t>
            </w:r>
            <w:r w:rsidRPr="00A33B9F">
              <w:rPr>
                <w:rFonts w:ascii="Times New Roman" w:hAnsi="Times New Roman"/>
                <w:noProof/>
              </w:rPr>
              <w:t>kcie programu wsparcia przedinwestycyjnego</w:t>
            </w:r>
            <w:r w:rsidR="00C3621A" w:rsidRPr="00A33B9F">
              <w:rPr>
                <w:rFonts w:ascii="Times New Roman" w:hAnsi="Times New Roman"/>
                <w:noProof/>
              </w:rPr>
              <w:t xml:space="preserve"> </w:t>
            </w:r>
          </w:p>
        </w:tc>
      </w:tr>
      <w:tr w:rsidR="00D8141F" w:rsidRPr="00A33B9F" w14:paraId="005B0C9B"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70DB4A34"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G7G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27BAA35B" w14:textId="28A9A473"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G1.1.4 Wsparcie dla instytucji wdrażających reformy</w:t>
            </w:r>
            <w:r w:rsidR="00A33B9F" w:rsidRPr="00A33B9F">
              <w:rPr>
                <w:rFonts w:ascii="Times New Roman" w:hAnsi="Times New Roman"/>
                <w:noProof/>
              </w:rPr>
              <w:t xml:space="preserve"> i inw</w:t>
            </w:r>
            <w:r w:rsidRPr="00A33B9F">
              <w:rPr>
                <w:rFonts w:ascii="Times New Roman" w:hAnsi="Times New Roman"/>
                <w:noProof/>
              </w:rPr>
              <w:t>estycje</w:t>
            </w:r>
            <w:r w:rsidR="00A33B9F" w:rsidRPr="00A33B9F">
              <w:rPr>
                <w:rFonts w:ascii="Times New Roman" w:hAnsi="Times New Roman"/>
                <w:noProof/>
              </w:rPr>
              <w:t xml:space="preserve"> w ram</w:t>
            </w:r>
            <w:r w:rsidRPr="00A33B9F">
              <w:rPr>
                <w:rFonts w:ascii="Times New Roman" w:hAnsi="Times New Roman"/>
                <w:noProof/>
              </w:rPr>
              <w:t>ach REPowerEU</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3E199447"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65A46CD" w14:textId="51A9B70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Zwiększenie zdolności administracyjnych</w:t>
            </w:r>
            <w:r w:rsidR="00A33B9F" w:rsidRPr="00A33B9F">
              <w:rPr>
                <w:rFonts w:ascii="Times New Roman" w:hAnsi="Times New Roman"/>
                <w:noProof/>
              </w:rPr>
              <w:t xml:space="preserve"> w cel</w:t>
            </w:r>
            <w:r w:rsidRPr="00A33B9F">
              <w:rPr>
                <w:rFonts w:ascii="Times New Roman" w:hAnsi="Times New Roman"/>
                <w:noProof/>
              </w:rPr>
              <w:t>u wdrożenia reform</w:t>
            </w:r>
            <w:r w:rsidR="00A33B9F" w:rsidRPr="00A33B9F">
              <w:rPr>
                <w:rFonts w:ascii="Times New Roman" w:hAnsi="Times New Roman"/>
                <w:noProof/>
              </w:rPr>
              <w:t xml:space="preserve"> i inw</w:t>
            </w:r>
            <w:r w:rsidRPr="00A33B9F">
              <w:rPr>
                <w:rFonts w:ascii="Times New Roman" w:hAnsi="Times New Roman"/>
                <w:noProof/>
              </w:rPr>
              <w:t>estycji</w:t>
            </w:r>
            <w:r w:rsidR="00A33B9F" w:rsidRPr="00A33B9F">
              <w:rPr>
                <w:rFonts w:ascii="Times New Roman" w:hAnsi="Times New Roman"/>
                <w:noProof/>
              </w:rPr>
              <w:t xml:space="preserve"> w ram</w:t>
            </w:r>
            <w:r w:rsidRPr="00A33B9F">
              <w:rPr>
                <w:rFonts w:ascii="Times New Roman" w:hAnsi="Times New Roman"/>
                <w:noProof/>
              </w:rPr>
              <w:t>ach REPowerEU</w:t>
            </w:r>
          </w:p>
        </w:tc>
      </w:tr>
      <w:tr w:rsidR="00D8141F" w:rsidRPr="00A33B9F" w14:paraId="29291E1A"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3FFF399A"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G12G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3D5191A1" w14:textId="23814D0D" w:rsidR="00D8141F" w:rsidRPr="00A33B9F" w:rsidRDefault="00D8141F" w:rsidP="00753103">
            <w:pPr>
              <w:spacing w:line="240" w:lineRule="auto"/>
              <w:rPr>
                <w:rFonts w:ascii="Times New Roman" w:hAnsi="Times New Roman"/>
                <w:noProof/>
              </w:rPr>
            </w:pPr>
            <w:r w:rsidRPr="00A33B9F">
              <w:rPr>
                <w:rFonts w:ascii="Times New Roman" w:hAnsi="Times New Roman"/>
                <w:noProof/>
              </w:rPr>
              <w:t>G1.2.1 Rozwiązania regulacyjne służące szybszej integracji odnawialnych źródeł energii</w:t>
            </w:r>
            <w:r w:rsidR="00A33B9F" w:rsidRPr="00A33B9F">
              <w:rPr>
                <w:rFonts w:ascii="Times New Roman" w:hAnsi="Times New Roman"/>
                <w:noProof/>
              </w:rPr>
              <w:t xml:space="preserve"> z sie</w:t>
            </w:r>
            <w:r w:rsidRPr="00A33B9F">
              <w:rPr>
                <w:rFonts w:ascii="Times New Roman" w:hAnsi="Times New Roman"/>
                <w:noProof/>
              </w:rPr>
              <w:t>ciami dystrybucyjnymi</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D4C96B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7E3DEFE5"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Przyjęcie nowego modelu regulacyjnego przez Prezesa Urzędu Regulacji Energetyki</w:t>
            </w:r>
          </w:p>
        </w:tc>
      </w:tr>
      <w:tr w:rsidR="00D8141F" w:rsidRPr="00A33B9F" w14:paraId="3CF1FD38"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2974934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G15G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7843D23A"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G1.2.3 Rozwój sieci przesyłowych, inteligentna infrastruktura elektroenergetyczna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5CE4F26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56354D70" w14:textId="77777777" w:rsidR="00D8141F" w:rsidRPr="00A33B9F" w:rsidRDefault="00D8141F" w:rsidP="00753103">
            <w:pPr>
              <w:spacing w:after="0" w:line="240" w:lineRule="auto"/>
              <w:rPr>
                <w:rFonts w:ascii="Times New Roman" w:eastAsia="Times New Roman" w:hAnsi="Times New Roman" w:cs="Times New Roman"/>
                <w:noProof/>
              </w:rPr>
            </w:pPr>
            <w:r w:rsidRPr="00A33B9F">
              <w:rPr>
                <w:rFonts w:ascii="Times New Roman" w:hAnsi="Times New Roman"/>
                <w:noProof/>
              </w:rPr>
              <w:t xml:space="preserve">Długość nowo </w:t>
            </w:r>
          </w:p>
          <w:p w14:paraId="55E8959B" w14:textId="77777777" w:rsidR="00D8141F" w:rsidRPr="00A33B9F" w:rsidRDefault="00D8141F" w:rsidP="00753103">
            <w:pPr>
              <w:spacing w:after="0" w:line="240" w:lineRule="auto"/>
              <w:rPr>
                <w:rFonts w:ascii="Times New Roman" w:eastAsia="Times New Roman" w:hAnsi="Times New Roman" w:cs="Times New Roman"/>
                <w:noProof/>
              </w:rPr>
            </w:pPr>
            <w:r w:rsidRPr="00A33B9F">
              <w:rPr>
                <w:rFonts w:ascii="Times New Roman" w:hAnsi="Times New Roman"/>
                <w:noProof/>
              </w:rPr>
              <w:t xml:space="preserve">wybudowanej lub zmodernizowanej </w:t>
            </w:r>
          </w:p>
          <w:p w14:paraId="56C045EE" w14:textId="77777777" w:rsidR="00D8141F" w:rsidRPr="00A33B9F" w:rsidRDefault="00D8141F" w:rsidP="00753103">
            <w:pPr>
              <w:spacing w:after="0" w:line="240" w:lineRule="auto"/>
              <w:rPr>
                <w:rFonts w:ascii="Times New Roman" w:eastAsia="Times New Roman" w:hAnsi="Times New Roman" w:cs="Times New Roman"/>
                <w:noProof/>
              </w:rPr>
            </w:pPr>
            <w:r w:rsidRPr="00A33B9F">
              <w:rPr>
                <w:rFonts w:ascii="Times New Roman" w:hAnsi="Times New Roman"/>
                <w:noProof/>
              </w:rPr>
              <w:t xml:space="preserve">elektroenergetycznej sieci przesyłowej </w:t>
            </w:r>
          </w:p>
          <w:p w14:paraId="2947A782"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(w km)</w:t>
            </w:r>
          </w:p>
        </w:tc>
      </w:tr>
      <w:tr w:rsidR="00D8141F" w:rsidRPr="00A33B9F" w14:paraId="0F4633E9"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2A8C22C3"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G18G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D1E6F60"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G1.2.3 Rozwój sieci przesyłowych, inteligentna infrastruktura elektroenergetyczna</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73A39C39"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66AD3B8E" w14:textId="5B197923" w:rsidR="00D8141F" w:rsidRPr="00A33B9F" w:rsidRDefault="00D8141F" w:rsidP="00753103">
            <w:pPr>
              <w:spacing w:after="0" w:line="240" w:lineRule="auto"/>
              <w:rPr>
                <w:rFonts w:ascii="Times New Roman" w:eastAsia="Times New Roman" w:hAnsi="Times New Roman" w:cs="Times New Roman"/>
                <w:noProof/>
              </w:rPr>
            </w:pPr>
            <w:r w:rsidRPr="00A33B9F">
              <w:rPr>
                <w:rFonts w:ascii="Times New Roman" w:hAnsi="Times New Roman"/>
                <w:noProof/>
              </w:rPr>
              <w:t>Umowy</w:t>
            </w:r>
            <w:r w:rsidR="00A33B9F" w:rsidRPr="00A33B9F">
              <w:rPr>
                <w:rFonts w:ascii="Times New Roman" w:hAnsi="Times New Roman"/>
                <w:noProof/>
              </w:rPr>
              <w:t xml:space="preserve"> o udz</w:t>
            </w:r>
            <w:r w:rsidRPr="00A33B9F">
              <w:rPr>
                <w:rFonts w:ascii="Times New Roman" w:hAnsi="Times New Roman"/>
                <w:noProof/>
              </w:rPr>
              <w:t>ielenie dotacji</w:t>
            </w:r>
          </w:p>
          <w:p w14:paraId="1ED29260" w14:textId="7E3DEFB9" w:rsidR="00D8141F" w:rsidRPr="00A33B9F" w:rsidRDefault="00D8141F" w:rsidP="00753103">
            <w:pPr>
              <w:spacing w:line="240" w:lineRule="auto"/>
              <w:rPr>
                <w:rFonts w:ascii="Times New Roman" w:hAnsi="Times New Roman"/>
                <w:noProof/>
              </w:rPr>
            </w:pPr>
            <w:r w:rsidRPr="00A33B9F">
              <w:rPr>
                <w:rFonts w:ascii="Times New Roman" w:hAnsi="Times New Roman"/>
                <w:noProof/>
              </w:rPr>
              <w:t>między operatorem systemu przesyłowego (OSP)</w:t>
            </w:r>
            <w:r w:rsidR="00A33B9F" w:rsidRPr="00A33B9F">
              <w:rPr>
                <w:rFonts w:ascii="Times New Roman" w:hAnsi="Times New Roman"/>
                <w:noProof/>
              </w:rPr>
              <w:t xml:space="preserve"> a org</w:t>
            </w:r>
            <w:r w:rsidRPr="00A33B9F">
              <w:rPr>
                <w:rFonts w:ascii="Times New Roman" w:hAnsi="Times New Roman"/>
                <w:noProof/>
              </w:rPr>
              <w:t>anami ds. wdrażania</w:t>
            </w:r>
            <w:r w:rsidR="00A33B9F" w:rsidRPr="00A33B9F">
              <w:rPr>
                <w:rFonts w:ascii="Times New Roman" w:hAnsi="Times New Roman"/>
                <w:noProof/>
              </w:rPr>
              <w:t xml:space="preserve"> i wsp</w:t>
            </w:r>
            <w:r w:rsidRPr="00A33B9F">
              <w:rPr>
                <w:rFonts w:ascii="Times New Roman" w:hAnsi="Times New Roman"/>
                <w:noProof/>
              </w:rPr>
              <w:t>ierania sieci przesyłowych</w:t>
            </w:r>
          </w:p>
        </w:tc>
      </w:tr>
      <w:tr w:rsidR="00D8141F" w:rsidRPr="00A33B9F" w14:paraId="287B16C7"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13422C9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G23G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6CB65B00" w14:textId="5C8B777C" w:rsidR="00D8141F" w:rsidRPr="00A33B9F" w:rsidRDefault="00D8141F" w:rsidP="00753103">
            <w:pPr>
              <w:spacing w:line="240" w:lineRule="auto"/>
              <w:rPr>
                <w:rFonts w:ascii="Times New Roman" w:hAnsi="Times New Roman"/>
                <w:noProof/>
              </w:rPr>
            </w:pPr>
            <w:r w:rsidRPr="00A33B9F">
              <w:rPr>
                <w:rFonts w:ascii="Times New Roman" w:hAnsi="Times New Roman"/>
                <w:noProof/>
              </w:rPr>
              <w:t>G1.2.4 Budowa lub modernizacja sieci dystrybucyjnych energii elektrycznej na obszarach wiejskich</w:t>
            </w:r>
            <w:r w:rsidR="00A33B9F" w:rsidRPr="00A33B9F">
              <w:rPr>
                <w:rFonts w:ascii="Times New Roman" w:hAnsi="Times New Roman"/>
                <w:noProof/>
              </w:rPr>
              <w:t xml:space="preserve"> w cel</w:t>
            </w:r>
            <w:r w:rsidRPr="00A33B9F">
              <w:rPr>
                <w:rFonts w:ascii="Times New Roman" w:hAnsi="Times New Roman"/>
                <w:noProof/>
              </w:rPr>
              <w:t>u umożliwienia przyłączenia nowych odnawialnych źródeł energii</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2ACDF248"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39D4818F" w14:textId="4F7D82CD" w:rsidR="00D8141F" w:rsidRPr="00A33B9F" w:rsidRDefault="00D8141F" w:rsidP="00753103">
            <w:pPr>
              <w:spacing w:line="240" w:lineRule="auto"/>
              <w:rPr>
                <w:rFonts w:ascii="Times New Roman" w:hAnsi="Times New Roman"/>
                <w:noProof/>
              </w:rPr>
            </w:pPr>
            <w:r w:rsidRPr="00A33B9F">
              <w:rPr>
                <w:rFonts w:ascii="Times New Roman" w:hAnsi="Times New Roman"/>
                <w:noProof/>
              </w:rPr>
              <w:t>Identyfikacja</w:t>
            </w:r>
            <w:r w:rsidR="00A33B9F" w:rsidRPr="00A33B9F">
              <w:rPr>
                <w:rFonts w:ascii="Times New Roman" w:hAnsi="Times New Roman"/>
                <w:noProof/>
              </w:rPr>
              <w:t xml:space="preserve"> i def</w:t>
            </w:r>
            <w:r w:rsidRPr="00A33B9F">
              <w:rPr>
                <w:rFonts w:ascii="Times New Roman" w:hAnsi="Times New Roman"/>
                <w:noProof/>
              </w:rPr>
              <w:t xml:space="preserve">iniowanie projektów </w:t>
            </w:r>
          </w:p>
        </w:tc>
      </w:tr>
      <w:tr w:rsidR="00D8141F" w:rsidRPr="00A33B9F" w14:paraId="2EFA7C82"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tcPr>
          <w:p w14:paraId="1525A33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G26G</w:t>
            </w:r>
          </w:p>
        </w:tc>
        <w:tc>
          <w:tcPr>
            <w:tcW w:w="3827" w:type="dxa"/>
            <w:tcBorders>
              <w:top w:val="single" w:sz="6" w:space="0" w:color="auto"/>
              <w:left w:val="single" w:sz="6" w:space="0" w:color="auto"/>
              <w:bottom w:val="single" w:sz="6" w:space="0" w:color="auto"/>
              <w:right w:val="single" w:sz="6" w:space="0" w:color="auto"/>
            </w:tcBorders>
            <w:shd w:val="clear" w:color="auto" w:fill="C6EFCE"/>
          </w:tcPr>
          <w:p w14:paraId="5FF437EB"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G1.3.2 Zeroemisyjny transport zbiorowy (autobusy)</w:t>
            </w:r>
          </w:p>
        </w:tc>
        <w:tc>
          <w:tcPr>
            <w:tcW w:w="1276" w:type="dxa"/>
            <w:tcBorders>
              <w:top w:val="single" w:sz="6" w:space="0" w:color="auto"/>
              <w:left w:val="single" w:sz="6" w:space="0" w:color="auto"/>
              <w:bottom w:val="single" w:sz="6" w:space="0" w:color="auto"/>
              <w:right w:val="single" w:sz="6" w:space="0" w:color="auto"/>
            </w:tcBorders>
            <w:shd w:val="clear" w:color="auto" w:fill="C6EFCE"/>
          </w:tcPr>
          <w:p w14:paraId="37122DA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4054" w:type="dxa"/>
            <w:tcBorders>
              <w:top w:val="single" w:sz="6" w:space="0" w:color="auto"/>
              <w:left w:val="single" w:sz="6" w:space="0" w:color="auto"/>
              <w:bottom w:val="single" w:sz="6" w:space="0" w:color="auto"/>
              <w:right w:val="single" w:sz="6" w:space="0" w:color="auto"/>
            </w:tcBorders>
            <w:shd w:val="clear" w:color="auto" w:fill="C6EFCE"/>
          </w:tcPr>
          <w:p w14:paraId="4F6D4B9C"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Pojazdy zeroemisyjne dla transportu miejskiego: wybór beneficjentów</w:t>
            </w:r>
          </w:p>
        </w:tc>
      </w:tr>
      <w:tr w:rsidR="00D8141F" w:rsidRPr="00A33B9F" w14:paraId="767F1B89" w14:textId="77777777" w:rsidTr="00753103">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6EFCE"/>
            <w:vAlign w:val="center"/>
          </w:tcPr>
          <w:p w14:paraId="5A876316" w14:textId="77777777" w:rsidR="00D8141F" w:rsidRPr="00A33B9F" w:rsidRDefault="00D8141F" w:rsidP="00753103">
            <w:pPr>
              <w:spacing w:line="240" w:lineRule="auto"/>
              <w:rPr>
                <w:rFonts w:ascii="Times New Roman" w:eastAsia="Times New Roman" w:hAnsi="Times New Roman" w:cs="Times New Roman"/>
                <w:noProof/>
              </w:rPr>
            </w:pPr>
          </w:p>
        </w:tc>
        <w:tc>
          <w:tcPr>
            <w:tcW w:w="3827" w:type="dxa"/>
            <w:tcBorders>
              <w:top w:val="single" w:sz="6" w:space="0" w:color="auto"/>
              <w:left w:val="single" w:sz="6" w:space="0" w:color="auto"/>
              <w:bottom w:val="single" w:sz="6" w:space="0" w:color="auto"/>
              <w:right w:val="single" w:sz="6" w:space="0" w:color="auto"/>
            </w:tcBorders>
            <w:shd w:val="clear" w:color="auto" w:fill="C6EFCE"/>
            <w:vAlign w:val="center"/>
          </w:tcPr>
          <w:p w14:paraId="16F1375C" w14:textId="77777777" w:rsidR="00D8141F" w:rsidRPr="00A33B9F" w:rsidRDefault="00D8141F" w:rsidP="00753103">
            <w:pPr>
              <w:spacing w:line="240" w:lineRule="auto"/>
              <w:rPr>
                <w:rFonts w:ascii="Times New Roman" w:eastAsia="Times New Roman" w:hAnsi="Times New Roman" w:cs="Times New Roman"/>
                <w:noProof/>
              </w:rPr>
            </w:pPr>
          </w:p>
        </w:tc>
        <w:tc>
          <w:tcPr>
            <w:tcW w:w="1276" w:type="dxa"/>
            <w:tcBorders>
              <w:top w:val="single" w:sz="6" w:space="0" w:color="auto"/>
              <w:left w:val="single" w:sz="6" w:space="0" w:color="auto"/>
              <w:bottom w:val="single" w:sz="6" w:space="0" w:color="auto"/>
              <w:right w:val="single" w:sz="6" w:space="0" w:color="auto"/>
            </w:tcBorders>
            <w:shd w:val="clear" w:color="auto" w:fill="C6EFCE"/>
            <w:vAlign w:val="center"/>
          </w:tcPr>
          <w:p w14:paraId="3EE57B45"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4054" w:type="dxa"/>
            <w:tcBorders>
              <w:top w:val="single" w:sz="6" w:space="0" w:color="auto"/>
              <w:left w:val="single" w:sz="6" w:space="0" w:color="auto"/>
              <w:bottom w:val="single" w:sz="6" w:space="0" w:color="auto"/>
              <w:right w:val="single" w:sz="6" w:space="0" w:color="auto"/>
            </w:tcBorders>
            <w:shd w:val="clear" w:color="auto" w:fill="C6EFCE"/>
            <w:vAlign w:val="center"/>
          </w:tcPr>
          <w:p w14:paraId="04B6DE69" w14:textId="4FCD51F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3 113 984 184 EUR</w:t>
            </w:r>
            <w:r w:rsidR="00C3621A" w:rsidRPr="00A33B9F">
              <w:rPr>
                <w:rFonts w:ascii="Times New Roman" w:hAnsi="Times New Roman"/>
                <w:noProof/>
              </w:rPr>
              <w:t xml:space="preserve"> </w:t>
            </w:r>
          </w:p>
        </w:tc>
      </w:tr>
    </w:tbl>
    <w:p w14:paraId="05505C39"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76EE9726"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2.1.7 Siódma transza (wsparcie bezzwrotne):</w:t>
      </w:r>
    </w:p>
    <w:tbl>
      <w:tblPr>
        <w:tblW w:w="10482" w:type="dxa"/>
        <w:tblLayout w:type="fixed"/>
        <w:tblLook w:val="0000" w:firstRow="0" w:lastRow="0" w:firstColumn="0" w:lastColumn="0" w:noHBand="0" w:noVBand="0"/>
      </w:tblPr>
      <w:tblGrid>
        <w:gridCol w:w="1350"/>
        <w:gridCol w:w="3960"/>
        <w:gridCol w:w="1245"/>
        <w:gridCol w:w="3927"/>
      </w:tblGrid>
      <w:tr w:rsidR="00D8141F" w:rsidRPr="00A33B9F" w14:paraId="02C5A449" w14:textId="77777777" w:rsidTr="00753103">
        <w:trPr>
          <w:trHeight w:val="807"/>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A297F9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510CE8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0D0B30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7170785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1CBECBE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33C2F9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6FB11C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A1.1 Reforma ram budżetowych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E68A6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F58CD0A" w14:textId="0360519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przygotowanej przez Ministerstwo Finansów zmiany ustawy</w:t>
            </w:r>
            <w:r w:rsidR="00A33B9F" w:rsidRPr="00A33B9F">
              <w:rPr>
                <w:rFonts w:ascii="Times New Roman" w:hAnsi="Times New Roman"/>
                <w:noProof/>
              </w:rPr>
              <w:t xml:space="preserve"> o fin</w:t>
            </w:r>
            <w:r w:rsidRPr="00A33B9F">
              <w:rPr>
                <w:rFonts w:ascii="Times New Roman" w:hAnsi="Times New Roman"/>
                <w:noProof/>
              </w:rPr>
              <w:t>ansach publicznych obejmującej wdrożenie nowego systemu budżetowego,</w:t>
            </w:r>
            <w:r w:rsidR="00A33B9F" w:rsidRPr="00A33B9F">
              <w:rPr>
                <w:rFonts w:ascii="Times New Roman" w:hAnsi="Times New Roman"/>
                <w:noProof/>
              </w:rPr>
              <w:t xml:space="preserve"> w tym</w:t>
            </w:r>
            <w:r w:rsidRPr="00A33B9F">
              <w:rPr>
                <w:rFonts w:ascii="Times New Roman" w:hAnsi="Times New Roman"/>
                <w:noProof/>
              </w:rPr>
              <w:t xml:space="preserve"> nowego systemu klasyfikacji, nowego modelu zarządzania budżetem oraz zdefiniowanych na nowo średniookresowych ram budżetowych</w:t>
            </w:r>
          </w:p>
        </w:tc>
      </w:tr>
      <w:tr w:rsidR="00D8141F" w:rsidRPr="00A33B9F" w14:paraId="56F0A0D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EA0490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1DBC8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A1.1 Reforma ram budżetowych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D54E1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22CA02" w14:textId="46817A3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Przegląd funkcjonowania stabilizującej reguły wydatkowej</w:t>
            </w:r>
            <w:r w:rsidR="00A33B9F" w:rsidRPr="00A33B9F">
              <w:rPr>
                <w:rFonts w:ascii="Times New Roman" w:hAnsi="Times New Roman"/>
                <w:noProof/>
              </w:rPr>
              <w:t xml:space="preserve"> w lat</w:t>
            </w:r>
            <w:r w:rsidRPr="00A33B9F">
              <w:rPr>
                <w:rFonts w:ascii="Times New Roman" w:hAnsi="Times New Roman"/>
                <w:noProof/>
              </w:rPr>
              <w:t>ach 2019–2023</w:t>
            </w:r>
            <w:r w:rsidR="00A33B9F" w:rsidRPr="00A33B9F">
              <w:rPr>
                <w:rFonts w:ascii="Times New Roman" w:hAnsi="Times New Roman"/>
                <w:noProof/>
              </w:rPr>
              <w:t xml:space="preserve"> w cel</w:t>
            </w:r>
            <w:r w:rsidRPr="00A33B9F">
              <w:rPr>
                <w:rFonts w:ascii="Times New Roman" w:hAnsi="Times New Roman"/>
                <w:noProof/>
              </w:rPr>
              <w:t>u:</w:t>
            </w:r>
          </w:p>
          <w:p w14:paraId="00ACAB56" w14:textId="292DAEC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oceny skuteczności funkcjonowania reguły,</w:t>
            </w:r>
            <w:r w:rsidR="00A33B9F" w:rsidRPr="00A33B9F">
              <w:rPr>
                <w:rFonts w:ascii="Times New Roman" w:hAnsi="Times New Roman"/>
                <w:noProof/>
              </w:rPr>
              <w:t xml:space="preserve"> w tym</w:t>
            </w:r>
            <w:r w:rsidRPr="00A33B9F">
              <w:rPr>
                <w:rFonts w:ascii="Times New Roman" w:hAnsi="Times New Roman"/>
                <w:noProof/>
              </w:rPr>
              <w:t xml:space="preserve"> stosowania klauzuli wyjścia</w:t>
            </w:r>
            <w:r w:rsidR="00A33B9F" w:rsidRPr="00A33B9F">
              <w:rPr>
                <w:rFonts w:ascii="Times New Roman" w:hAnsi="Times New Roman"/>
                <w:noProof/>
              </w:rPr>
              <w:t xml:space="preserve"> i kla</w:t>
            </w:r>
            <w:r w:rsidRPr="00A33B9F">
              <w:rPr>
                <w:rFonts w:ascii="Times New Roman" w:hAnsi="Times New Roman"/>
                <w:noProof/>
              </w:rPr>
              <w:t>uzuli powrotu</w:t>
            </w:r>
          </w:p>
          <w:p w14:paraId="7B35B869" w14:textId="1EF8345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analizy wpływu zmian</w:t>
            </w:r>
            <w:r w:rsidR="00A33B9F" w:rsidRPr="00A33B9F">
              <w:rPr>
                <w:rFonts w:ascii="Times New Roman" w:hAnsi="Times New Roman"/>
                <w:noProof/>
              </w:rPr>
              <w:t xml:space="preserve"> w prz</w:t>
            </w:r>
            <w:r w:rsidRPr="00A33B9F">
              <w:rPr>
                <w:rFonts w:ascii="Times New Roman" w:hAnsi="Times New Roman"/>
                <w:noProof/>
              </w:rPr>
              <w:t>episach UE na formułę stabilizującej reguły wydatkowej</w:t>
            </w:r>
          </w:p>
        </w:tc>
      </w:tr>
      <w:tr w:rsidR="00D8141F" w:rsidRPr="00A33B9F" w14:paraId="2BFBDB9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85801F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34F7B95" w14:textId="1EEE48B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 Reforma na rzecz poprawienia warunków konkurencyjności</w:t>
            </w:r>
            <w:r w:rsidR="00A33B9F" w:rsidRPr="00A33B9F">
              <w:rPr>
                <w:rFonts w:ascii="Times New Roman" w:hAnsi="Times New Roman"/>
                <w:noProof/>
              </w:rPr>
              <w:t xml:space="preserve"> i och</w:t>
            </w:r>
            <w:r w:rsidRPr="00A33B9F">
              <w:rPr>
                <w:rFonts w:ascii="Times New Roman" w:hAnsi="Times New Roman"/>
                <w:noProof/>
              </w:rPr>
              <w:t>rony producentów/konsumentów</w:t>
            </w:r>
            <w:r w:rsidR="00A33B9F" w:rsidRPr="00A33B9F">
              <w:rPr>
                <w:rFonts w:ascii="Times New Roman" w:hAnsi="Times New Roman"/>
                <w:noProof/>
              </w:rPr>
              <w:t xml:space="preserve"> w sek</w:t>
            </w:r>
            <w:r w:rsidRPr="00A33B9F">
              <w:rPr>
                <w:rFonts w:ascii="Times New Roman" w:hAnsi="Times New Roman"/>
                <w:noProof/>
              </w:rPr>
              <w:t>torze rolnym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B44AE5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E1F835" w14:textId="000BAC0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przeglądu śródokresowego nowej ustawy</w:t>
            </w:r>
            <w:r w:rsidR="00A33B9F" w:rsidRPr="00A33B9F">
              <w:rPr>
                <w:rFonts w:ascii="Times New Roman" w:hAnsi="Times New Roman"/>
                <w:noProof/>
              </w:rPr>
              <w:t xml:space="preserve"> o prz</w:t>
            </w:r>
            <w:r w:rsidRPr="00A33B9F">
              <w:rPr>
                <w:rFonts w:ascii="Times New Roman" w:hAnsi="Times New Roman"/>
                <w:noProof/>
              </w:rPr>
              <w:t>eciwdziałaniu nieuczciwemu wykorzystywaniu przewagi kontraktowej</w:t>
            </w:r>
            <w:r w:rsidR="00A33B9F" w:rsidRPr="00A33B9F">
              <w:rPr>
                <w:rFonts w:ascii="Times New Roman" w:hAnsi="Times New Roman"/>
                <w:noProof/>
              </w:rPr>
              <w:t xml:space="preserve"> w obr</w:t>
            </w:r>
            <w:r w:rsidRPr="00A33B9F">
              <w:rPr>
                <w:rFonts w:ascii="Times New Roman" w:hAnsi="Times New Roman"/>
                <w:noProof/>
              </w:rPr>
              <w:t>ocie produktami rolnymi</w:t>
            </w:r>
            <w:r w:rsidR="00A33B9F" w:rsidRPr="00A33B9F">
              <w:rPr>
                <w:rFonts w:ascii="Times New Roman" w:hAnsi="Times New Roman"/>
                <w:noProof/>
              </w:rPr>
              <w:t xml:space="preserve"> i spo</w:t>
            </w:r>
            <w:r w:rsidRPr="00A33B9F">
              <w:rPr>
                <w:rFonts w:ascii="Times New Roman" w:hAnsi="Times New Roman"/>
                <w:noProof/>
              </w:rPr>
              <w:t>żywczymi</w:t>
            </w:r>
          </w:p>
        </w:tc>
      </w:tr>
      <w:tr w:rsidR="00D8141F" w:rsidRPr="00A33B9F" w14:paraId="28F7197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8246E5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8A935A7" w14:textId="5365DE0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A2.2.1 Inwestycje we wdrażanie technologii</w:t>
            </w:r>
            <w:r w:rsidR="00A33B9F" w:rsidRPr="00A33B9F">
              <w:rPr>
                <w:rFonts w:ascii="Times New Roman" w:hAnsi="Times New Roman"/>
                <w:noProof/>
              </w:rPr>
              <w:t xml:space="preserve"> i inn</w:t>
            </w:r>
            <w:r w:rsidRPr="00A33B9F">
              <w:rPr>
                <w:rFonts w:ascii="Times New Roman" w:hAnsi="Times New Roman"/>
                <w:noProof/>
              </w:rPr>
              <w:t>owacji środowiskowych,</w:t>
            </w:r>
            <w:r w:rsidR="00A33B9F" w:rsidRPr="00A33B9F">
              <w:rPr>
                <w:rFonts w:ascii="Times New Roman" w:hAnsi="Times New Roman"/>
                <w:noProof/>
              </w:rPr>
              <w:t xml:space="preserve"> w tym</w:t>
            </w:r>
            <w:r w:rsidRPr="00A33B9F">
              <w:rPr>
                <w:rFonts w:ascii="Times New Roman" w:hAnsi="Times New Roman"/>
                <w:noProof/>
              </w:rPr>
              <w:t xml:space="preserve"> związanych</w:t>
            </w:r>
            <w:r w:rsidR="00A33B9F" w:rsidRPr="00A33B9F">
              <w:rPr>
                <w:rFonts w:ascii="Times New Roman" w:hAnsi="Times New Roman"/>
                <w:noProof/>
              </w:rPr>
              <w:t xml:space="preserve"> z gos</w:t>
            </w:r>
            <w:r w:rsidRPr="00A33B9F">
              <w:rPr>
                <w:rFonts w:ascii="Times New Roman" w:hAnsi="Times New Roman"/>
                <w:noProof/>
              </w:rPr>
              <w:t>podarką</w:t>
            </w:r>
            <w:r w:rsidR="00A33B9F" w:rsidRPr="00A33B9F">
              <w:rPr>
                <w:rFonts w:ascii="Times New Roman" w:hAnsi="Times New Roman"/>
                <w:noProof/>
              </w:rPr>
              <w:t xml:space="preserve"> o obi</w:t>
            </w:r>
            <w:r w:rsidRPr="00A33B9F">
              <w:rPr>
                <w:rFonts w:ascii="Times New Roman" w:hAnsi="Times New Roman"/>
                <w:noProof/>
              </w:rPr>
              <w:t>egu zamkniętym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7C16D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861C42" w14:textId="0C05A58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Podpisane umowy</w:t>
            </w:r>
            <w:r w:rsidR="00A33B9F" w:rsidRPr="00A33B9F">
              <w:rPr>
                <w:rFonts w:ascii="Times New Roman" w:hAnsi="Times New Roman"/>
                <w:noProof/>
              </w:rPr>
              <w:t xml:space="preserve"> o udz</w:t>
            </w:r>
            <w:r w:rsidRPr="00A33B9F">
              <w:rPr>
                <w:rFonts w:ascii="Times New Roman" w:hAnsi="Times New Roman"/>
                <w:noProof/>
              </w:rPr>
              <w:t>ielenie dotacji na projekty przyznane MŚP posiadającym rozwiązania</w:t>
            </w:r>
            <w:r w:rsidR="00A33B9F" w:rsidRPr="00A33B9F">
              <w:rPr>
                <w:rFonts w:ascii="Times New Roman" w:hAnsi="Times New Roman"/>
                <w:noProof/>
              </w:rPr>
              <w:t xml:space="preserve"> w zak</w:t>
            </w:r>
            <w:r w:rsidRPr="00A33B9F">
              <w:rPr>
                <w:rFonts w:ascii="Times New Roman" w:hAnsi="Times New Roman"/>
                <w:noProof/>
              </w:rPr>
              <w:t>resie rozwoju</w:t>
            </w:r>
            <w:r w:rsidR="00A33B9F" w:rsidRPr="00A33B9F">
              <w:rPr>
                <w:rFonts w:ascii="Times New Roman" w:hAnsi="Times New Roman"/>
                <w:noProof/>
              </w:rPr>
              <w:t xml:space="preserve"> i sty</w:t>
            </w:r>
            <w:r w:rsidRPr="00A33B9F">
              <w:rPr>
                <w:rFonts w:ascii="Times New Roman" w:hAnsi="Times New Roman"/>
                <w:noProof/>
              </w:rPr>
              <w:t>mulowania lub stosowania zielonych technologii (związanych</w:t>
            </w:r>
            <w:r w:rsidR="00A33B9F" w:rsidRPr="00A33B9F">
              <w:rPr>
                <w:rFonts w:ascii="Times New Roman" w:hAnsi="Times New Roman"/>
                <w:noProof/>
              </w:rPr>
              <w:t xml:space="preserve"> z gos</w:t>
            </w:r>
            <w:r w:rsidRPr="00A33B9F">
              <w:rPr>
                <w:rFonts w:ascii="Times New Roman" w:hAnsi="Times New Roman"/>
                <w:noProof/>
              </w:rPr>
              <w:t>podarką</w:t>
            </w:r>
            <w:r w:rsidR="00A33B9F" w:rsidRPr="00A33B9F">
              <w:rPr>
                <w:rFonts w:ascii="Times New Roman" w:hAnsi="Times New Roman"/>
                <w:noProof/>
              </w:rPr>
              <w:t xml:space="preserve"> o obi</w:t>
            </w:r>
            <w:r w:rsidRPr="00A33B9F">
              <w:rPr>
                <w:rFonts w:ascii="Times New Roman" w:hAnsi="Times New Roman"/>
                <w:noProof/>
              </w:rPr>
              <w:t>egu zamkniętym)</w:t>
            </w:r>
            <w:r w:rsidR="00C3621A" w:rsidRPr="00A33B9F">
              <w:rPr>
                <w:rFonts w:ascii="Times New Roman" w:hAnsi="Times New Roman"/>
                <w:noProof/>
              </w:rPr>
              <w:t xml:space="preserve"> </w:t>
            </w:r>
          </w:p>
        </w:tc>
      </w:tr>
      <w:tr w:rsidR="00D8141F" w:rsidRPr="00A33B9F" w14:paraId="7F64F75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A98F66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32614E" w14:textId="6A0DBCC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A2.3.1 Rozbudowa</w:t>
            </w:r>
            <w:r w:rsidR="00A33B9F" w:rsidRPr="00A33B9F">
              <w:rPr>
                <w:rFonts w:ascii="Times New Roman" w:hAnsi="Times New Roman"/>
                <w:noProof/>
              </w:rPr>
              <w:t xml:space="preserve"> i wyp</w:t>
            </w:r>
            <w:r w:rsidRPr="00A33B9F">
              <w:rPr>
                <w:rFonts w:ascii="Times New Roman" w:hAnsi="Times New Roman"/>
                <w:noProof/>
              </w:rPr>
              <w:t>osażenie centrów kompetencji (specjalistyczne ośrodki szkoleniowe, wsparcie wdrożeń, centra monitorowania) oraz infrastruktura do zarządzania ruchem pojazdów bezzałogowych, jako Ekosystem Innowacji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CCBBF8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F7FA837" w14:textId="41AA8FF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Zrealizowane usługi</w:t>
            </w:r>
            <w:r w:rsidR="00A33B9F" w:rsidRPr="00A33B9F">
              <w:rPr>
                <w:rFonts w:ascii="Times New Roman" w:hAnsi="Times New Roman"/>
                <w:noProof/>
              </w:rPr>
              <w:t xml:space="preserve"> w zak</w:t>
            </w:r>
            <w:r w:rsidRPr="00A33B9F">
              <w:rPr>
                <w:rFonts w:ascii="Times New Roman" w:hAnsi="Times New Roman"/>
                <w:noProof/>
              </w:rPr>
              <w:t>resie bezzałogowych statków powietrznych poprzedzone projektami pilotażowymi</w:t>
            </w:r>
          </w:p>
        </w:tc>
      </w:tr>
      <w:tr w:rsidR="00D8141F" w:rsidRPr="00A33B9F" w14:paraId="52F8216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F7252C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FDF35F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A4.1.1 Inwestycje wspierające reformę instytucji rynku pracy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257CF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374FAB" w14:textId="3C1A05F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Publiczne służby zatrudnienia,</w:t>
            </w:r>
            <w:r w:rsidR="00A33B9F" w:rsidRPr="00A33B9F">
              <w:rPr>
                <w:rFonts w:ascii="Times New Roman" w:hAnsi="Times New Roman"/>
                <w:noProof/>
              </w:rPr>
              <w:t xml:space="preserve"> w któ</w:t>
            </w:r>
            <w:r w:rsidRPr="00A33B9F">
              <w:rPr>
                <w:rFonts w:ascii="Times New Roman" w:hAnsi="Times New Roman"/>
                <w:noProof/>
              </w:rPr>
              <w:t>rych zostaną wdrożone zmodernizowane systemy informatyczne</w:t>
            </w:r>
          </w:p>
        </w:tc>
      </w:tr>
      <w:tr w:rsidR="00D8141F" w:rsidRPr="00A33B9F" w14:paraId="65D1FD3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426FEF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A56G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0FC4D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A4.1.1 Inwestycje wspierające reformę instytucji rynku pracy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3000D2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4066EB5" w14:textId="3DE8C78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Pracownicy publicznych służb zatrudnienia przeszkoleni</w:t>
            </w:r>
            <w:r w:rsidR="00A33B9F" w:rsidRPr="00A33B9F">
              <w:rPr>
                <w:rFonts w:ascii="Times New Roman" w:hAnsi="Times New Roman"/>
                <w:noProof/>
              </w:rPr>
              <w:t xml:space="preserve"> w zak</w:t>
            </w:r>
            <w:r w:rsidRPr="00A33B9F">
              <w:rPr>
                <w:rFonts w:ascii="Times New Roman" w:hAnsi="Times New Roman"/>
                <w:noProof/>
              </w:rPr>
              <w:t>resie stosowania nowych procedur</w:t>
            </w:r>
            <w:r w:rsidR="00A33B9F" w:rsidRPr="00A33B9F">
              <w:rPr>
                <w:rFonts w:ascii="Times New Roman" w:hAnsi="Times New Roman"/>
                <w:noProof/>
              </w:rPr>
              <w:t xml:space="preserve"> i wyk</w:t>
            </w:r>
            <w:r w:rsidRPr="00A33B9F">
              <w:rPr>
                <w:rFonts w:ascii="Times New Roman" w:hAnsi="Times New Roman"/>
                <w:noProof/>
              </w:rPr>
              <w:t>orzystywania narzędzi informatycznych, które wdrożono</w:t>
            </w:r>
            <w:r w:rsidR="00A33B9F" w:rsidRPr="00A33B9F">
              <w:rPr>
                <w:rFonts w:ascii="Times New Roman" w:hAnsi="Times New Roman"/>
                <w:noProof/>
              </w:rPr>
              <w:t xml:space="preserve"> w zwi</w:t>
            </w:r>
            <w:r w:rsidRPr="00A33B9F">
              <w:rPr>
                <w:rFonts w:ascii="Times New Roman" w:hAnsi="Times New Roman"/>
                <w:noProof/>
              </w:rPr>
              <w:t>ązku</w:t>
            </w:r>
            <w:r w:rsidR="00A33B9F" w:rsidRPr="00A33B9F">
              <w:rPr>
                <w:rFonts w:ascii="Times New Roman" w:hAnsi="Times New Roman"/>
                <w:noProof/>
              </w:rPr>
              <w:t xml:space="preserve"> z now</w:t>
            </w:r>
            <w:r w:rsidRPr="00A33B9F">
              <w:rPr>
                <w:rFonts w:ascii="Times New Roman" w:hAnsi="Times New Roman"/>
                <w:noProof/>
              </w:rPr>
              <w:t>ą ustawą</w:t>
            </w:r>
            <w:r w:rsidR="00A33B9F" w:rsidRPr="00A33B9F">
              <w:rPr>
                <w:rFonts w:ascii="Times New Roman" w:hAnsi="Times New Roman"/>
                <w:noProof/>
              </w:rPr>
              <w:t xml:space="preserve"> o pub</w:t>
            </w:r>
            <w:r w:rsidRPr="00A33B9F">
              <w:rPr>
                <w:rFonts w:ascii="Times New Roman" w:hAnsi="Times New Roman"/>
                <w:noProof/>
              </w:rPr>
              <w:t>licznych służbach zatrudnienia, ustawą</w:t>
            </w:r>
            <w:r w:rsidR="00A33B9F" w:rsidRPr="00A33B9F">
              <w:rPr>
                <w:rFonts w:ascii="Times New Roman" w:hAnsi="Times New Roman"/>
                <w:noProof/>
              </w:rPr>
              <w:t xml:space="preserve"> o zat</w:t>
            </w:r>
            <w:r w:rsidRPr="00A33B9F">
              <w:rPr>
                <w:rFonts w:ascii="Times New Roman" w:hAnsi="Times New Roman"/>
                <w:noProof/>
              </w:rPr>
              <w:t>rudnianiu obywateli państw trzecich oraz ustawą</w:t>
            </w:r>
            <w:r w:rsidR="00A33B9F" w:rsidRPr="00A33B9F">
              <w:rPr>
                <w:rFonts w:ascii="Times New Roman" w:hAnsi="Times New Roman"/>
                <w:noProof/>
              </w:rPr>
              <w:t xml:space="preserve"> o zaw</w:t>
            </w:r>
            <w:r w:rsidRPr="00A33B9F">
              <w:rPr>
                <w:rFonts w:ascii="Times New Roman" w:hAnsi="Times New Roman"/>
                <w:noProof/>
              </w:rPr>
              <w:t>ieraniu umów</w:t>
            </w:r>
            <w:r w:rsidR="00A33B9F" w:rsidRPr="00A33B9F">
              <w:rPr>
                <w:rFonts w:ascii="Times New Roman" w:hAnsi="Times New Roman"/>
                <w:noProof/>
              </w:rPr>
              <w:t xml:space="preserve"> o pra</w:t>
            </w:r>
            <w:r w:rsidRPr="00A33B9F">
              <w:rPr>
                <w:rFonts w:ascii="Times New Roman" w:hAnsi="Times New Roman"/>
                <w:noProof/>
              </w:rPr>
              <w:t>cę</w:t>
            </w:r>
            <w:r w:rsidR="00A33B9F" w:rsidRPr="00A33B9F">
              <w:rPr>
                <w:rFonts w:ascii="Times New Roman" w:hAnsi="Times New Roman"/>
                <w:noProof/>
              </w:rPr>
              <w:t xml:space="preserve"> w spo</w:t>
            </w:r>
            <w:r w:rsidRPr="00A33B9F">
              <w:rPr>
                <w:rFonts w:ascii="Times New Roman" w:hAnsi="Times New Roman"/>
                <w:noProof/>
              </w:rPr>
              <w:t>sób elektroniczny przez niektórych pracodawców</w:t>
            </w:r>
          </w:p>
        </w:tc>
      </w:tr>
      <w:tr w:rsidR="00D8141F" w:rsidRPr="00A33B9F" w14:paraId="36ADF5B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3EC945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6042B51" w14:textId="55829E5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A4.3.1 Programy wsparcia inwestycyjnego umożliwiające</w:t>
            </w:r>
            <w:r w:rsidR="00A33B9F" w:rsidRPr="00A33B9F">
              <w:rPr>
                <w:rFonts w:ascii="Times New Roman" w:hAnsi="Times New Roman"/>
                <w:noProof/>
              </w:rPr>
              <w:t xml:space="preserve"> w szc</w:t>
            </w:r>
            <w:r w:rsidRPr="00A33B9F">
              <w:rPr>
                <w:rFonts w:ascii="Times New Roman" w:hAnsi="Times New Roman"/>
                <w:noProof/>
              </w:rPr>
              <w:t>zególności rozwój działalności, zwiększenie udziału</w:t>
            </w:r>
            <w:r w:rsidR="00A33B9F" w:rsidRPr="00A33B9F">
              <w:rPr>
                <w:rFonts w:ascii="Times New Roman" w:hAnsi="Times New Roman"/>
                <w:noProof/>
              </w:rPr>
              <w:t xml:space="preserve"> w rea</w:t>
            </w:r>
            <w:r w:rsidRPr="00A33B9F">
              <w:rPr>
                <w:rFonts w:ascii="Times New Roman" w:hAnsi="Times New Roman"/>
                <w:noProof/>
              </w:rPr>
              <w:t>lizacji usług społecznych, podniesienie jakości integracji</w:t>
            </w:r>
            <w:r w:rsidR="00A33B9F" w:rsidRPr="00A33B9F">
              <w:rPr>
                <w:rFonts w:ascii="Times New Roman" w:hAnsi="Times New Roman"/>
                <w:noProof/>
              </w:rPr>
              <w:t xml:space="preserve"> w pod</w:t>
            </w:r>
            <w:r w:rsidRPr="00A33B9F">
              <w:rPr>
                <w:rFonts w:ascii="Times New Roman" w:hAnsi="Times New Roman"/>
                <w:noProof/>
              </w:rPr>
              <w:t>miotach ekonomii społecznej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FEAE7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D782EF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podmiotów, które uzyskały status przedsiębiorstwa społecznego</w:t>
            </w:r>
          </w:p>
        </w:tc>
      </w:tr>
      <w:tr w:rsidR="00D8141F" w:rsidRPr="00A33B9F" w:rsidDel="00473608" w14:paraId="2EEFFF2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AB78A33" w14:textId="77777777" w:rsidR="00D8141F" w:rsidRPr="00A33B9F" w:rsidDel="00473608" w:rsidRDefault="00D8141F" w:rsidP="00753103">
            <w:pPr>
              <w:spacing w:line="240" w:lineRule="auto"/>
              <w:jc w:val="center"/>
              <w:rPr>
                <w:rFonts w:ascii="Times New Roman" w:hAnsi="Times New Roman"/>
                <w:noProof/>
              </w:rPr>
            </w:pPr>
            <w:r w:rsidRPr="00A33B9F">
              <w:rPr>
                <w:rFonts w:ascii="Times New Roman" w:hAnsi="Times New Roman"/>
                <w:noProof/>
              </w:rPr>
              <w:t>B21bG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E3DACE0" w14:textId="6A3E9C4D" w:rsidR="00D8141F" w:rsidRPr="00A33B9F" w:rsidDel="00473608" w:rsidRDefault="00D8141F" w:rsidP="00753103">
            <w:pPr>
              <w:spacing w:line="240" w:lineRule="auto"/>
              <w:rPr>
                <w:rFonts w:ascii="Times New Roman" w:hAnsi="Times New Roman"/>
                <w:noProof/>
              </w:rPr>
            </w:pPr>
            <w:r w:rsidRPr="00A33B9F">
              <w:rPr>
                <w:rFonts w:ascii="Times New Roman" w:hAnsi="Times New Roman"/>
                <w:noProof/>
                <w:color w:val="000000"/>
              </w:rPr>
              <w:t>B2.1.1. Inwestycje</w:t>
            </w:r>
            <w:r w:rsidR="00A33B9F" w:rsidRPr="00A33B9F">
              <w:rPr>
                <w:rFonts w:ascii="Times New Roman" w:hAnsi="Times New Roman"/>
                <w:noProof/>
                <w:color w:val="000000"/>
              </w:rPr>
              <w:t xml:space="preserve"> w tec</w:t>
            </w:r>
            <w:r w:rsidRPr="00A33B9F">
              <w:rPr>
                <w:rFonts w:ascii="Times New Roman" w:hAnsi="Times New Roman"/>
                <w:noProof/>
                <w:color w:val="000000"/>
              </w:rPr>
              <w:t>hnologie wodorowe, wytwarzanie, magazynowanie</w:t>
            </w:r>
            <w:r w:rsidR="00A33B9F" w:rsidRPr="00A33B9F">
              <w:rPr>
                <w:rFonts w:ascii="Times New Roman" w:hAnsi="Times New Roman"/>
                <w:noProof/>
                <w:color w:val="000000"/>
              </w:rPr>
              <w:t xml:space="preserve"> i tra</w:t>
            </w:r>
            <w:r w:rsidRPr="00A33B9F">
              <w:rPr>
                <w:rFonts w:ascii="Times New Roman" w:hAnsi="Times New Roman"/>
                <w:noProof/>
                <w:color w:val="000000"/>
              </w:rPr>
              <w:t>nsport wodoru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1E123A" w14:textId="77777777" w:rsidR="00D8141F" w:rsidRPr="00A33B9F" w:rsidDel="00473608" w:rsidRDefault="00D8141F" w:rsidP="00753103">
            <w:pPr>
              <w:spacing w:line="240" w:lineRule="auto"/>
              <w:jc w:val="center"/>
              <w:rPr>
                <w:rFonts w:ascii="Times New Roman" w:hAnsi="Times New Roman"/>
                <w:noProof/>
              </w:rPr>
            </w:pPr>
            <w:r w:rsidRPr="00A33B9F">
              <w:rPr>
                <w:rFonts w:ascii="Times New Roman" w:hAnsi="Times New Roman"/>
                <w:noProof/>
                <w:color w:val="000000"/>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ADF07E" w14:textId="6EA3B2FB" w:rsidR="00D8141F" w:rsidRPr="00A33B9F" w:rsidDel="00473608" w:rsidRDefault="00D8141F" w:rsidP="00753103">
            <w:pPr>
              <w:spacing w:line="240" w:lineRule="auto"/>
              <w:rPr>
                <w:rFonts w:ascii="Times New Roman" w:hAnsi="Times New Roman"/>
                <w:noProof/>
              </w:rPr>
            </w:pPr>
            <w:r w:rsidRPr="00A33B9F">
              <w:rPr>
                <w:rStyle w:val="normaltextrun"/>
                <w:rFonts w:ascii="Times New Roman" w:hAnsi="Times New Roman"/>
                <w:noProof/>
              </w:rPr>
              <w:t>Umowy prawne podpisane</w:t>
            </w:r>
            <w:r w:rsidR="00A33B9F" w:rsidRPr="00A33B9F">
              <w:rPr>
                <w:rStyle w:val="normaltextrun"/>
                <w:rFonts w:ascii="Times New Roman" w:hAnsi="Times New Roman"/>
                <w:noProof/>
              </w:rPr>
              <w:t xml:space="preserve"> z ben</w:t>
            </w:r>
            <w:r w:rsidRPr="00A33B9F">
              <w:rPr>
                <w:rStyle w:val="normaltextrun"/>
                <w:rFonts w:ascii="Times New Roman" w:hAnsi="Times New Roman"/>
                <w:noProof/>
              </w:rPr>
              <w:t>eficjentami końcowymi</w:t>
            </w:r>
            <w:r w:rsidRPr="00A33B9F">
              <w:rPr>
                <w:rStyle w:val="eop"/>
                <w:rFonts w:ascii="Times New Roman" w:hAnsi="Times New Roman"/>
                <w:noProof/>
              </w:rPr>
              <w:t xml:space="preserve"> </w:t>
            </w:r>
          </w:p>
        </w:tc>
      </w:tr>
      <w:tr w:rsidR="00D8141F" w:rsidRPr="00A33B9F" w:rsidDel="00473608" w14:paraId="547897EF"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1CF5F4"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 xml:space="preserve">B21cG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14699C" w14:textId="55F6FAF8" w:rsidR="00D8141F" w:rsidRPr="00A33B9F" w:rsidRDefault="00D8141F" w:rsidP="00753103">
            <w:pPr>
              <w:spacing w:line="240" w:lineRule="auto"/>
              <w:rPr>
                <w:rFonts w:ascii="Times New Roman" w:hAnsi="Times New Roman"/>
                <w:noProof/>
                <w:color w:val="000000"/>
                <w:szCs w:val="28"/>
              </w:rPr>
            </w:pPr>
            <w:r w:rsidRPr="00A33B9F">
              <w:rPr>
                <w:rFonts w:ascii="Times New Roman" w:hAnsi="Times New Roman"/>
                <w:noProof/>
              </w:rPr>
              <w:t>B2.1.1. Inwestycje</w:t>
            </w:r>
            <w:r w:rsidR="00A33B9F" w:rsidRPr="00A33B9F">
              <w:rPr>
                <w:rFonts w:ascii="Times New Roman" w:hAnsi="Times New Roman"/>
                <w:noProof/>
              </w:rPr>
              <w:t xml:space="preserve"> w tec</w:t>
            </w:r>
            <w:r w:rsidRPr="00A33B9F">
              <w:rPr>
                <w:rFonts w:ascii="Times New Roman" w:hAnsi="Times New Roman"/>
                <w:noProof/>
              </w:rPr>
              <w:t>hnologie wodorowe, wytwarzanie, magazynowanie</w:t>
            </w:r>
            <w:r w:rsidR="00A33B9F" w:rsidRPr="00A33B9F">
              <w:rPr>
                <w:rFonts w:ascii="Times New Roman" w:hAnsi="Times New Roman"/>
                <w:noProof/>
              </w:rPr>
              <w:t xml:space="preserve"> i tra</w:t>
            </w:r>
            <w:r w:rsidRPr="00A33B9F">
              <w:rPr>
                <w:rFonts w:ascii="Times New Roman" w:hAnsi="Times New Roman"/>
                <w:noProof/>
              </w:rPr>
              <w:t xml:space="preserve">nsport wodoru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C244297" w14:textId="7B42E039" w:rsidR="00D8141F" w:rsidRPr="00A33B9F" w:rsidRDefault="00D8141F" w:rsidP="00753103">
            <w:pPr>
              <w:spacing w:line="240" w:lineRule="auto"/>
              <w:jc w:val="center"/>
              <w:rPr>
                <w:rFonts w:ascii="Times New Roman" w:hAnsi="Times New Roman"/>
                <w:noProof/>
                <w:color w:val="000000"/>
                <w:szCs w:val="28"/>
              </w:rPr>
            </w:pPr>
            <w:r w:rsidRPr="00A33B9F">
              <w:rPr>
                <w:rFonts w:ascii="Times New Roman" w:hAnsi="Times New Roman"/>
                <w:noProof/>
              </w:rPr>
              <w:t>Kamień milowy</w:t>
            </w:r>
            <w:r w:rsidR="00C3621A" w:rsidRPr="00A33B9F">
              <w:rPr>
                <w:rFonts w:ascii="Times New Roman" w:hAnsi="Times New Roman"/>
                <w:noProof/>
              </w:rPr>
              <w:t xml:space="preserve">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1B682F" w14:textId="19A91B2E" w:rsidR="00D8141F" w:rsidRPr="00A33B9F" w:rsidRDefault="00D8141F" w:rsidP="00753103">
            <w:pPr>
              <w:spacing w:line="240" w:lineRule="auto"/>
              <w:rPr>
                <w:rStyle w:val="normaltextrun"/>
                <w:rFonts w:ascii="Times New Roman" w:hAnsi="Times New Roman"/>
                <w:noProof/>
                <w:szCs w:val="28"/>
              </w:rPr>
            </w:pPr>
            <w:r w:rsidRPr="00A33B9F">
              <w:rPr>
                <w:rFonts w:ascii="Times New Roman" w:hAnsi="Times New Roman"/>
                <w:noProof/>
              </w:rPr>
              <w:t>Ministerstwo zakończyło 50</w:t>
            </w:r>
            <w:r w:rsidR="00A33B9F" w:rsidRPr="00A33B9F">
              <w:rPr>
                <w:rFonts w:ascii="Times New Roman" w:hAnsi="Times New Roman"/>
                <w:noProof/>
              </w:rPr>
              <w:t> </w:t>
            </w:r>
            <w:r w:rsidRPr="00A33B9F">
              <w:rPr>
                <w:rFonts w:ascii="Times New Roman" w:hAnsi="Times New Roman"/>
                <w:noProof/>
              </w:rPr>
              <w:t>% inwestycji</w:t>
            </w:r>
            <w:r w:rsidR="00C3621A" w:rsidRPr="00A33B9F">
              <w:rPr>
                <w:rFonts w:ascii="Times New Roman" w:hAnsi="Times New Roman"/>
                <w:noProof/>
              </w:rPr>
              <w:t xml:space="preserve"> </w:t>
            </w:r>
          </w:p>
        </w:tc>
      </w:tr>
      <w:tr w:rsidR="00D8141F" w:rsidRPr="00A33B9F" w14:paraId="7142B3D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16982E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CF4137" w14:textId="7A9925D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C2.1.1 E-usługi publiczne, rozwiązania IT usprawniające funkcjonowanie sektorów gospodarki oraz technologie przełomowe</w:t>
            </w:r>
            <w:r w:rsidR="00A33B9F" w:rsidRPr="00A33B9F">
              <w:rPr>
                <w:rFonts w:ascii="Times New Roman" w:hAnsi="Times New Roman"/>
                <w:noProof/>
              </w:rPr>
              <w:t xml:space="preserve"> w sek</w:t>
            </w:r>
            <w:r w:rsidRPr="00A33B9F">
              <w:rPr>
                <w:rFonts w:ascii="Times New Roman" w:hAnsi="Times New Roman"/>
                <w:noProof/>
              </w:rPr>
              <w:t>torze publicznym, gospodarce</w:t>
            </w:r>
            <w:r w:rsidR="00A33B9F" w:rsidRPr="00A33B9F">
              <w:rPr>
                <w:rFonts w:ascii="Times New Roman" w:hAnsi="Times New Roman"/>
                <w:noProof/>
              </w:rPr>
              <w:t xml:space="preserve"> i spo</w:t>
            </w:r>
            <w:r w:rsidRPr="00A33B9F">
              <w:rPr>
                <w:rFonts w:ascii="Times New Roman" w:hAnsi="Times New Roman"/>
                <w:noProof/>
              </w:rPr>
              <w:t>łeczeństwie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05B36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6C0106B" w14:textId="51472A8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Projekty polegające na tworzeniu nowych</w:t>
            </w:r>
            <w:r w:rsidR="00A33B9F" w:rsidRPr="00A33B9F">
              <w:rPr>
                <w:rFonts w:ascii="Times New Roman" w:hAnsi="Times New Roman"/>
                <w:noProof/>
              </w:rPr>
              <w:t xml:space="preserve"> i mod</w:t>
            </w:r>
            <w:r w:rsidRPr="00A33B9F">
              <w:rPr>
                <w:rFonts w:ascii="Times New Roman" w:hAnsi="Times New Roman"/>
                <w:noProof/>
              </w:rPr>
              <w:t>ernizacji istniejących e-usług, usprawniające proces ich tworzenia lub usprawniające obsługę procesów</w:t>
            </w:r>
            <w:r w:rsidR="00A33B9F" w:rsidRPr="00A33B9F">
              <w:rPr>
                <w:rFonts w:ascii="Times New Roman" w:hAnsi="Times New Roman"/>
                <w:noProof/>
              </w:rPr>
              <w:t xml:space="preserve"> z pom</w:t>
            </w:r>
            <w:r w:rsidRPr="00A33B9F">
              <w:rPr>
                <w:rFonts w:ascii="Times New Roman" w:hAnsi="Times New Roman"/>
                <w:noProof/>
              </w:rPr>
              <w:t>ocą digitalizacji</w:t>
            </w:r>
          </w:p>
        </w:tc>
      </w:tr>
      <w:tr w:rsidR="00D8141F" w:rsidRPr="00A33B9F" w14:paraId="22574B4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6F9DFD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0D7035"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C3.1.1 Cyberbezpieczeństwo – CyberPL, infrastruktura przetwarzania danych oraz optymalizacja infrastruktury służb państwowych odpowiedzialnych za bezpieczeństwo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967C1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12277B7" w14:textId="138F561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Ważny projekt stanowiący przedmiot wspólnego europejskiego zainteresowania (projekt IPCEI): Opracowane rozwiązania</w:t>
            </w:r>
            <w:r w:rsidR="00A33B9F" w:rsidRPr="00A33B9F">
              <w:rPr>
                <w:rFonts w:ascii="Times New Roman" w:hAnsi="Times New Roman"/>
                <w:noProof/>
              </w:rPr>
              <w:t xml:space="preserve"> w zak</w:t>
            </w:r>
            <w:r w:rsidRPr="00A33B9F">
              <w:rPr>
                <w:rFonts w:ascii="Times New Roman" w:hAnsi="Times New Roman"/>
                <w:noProof/>
              </w:rPr>
              <w:t>resie przetwarzania danych dotyczących infrastruktury krajowej/usług</w:t>
            </w:r>
          </w:p>
        </w:tc>
      </w:tr>
      <w:tr w:rsidR="00D8141F" w:rsidRPr="00A33B9F" w14:paraId="7553FD6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9F075B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8E07096" w14:textId="5ABA79C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4C2C2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46CDD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Ocena sieci opieki onkologicznej</w:t>
            </w:r>
          </w:p>
        </w:tc>
      </w:tr>
      <w:tr w:rsidR="00D8141F" w:rsidRPr="00A33B9F" w14:paraId="6131489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22E71F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AD757F7" w14:textId="05A8EB5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5677E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426BD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Zdigitalizowane dokumenty medyczne</w:t>
            </w:r>
          </w:p>
        </w:tc>
      </w:tr>
      <w:tr w:rsidR="00D8141F" w:rsidRPr="00A33B9F" w14:paraId="40B730DA" w14:textId="77777777" w:rsidTr="00753103">
        <w:tc>
          <w:tcPr>
            <w:tcW w:w="1350" w:type="dxa"/>
            <w:tcBorders>
              <w:top w:val="single" w:sz="6" w:space="0" w:color="auto"/>
              <w:left w:val="single" w:sz="6" w:space="0" w:color="auto"/>
              <w:bottom w:val="single" w:sz="4" w:space="0" w:color="auto"/>
              <w:right w:val="single" w:sz="6" w:space="0" w:color="auto"/>
            </w:tcBorders>
            <w:shd w:val="clear" w:color="auto" w:fill="C6EFCE"/>
          </w:tcPr>
          <w:p w14:paraId="3AB9B49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E5G</w:t>
            </w:r>
          </w:p>
        </w:tc>
        <w:tc>
          <w:tcPr>
            <w:tcW w:w="3960" w:type="dxa"/>
            <w:tcBorders>
              <w:top w:val="single" w:sz="6" w:space="0" w:color="auto"/>
              <w:left w:val="single" w:sz="6" w:space="0" w:color="auto"/>
              <w:bottom w:val="single" w:sz="4" w:space="0" w:color="auto"/>
              <w:right w:val="single" w:sz="6" w:space="0" w:color="auto"/>
            </w:tcBorders>
            <w:shd w:val="clear" w:color="auto" w:fill="C6EFCE"/>
          </w:tcPr>
          <w:p w14:paraId="0151335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 Wzrost wykorzystania transportu przyjaznego dla środowiska</w:t>
            </w:r>
          </w:p>
        </w:tc>
        <w:tc>
          <w:tcPr>
            <w:tcW w:w="1245" w:type="dxa"/>
            <w:tcBorders>
              <w:top w:val="single" w:sz="6" w:space="0" w:color="auto"/>
              <w:left w:val="single" w:sz="6" w:space="0" w:color="auto"/>
              <w:bottom w:val="single" w:sz="4" w:space="0" w:color="auto"/>
              <w:right w:val="single" w:sz="6" w:space="0" w:color="auto"/>
            </w:tcBorders>
            <w:shd w:val="clear" w:color="auto" w:fill="C6EFCE"/>
          </w:tcPr>
          <w:p w14:paraId="232B2C1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4" w:space="0" w:color="auto"/>
              <w:right w:val="single" w:sz="6" w:space="0" w:color="auto"/>
            </w:tcBorders>
            <w:shd w:val="clear" w:color="auto" w:fill="C6EFCE"/>
          </w:tcPr>
          <w:p w14:paraId="4A47D4B0" w14:textId="6F5970E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Miasta,</w:t>
            </w:r>
            <w:r w:rsidR="00A33B9F" w:rsidRPr="00A33B9F">
              <w:rPr>
                <w:rFonts w:ascii="Times New Roman" w:hAnsi="Times New Roman"/>
                <w:noProof/>
              </w:rPr>
              <w:t xml:space="preserve"> w któ</w:t>
            </w:r>
            <w:r w:rsidRPr="00A33B9F">
              <w:rPr>
                <w:rFonts w:ascii="Times New Roman" w:hAnsi="Times New Roman"/>
                <w:noProof/>
              </w:rPr>
              <w:t>rych przyjęto nowe SUMP</w:t>
            </w:r>
          </w:p>
        </w:tc>
      </w:tr>
      <w:tr w:rsidR="00D8141F" w:rsidRPr="00A33B9F" w14:paraId="61030292" w14:textId="77777777" w:rsidTr="00753103">
        <w:tc>
          <w:tcPr>
            <w:tcW w:w="1350" w:type="dxa"/>
            <w:tcBorders>
              <w:top w:val="single" w:sz="4" w:space="0" w:color="auto"/>
              <w:left w:val="single" w:sz="4" w:space="0" w:color="auto"/>
              <w:bottom w:val="single" w:sz="4" w:space="0" w:color="auto"/>
              <w:right w:val="single" w:sz="4" w:space="0" w:color="auto"/>
            </w:tcBorders>
            <w:shd w:val="clear" w:color="auto" w:fill="C6EFCE"/>
          </w:tcPr>
          <w:p w14:paraId="4ED9F34F"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E19aG</w:t>
            </w:r>
          </w:p>
        </w:tc>
        <w:tc>
          <w:tcPr>
            <w:tcW w:w="3960" w:type="dxa"/>
            <w:tcBorders>
              <w:top w:val="single" w:sz="4" w:space="0" w:color="auto"/>
              <w:left w:val="single" w:sz="4" w:space="0" w:color="auto"/>
              <w:bottom w:val="single" w:sz="4" w:space="0" w:color="auto"/>
              <w:right w:val="single" w:sz="4" w:space="0" w:color="auto"/>
            </w:tcBorders>
            <w:shd w:val="clear" w:color="auto" w:fill="C6EFCE"/>
          </w:tcPr>
          <w:p w14:paraId="1A580EEB" w14:textId="77777777" w:rsidR="00D8141F" w:rsidRPr="00A33B9F" w:rsidRDefault="00D8141F" w:rsidP="00753103">
            <w:pPr>
              <w:pStyle w:val="Normal0"/>
              <w:pBdr>
                <w:top w:val="nil"/>
                <w:left w:val="nil"/>
                <w:bottom w:val="nil"/>
                <w:right w:val="nil"/>
                <w:between w:val="nil"/>
              </w:pBdr>
              <w:spacing w:after="0" w:line="240" w:lineRule="auto"/>
              <w:rPr>
                <w:rFonts w:ascii="Times New Roman" w:hAnsi="Times New Roman"/>
                <w:noProof/>
                <w:szCs w:val="28"/>
              </w:rPr>
            </w:pPr>
            <w:r w:rsidRPr="00A33B9F">
              <w:rPr>
                <w:rFonts w:ascii="Times New Roman" w:hAnsi="Times New Roman"/>
                <w:noProof/>
              </w:rPr>
              <w:t>E2.1.2 Pasażerski tabor kolejowy</w:t>
            </w:r>
          </w:p>
          <w:p w14:paraId="3F411275" w14:textId="77777777" w:rsidR="00D8141F" w:rsidRPr="00A33B9F" w:rsidRDefault="00D8141F" w:rsidP="00753103">
            <w:pPr>
              <w:spacing w:line="240" w:lineRule="auto"/>
              <w:rPr>
                <w:rFonts w:ascii="Times New Roman" w:hAnsi="Times New Roman"/>
                <w:noProof/>
                <w:szCs w:val="28"/>
              </w:rPr>
            </w:pPr>
          </w:p>
        </w:tc>
        <w:tc>
          <w:tcPr>
            <w:tcW w:w="1245" w:type="dxa"/>
            <w:tcBorders>
              <w:top w:val="single" w:sz="4" w:space="0" w:color="auto"/>
              <w:left w:val="single" w:sz="4" w:space="0" w:color="auto"/>
              <w:bottom w:val="single" w:sz="4" w:space="0" w:color="auto"/>
              <w:right w:val="single" w:sz="4" w:space="0" w:color="auto"/>
            </w:tcBorders>
            <w:shd w:val="clear" w:color="auto" w:fill="C6EFCE"/>
          </w:tcPr>
          <w:p w14:paraId="3E6DD81D"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4" w:space="0" w:color="auto"/>
              <w:left w:val="single" w:sz="4" w:space="0" w:color="auto"/>
              <w:bottom w:val="single" w:sz="4" w:space="0" w:color="auto"/>
              <w:right w:val="single" w:sz="4" w:space="0" w:color="auto"/>
            </w:tcBorders>
            <w:shd w:val="clear" w:color="auto" w:fill="C6EFCE"/>
          </w:tcPr>
          <w:p w14:paraId="1708A090" w14:textId="4FE652C7" w:rsidR="00D8141F" w:rsidRPr="00A33B9F" w:rsidRDefault="00D8141F" w:rsidP="00753103">
            <w:pPr>
              <w:pStyle w:val="Normal0"/>
              <w:pBdr>
                <w:top w:val="nil"/>
                <w:left w:val="nil"/>
                <w:bottom w:val="nil"/>
                <w:right w:val="nil"/>
                <w:between w:val="nil"/>
              </w:pBdr>
              <w:spacing w:after="0" w:line="240" w:lineRule="auto"/>
              <w:rPr>
                <w:rFonts w:ascii="Times New Roman" w:hAnsi="Times New Roman"/>
                <w:noProof/>
                <w:szCs w:val="28"/>
              </w:rPr>
            </w:pPr>
            <w:r w:rsidRPr="00A33B9F">
              <w:rPr>
                <w:rFonts w:ascii="Times New Roman" w:hAnsi="Times New Roman"/>
                <w:noProof/>
              </w:rPr>
              <w:t>Elektryczny</w:t>
            </w:r>
            <w:r w:rsidR="00A33B9F" w:rsidRPr="00A33B9F">
              <w:rPr>
                <w:rFonts w:ascii="Times New Roman" w:hAnsi="Times New Roman"/>
                <w:noProof/>
              </w:rPr>
              <w:t xml:space="preserve"> i wyp</w:t>
            </w:r>
            <w:r w:rsidRPr="00A33B9F">
              <w:rPr>
                <w:rFonts w:ascii="Times New Roman" w:hAnsi="Times New Roman"/>
                <w:noProof/>
              </w:rPr>
              <w:t>osażony w ERTMS tabor dostarczony do wykorzystania na długodystansowych liniach kolejowych</w:t>
            </w:r>
          </w:p>
          <w:p w14:paraId="4104677D" w14:textId="77777777" w:rsidR="00D8141F" w:rsidRPr="00A33B9F" w:rsidRDefault="00D8141F" w:rsidP="00753103">
            <w:pPr>
              <w:spacing w:line="240" w:lineRule="auto"/>
              <w:rPr>
                <w:rFonts w:ascii="Times New Roman" w:hAnsi="Times New Roman"/>
                <w:noProof/>
                <w:szCs w:val="28"/>
              </w:rPr>
            </w:pPr>
          </w:p>
        </w:tc>
      </w:tr>
      <w:tr w:rsidR="00D8141F" w:rsidRPr="00A33B9F" w14:paraId="1134615C" w14:textId="77777777" w:rsidTr="00753103">
        <w:tc>
          <w:tcPr>
            <w:tcW w:w="1350" w:type="dxa"/>
            <w:tcBorders>
              <w:top w:val="single" w:sz="6" w:space="0" w:color="auto"/>
              <w:left w:val="single" w:sz="6" w:space="0" w:color="auto"/>
              <w:bottom w:val="single" w:sz="4" w:space="0" w:color="auto"/>
              <w:right w:val="single" w:sz="6" w:space="0" w:color="auto"/>
            </w:tcBorders>
            <w:shd w:val="clear" w:color="auto" w:fill="C6EFCE"/>
          </w:tcPr>
          <w:p w14:paraId="4B8684E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E27G</w:t>
            </w:r>
          </w:p>
        </w:tc>
        <w:tc>
          <w:tcPr>
            <w:tcW w:w="3960" w:type="dxa"/>
            <w:tcBorders>
              <w:top w:val="single" w:sz="6" w:space="0" w:color="auto"/>
              <w:left w:val="single" w:sz="6" w:space="0" w:color="auto"/>
              <w:bottom w:val="single" w:sz="4" w:space="0" w:color="auto"/>
              <w:right w:val="single" w:sz="6" w:space="0" w:color="auto"/>
            </w:tcBorders>
            <w:shd w:val="clear" w:color="auto" w:fill="C6EFCE"/>
          </w:tcPr>
          <w:p w14:paraId="02A5D1BD"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E2.2.2 Cyfryzacja transportu</w:t>
            </w:r>
          </w:p>
        </w:tc>
        <w:tc>
          <w:tcPr>
            <w:tcW w:w="1245" w:type="dxa"/>
            <w:tcBorders>
              <w:top w:val="single" w:sz="6" w:space="0" w:color="auto"/>
              <w:left w:val="single" w:sz="6" w:space="0" w:color="auto"/>
              <w:bottom w:val="single" w:sz="4" w:space="0" w:color="auto"/>
              <w:right w:val="single" w:sz="6" w:space="0" w:color="auto"/>
            </w:tcBorders>
            <w:shd w:val="clear" w:color="auto" w:fill="C6EFCE"/>
          </w:tcPr>
          <w:p w14:paraId="2E6BF32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4" w:space="0" w:color="auto"/>
              <w:right w:val="single" w:sz="6" w:space="0" w:color="auto"/>
            </w:tcBorders>
            <w:shd w:val="clear" w:color="auto" w:fill="C6EFCE"/>
          </w:tcPr>
          <w:p w14:paraId="7E5B5763" w14:textId="4DA151E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Instalacja: Systemów Dynamicznej Informacji Pasażerskiej (SDIP), systemów kontroli</w:t>
            </w:r>
            <w:r w:rsidR="00A33B9F" w:rsidRPr="00A33B9F">
              <w:rPr>
                <w:rFonts w:ascii="Times New Roman" w:hAnsi="Times New Roman"/>
                <w:noProof/>
              </w:rPr>
              <w:t xml:space="preserve"> i prz</w:t>
            </w:r>
            <w:r w:rsidRPr="00A33B9F">
              <w:rPr>
                <w:rFonts w:ascii="Times New Roman" w:hAnsi="Times New Roman"/>
                <w:noProof/>
              </w:rPr>
              <w:t>ejazdów kolejowych</w:t>
            </w:r>
            <w:r w:rsidR="00A33B9F" w:rsidRPr="00A33B9F">
              <w:rPr>
                <w:rFonts w:ascii="Times New Roman" w:hAnsi="Times New Roman"/>
                <w:noProof/>
              </w:rPr>
              <w:t xml:space="preserve"> w 5</w:t>
            </w:r>
            <w:r w:rsidRPr="00A33B9F">
              <w:rPr>
                <w:rFonts w:ascii="Times New Roman" w:hAnsi="Times New Roman"/>
                <w:noProof/>
              </w:rPr>
              <w:t>5 obszarach</w:t>
            </w:r>
          </w:p>
        </w:tc>
      </w:tr>
      <w:tr w:rsidR="00D8141F" w:rsidRPr="00A33B9F" w14:paraId="77F8086C" w14:textId="77777777" w:rsidTr="00753103">
        <w:tc>
          <w:tcPr>
            <w:tcW w:w="1350" w:type="dxa"/>
            <w:tcBorders>
              <w:top w:val="single" w:sz="4" w:space="0" w:color="auto"/>
              <w:left w:val="single" w:sz="6" w:space="0" w:color="auto"/>
              <w:bottom w:val="single" w:sz="6" w:space="0" w:color="auto"/>
              <w:right w:val="single" w:sz="6" w:space="0" w:color="auto"/>
            </w:tcBorders>
            <w:shd w:val="clear" w:color="auto" w:fill="C6EFCE"/>
          </w:tcPr>
          <w:p w14:paraId="2187CB95"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G3G</w:t>
            </w:r>
          </w:p>
        </w:tc>
        <w:tc>
          <w:tcPr>
            <w:tcW w:w="3960" w:type="dxa"/>
            <w:tcBorders>
              <w:top w:val="single" w:sz="4" w:space="0" w:color="auto"/>
              <w:left w:val="single" w:sz="6" w:space="0" w:color="auto"/>
              <w:bottom w:val="single" w:sz="6" w:space="0" w:color="auto"/>
              <w:right w:val="single" w:sz="6" w:space="0" w:color="auto"/>
            </w:tcBorders>
            <w:shd w:val="clear" w:color="auto" w:fill="C6EFCE"/>
          </w:tcPr>
          <w:p w14:paraId="7199DFB4" w14:textId="22A2EE31" w:rsidR="00D8141F" w:rsidRPr="00A33B9F" w:rsidRDefault="00D8141F" w:rsidP="00753103">
            <w:pPr>
              <w:spacing w:line="240" w:lineRule="auto"/>
              <w:rPr>
                <w:rFonts w:ascii="Times New Roman" w:hAnsi="Times New Roman"/>
                <w:noProof/>
              </w:rPr>
            </w:pPr>
            <w:r w:rsidRPr="00A33B9F">
              <w:rPr>
                <w:rFonts w:ascii="Times New Roman" w:hAnsi="Times New Roman"/>
                <w:noProof/>
              </w:rPr>
              <w:t>G1.1.2 Instalacje odnawialnych źródeł energii realizowane przez społeczności energetyczne,</w:t>
            </w:r>
            <w:r w:rsidR="00A33B9F" w:rsidRPr="00A33B9F">
              <w:rPr>
                <w:rFonts w:ascii="Times New Roman" w:hAnsi="Times New Roman"/>
                <w:noProof/>
              </w:rPr>
              <w:t xml:space="preserve"> w tym</w:t>
            </w:r>
            <w:r w:rsidRPr="00A33B9F">
              <w:rPr>
                <w:rFonts w:ascii="Times New Roman" w:hAnsi="Times New Roman"/>
                <w:noProof/>
              </w:rPr>
              <w:t xml:space="preserve"> inwestycje</w:t>
            </w:r>
            <w:r w:rsidR="00A33B9F" w:rsidRPr="00A33B9F">
              <w:rPr>
                <w:rFonts w:ascii="Times New Roman" w:hAnsi="Times New Roman"/>
                <w:noProof/>
              </w:rPr>
              <w:t xml:space="preserve"> o zwi</w:t>
            </w:r>
            <w:r w:rsidRPr="00A33B9F">
              <w:rPr>
                <w:rFonts w:ascii="Times New Roman" w:hAnsi="Times New Roman"/>
                <w:noProof/>
              </w:rPr>
              <w:t>ększonej skali</w:t>
            </w:r>
          </w:p>
        </w:tc>
        <w:tc>
          <w:tcPr>
            <w:tcW w:w="1245" w:type="dxa"/>
            <w:tcBorders>
              <w:top w:val="single" w:sz="4" w:space="0" w:color="auto"/>
              <w:left w:val="single" w:sz="6" w:space="0" w:color="auto"/>
              <w:bottom w:val="single" w:sz="6" w:space="0" w:color="auto"/>
              <w:right w:val="single" w:sz="6" w:space="0" w:color="auto"/>
            </w:tcBorders>
            <w:shd w:val="clear" w:color="auto" w:fill="C6EFCE"/>
          </w:tcPr>
          <w:p w14:paraId="3727EEA8"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4" w:space="0" w:color="auto"/>
              <w:left w:val="single" w:sz="6" w:space="0" w:color="auto"/>
              <w:bottom w:val="single" w:sz="6" w:space="0" w:color="auto"/>
              <w:right w:val="single" w:sz="6" w:space="0" w:color="auto"/>
            </w:tcBorders>
            <w:shd w:val="clear" w:color="auto" w:fill="C6EFCE"/>
          </w:tcPr>
          <w:p w14:paraId="11FB7D06" w14:textId="0D09F598" w:rsidR="00D8141F" w:rsidRPr="00A33B9F" w:rsidRDefault="00D8141F" w:rsidP="00753103">
            <w:pPr>
              <w:spacing w:line="240" w:lineRule="auto"/>
              <w:rPr>
                <w:rFonts w:ascii="Times New Roman" w:hAnsi="Times New Roman"/>
                <w:noProof/>
              </w:rPr>
            </w:pPr>
            <w:r w:rsidRPr="00A33B9F">
              <w:rPr>
                <w:rFonts w:ascii="Times New Roman" w:hAnsi="Times New Roman"/>
                <w:noProof/>
              </w:rPr>
              <w:t>Podmioty wspierane</w:t>
            </w:r>
            <w:r w:rsidR="00A33B9F" w:rsidRPr="00A33B9F">
              <w:rPr>
                <w:rFonts w:ascii="Times New Roman" w:hAnsi="Times New Roman"/>
                <w:noProof/>
              </w:rPr>
              <w:t xml:space="preserve"> w ram</w:t>
            </w:r>
            <w:r w:rsidRPr="00A33B9F">
              <w:rPr>
                <w:rFonts w:ascii="Times New Roman" w:hAnsi="Times New Roman"/>
                <w:noProof/>
              </w:rPr>
              <w:t>ach części przedinwestycyjnej</w:t>
            </w:r>
          </w:p>
        </w:tc>
      </w:tr>
      <w:tr w:rsidR="00D8141F" w:rsidRPr="00A33B9F" w14:paraId="51E176C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1680EC0"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0A8470" w14:textId="41435792"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G1.1.4 Wsparcie dla instytucji wdrażających reformy</w:t>
            </w:r>
            <w:r w:rsidR="00A33B9F" w:rsidRPr="00A33B9F">
              <w:rPr>
                <w:rFonts w:ascii="Times New Roman" w:hAnsi="Times New Roman"/>
                <w:noProof/>
              </w:rPr>
              <w:t xml:space="preserve"> i inw</w:t>
            </w:r>
            <w:r w:rsidRPr="00A33B9F">
              <w:rPr>
                <w:rFonts w:ascii="Times New Roman" w:hAnsi="Times New Roman"/>
                <w:noProof/>
              </w:rPr>
              <w:t>estycje</w:t>
            </w:r>
            <w:r w:rsidR="00A33B9F" w:rsidRPr="00A33B9F">
              <w:rPr>
                <w:rFonts w:ascii="Times New Roman" w:hAnsi="Times New Roman"/>
                <w:noProof/>
              </w:rPr>
              <w:t xml:space="preserve"> w ram</w:t>
            </w:r>
            <w:r w:rsidRPr="00A33B9F">
              <w:rPr>
                <w:rFonts w:ascii="Times New Roman" w:hAnsi="Times New Roman"/>
                <w:noProof/>
              </w:rPr>
              <w:t>ach REPowerEU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87885D"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0874EA9" w14:textId="26BBCC14"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Projekty</w:t>
            </w:r>
            <w:r w:rsidR="00A33B9F" w:rsidRPr="00A33B9F">
              <w:rPr>
                <w:rFonts w:ascii="Times New Roman" w:hAnsi="Times New Roman"/>
                <w:noProof/>
              </w:rPr>
              <w:t xml:space="preserve"> w zak</w:t>
            </w:r>
            <w:r w:rsidRPr="00A33B9F">
              <w:rPr>
                <w:rFonts w:ascii="Times New Roman" w:hAnsi="Times New Roman"/>
                <w:noProof/>
              </w:rPr>
              <w:t>resie budowania zdolności, wspierające wdrażanie reform</w:t>
            </w:r>
            <w:r w:rsidR="00A33B9F" w:rsidRPr="00A33B9F">
              <w:rPr>
                <w:rFonts w:ascii="Times New Roman" w:hAnsi="Times New Roman"/>
                <w:noProof/>
              </w:rPr>
              <w:t xml:space="preserve"> i inw</w:t>
            </w:r>
            <w:r w:rsidRPr="00A33B9F">
              <w:rPr>
                <w:rFonts w:ascii="Times New Roman" w:hAnsi="Times New Roman"/>
                <w:noProof/>
              </w:rPr>
              <w:t>estycji</w:t>
            </w:r>
            <w:r w:rsidR="00A33B9F" w:rsidRPr="00A33B9F">
              <w:rPr>
                <w:rFonts w:ascii="Times New Roman" w:hAnsi="Times New Roman"/>
                <w:noProof/>
              </w:rPr>
              <w:t xml:space="preserve"> w ram</w:t>
            </w:r>
            <w:r w:rsidRPr="00A33B9F">
              <w:rPr>
                <w:rFonts w:ascii="Times New Roman" w:hAnsi="Times New Roman"/>
                <w:noProof/>
              </w:rPr>
              <w:t>ach REPowerEU, na rzecz administracji centralnej</w:t>
            </w:r>
            <w:r w:rsidR="00A33B9F" w:rsidRPr="00A33B9F">
              <w:rPr>
                <w:rFonts w:ascii="Times New Roman" w:hAnsi="Times New Roman"/>
                <w:noProof/>
              </w:rPr>
              <w:t xml:space="preserve"> i lok</w:t>
            </w:r>
            <w:r w:rsidRPr="00A33B9F">
              <w:rPr>
                <w:rFonts w:ascii="Times New Roman" w:hAnsi="Times New Roman"/>
                <w:noProof/>
              </w:rPr>
              <w:t>alnej</w:t>
            </w:r>
          </w:p>
        </w:tc>
      </w:tr>
      <w:tr w:rsidR="00D8141F" w:rsidRPr="00A33B9F" w14:paraId="43FB212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1973BF0"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E33922" w14:textId="54F38E0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G1.1.4 Wsparcie dla instytucji wdrażających reformy</w:t>
            </w:r>
            <w:r w:rsidR="00A33B9F" w:rsidRPr="00A33B9F">
              <w:rPr>
                <w:rFonts w:ascii="Times New Roman" w:hAnsi="Times New Roman"/>
                <w:noProof/>
              </w:rPr>
              <w:t xml:space="preserve"> i inw</w:t>
            </w:r>
            <w:r w:rsidRPr="00A33B9F">
              <w:rPr>
                <w:rFonts w:ascii="Times New Roman" w:hAnsi="Times New Roman"/>
                <w:noProof/>
              </w:rPr>
              <w:t>estycje</w:t>
            </w:r>
            <w:r w:rsidR="00A33B9F" w:rsidRPr="00A33B9F">
              <w:rPr>
                <w:rFonts w:ascii="Times New Roman" w:hAnsi="Times New Roman"/>
                <w:noProof/>
              </w:rPr>
              <w:t xml:space="preserve"> w ram</w:t>
            </w:r>
            <w:r w:rsidRPr="00A33B9F">
              <w:rPr>
                <w:rFonts w:ascii="Times New Roman" w:hAnsi="Times New Roman"/>
                <w:noProof/>
              </w:rPr>
              <w:t xml:space="preserve">ach REPowerEU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513AA1C"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E71EF6F"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Publikacja specyfikacji technicznej dotyczącej narzędzia informatycznego na potrzeby stosowania nowego modelu regulacyjnego przez Urząd Regulacji Energetyki</w:t>
            </w:r>
          </w:p>
        </w:tc>
      </w:tr>
      <w:tr w:rsidR="00D8141F" w:rsidRPr="00A33B9F" w14:paraId="2E6E9E5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433DF57"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0BBDFC"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G1.2.3 Rozwój sieci przesyłowych, inteligentna infrastruktura elektroenergetyczna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E843AEC"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D5496C" w14:textId="62CBD945"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Wdrażanie systemów ICT</w:t>
            </w:r>
            <w:r w:rsidR="00A33B9F" w:rsidRPr="00A33B9F">
              <w:rPr>
                <w:rFonts w:ascii="Times New Roman" w:hAnsi="Times New Roman"/>
                <w:noProof/>
              </w:rPr>
              <w:t xml:space="preserve"> w sie</w:t>
            </w:r>
            <w:r w:rsidRPr="00A33B9F">
              <w:rPr>
                <w:rFonts w:ascii="Times New Roman" w:hAnsi="Times New Roman"/>
                <w:noProof/>
              </w:rPr>
              <w:t>ci przesyłowej (liczba rozwiązań)</w:t>
            </w:r>
          </w:p>
        </w:tc>
      </w:tr>
      <w:tr w:rsidR="00D8141F" w:rsidRPr="00A33B9F" w14:paraId="4CA4274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4BD0482"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262E311"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66ADD5F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35F6804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3 001 761 591 EUR </w:t>
            </w:r>
          </w:p>
        </w:tc>
      </w:tr>
    </w:tbl>
    <w:p w14:paraId="5084399E"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7BA34646"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2.1.8 Ósma transza (wsparcie bezzwrotne):</w:t>
      </w:r>
    </w:p>
    <w:tbl>
      <w:tblPr>
        <w:tblW w:w="10482" w:type="dxa"/>
        <w:tblLayout w:type="fixed"/>
        <w:tblLook w:val="0000" w:firstRow="0" w:lastRow="0" w:firstColumn="0" w:lastColumn="0" w:noHBand="0" w:noVBand="0"/>
      </w:tblPr>
      <w:tblGrid>
        <w:gridCol w:w="1350"/>
        <w:gridCol w:w="3960"/>
        <w:gridCol w:w="1245"/>
        <w:gridCol w:w="3927"/>
      </w:tblGrid>
      <w:tr w:rsidR="00D8141F" w:rsidRPr="00A33B9F" w14:paraId="07B48AF2" w14:textId="77777777" w:rsidTr="00753103">
        <w:trPr>
          <w:trHeight w:val="951"/>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1CBF08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47D64F1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3A60BF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1425C2F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68DD7DA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4430EE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9F751C" w14:textId="0E5FFBB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A1.4.1 Inwestycje na rzecz dywersyfikacji</w:t>
            </w:r>
            <w:r w:rsidR="00A33B9F" w:rsidRPr="00A33B9F">
              <w:rPr>
                <w:rFonts w:ascii="Times New Roman" w:hAnsi="Times New Roman"/>
                <w:noProof/>
              </w:rPr>
              <w:t xml:space="preserve"> i skr</w:t>
            </w:r>
            <w:r w:rsidRPr="00A33B9F">
              <w:rPr>
                <w:rFonts w:ascii="Times New Roman" w:hAnsi="Times New Roman"/>
                <w:noProof/>
              </w:rPr>
              <w:t>acania łańcucha dostaw produktów rolnych</w:t>
            </w:r>
            <w:r w:rsidR="00A33B9F" w:rsidRPr="00A33B9F">
              <w:rPr>
                <w:rFonts w:ascii="Times New Roman" w:hAnsi="Times New Roman"/>
                <w:noProof/>
              </w:rPr>
              <w:t xml:space="preserve"> i spo</w:t>
            </w:r>
            <w:r w:rsidRPr="00A33B9F">
              <w:rPr>
                <w:rFonts w:ascii="Times New Roman" w:hAnsi="Times New Roman"/>
                <w:noProof/>
              </w:rPr>
              <w:t>żywczych oraz budowy odporności podmiotów uczestniczących</w:t>
            </w:r>
            <w:r w:rsidR="00A33B9F" w:rsidRPr="00A33B9F">
              <w:rPr>
                <w:rFonts w:ascii="Times New Roman" w:hAnsi="Times New Roman"/>
                <w:noProof/>
              </w:rPr>
              <w:t xml:space="preserve"> w łań</w:t>
            </w:r>
            <w:r w:rsidRPr="00A33B9F">
              <w:rPr>
                <w:rFonts w:ascii="Times New Roman" w:hAnsi="Times New Roman"/>
                <w:noProof/>
              </w:rPr>
              <w:t>cuchu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F5C67B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02FE2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Wybudowane lub zmodernizowane centra przechowalniczo-dystrybucyjne oraz zmodernizowane rynki hurtowe</w:t>
            </w:r>
          </w:p>
        </w:tc>
      </w:tr>
      <w:tr w:rsidR="00D8141F" w:rsidRPr="00A33B9F" w14:paraId="540D47F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42B4FA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9CAD63" w14:textId="7486335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A1.4.1 Inwestycje na rzecz dywersyfikacji</w:t>
            </w:r>
            <w:r w:rsidR="00A33B9F" w:rsidRPr="00A33B9F">
              <w:rPr>
                <w:rFonts w:ascii="Times New Roman" w:hAnsi="Times New Roman"/>
                <w:noProof/>
              </w:rPr>
              <w:t xml:space="preserve"> i skr</w:t>
            </w:r>
            <w:r w:rsidRPr="00A33B9F">
              <w:rPr>
                <w:rFonts w:ascii="Times New Roman" w:hAnsi="Times New Roman"/>
                <w:noProof/>
              </w:rPr>
              <w:t>acania łańcucha dostaw produktów rolnych</w:t>
            </w:r>
            <w:r w:rsidR="00A33B9F" w:rsidRPr="00A33B9F">
              <w:rPr>
                <w:rFonts w:ascii="Times New Roman" w:hAnsi="Times New Roman"/>
                <w:noProof/>
              </w:rPr>
              <w:t xml:space="preserve"> i spo</w:t>
            </w:r>
            <w:r w:rsidRPr="00A33B9F">
              <w:rPr>
                <w:rFonts w:ascii="Times New Roman" w:hAnsi="Times New Roman"/>
                <w:noProof/>
              </w:rPr>
              <w:t>żywczych oraz budowy odporności podmiotów uczestniczących</w:t>
            </w:r>
            <w:r w:rsidR="00A33B9F" w:rsidRPr="00A33B9F">
              <w:rPr>
                <w:rFonts w:ascii="Times New Roman" w:hAnsi="Times New Roman"/>
                <w:noProof/>
              </w:rPr>
              <w:t xml:space="preserve"> w łań</w:t>
            </w:r>
            <w:r w:rsidRPr="00A33B9F">
              <w:rPr>
                <w:rFonts w:ascii="Times New Roman" w:hAnsi="Times New Roman"/>
                <w:noProof/>
              </w:rPr>
              <w:t>cuchu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B48D6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A0709F" w14:textId="72851C0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MŚP</w:t>
            </w:r>
            <w:r w:rsidR="00A33B9F" w:rsidRPr="00A33B9F">
              <w:rPr>
                <w:rFonts w:ascii="Times New Roman" w:hAnsi="Times New Roman"/>
                <w:noProof/>
              </w:rPr>
              <w:t xml:space="preserve"> w sek</w:t>
            </w:r>
            <w:r w:rsidRPr="00A33B9F">
              <w:rPr>
                <w:rFonts w:ascii="Times New Roman" w:hAnsi="Times New Roman"/>
                <w:noProof/>
              </w:rPr>
              <w:t>torze rolno-spożywczym, które ukończyły projekty ukierunkowane na modernizację infrastruktury</w:t>
            </w:r>
            <w:r w:rsidR="00A33B9F" w:rsidRPr="00A33B9F">
              <w:rPr>
                <w:rFonts w:ascii="Times New Roman" w:hAnsi="Times New Roman"/>
                <w:noProof/>
              </w:rPr>
              <w:t xml:space="preserve"> i wyp</w:t>
            </w:r>
            <w:r w:rsidRPr="00A33B9F">
              <w:rPr>
                <w:rFonts w:ascii="Times New Roman" w:hAnsi="Times New Roman"/>
                <w:noProof/>
              </w:rPr>
              <w:t>osażenia</w:t>
            </w:r>
          </w:p>
        </w:tc>
      </w:tr>
      <w:tr w:rsidR="00D8141F" w:rsidRPr="00A33B9F" w14:paraId="1C84B9E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C8E0AF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484EAD" w14:textId="01D7615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A1.4.1 Inwestycje na rzecz dywersyfikacji</w:t>
            </w:r>
            <w:r w:rsidR="00A33B9F" w:rsidRPr="00A33B9F">
              <w:rPr>
                <w:rFonts w:ascii="Times New Roman" w:hAnsi="Times New Roman"/>
                <w:noProof/>
              </w:rPr>
              <w:t xml:space="preserve"> i skr</w:t>
            </w:r>
            <w:r w:rsidRPr="00A33B9F">
              <w:rPr>
                <w:rFonts w:ascii="Times New Roman" w:hAnsi="Times New Roman"/>
                <w:noProof/>
              </w:rPr>
              <w:t>acania łańcucha dostaw produktów rolnych</w:t>
            </w:r>
            <w:r w:rsidR="00A33B9F" w:rsidRPr="00A33B9F">
              <w:rPr>
                <w:rFonts w:ascii="Times New Roman" w:hAnsi="Times New Roman"/>
                <w:noProof/>
              </w:rPr>
              <w:t xml:space="preserve"> i spo</w:t>
            </w:r>
            <w:r w:rsidRPr="00A33B9F">
              <w:rPr>
                <w:rFonts w:ascii="Times New Roman" w:hAnsi="Times New Roman"/>
                <w:noProof/>
              </w:rPr>
              <w:t>żywczych oraz budowy odporności podmiotów uczestniczących</w:t>
            </w:r>
            <w:r w:rsidR="00A33B9F" w:rsidRPr="00A33B9F">
              <w:rPr>
                <w:rFonts w:ascii="Times New Roman" w:hAnsi="Times New Roman"/>
                <w:noProof/>
              </w:rPr>
              <w:t xml:space="preserve"> w łań</w:t>
            </w:r>
            <w:r w:rsidRPr="00A33B9F">
              <w:rPr>
                <w:rFonts w:ascii="Times New Roman" w:hAnsi="Times New Roman"/>
                <w:noProof/>
              </w:rPr>
              <w:t>cuchu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FEF04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53CA4E" w14:textId="41C3BAF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Organizacje charytatywne sektora spożywczego, które ukończyły projekty ukierunkowane na modernizację infrastruktury</w:t>
            </w:r>
            <w:r w:rsidR="00A33B9F" w:rsidRPr="00A33B9F">
              <w:rPr>
                <w:rFonts w:ascii="Times New Roman" w:hAnsi="Times New Roman"/>
                <w:noProof/>
              </w:rPr>
              <w:t xml:space="preserve"> i wyp</w:t>
            </w:r>
            <w:r w:rsidRPr="00A33B9F">
              <w:rPr>
                <w:rFonts w:ascii="Times New Roman" w:hAnsi="Times New Roman"/>
                <w:noProof/>
              </w:rPr>
              <w:t>osażenia</w:t>
            </w:r>
          </w:p>
        </w:tc>
      </w:tr>
      <w:tr w:rsidR="00D8141F" w:rsidRPr="00A33B9F" w14:paraId="1168487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ADC82C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892A892" w14:textId="25D8E26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A1.4.1 Inwestycje na rzecz dywersyfikacji</w:t>
            </w:r>
            <w:r w:rsidR="00A33B9F" w:rsidRPr="00A33B9F">
              <w:rPr>
                <w:rFonts w:ascii="Times New Roman" w:hAnsi="Times New Roman"/>
                <w:noProof/>
              </w:rPr>
              <w:t xml:space="preserve"> i skr</w:t>
            </w:r>
            <w:r w:rsidRPr="00A33B9F">
              <w:rPr>
                <w:rFonts w:ascii="Times New Roman" w:hAnsi="Times New Roman"/>
                <w:noProof/>
              </w:rPr>
              <w:t>acania łańcucha dostaw produktów rolnych</w:t>
            </w:r>
            <w:r w:rsidR="00A33B9F" w:rsidRPr="00A33B9F">
              <w:rPr>
                <w:rFonts w:ascii="Times New Roman" w:hAnsi="Times New Roman"/>
                <w:noProof/>
              </w:rPr>
              <w:t xml:space="preserve"> i spo</w:t>
            </w:r>
            <w:r w:rsidRPr="00A33B9F">
              <w:rPr>
                <w:rFonts w:ascii="Times New Roman" w:hAnsi="Times New Roman"/>
                <w:noProof/>
              </w:rPr>
              <w:t>żywczych oraz budowy odporności podmiotów uczestniczących</w:t>
            </w:r>
            <w:r w:rsidR="00A33B9F" w:rsidRPr="00A33B9F">
              <w:rPr>
                <w:rFonts w:ascii="Times New Roman" w:hAnsi="Times New Roman"/>
                <w:noProof/>
              </w:rPr>
              <w:t xml:space="preserve"> w łań</w:t>
            </w:r>
            <w:r w:rsidRPr="00A33B9F">
              <w:rPr>
                <w:rFonts w:ascii="Times New Roman" w:hAnsi="Times New Roman"/>
                <w:noProof/>
              </w:rPr>
              <w:t>cuchu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D59C86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86AB9D7" w14:textId="0767E4C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Rolnicy</w:t>
            </w:r>
            <w:r w:rsidR="00A33B9F" w:rsidRPr="00A33B9F">
              <w:rPr>
                <w:rFonts w:ascii="Times New Roman" w:hAnsi="Times New Roman"/>
                <w:noProof/>
              </w:rPr>
              <w:t xml:space="preserve"> i ryb</w:t>
            </w:r>
            <w:r w:rsidRPr="00A33B9F">
              <w:rPr>
                <w:rFonts w:ascii="Times New Roman" w:hAnsi="Times New Roman"/>
                <w:noProof/>
              </w:rPr>
              <w:t>acy, którzy zakończyli realizację projektów ukierunkowanych na modernizację infrastruktury</w:t>
            </w:r>
            <w:r w:rsidR="00A33B9F" w:rsidRPr="00A33B9F">
              <w:rPr>
                <w:rFonts w:ascii="Times New Roman" w:hAnsi="Times New Roman"/>
                <w:noProof/>
              </w:rPr>
              <w:t xml:space="preserve"> i wyp</w:t>
            </w:r>
            <w:r w:rsidRPr="00A33B9F">
              <w:rPr>
                <w:rFonts w:ascii="Times New Roman" w:hAnsi="Times New Roman"/>
                <w:noProof/>
              </w:rPr>
              <w:t>osażenia, skracają łańcuchy zaopatrzenia</w:t>
            </w:r>
            <w:r w:rsidR="00A33B9F" w:rsidRPr="00A33B9F">
              <w:rPr>
                <w:rFonts w:ascii="Times New Roman" w:hAnsi="Times New Roman"/>
                <w:noProof/>
              </w:rPr>
              <w:t xml:space="preserve"> w żyw</w:t>
            </w:r>
            <w:r w:rsidRPr="00A33B9F">
              <w:rPr>
                <w:rFonts w:ascii="Times New Roman" w:hAnsi="Times New Roman"/>
                <w:noProof/>
              </w:rPr>
              <w:t>ność</w:t>
            </w:r>
            <w:r w:rsidR="00A33B9F" w:rsidRPr="00A33B9F">
              <w:rPr>
                <w:rFonts w:ascii="Times New Roman" w:hAnsi="Times New Roman"/>
                <w:noProof/>
              </w:rPr>
              <w:t xml:space="preserve"> i wdr</w:t>
            </w:r>
            <w:r w:rsidRPr="00A33B9F">
              <w:rPr>
                <w:rFonts w:ascii="Times New Roman" w:hAnsi="Times New Roman"/>
                <w:noProof/>
              </w:rPr>
              <w:t>ażają rozwiązania</w:t>
            </w:r>
            <w:r w:rsidR="00A33B9F" w:rsidRPr="00A33B9F">
              <w:rPr>
                <w:rFonts w:ascii="Times New Roman" w:hAnsi="Times New Roman"/>
                <w:noProof/>
              </w:rPr>
              <w:t xml:space="preserve"> w zak</w:t>
            </w:r>
            <w:r w:rsidRPr="00A33B9F">
              <w:rPr>
                <w:rFonts w:ascii="Times New Roman" w:hAnsi="Times New Roman"/>
                <w:noProof/>
              </w:rPr>
              <w:t>resie rolnictwa 4.0</w:t>
            </w:r>
            <w:r w:rsidR="00A33B9F" w:rsidRPr="00A33B9F">
              <w:rPr>
                <w:rFonts w:ascii="Times New Roman" w:hAnsi="Times New Roman"/>
                <w:noProof/>
              </w:rPr>
              <w:t xml:space="preserve"> w ram</w:t>
            </w:r>
            <w:r w:rsidRPr="00A33B9F">
              <w:rPr>
                <w:rFonts w:ascii="Times New Roman" w:hAnsi="Times New Roman"/>
                <w:noProof/>
              </w:rPr>
              <w:t>ach procesów produkcji.</w:t>
            </w:r>
          </w:p>
        </w:tc>
      </w:tr>
      <w:tr w:rsidR="00D8141F" w:rsidRPr="00A33B9F" w14:paraId="6178952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8B000F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32330B2" w14:textId="7C93311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A2.2.1 Inwestycje we wdrażanie technologii</w:t>
            </w:r>
            <w:r w:rsidR="00A33B9F" w:rsidRPr="00A33B9F">
              <w:rPr>
                <w:rFonts w:ascii="Times New Roman" w:hAnsi="Times New Roman"/>
                <w:noProof/>
              </w:rPr>
              <w:t xml:space="preserve"> i inn</w:t>
            </w:r>
            <w:r w:rsidRPr="00A33B9F">
              <w:rPr>
                <w:rFonts w:ascii="Times New Roman" w:hAnsi="Times New Roman"/>
                <w:noProof/>
              </w:rPr>
              <w:t>owacji środowiskowych,</w:t>
            </w:r>
            <w:r w:rsidR="00A33B9F" w:rsidRPr="00A33B9F">
              <w:rPr>
                <w:rFonts w:ascii="Times New Roman" w:hAnsi="Times New Roman"/>
                <w:noProof/>
              </w:rPr>
              <w:t xml:space="preserve"> w tym</w:t>
            </w:r>
            <w:r w:rsidRPr="00A33B9F">
              <w:rPr>
                <w:rFonts w:ascii="Times New Roman" w:hAnsi="Times New Roman"/>
                <w:noProof/>
              </w:rPr>
              <w:t xml:space="preserve"> związanych</w:t>
            </w:r>
            <w:r w:rsidR="00A33B9F" w:rsidRPr="00A33B9F">
              <w:rPr>
                <w:rFonts w:ascii="Times New Roman" w:hAnsi="Times New Roman"/>
                <w:noProof/>
              </w:rPr>
              <w:t xml:space="preserve"> z gos</w:t>
            </w:r>
            <w:r w:rsidRPr="00A33B9F">
              <w:rPr>
                <w:rFonts w:ascii="Times New Roman" w:hAnsi="Times New Roman"/>
                <w:noProof/>
              </w:rPr>
              <w:t>podarką</w:t>
            </w:r>
            <w:r w:rsidR="00A33B9F" w:rsidRPr="00A33B9F">
              <w:rPr>
                <w:rFonts w:ascii="Times New Roman" w:hAnsi="Times New Roman"/>
                <w:noProof/>
              </w:rPr>
              <w:t xml:space="preserve"> o obi</w:t>
            </w:r>
            <w:r w:rsidRPr="00A33B9F">
              <w:rPr>
                <w:rFonts w:ascii="Times New Roman" w:hAnsi="Times New Roman"/>
                <w:noProof/>
              </w:rPr>
              <w:t>egu zamkniętym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0FF26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D26BA6" w14:textId="3B364C0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Podpisane umowy</w:t>
            </w:r>
            <w:r w:rsidR="00A33B9F" w:rsidRPr="00A33B9F">
              <w:rPr>
                <w:rFonts w:ascii="Times New Roman" w:hAnsi="Times New Roman"/>
                <w:noProof/>
              </w:rPr>
              <w:t xml:space="preserve"> o udz</w:t>
            </w:r>
            <w:r w:rsidRPr="00A33B9F">
              <w:rPr>
                <w:rFonts w:ascii="Times New Roman" w:hAnsi="Times New Roman"/>
                <w:noProof/>
              </w:rPr>
              <w:t>ielenie dotacji na projekty wspierające rozwój technologii przyczyniających się do tworzenia rynku surowców wtórnych</w:t>
            </w:r>
            <w:r w:rsidR="00C3621A" w:rsidRPr="00A33B9F">
              <w:rPr>
                <w:rFonts w:ascii="Times New Roman" w:hAnsi="Times New Roman"/>
                <w:noProof/>
              </w:rPr>
              <w:t xml:space="preserve"> </w:t>
            </w:r>
          </w:p>
        </w:tc>
      </w:tr>
      <w:tr w:rsidR="00D8141F" w:rsidRPr="00A33B9F" w14:paraId="29730E3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9FF98F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D9C2FB9" w14:textId="220A15F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A2.3.1 Rozbudowa</w:t>
            </w:r>
            <w:r w:rsidR="00A33B9F" w:rsidRPr="00A33B9F">
              <w:rPr>
                <w:rFonts w:ascii="Times New Roman" w:hAnsi="Times New Roman"/>
                <w:noProof/>
              </w:rPr>
              <w:t xml:space="preserve"> i wyp</w:t>
            </w:r>
            <w:r w:rsidRPr="00A33B9F">
              <w:rPr>
                <w:rFonts w:ascii="Times New Roman" w:hAnsi="Times New Roman"/>
                <w:noProof/>
              </w:rPr>
              <w:t>osażenie centrów kompetencji (specjalistyczne ośrodki szkoleniowe, wsparcie wdrożeń, centra monitorowania) oraz infrastruktura do zarządzania ruchem pojazdów bezzałogowych, jako Ekosystem Innowacji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BDF869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93AA25A" w14:textId="54134B1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Lokalne centra</w:t>
            </w:r>
            <w:r w:rsidR="00A33B9F" w:rsidRPr="00A33B9F">
              <w:rPr>
                <w:rFonts w:ascii="Times New Roman" w:hAnsi="Times New Roman"/>
                <w:noProof/>
              </w:rPr>
              <w:t xml:space="preserve"> i inf</w:t>
            </w:r>
            <w:r w:rsidRPr="00A33B9F">
              <w:rPr>
                <w:rFonts w:ascii="Times New Roman" w:hAnsi="Times New Roman"/>
                <w:noProof/>
              </w:rPr>
              <w:t>rastruktura lokalna dla bezzałogowych statków powietrznych stworzone przez władze lokalne lub podmioty wyznaczone do obsługi na poziomie lokalnym</w:t>
            </w:r>
          </w:p>
        </w:tc>
      </w:tr>
      <w:tr w:rsidR="00D8141F" w:rsidRPr="00A33B9F" w14:paraId="13CECCB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DF544A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585B85" w14:textId="3E095BE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A2.4.1 Inwestycje</w:t>
            </w:r>
            <w:r w:rsidR="00A33B9F" w:rsidRPr="00A33B9F">
              <w:rPr>
                <w:rFonts w:ascii="Times New Roman" w:hAnsi="Times New Roman"/>
                <w:noProof/>
              </w:rPr>
              <w:t xml:space="preserve"> w roz</w:t>
            </w:r>
            <w:r w:rsidRPr="00A33B9F">
              <w:rPr>
                <w:rFonts w:ascii="Times New Roman" w:hAnsi="Times New Roman"/>
                <w:noProof/>
              </w:rPr>
              <w:t>budowę potencjału badawczego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9BBB96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1C4BE8C" w14:textId="68BD252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Laboratoria</w:t>
            </w:r>
            <w:r w:rsidR="00A33B9F" w:rsidRPr="00A33B9F">
              <w:rPr>
                <w:rFonts w:ascii="Times New Roman" w:hAnsi="Times New Roman"/>
                <w:noProof/>
              </w:rPr>
              <w:t xml:space="preserve"> z now</w:t>
            </w:r>
            <w:r w:rsidRPr="00A33B9F">
              <w:rPr>
                <w:rFonts w:ascii="Times New Roman" w:hAnsi="Times New Roman"/>
                <w:noProof/>
              </w:rPr>
              <w:t>oczesną infrastrukturą badawczą</w:t>
            </w:r>
            <w:r w:rsidR="00A33B9F" w:rsidRPr="00A33B9F">
              <w:rPr>
                <w:rFonts w:ascii="Times New Roman" w:hAnsi="Times New Roman"/>
                <w:noProof/>
              </w:rPr>
              <w:t xml:space="preserve"> w ins</w:t>
            </w:r>
            <w:r w:rsidRPr="00A33B9F">
              <w:rPr>
                <w:rFonts w:ascii="Times New Roman" w:hAnsi="Times New Roman"/>
                <w:noProof/>
              </w:rPr>
              <w:t>tytutach nadzorowanych przez Ministerstwo Edukacji</w:t>
            </w:r>
            <w:r w:rsidR="00A33B9F" w:rsidRPr="00A33B9F">
              <w:rPr>
                <w:rFonts w:ascii="Times New Roman" w:hAnsi="Times New Roman"/>
                <w:noProof/>
              </w:rPr>
              <w:t xml:space="preserve"> i Nau</w:t>
            </w:r>
            <w:r w:rsidRPr="00A33B9F">
              <w:rPr>
                <w:rFonts w:ascii="Times New Roman" w:hAnsi="Times New Roman"/>
                <w:noProof/>
              </w:rPr>
              <w:t>ki oraz Ministerstwo Rolnictwa</w:t>
            </w:r>
            <w:r w:rsidR="00A33B9F" w:rsidRPr="00A33B9F">
              <w:rPr>
                <w:rFonts w:ascii="Times New Roman" w:hAnsi="Times New Roman"/>
                <w:noProof/>
              </w:rPr>
              <w:t xml:space="preserve"> i Roz</w:t>
            </w:r>
            <w:r w:rsidRPr="00A33B9F">
              <w:rPr>
                <w:rFonts w:ascii="Times New Roman" w:hAnsi="Times New Roman"/>
                <w:noProof/>
              </w:rPr>
              <w:t>woju Wsi lub im podlegających</w:t>
            </w:r>
          </w:p>
        </w:tc>
      </w:tr>
      <w:tr w:rsidR="00D8141F" w:rsidRPr="00A33B9F" w14:paraId="2EFBD4F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F8F4EE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D210DD"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A3.1.1 Wsparcie rozwoju nowoczesnego szkolenia zawodowego, szkolnictwa wyższego oraz uczenia się przez całe życie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0DDC35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9B4D93" w14:textId="299B1CB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Ustanowienie sieci funkcjonujących branżowych centrów umiejętności zapewniających ukierunkowane podnoszenie</w:t>
            </w:r>
            <w:r w:rsidR="00A33B9F" w:rsidRPr="00A33B9F">
              <w:rPr>
                <w:rFonts w:ascii="Times New Roman" w:hAnsi="Times New Roman"/>
                <w:noProof/>
              </w:rPr>
              <w:t xml:space="preserve"> i zmi</w:t>
            </w:r>
            <w:r w:rsidRPr="00A33B9F">
              <w:rPr>
                <w:rFonts w:ascii="Times New Roman" w:hAnsi="Times New Roman"/>
                <w:noProof/>
              </w:rPr>
              <w:t>anę kwalifikacji</w:t>
            </w:r>
            <w:r w:rsidR="00A33B9F" w:rsidRPr="00A33B9F">
              <w:rPr>
                <w:rFonts w:ascii="Times New Roman" w:hAnsi="Times New Roman"/>
                <w:noProof/>
              </w:rPr>
              <w:t xml:space="preserve"> w wys</w:t>
            </w:r>
            <w:r w:rsidRPr="00A33B9F">
              <w:rPr>
                <w:rFonts w:ascii="Times New Roman" w:hAnsi="Times New Roman"/>
                <w:noProof/>
              </w:rPr>
              <w:t>okim stopniu odpowiadające potrzebom rynku pracy</w:t>
            </w:r>
          </w:p>
        </w:tc>
      </w:tr>
      <w:tr w:rsidR="00D8141F" w:rsidRPr="00A33B9F" w14:paraId="18F83CF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E27174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CB3B93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A3.1.1 Wsparcie rozwoju nowoczesnego szkolenia zawodowego, szkolnictwa wyższego oraz uczenia się przez całe życie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D5009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85897C" w14:textId="252EFC0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Zapewnienie umiejętności osobom uczącym się</w:t>
            </w:r>
            <w:r w:rsidR="00A33B9F" w:rsidRPr="00A33B9F">
              <w:rPr>
                <w:rFonts w:ascii="Times New Roman" w:hAnsi="Times New Roman"/>
                <w:noProof/>
              </w:rPr>
              <w:t xml:space="preserve"> w bra</w:t>
            </w:r>
            <w:r w:rsidRPr="00A33B9F">
              <w:rPr>
                <w:rFonts w:ascii="Times New Roman" w:hAnsi="Times New Roman"/>
                <w:noProof/>
              </w:rPr>
              <w:t>nżowych centrach umiejętności,</w:t>
            </w:r>
            <w:r w:rsidR="00A33B9F" w:rsidRPr="00A33B9F">
              <w:rPr>
                <w:rFonts w:ascii="Times New Roman" w:hAnsi="Times New Roman"/>
                <w:noProof/>
              </w:rPr>
              <w:t xml:space="preserve"> w tym</w:t>
            </w:r>
            <w:r w:rsidRPr="00A33B9F">
              <w:rPr>
                <w:rFonts w:ascii="Times New Roman" w:hAnsi="Times New Roman"/>
                <w:noProof/>
              </w:rPr>
              <w:t xml:space="preserve"> poświadczenie efektów uczenia się (umiejętności) wydawane</w:t>
            </w:r>
            <w:r w:rsidR="00A33B9F" w:rsidRPr="00A33B9F">
              <w:rPr>
                <w:rFonts w:ascii="Times New Roman" w:hAnsi="Times New Roman"/>
                <w:noProof/>
              </w:rPr>
              <w:t xml:space="preserve"> i uzn</w:t>
            </w:r>
            <w:r w:rsidRPr="00A33B9F">
              <w:rPr>
                <w:rFonts w:ascii="Times New Roman" w:hAnsi="Times New Roman"/>
                <w:noProof/>
              </w:rPr>
              <w:t>awane przez sektor</w:t>
            </w:r>
          </w:p>
        </w:tc>
      </w:tr>
      <w:tr w:rsidR="00D8141F" w:rsidRPr="00A33B9F" w14:paraId="60E131B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6472D7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3A8EDDF" w14:textId="0D3152A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A4.3.1 Programy wsparcia inwestycyjnego umożliwiające</w:t>
            </w:r>
            <w:r w:rsidR="00A33B9F" w:rsidRPr="00A33B9F">
              <w:rPr>
                <w:rFonts w:ascii="Times New Roman" w:hAnsi="Times New Roman"/>
                <w:noProof/>
              </w:rPr>
              <w:t xml:space="preserve"> w szc</w:t>
            </w:r>
            <w:r w:rsidRPr="00A33B9F">
              <w:rPr>
                <w:rFonts w:ascii="Times New Roman" w:hAnsi="Times New Roman"/>
                <w:noProof/>
              </w:rPr>
              <w:t>zególności rozwój działalności, zwiększenie udziału</w:t>
            </w:r>
            <w:r w:rsidR="00A33B9F" w:rsidRPr="00A33B9F">
              <w:rPr>
                <w:rFonts w:ascii="Times New Roman" w:hAnsi="Times New Roman"/>
                <w:noProof/>
              </w:rPr>
              <w:t xml:space="preserve"> w rea</w:t>
            </w:r>
            <w:r w:rsidRPr="00A33B9F">
              <w:rPr>
                <w:rFonts w:ascii="Times New Roman" w:hAnsi="Times New Roman"/>
                <w:noProof/>
              </w:rPr>
              <w:t>lizacji usług społecznych, podniesienie jakości integracji</w:t>
            </w:r>
            <w:r w:rsidR="00A33B9F" w:rsidRPr="00A33B9F">
              <w:rPr>
                <w:rFonts w:ascii="Times New Roman" w:hAnsi="Times New Roman"/>
                <w:noProof/>
              </w:rPr>
              <w:t xml:space="preserve"> w pod</w:t>
            </w:r>
            <w:r w:rsidRPr="00A33B9F">
              <w:rPr>
                <w:rFonts w:ascii="Times New Roman" w:hAnsi="Times New Roman"/>
                <w:noProof/>
              </w:rPr>
              <w:t>miotach ekonomii społecznej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2BA7F9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BCCBBF" w14:textId="138943A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podmiotów ekonomii społecznej,</w:t>
            </w:r>
            <w:r w:rsidR="00A33B9F" w:rsidRPr="00A33B9F">
              <w:rPr>
                <w:rFonts w:ascii="Times New Roman" w:hAnsi="Times New Roman"/>
                <w:noProof/>
              </w:rPr>
              <w:t xml:space="preserve"> w tym</w:t>
            </w:r>
            <w:r w:rsidRPr="00A33B9F">
              <w:rPr>
                <w:rFonts w:ascii="Times New Roman" w:hAnsi="Times New Roman"/>
                <w:noProof/>
              </w:rPr>
              <w:t xml:space="preserve"> przedsiębiorstw społecznych, objętych wsparciem finansowym</w:t>
            </w:r>
          </w:p>
        </w:tc>
      </w:tr>
      <w:tr w:rsidR="00D8141F" w:rsidRPr="00A33B9F" w14:paraId="49D2DDD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A3CC5F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B41G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8487ED" w14:textId="73424B3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B3.1.1 Inwestycje</w:t>
            </w:r>
            <w:r w:rsidR="00A33B9F" w:rsidRPr="00A33B9F">
              <w:rPr>
                <w:rFonts w:ascii="Times New Roman" w:hAnsi="Times New Roman"/>
                <w:noProof/>
              </w:rPr>
              <w:t xml:space="preserve"> w zró</w:t>
            </w:r>
            <w:r w:rsidRPr="00A33B9F">
              <w:rPr>
                <w:rFonts w:ascii="Times New Roman" w:hAnsi="Times New Roman"/>
                <w:noProof/>
              </w:rPr>
              <w:t>wnoważoną gospodarkę wodno-ściekową na obszarach wiejskich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5F631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695AF3" w14:textId="3E3EA52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Dodatkowe przyłączenia ludności wiejskiej</w:t>
            </w:r>
            <w:r w:rsidR="00A33B9F" w:rsidRPr="00A33B9F">
              <w:rPr>
                <w:rFonts w:ascii="Times New Roman" w:hAnsi="Times New Roman"/>
                <w:noProof/>
              </w:rPr>
              <w:t xml:space="preserve"> w zak</w:t>
            </w:r>
            <w:r w:rsidRPr="00A33B9F">
              <w:rPr>
                <w:rFonts w:ascii="Times New Roman" w:hAnsi="Times New Roman"/>
                <w:noProof/>
              </w:rPr>
              <w:t>resie infrastruktury wodnej</w:t>
            </w:r>
          </w:p>
        </w:tc>
      </w:tr>
      <w:tr w:rsidR="00D8141F" w:rsidRPr="00A33B9F" w14:paraId="675F291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995587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6FEBD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C1.1.1 Zapewnienie dostępu do bardzo szybkiego internetu na obszarach białych plam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B7F87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C4BBA4" w14:textId="30041B4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Dodatkowe gospodarstwa domowe (lokale mieszkalne)</w:t>
            </w:r>
            <w:r w:rsidR="00A33B9F" w:rsidRPr="00A33B9F">
              <w:rPr>
                <w:rFonts w:ascii="Times New Roman" w:hAnsi="Times New Roman"/>
                <w:noProof/>
              </w:rPr>
              <w:t xml:space="preserve"> z sze</w:t>
            </w:r>
            <w:r w:rsidRPr="00A33B9F">
              <w:rPr>
                <w:rFonts w:ascii="Times New Roman" w:hAnsi="Times New Roman"/>
                <w:noProof/>
              </w:rPr>
              <w:t>rokopasmowym dostępem do internetu</w:t>
            </w:r>
            <w:r w:rsidR="00A33B9F" w:rsidRPr="00A33B9F">
              <w:rPr>
                <w:rFonts w:ascii="Times New Roman" w:hAnsi="Times New Roman"/>
                <w:noProof/>
              </w:rPr>
              <w:t xml:space="preserve"> o prz</w:t>
            </w:r>
            <w:r w:rsidRPr="00A33B9F">
              <w:rPr>
                <w:rFonts w:ascii="Times New Roman" w:hAnsi="Times New Roman"/>
                <w:noProof/>
              </w:rPr>
              <w:t>epustowości co najmniej 100 Mb/s (z możliwością jej zwiększenia do prędkości mierzonych w Gb/s)</w:t>
            </w:r>
          </w:p>
        </w:tc>
      </w:tr>
      <w:tr w:rsidR="00D8141F" w:rsidRPr="00A33B9F" w:rsidDel="00ED5160" w14:paraId="304AD4F8"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8B83F22" w14:textId="77777777" w:rsidR="00D8141F" w:rsidRPr="00A33B9F" w:rsidDel="00ED5160" w:rsidRDefault="00D8141F" w:rsidP="00753103">
            <w:pPr>
              <w:spacing w:line="240" w:lineRule="auto"/>
              <w:jc w:val="center"/>
              <w:rPr>
                <w:rFonts w:ascii="Times New Roman" w:hAnsi="Times New Roman"/>
                <w:noProof/>
              </w:rPr>
            </w:pPr>
            <w:r w:rsidRPr="00A33B9F">
              <w:rPr>
                <w:rFonts w:ascii="Times New Roman" w:hAnsi="Times New Roman"/>
                <w:noProof/>
              </w:rPr>
              <w:t>C6aG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F5AC4C8" w14:textId="77777777" w:rsidR="00D8141F" w:rsidRPr="00A33B9F" w:rsidDel="00ED5160" w:rsidRDefault="00D8141F" w:rsidP="00753103">
            <w:pPr>
              <w:spacing w:line="240" w:lineRule="auto"/>
              <w:rPr>
                <w:rFonts w:ascii="Times New Roman" w:hAnsi="Times New Roman"/>
                <w:noProof/>
              </w:rPr>
            </w:pPr>
            <w:r w:rsidRPr="00A33B9F">
              <w:rPr>
                <w:rFonts w:ascii="Times New Roman" w:hAnsi="Times New Roman"/>
                <w:noProof/>
                <w:color w:val="000000" w:themeColor="text1"/>
              </w:rPr>
              <w:t>C1.1.1 Zapewnienie dostępu do bardzo szybkiego internetu na obszarach białych plam</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83C06CC" w14:textId="77777777" w:rsidR="00D8141F" w:rsidRPr="00A33B9F" w:rsidDel="00ED5160" w:rsidRDefault="00D8141F" w:rsidP="00753103">
            <w:pPr>
              <w:spacing w:line="240" w:lineRule="auto"/>
              <w:jc w:val="center"/>
              <w:rPr>
                <w:rFonts w:ascii="Times New Roman" w:hAnsi="Times New Roman"/>
                <w:noProof/>
              </w:rPr>
            </w:pPr>
            <w:r w:rsidRPr="00A33B9F">
              <w:rPr>
                <w:rFonts w:ascii="Times New Roman" w:hAnsi="Times New Roman"/>
                <w:noProof/>
                <w:color w:val="000000" w:themeColor="text1"/>
              </w:rPr>
              <w:t>Wartość docelowa</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71DD874A" w14:textId="4CD0987D" w:rsidR="00D8141F" w:rsidRPr="00A33B9F" w:rsidRDefault="00D8141F" w:rsidP="00753103">
            <w:pPr>
              <w:pStyle w:val="Normal0"/>
              <w:pBdr>
                <w:top w:val="nil"/>
                <w:left w:val="nil"/>
                <w:bottom w:val="nil"/>
                <w:right w:val="nil"/>
                <w:between w:val="nil"/>
              </w:pBdr>
              <w:spacing w:after="0" w:line="240" w:lineRule="auto"/>
              <w:rPr>
                <w:rFonts w:ascii="Times New Roman" w:eastAsia="Times New Roman" w:hAnsi="Times New Roman" w:cs="Times New Roman"/>
                <w:noProof/>
                <w:color w:val="000000" w:themeColor="text1"/>
                <w:szCs w:val="28"/>
              </w:rPr>
            </w:pPr>
            <w:r w:rsidRPr="00A33B9F">
              <w:rPr>
                <w:rFonts w:ascii="Times New Roman" w:hAnsi="Times New Roman"/>
                <w:noProof/>
                <w:color w:val="000000" w:themeColor="text1"/>
              </w:rPr>
              <w:t>Sale lekcyjne</w:t>
            </w:r>
            <w:r w:rsidR="00A33B9F" w:rsidRPr="00A33B9F">
              <w:rPr>
                <w:rFonts w:ascii="Times New Roman" w:hAnsi="Times New Roman"/>
                <w:noProof/>
                <w:color w:val="000000" w:themeColor="text1"/>
              </w:rPr>
              <w:t xml:space="preserve"> w szk</w:t>
            </w:r>
            <w:r w:rsidRPr="00A33B9F">
              <w:rPr>
                <w:rFonts w:ascii="Times New Roman" w:hAnsi="Times New Roman"/>
                <w:noProof/>
                <w:color w:val="000000" w:themeColor="text1"/>
              </w:rPr>
              <w:t>ołach wyposażone</w:t>
            </w:r>
            <w:r w:rsidR="00A33B9F" w:rsidRPr="00A33B9F">
              <w:rPr>
                <w:rFonts w:ascii="Times New Roman" w:hAnsi="Times New Roman"/>
                <w:noProof/>
                <w:color w:val="000000" w:themeColor="text1"/>
              </w:rPr>
              <w:t xml:space="preserve"> w poł</w:t>
            </w:r>
            <w:r w:rsidRPr="00A33B9F">
              <w:rPr>
                <w:rFonts w:ascii="Times New Roman" w:hAnsi="Times New Roman"/>
                <w:noProof/>
                <w:color w:val="000000" w:themeColor="text1"/>
              </w:rPr>
              <w:t>ączenie LAN</w:t>
            </w:r>
          </w:p>
          <w:p w14:paraId="5A9C1126" w14:textId="77777777" w:rsidR="00D8141F" w:rsidRPr="00A33B9F" w:rsidDel="00ED5160" w:rsidRDefault="00D8141F" w:rsidP="00753103">
            <w:pPr>
              <w:spacing w:line="240" w:lineRule="auto"/>
              <w:rPr>
                <w:rFonts w:ascii="Times New Roman" w:hAnsi="Times New Roman"/>
                <w:noProof/>
              </w:rPr>
            </w:pPr>
          </w:p>
        </w:tc>
      </w:tr>
      <w:tr w:rsidR="00D8141F" w:rsidRPr="00A33B9F" w14:paraId="3E46DC7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1D8F2B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AE4B219" w14:textId="3BFC7C4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C2.1.2 Wyrównanie poziomu wyposażenia szkół</w:t>
            </w:r>
            <w:r w:rsidR="00A33B9F" w:rsidRPr="00A33B9F">
              <w:rPr>
                <w:rFonts w:ascii="Times New Roman" w:hAnsi="Times New Roman"/>
                <w:noProof/>
              </w:rPr>
              <w:t xml:space="preserve"> w prz</w:t>
            </w:r>
            <w:r w:rsidRPr="00A33B9F">
              <w:rPr>
                <w:rFonts w:ascii="Times New Roman" w:hAnsi="Times New Roman"/>
                <w:noProof/>
              </w:rPr>
              <w:t>enośne urządzenia multimedialne - inwestycje związane ze spełnieniem minimalnych standardów sprzętowych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2912B7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3D71E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Nowe komputery przenośne do dyspozycji uczniów</w:t>
            </w:r>
          </w:p>
        </w:tc>
      </w:tr>
      <w:tr w:rsidR="00D8141F" w:rsidRPr="00A33B9F" w14:paraId="57BD54B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F84BA9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F7FCC3" w14:textId="4F0E6A1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C2.1.2 Wyrównanie poziomu wyposażenia szkół</w:t>
            </w:r>
            <w:r w:rsidR="00A33B9F" w:rsidRPr="00A33B9F">
              <w:rPr>
                <w:rFonts w:ascii="Times New Roman" w:hAnsi="Times New Roman"/>
                <w:noProof/>
              </w:rPr>
              <w:t xml:space="preserve"> w prz</w:t>
            </w:r>
            <w:r w:rsidRPr="00A33B9F">
              <w:rPr>
                <w:rFonts w:ascii="Times New Roman" w:hAnsi="Times New Roman"/>
                <w:noProof/>
              </w:rPr>
              <w:t>enośne urządzenia multimedialne - inwestycje związane ze spełnieniem minimalnych standardów sprzętowych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A8BBF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403851"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Nowe komputery przenośne do dyspozycji nauczycieli</w:t>
            </w:r>
          </w:p>
        </w:tc>
      </w:tr>
      <w:tr w:rsidR="00D8141F" w:rsidRPr="00A33B9F" w14:paraId="55D477C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568CFB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0F69A3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C3.1.1 Cyberbezpieczeństwo – CyberPL, infrastruktura przetwarzania danych oraz optymalizacja infrastruktury służb państwowych odpowiedzialnych za bezpieczeństwo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F881DC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3EB52CD"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Mobilna infrastruktura na rzecz systemu zarządzania kryzysowego</w:t>
            </w:r>
          </w:p>
        </w:tc>
      </w:tr>
      <w:tr w:rsidR="00D8141F" w:rsidRPr="00A33B9F" w14:paraId="1FBA15E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3052B4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59E590" w14:textId="58086DC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BC8839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6C9C6E" w14:textId="7AA2CCC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Centrum monitorowania bezpieczeństwa (SOC)</w:t>
            </w:r>
            <w:r w:rsidR="00A33B9F" w:rsidRPr="00A33B9F">
              <w:rPr>
                <w:rFonts w:ascii="Times New Roman" w:hAnsi="Times New Roman"/>
                <w:noProof/>
              </w:rPr>
              <w:t xml:space="preserve"> w ust</w:t>
            </w:r>
            <w:r w:rsidRPr="00A33B9F">
              <w:rPr>
                <w:rFonts w:ascii="Times New Roman" w:hAnsi="Times New Roman"/>
                <w:noProof/>
              </w:rPr>
              <w:t>anowionym Centrum e-Zdrowia</w:t>
            </w:r>
          </w:p>
        </w:tc>
      </w:tr>
      <w:tr w:rsidR="00D8141F" w:rsidRPr="00A33B9F" w14:paraId="674636B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0E6447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DE2A87" w14:textId="7225300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21262F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66AB8F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Centrum cyfrowej dokumentacji medycznej</w:t>
            </w:r>
          </w:p>
        </w:tc>
      </w:tr>
      <w:tr w:rsidR="00D8141F" w:rsidRPr="00A33B9F" w14:paraId="161CCC9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BADEEA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A99D9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 Stworzenie odpowiednich warunków dla zwiększenia liczebności kadry medycznej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10702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9ABFD2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ratowników medycznych, którzy ukończyli studia magisterskie</w:t>
            </w:r>
          </w:p>
        </w:tc>
      </w:tr>
      <w:tr w:rsidR="00D8141F" w:rsidRPr="00A33B9F" w14:paraId="4519BA5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9E09E0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1A8991" w14:textId="0F04171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D2.1.1. Inwestycje związane</w:t>
            </w:r>
            <w:r w:rsidR="00A33B9F" w:rsidRPr="00A33B9F">
              <w:rPr>
                <w:rFonts w:ascii="Times New Roman" w:hAnsi="Times New Roman"/>
                <w:noProof/>
              </w:rPr>
              <w:t xml:space="preserve"> z mod</w:t>
            </w:r>
            <w:r w:rsidRPr="00A33B9F">
              <w:rPr>
                <w:rFonts w:ascii="Times New Roman" w:hAnsi="Times New Roman"/>
                <w:noProof/>
              </w:rPr>
              <w:t>ernizacją</w:t>
            </w:r>
            <w:r w:rsidR="00A33B9F" w:rsidRPr="00A33B9F">
              <w:rPr>
                <w:rFonts w:ascii="Times New Roman" w:hAnsi="Times New Roman"/>
                <w:noProof/>
              </w:rPr>
              <w:t xml:space="preserve"> i dop</w:t>
            </w:r>
            <w:r w:rsidRPr="00A33B9F">
              <w:rPr>
                <w:rFonts w:ascii="Times New Roman" w:hAnsi="Times New Roman"/>
                <w:noProof/>
              </w:rPr>
              <w:t>osażeniem obiektów dydaktycznych</w:t>
            </w:r>
            <w:r w:rsidR="00A33B9F" w:rsidRPr="00A33B9F">
              <w:rPr>
                <w:rFonts w:ascii="Times New Roman" w:hAnsi="Times New Roman"/>
                <w:noProof/>
              </w:rPr>
              <w:t xml:space="preserve"> w zwi</w:t>
            </w:r>
            <w:r w:rsidRPr="00A33B9F">
              <w:rPr>
                <w:rFonts w:ascii="Times New Roman" w:hAnsi="Times New Roman"/>
                <w:noProof/>
              </w:rPr>
              <w:t>ązku ze zwiększeniem limitów przyjęć na studia medyczne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1C6D8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A26C18" w14:textId="3241501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zmodernizowanych obiektów dydaktycznych do celów kształcenia przedklinicznego (w tym centrów symulacji medycznych), dostosowanych obiektów bazy klinicznej wykorzystywanych do kształcenia</w:t>
            </w:r>
            <w:r w:rsidR="00A33B9F" w:rsidRPr="00A33B9F">
              <w:rPr>
                <w:rFonts w:ascii="Times New Roman" w:hAnsi="Times New Roman"/>
                <w:noProof/>
              </w:rPr>
              <w:t xml:space="preserve"> w cen</w:t>
            </w:r>
            <w:r w:rsidRPr="00A33B9F">
              <w:rPr>
                <w:rFonts w:ascii="Times New Roman" w:hAnsi="Times New Roman"/>
                <w:noProof/>
              </w:rPr>
              <w:t>tralnych szpitalach klinicznych, zmodernizowanych infrastruktur bibliotek</w:t>
            </w:r>
            <w:r w:rsidR="00A33B9F" w:rsidRPr="00A33B9F">
              <w:rPr>
                <w:rFonts w:ascii="Times New Roman" w:hAnsi="Times New Roman"/>
                <w:noProof/>
              </w:rPr>
              <w:t xml:space="preserve"> i aka</w:t>
            </w:r>
            <w:r w:rsidRPr="00A33B9F">
              <w:rPr>
                <w:rFonts w:ascii="Times New Roman" w:hAnsi="Times New Roman"/>
                <w:noProof/>
              </w:rPr>
              <w:t>demików na uniwersytetach medycznych</w:t>
            </w:r>
          </w:p>
        </w:tc>
      </w:tr>
      <w:tr w:rsidR="00D8141F" w:rsidRPr="00A33B9F" w14:paraId="0D3C9BB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70DC15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5BE1EF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E1.1.1 Wsparcie dla gospodarki niskoemisyjnej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B78C3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8B6F60" w14:textId="24BCCF0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MŚP</w:t>
            </w:r>
            <w:r w:rsidR="00A33B9F" w:rsidRPr="00A33B9F">
              <w:rPr>
                <w:rFonts w:ascii="Times New Roman" w:hAnsi="Times New Roman"/>
                <w:noProof/>
              </w:rPr>
              <w:t xml:space="preserve"> i spó</w:t>
            </w:r>
            <w:r w:rsidRPr="00A33B9F">
              <w:rPr>
                <w:rFonts w:ascii="Times New Roman" w:hAnsi="Times New Roman"/>
                <w:noProof/>
              </w:rPr>
              <w:t>łki</w:t>
            </w:r>
            <w:r w:rsidR="00A33B9F" w:rsidRPr="00A33B9F">
              <w:rPr>
                <w:rFonts w:ascii="Times New Roman" w:hAnsi="Times New Roman"/>
                <w:noProof/>
              </w:rPr>
              <w:t xml:space="preserve"> o śre</w:t>
            </w:r>
            <w:r w:rsidRPr="00A33B9F">
              <w:rPr>
                <w:rFonts w:ascii="Times New Roman" w:hAnsi="Times New Roman"/>
                <w:noProof/>
              </w:rPr>
              <w:t>dniej kapitalizacji wspierane</w:t>
            </w:r>
            <w:r w:rsidR="00A33B9F" w:rsidRPr="00A33B9F">
              <w:rPr>
                <w:rFonts w:ascii="Times New Roman" w:hAnsi="Times New Roman"/>
                <w:noProof/>
              </w:rPr>
              <w:t xml:space="preserve"> w ram</w:t>
            </w:r>
            <w:r w:rsidRPr="00A33B9F">
              <w:rPr>
                <w:rFonts w:ascii="Times New Roman" w:hAnsi="Times New Roman"/>
                <w:noProof/>
              </w:rPr>
              <w:t>ach konkretnych inwestycji objętych Funduszem</w:t>
            </w:r>
          </w:p>
        </w:tc>
      </w:tr>
      <w:tr w:rsidR="00D8141F" w:rsidRPr="00A33B9F" w14:paraId="03E40DD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92E1C88"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098CF0" w14:textId="4E683FB0" w:rsidR="00D8141F" w:rsidRPr="00A33B9F" w:rsidRDefault="00D8141F" w:rsidP="00753103">
            <w:pPr>
              <w:spacing w:line="240" w:lineRule="auto"/>
              <w:rPr>
                <w:rFonts w:ascii="Times New Roman" w:hAnsi="Times New Roman"/>
                <w:noProof/>
              </w:rPr>
            </w:pPr>
            <w:r w:rsidRPr="00A33B9F">
              <w:rPr>
                <w:rFonts w:ascii="Times New Roman" w:hAnsi="Times New Roman"/>
                <w:noProof/>
              </w:rPr>
              <w:t>G1.1.2 Instalacje odnawialnych źródeł energii realizowane przez społeczności energetyczne,</w:t>
            </w:r>
            <w:r w:rsidR="00A33B9F" w:rsidRPr="00A33B9F">
              <w:rPr>
                <w:rFonts w:ascii="Times New Roman" w:hAnsi="Times New Roman"/>
                <w:noProof/>
              </w:rPr>
              <w:t xml:space="preserve"> w tym</w:t>
            </w:r>
            <w:r w:rsidRPr="00A33B9F">
              <w:rPr>
                <w:rFonts w:ascii="Times New Roman" w:hAnsi="Times New Roman"/>
                <w:noProof/>
              </w:rPr>
              <w:t xml:space="preserve"> inwestycje</w:t>
            </w:r>
            <w:r w:rsidR="00A33B9F" w:rsidRPr="00A33B9F">
              <w:rPr>
                <w:rFonts w:ascii="Times New Roman" w:hAnsi="Times New Roman"/>
                <w:noProof/>
              </w:rPr>
              <w:t xml:space="preserve"> o zwi</w:t>
            </w:r>
            <w:r w:rsidRPr="00A33B9F">
              <w:rPr>
                <w:rFonts w:ascii="Times New Roman" w:hAnsi="Times New Roman"/>
                <w:noProof/>
              </w:rPr>
              <w:t>ększonej skali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708C8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ECB2F57" w14:textId="2B568EBC" w:rsidR="00D8141F" w:rsidRPr="00A33B9F" w:rsidRDefault="00D8141F" w:rsidP="00753103">
            <w:pPr>
              <w:spacing w:line="240" w:lineRule="auto"/>
              <w:rPr>
                <w:rFonts w:ascii="Times New Roman" w:hAnsi="Times New Roman"/>
                <w:noProof/>
              </w:rPr>
            </w:pPr>
            <w:r w:rsidRPr="00A33B9F">
              <w:rPr>
                <w:rFonts w:ascii="Times New Roman" w:hAnsi="Times New Roman"/>
                <w:noProof/>
              </w:rPr>
              <w:t>Podmioty wspierane</w:t>
            </w:r>
            <w:r w:rsidR="00A33B9F" w:rsidRPr="00A33B9F">
              <w:rPr>
                <w:rFonts w:ascii="Times New Roman" w:hAnsi="Times New Roman"/>
                <w:noProof/>
              </w:rPr>
              <w:t xml:space="preserve"> w ram</w:t>
            </w:r>
            <w:r w:rsidRPr="00A33B9F">
              <w:rPr>
                <w:rFonts w:ascii="Times New Roman" w:hAnsi="Times New Roman"/>
                <w:noProof/>
              </w:rPr>
              <w:t>ach części inwestycyjnej</w:t>
            </w:r>
          </w:p>
        </w:tc>
      </w:tr>
      <w:tr w:rsidR="00D8141F" w:rsidRPr="00A33B9F" w14:paraId="703D2C7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EF31CCF"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FA52424" w14:textId="7867001F"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G1.1.4 Wsparcie dla instytucji wdrażających reformy</w:t>
            </w:r>
            <w:r w:rsidR="00A33B9F" w:rsidRPr="00A33B9F">
              <w:rPr>
                <w:rFonts w:ascii="Times New Roman" w:hAnsi="Times New Roman"/>
                <w:noProof/>
              </w:rPr>
              <w:t xml:space="preserve"> i inw</w:t>
            </w:r>
            <w:r w:rsidRPr="00A33B9F">
              <w:rPr>
                <w:rFonts w:ascii="Times New Roman" w:hAnsi="Times New Roman"/>
                <w:noProof/>
              </w:rPr>
              <w:t>estycje</w:t>
            </w:r>
            <w:r w:rsidR="00A33B9F" w:rsidRPr="00A33B9F">
              <w:rPr>
                <w:rFonts w:ascii="Times New Roman" w:hAnsi="Times New Roman"/>
                <w:noProof/>
              </w:rPr>
              <w:t xml:space="preserve"> w ram</w:t>
            </w:r>
            <w:r w:rsidRPr="00A33B9F">
              <w:rPr>
                <w:rFonts w:ascii="Times New Roman" w:hAnsi="Times New Roman"/>
                <w:noProof/>
              </w:rPr>
              <w:t>ach REPowerEU</w:t>
            </w:r>
          </w:p>
          <w:p w14:paraId="6D6844FA" w14:textId="77777777" w:rsidR="00D8141F" w:rsidRPr="00A33B9F" w:rsidRDefault="00D8141F" w:rsidP="00753103">
            <w:pPr>
              <w:spacing w:line="240" w:lineRule="auto"/>
              <w:rPr>
                <w:rFonts w:ascii="Times New Roman" w:hAnsi="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42B2B19"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 xml:space="preserve">Wartość docelowa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2136BA" w14:textId="79A8227A" w:rsidR="00D8141F" w:rsidRPr="00A33B9F" w:rsidRDefault="00D8141F" w:rsidP="00753103">
            <w:pPr>
              <w:spacing w:line="240" w:lineRule="auto"/>
              <w:rPr>
                <w:rFonts w:ascii="Times New Roman" w:hAnsi="Times New Roman"/>
                <w:noProof/>
              </w:rPr>
            </w:pPr>
            <w:r w:rsidRPr="00A33B9F">
              <w:rPr>
                <w:rFonts w:ascii="Times New Roman" w:hAnsi="Times New Roman"/>
                <w:noProof/>
              </w:rPr>
              <w:t>Projekty</w:t>
            </w:r>
            <w:r w:rsidR="00A33B9F" w:rsidRPr="00A33B9F">
              <w:rPr>
                <w:rFonts w:ascii="Times New Roman" w:hAnsi="Times New Roman"/>
                <w:noProof/>
              </w:rPr>
              <w:t xml:space="preserve"> w zak</w:t>
            </w:r>
            <w:r w:rsidRPr="00A33B9F">
              <w:rPr>
                <w:rFonts w:ascii="Times New Roman" w:hAnsi="Times New Roman"/>
                <w:noProof/>
              </w:rPr>
              <w:t>resie budowania zdolności, wspierające wdrażanie reform</w:t>
            </w:r>
            <w:r w:rsidR="00A33B9F" w:rsidRPr="00A33B9F">
              <w:rPr>
                <w:rFonts w:ascii="Times New Roman" w:hAnsi="Times New Roman"/>
                <w:noProof/>
              </w:rPr>
              <w:t xml:space="preserve"> i inw</w:t>
            </w:r>
            <w:r w:rsidRPr="00A33B9F">
              <w:rPr>
                <w:rFonts w:ascii="Times New Roman" w:hAnsi="Times New Roman"/>
                <w:noProof/>
              </w:rPr>
              <w:t>estycji</w:t>
            </w:r>
            <w:r w:rsidR="00A33B9F" w:rsidRPr="00A33B9F">
              <w:rPr>
                <w:rFonts w:ascii="Times New Roman" w:hAnsi="Times New Roman"/>
                <w:noProof/>
              </w:rPr>
              <w:t xml:space="preserve"> w ram</w:t>
            </w:r>
            <w:r w:rsidRPr="00A33B9F">
              <w:rPr>
                <w:rFonts w:ascii="Times New Roman" w:hAnsi="Times New Roman"/>
                <w:noProof/>
              </w:rPr>
              <w:t>ach REPowerEU, realizowane przez organizacje pozarządowe</w:t>
            </w:r>
          </w:p>
        </w:tc>
      </w:tr>
      <w:tr w:rsidR="00D8141F" w:rsidRPr="00A33B9F" w14:paraId="4963F5E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5E012EB"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042B00B" w14:textId="4AC41C03" w:rsidR="00D8141F" w:rsidRPr="00A33B9F" w:rsidRDefault="00D8141F" w:rsidP="00753103">
            <w:pPr>
              <w:spacing w:line="240" w:lineRule="auto"/>
              <w:rPr>
                <w:rFonts w:ascii="Times New Roman" w:hAnsi="Times New Roman"/>
                <w:noProof/>
              </w:rPr>
            </w:pPr>
            <w:r w:rsidRPr="00A33B9F">
              <w:rPr>
                <w:rFonts w:ascii="Times New Roman" w:hAnsi="Times New Roman"/>
                <w:noProof/>
              </w:rPr>
              <w:t>G1.2.2 Usuwanie barier ograniczających integrację odnawialnych źródeł energii</w:t>
            </w:r>
            <w:r w:rsidR="00A33B9F" w:rsidRPr="00A33B9F">
              <w:rPr>
                <w:rFonts w:ascii="Times New Roman" w:hAnsi="Times New Roman"/>
                <w:noProof/>
              </w:rPr>
              <w:t xml:space="preserve"> z sie</w:t>
            </w:r>
            <w:r w:rsidRPr="00A33B9F">
              <w:rPr>
                <w:rFonts w:ascii="Times New Roman" w:hAnsi="Times New Roman"/>
                <w:noProof/>
              </w:rPr>
              <w:t>ciami elektroenergetycznymi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968546A"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27B25C0" w14:textId="4F77BC0C" w:rsidR="00D8141F" w:rsidRPr="00A33B9F" w:rsidRDefault="00D8141F" w:rsidP="00753103">
            <w:pPr>
              <w:spacing w:line="240" w:lineRule="auto"/>
              <w:rPr>
                <w:rFonts w:ascii="Times New Roman" w:hAnsi="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aktów ustawodawczych i,</w:t>
            </w:r>
            <w:r w:rsidR="00A33B9F" w:rsidRPr="00A33B9F">
              <w:rPr>
                <w:rFonts w:ascii="Times New Roman" w:hAnsi="Times New Roman"/>
                <w:noProof/>
              </w:rPr>
              <w:t xml:space="preserve"> w sto</w:t>
            </w:r>
            <w:r w:rsidRPr="00A33B9F">
              <w:rPr>
                <w:rFonts w:ascii="Times New Roman" w:hAnsi="Times New Roman"/>
                <w:noProof/>
              </w:rPr>
              <w:t>sownych przypadkach, aktów</w:t>
            </w:r>
            <w:r w:rsidR="00A33B9F" w:rsidRPr="00A33B9F">
              <w:rPr>
                <w:rFonts w:ascii="Times New Roman" w:hAnsi="Times New Roman"/>
                <w:noProof/>
              </w:rPr>
              <w:t xml:space="preserve"> o cha</w:t>
            </w:r>
            <w:r w:rsidRPr="00A33B9F">
              <w:rPr>
                <w:rFonts w:ascii="Times New Roman" w:hAnsi="Times New Roman"/>
                <w:noProof/>
              </w:rPr>
              <w:t>rakterze nieustawodawczym zwiększających przejrzystość procesu przyłączenia do sieci elektroenergetycznych</w:t>
            </w:r>
            <w:r w:rsidR="00A33B9F" w:rsidRPr="00A33B9F">
              <w:rPr>
                <w:rFonts w:ascii="Times New Roman" w:hAnsi="Times New Roman"/>
                <w:noProof/>
              </w:rPr>
              <w:t xml:space="preserve"> i uła</w:t>
            </w:r>
            <w:r w:rsidRPr="00A33B9F">
              <w:rPr>
                <w:rFonts w:ascii="Times New Roman" w:hAnsi="Times New Roman"/>
                <w:noProof/>
              </w:rPr>
              <w:t>twiających ten proces</w:t>
            </w:r>
          </w:p>
        </w:tc>
      </w:tr>
      <w:tr w:rsidR="00D8141F" w:rsidRPr="00A33B9F" w14:paraId="4A2A7AC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ADDF092"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F62E45C"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G1.2.3 Rozwój sieci przesyłowych, inteligentna infrastruktura elektroenergetyczna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DF76AA"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D8180C"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Długość nowo </w:t>
            </w:r>
          </w:p>
          <w:p w14:paraId="2F1F585B"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wybudowanej lub zmodernizowanej </w:t>
            </w:r>
          </w:p>
          <w:p w14:paraId="608D6649"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elektroenergetycznej sieci przesyłowej </w:t>
            </w:r>
          </w:p>
          <w:p w14:paraId="2B99E672"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(w km)</w:t>
            </w:r>
          </w:p>
        </w:tc>
      </w:tr>
      <w:tr w:rsidR="00D8141F" w:rsidRPr="00A33B9F" w14:paraId="08AFE62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AB51C8D"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1153B84"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G1.2.3 Rozwój sieci przesyłowych, inteligentna infrastruktura elektroenergetyczna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991F2D"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B4DF4A9"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Utworzenie centrum danych na rynku energii elektrycznej (OIRE/CSIRE)</w:t>
            </w:r>
          </w:p>
        </w:tc>
      </w:tr>
      <w:tr w:rsidR="00D8141F" w:rsidRPr="00A33B9F" w14:paraId="6006845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F1CB863"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DA887A"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G1.3.1 Wspieranie zrównoważonego transportu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9B29A58"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D7FCB6" w14:textId="317B7F72" w:rsidR="00D8141F" w:rsidRPr="00A33B9F" w:rsidRDefault="00D8141F" w:rsidP="00753103">
            <w:pPr>
              <w:spacing w:line="240" w:lineRule="auto"/>
              <w:rPr>
                <w:rFonts w:ascii="Times New Roman" w:hAnsi="Times New Roman"/>
                <w:noProof/>
              </w:rPr>
            </w:pPr>
            <w:r w:rsidRPr="00A33B9F">
              <w:rPr>
                <w:rFonts w:ascii="Times New Roman" w:hAnsi="Times New Roman"/>
                <w:noProof/>
              </w:rPr>
              <w:t>Plan działania na rzecz zrównoważonego transportu</w:t>
            </w:r>
            <w:r w:rsidR="00A33B9F" w:rsidRPr="00A33B9F">
              <w:rPr>
                <w:rFonts w:ascii="Times New Roman" w:hAnsi="Times New Roman"/>
                <w:noProof/>
              </w:rPr>
              <w:t xml:space="preserve"> w Pol</w:t>
            </w:r>
            <w:r w:rsidRPr="00A33B9F">
              <w:rPr>
                <w:rFonts w:ascii="Times New Roman" w:hAnsi="Times New Roman"/>
                <w:noProof/>
              </w:rPr>
              <w:t>sce</w:t>
            </w:r>
          </w:p>
        </w:tc>
      </w:tr>
      <w:tr w:rsidR="00D8141F" w:rsidRPr="00A33B9F" w14:paraId="2406D15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50F0C16"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5D4FA113"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52E3441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3B93A8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3 055 007 945 EUR </w:t>
            </w:r>
          </w:p>
        </w:tc>
      </w:tr>
    </w:tbl>
    <w:p w14:paraId="3498D18A"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65AB6F0D" w14:textId="77777777" w:rsidR="00D8141F" w:rsidRPr="00A33B9F" w:rsidRDefault="00D8141F" w:rsidP="00D8141F">
      <w:pPr>
        <w:pageBreakBefore/>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2.1.9 Dziewiąta transza (wsparcie bezzwrotne):</w:t>
      </w:r>
    </w:p>
    <w:tbl>
      <w:tblPr>
        <w:tblW w:w="10482" w:type="dxa"/>
        <w:tblLayout w:type="fixed"/>
        <w:tblLook w:val="0000" w:firstRow="0" w:lastRow="0" w:firstColumn="0" w:lastColumn="0" w:noHBand="0" w:noVBand="0"/>
      </w:tblPr>
      <w:tblGrid>
        <w:gridCol w:w="1350"/>
        <w:gridCol w:w="3960"/>
        <w:gridCol w:w="1245"/>
        <w:gridCol w:w="3927"/>
      </w:tblGrid>
      <w:tr w:rsidR="00D8141F" w:rsidRPr="00A33B9F" w14:paraId="263A49B3" w14:textId="77777777" w:rsidTr="00753103">
        <w:trPr>
          <w:trHeight w:val="852"/>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7CD0305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9DB8C0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6974C9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0562469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401D825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52A18C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B04EEA5" w14:textId="5DD64E9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A1.2.1 Inwestycje dla przedsiębiorstw</w:t>
            </w:r>
            <w:r w:rsidR="00A33B9F" w:rsidRPr="00A33B9F">
              <w:rPr>
                <w:rFonts w:ascii="Times New Roman" w:hAnsi="Times New Roman"/>
                <w:noProof/>
              </w:rPr>
              <w:t xml:space="preserve"> w pro</w:t>
            </w:r>
            <w:r w:rsidRPr="00A33B9F">
              <w:rPr>
                <w:rFonts w:ascii="Times New Roman" w:hAnsi="Times New Roman"/>
                <w:noProof/>
              </w:rPr>
              <w:t>dukty, usługi</w:t>
            </w:r>
            <w:r w:rsidR="00A33B9F" w:rsidRPr="00A33B9F">
              <w:rPr>
                <w:rFonts w:ascii="Times New Roman" w:hAnsi="Times New Roman"/>
                <w:noProof/>
              </w:rPr>
              <w:t xml:space="preserve"> i kom</w:t>
            </w:r>
            <w:r w:rsidRPr="00A33B9F">
              <w:rPr>
                <w:rFonts w:ascii="Times New Roman" w:hAnsi="Times New Roman"/>
                <w:noProof/>
              </w:rPr>
              <w:t>petencje pracowników oraz kadry związane</w:t>
            </w:r>
            <w:r w:rsidR="00A33B9F" w:rsidRPr="00A33B9F">
              <w:rPr>
                <w:rFonts w:ascii="Times New Roman" w:hAnsi="Times New Roman"/>
                <w:noProof/>
              </w:rPr>
              <w:t xml:space="preserve"> z dyw</w:t>
            </w:r>
            <w:r w:rsidRPr="00A33B9F">
              <w:rPr>
                <w:rFonts w:ascii="Times New Roman" w:hAnsi="Times New Roman"/>
                <w:noProof/>
              </w:rPr>
              <w:t>ersyfikacją działalności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74408C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12B103" w14:textId="1297959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Liczba MŚP</w:t>
            </w:r>
            <w:r w:rsidR="00A33B9F" w:rsidRPr="00A33B9F">
              <w:rPr>
                <w:rFonts w:ascii="Times New Roman" w:hAnsi="Times New Roman"/>
                <w:noProof/>
              </w:rPr>
              <w:t xml:space="preserve"> i mik</w:t>
            </w:r>
            <w:r w:rsidRPr="00A33B9F">
              <w:rPr>
                <w:rFonts w:ascii="Times New Roman" w:hAnsi="Times New Roman"/>
                <w:noProof/>
              </w:rPr>
              <w:t>roprzedsiębiorstw</w:t>
            </w:r>
            <w:r w:rsidR="00A33B9F" w:rsidRPr="00A33B9F">
              <w:rPr>
                <w:rFonts w:ascii="Times New Roman" w:hAnsi="Times New Roman"/>
                <w:noProof/>
              </w:rPr>
              <w:t xml:space="preserve"> w sek</w:t>
            </w:r>
            <w:r w:rsidRPr="00A33B9F">
              <w:rPr>
                <w:rFonts w:ascii="Times New Roman" w:hAnsi="Times New Roman"/>
                <w:noProof/>
              </w:rPr>
              <w:t>torze HoReCa, kultury</w:t>
            </w:r>
            <w:r w:rsidR="00A33B9F" w:rsidRPr="00A33B9F">
              <w:rPr>
                <w:rFonts w:ascii="Times New Roman" w:hAnsi="Times New Roman"/>
                <w:noProof/>
              </w:rPr>
              <w:t xml:space="preserve"> i tur</w:t>
            </w:r>
            <w:r w:rsidRPr="00A33B9F">
              <w:rPr>
                <w:rFonts w:ascii="Times New Roman" w:hAnsi="Times New Roman"/>
                <w:noProof/>
              </w:rPr>
              <w:t>ystyki, które zmodernizowały swoją działalność gospodarczą</w:t>
            </w:r>
          </w:p>
        </w:tc>
      </w:tr>
      <w:tr w:rsidR="00D8141F" w:rsidRPr="00A33B9F" w14:paraId="6DBDEAC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71D99D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5A4D32E" w14:textId="5DC57AA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A1.3.1 Wdrożenie reformy planowania</w:t>
            </w:r>
            <w:r w:rsidR="00A33B9F" w:rsidRPr="00A33B9F">
              <w:rPr>
                <w:rFonts w:ascii="Times New Roman" w:hAnsi="Times New Roman"/>
                <w:noProof/>
              </w:rPr>
              <w:t xml:space="preserve"> i zag</w:t>
            </w:r>
            <w:r w:rsidRPr="00A33B9F">
              <w:rPr>
                <w:rFonts w:ascii="Times New Roman" w:hAnsi="Times New Roman"/>
                <w:noProof/>
              </w:rPr>
              <w:t>ospodarowania przestrzennego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467D6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E44BAC5" w14:textId="4D28F07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Pracownicy samorządów</w:t>
            </w:r>
            <w:r w:rsidR="00A33B9F" w:rsidRPr="00A33B9F">
              <w:rPr>
                <w:rFonts w:ascii="Times New Roman" w:hAnsi="Times New Roman"/>
                <w:noProof/>
              </w:rPr>
              <w:t xml:space="preserve"> i pla</w:t>
            </w:r>
            <w:r w:rsidRPr="00A33B9F">
              <w:rPr>
                <w:rFonts w:ascii="Times New Roman" w:hAnsi="Times New Roman"/>
                <w:noProof/>
              </w:rPr>
              <w:t>niści przestrzenni terytorialnych, którzy ukończyli szkolenie dotyczące nowej ustawy</w:t>
            </w:r>
            <w:r w:rsidR="00A33B9F" w:rsidRPr="00A33B9F">
              <w:rPr>
                <w:rFonts w:ascii="Times New Roman" w:hAnsi="Times New Roman"/>
                <w:noProof/>
              </w:rPr>
              <w:t xml:space="preserve"> o pla</w:t>
            </w:r>
            <w:r w:rsidRPr="00A33B9F">
              <w:rPr>
                <w:rFonts w:ascii="Times New Roman" w:hAnsi="Times New Roman"/>
                <w:noProof/>
              </w:rPr>
              <w:t>nowaniu przestrzennym.</w:t>
            </w:r>
          </w:p>
        </w:tc>
      </w:tr>
      <w:tr w:rsidR="00D8141F" w:rsidRPr="00A33B9F" w14:paraId="13A432A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9E5FFD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94794C" w14:textId="155156F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A1.3.1 Wdrożenie reformy planowania</w:t>
            </w:r>
            <w:r w:rsidR="00A33B9F" w:rsidRPr="00A33B9F">
              <w:rPr>
                <w:rFonts w:ascii="Times New Roman" w:hAnsi="Times New Roman"/>
                <w:noProof/>
              </w:rPr>
              <w:t xml:space="preserve"> i zag</w:t>
            </w:r>
            <w:r w:rsidRPr="00A33B9F">
              <w:rPr>
                <w:rFonts w:ascii="Times New Roman" w:hAnsi="Times New Roman"/>
                <w:noProof/>
              </w:rPr>
              <w:t>ospodarowania przestrzennego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FE608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CA081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Odsetek gmin, które przyjęły ogólne plany zagospodarowania przestrzennego</w:t>
            </w:r>
          </w:p>
        </w:tc>
      </w:tr>
      <w:tr w:rsidR="00D8141F" w:rsidRPr="00A33B9F" w14:paraId="06ADB9D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D38905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05C7ED" w14:textId="413B4E6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A2.1.1 Inwestycje</w:t>
            </w:r>
            <w:r w:rsidR="00A33B9F" w:rsidRPr="00A33B9F">
              <w:rPr>
                <w:rFonts w:ascii="Times New Roman" w:hAnsi="Times New Roman"/>
                <w:noProof/>
              </w:rPr>
              <w:t xml:space="preserve"> w obs</w:t>
            </w:r>
            <w:r w:rsidRPr="00A33B9F">
              <w:rPr>
                <w:rFonts w:ascii="Times New Roman" w:hAnsi="Times New Roman"/>
                <w:noProof/>
              </w:rPr>
              <w:t>zarze robotyzacji</w:t>
            </w:r>
            <w:r w:rsidR="00A33B9F" w:rsidRPr="00A33B9F">
              <w:rPr>
                <w:rFonts w:ascii="Times New Roman" w:hAnsi="Times New Roman"/>
                <w:noProof/>
              </w:rPr>
              <w:t xml:space="preserve"> i cyf</w:t>
            </w:r>
            <w:r w:rsidRPr="00A33B9F">
              <w:rPr>
                <w:rFonts w:ascii="Times New Roman" w:hAnsi="Times New Roman"/>
                <w:noProof/>
              </w:rPr>
              <w:t>ryzacji</w:t>
            </w:r>
            <w:r w:rsidR="00A33B9F" w:rsidRPr="00A33B9F">
              <w:rPr>
                <w:rFonts w:ascii="Times New Roman" w:hAnsi="Times New Roman"/>
                <w:noProof/>
              </w:rPr>
              <w:t xml:space="preserve"> w prz</w:t>
            </w:r>
            <w:r w:rsidRPr="00A33B9F">
              <w:rPr>
                <w:rFonts w:ascii="Times New Roman" w:hAnsi="Times New Roman"/>
                <w:noProof/>
              </w:rPr>
              <w:t>edsiębiorstwach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D387A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4088A47" w14:textId="3A549B0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Realizacja projektów związanych</w:t>
            </w:r>
            <w:r w:rsidR="00A33B9F" w:rsidRPr="00A33B9F">
              <w:rPr>
                <w:rFonts w:ascii="Times New Roman" w:hAnsi="Times New Roman"/>
                <w:noProof/>
              </w:rPr>
              <w:t xml:space="preserve"> z rob</w:t>
            </w:r>
            <w:r w:rsidRPr="00A33B9F">
              <w:rPr>
                <w:rFonts w:ascii="Times New Roman" w:hAnsi="Times New Roman"/>
                <w:noProof/>
              </w:rPr>
              <w:t>otyzacją, sztuczną inteligencją lub transformacją cyfrową procesów, technologii, produktów lub usług</w:t>
            </w:r>
          </w:p>
        </w:tc>
      </w:tr>
      <w:tr w:rsidR="00D8141F" w:rsidRPr="00A33B9F" w14:paraId="31E0069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1BFEE5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B2722AC" w14:textId="4896423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A2.3.1 Rozbudowa</w:t>
            </w:r>
            <w:r w:rsidR="00A33B9F" w:rsidRPr="00A33B9F">
              <w:rPr>
                <w:rFonts w:ascii="Times New Roman" w:hAnsi="Times New Roman"/>
                <w:noProof/>
              </w:rPr>
              <w:t xml:space="preserve"> i wyp</w:t>
            </w:r>
            <w:r w:rsidRPr="00A33B9F">
              <w:rPr>
                <w:rFonts w:ascii="Times New Roman" w:hAnsi="Times New Roman"/>
                <w:noProof/>
              </w:rPr>
              <w:t>osażenie centrów kompetencji (specjalistyczne ośrodki szkoleniowe, wsparcie wdrożeń, centra monitorowania) oraz infrastruktura do zarządzania ruchem pojazdów bezzałogowych, jako Ekosystem Innowacji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69FAA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7C0934E" w14:textId="6C37C78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Lokalne centra</w:t>
            </w:r>
            <w:r w:rsidR="00A33B9F" w:rsidRPr="00A33B9F">
              <w:rPr>
                <w:rFonts w:ascii="Times New Roman" w:hAnsi="Times New Roman"/>
                <w:noProof/>
              </w:rPr>
              <w:t xml:space="preserve"> i inf</w:t>
            </w:r>
            <w:r w:rsidRPr="00A33B9F">
              <w:rPr>
                <w:rFonts w:ascii="Times New Roman" w:hAnsi="Times New Roman"/>
                <w:noProof/>
              </w:rPr>
              <w:t>rastruktura lokalna dla bezzałogowych statków powietrznych stworzone przez władze lokalne lub podmioty wyznaczone do obsługi na poziomie lokalnym</w:t>
            </w:r>
          </w:p>
        </w:tc>
      </w:tr>
      <w:tr w:rsidR="00D8141F" w:rsidRPr="00A33B9F" w14:paraId="4140DE4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A6A381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F74EC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A3.1.1 Wsparcie rozwoju nowoczesnego szkolenia zawodowego, szkolnictwa wyższego oraz uczenia się przez całe życie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5971D5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14E3B2C" w14:textId="2333E31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T3 – Zapewnienie umiejętności osobom uczącym się</w:t>
            </w:r>
            <w:r w:rsidR="00A33B9F" w:rsidRPr="00A33B9F">
              <w:rPr>
                <w:rFonts w:ascii="Times New Roman" w:hAnsi="Times New Roman"/>
                <w:noProof/>
              </w:rPr>
              <w:t xml:space="preserve"> w bra</w:t>
            </w:r>
            <w:r w:rsidRPr="00A33B9F">
              <w:rPr>
                <w:rFonts w:ascii="Times New Roman" w:hAnsi="Times New Roman"/>
                <w:noProof/>
              </w:rPr>
              <w:t>nżowych centrach umiejętności,</w:t>
            </w:r>
            <w:r w:rsidR="00A33B9F" w:rsidRPr="00A33B9F">
              <w:rPr>
                <w:rFonts w:ascii="Times New Roman" w:hAnsi="Times New Roman"/>
                <w:noProof/>
              </w:rPr>
              <w:t xml:space="preserve"> w tym</w:t>
            </w:r>
            <w:r w:rsidRPr="00A33B9F">
              <w:rPr>
                <w:rFonts w:ascii="Times New Roman" w:hAnsi="Times New Roman"/>
                <w:noProof/>
              </w:rPr>
              <w:t xml:space="preserve"> poświadczenie efektów uczenia się (umiejętności) wydawane</w:t>
            </w:r>
            <w:r w:rsidR="00A33B9F" w:rsidRPr="00A33B9F">
              <w:rPr>
                <w:rFonts w:ascii="Times New Roman" w:hAnsi="Times New Roman"/>
                <w:noProof/>
              </w:rPr>
              <w:t xml:space="preserve"> i uzn</w:t>
            </w:r>
            <w:r w:rsidRPr="00A33B9F">
              <w:rPr>
                <w:rFonts w:ascii="Times New Roman" w:hAnsi="Times New Roman"/>
                <w:noProof/>
              </w:rPr>
              <w:t>awane przez sektor</w:t>
            </w:r>
          </w:p>
        </w:tc>
      </w:tr>
      <w:tr w:rsidR="00D8141F" w:rsidRPr="00A33B9F" w14:paraId="1EA2936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09C14B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A61G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D3C943" w14:textId="58674E8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A4.2.1 Wsparcie placówek opieki nad dziećmi</w:t>
            </w:r>
            <w:r w:rsidR="00A33B9F" w:rsidRPr="00A33B9F">
              <w:rPr>
                <w:rFonts w:ascii="Times New Roman" w:hAnsi="Times New Roman"/>
                <w:noProof/>
              </w:rPr>
              <w:t xml:space="preserve"> w wie</w:t>
            </w:r>
            <w:r w:rsidRPr="00A33B9F">
              <w:rPr>
                <w:rFonts w:ascii="Times New Roman" w:hAnsi="Times New Roman"/>
                <w:noProof/>
              </w:rPr>
              <w:t>ku do trzech lat (żłobki, kluby dziecięce)</w:t>
            </w:r>
            <w:r w:rsidR="00A33B9F" w:rsidRPr="00A33B9F">
              <w:rPr>
                <w:rFonts w:ascii="Times New Roman" w:hAnsi="Times New Roman"/>
                <w:noProof/>
              </w:rPr>
              <w:t xml:space="preserve"> w ram</w:t>
            </w:r>
            <w:r w:rsidRPr="00A33B9F">
              <w:rPr>
                <w:rFonts w:ascii="Times New Roman" w:hAnsi="Times New Roman"/>
                <w:noProof/>
              </w:rPr>
              <w:t>ach programu MALUCH+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DDCD0E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B470548" w14:textId="52F340E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Tworzenie nowych miejsc</w:t>
            </w:r>
            <w:r w:rsidR="00A33B9F" w:rsidRPr="00A33B9F">
              <w:rPr>
                <w:rFonts w:ascii="Times New Roman" w:hAnsi="Times New Roman"/>
                <w:noProof/>
              </w:rPr>
              <w:t xml:space="preserve"> w pla</w:t>
            </w:r>
            <w:r w:rsidRPr="00A33B9F">
              <w:rPr>
                <w:rFonts w:ascii="Times New Roman" w:hAnsi="Times New Roman"/>
                <w:noProof/>
              </w:rPr>
              <w:t>cówkach opieki nad dziećmi (żłobkach, klubach dziecięcych) dla dzieci</w:t>
            </w:r>
            <w:r w:rsidR="00A33B9F" w:rsidRPr="00A33B9F">
              <w:rPr>
                <w:rFonts w:ascii="Times New Roman" w:hAnsi="Times New Roman"/>
                <w:noProof/>
              </w:rPr>
              <w:t xml:space="preserve"> w wie</w:t>
            </w:r>
            <w:r w:rsidRPr="00A33B9F">
              <w:rPr>
                <w:rFonts w:ascii="Times New Roman" w:hAnsi="Times New Roman"/>
                <w:noProof/>
              </w:rPr>
              <w:t>ku do lat trzech</w:t>
            </w:r>
          </w:p>
        </w:tc>
      </w:tr>
      <w:tr w:rsidR="00D8141F" w:rsidRPr="00A33B9F" w14:paraId="24D15C5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DFE37E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CB27B91" w14:textId="4B2DD41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B1.1.1 Inwestycje</w:t>
            </w:r>
            <w:r w:rsidR="00A33B9F" w:rsidRPr="00A33B9F">
              <w:rPr>
                <w:rFonts w:ascii="Times New Roman" w:hAnsi="Times New Roman"/>
                <w:noProof/>
              </w:rPr>
              <w:t xml:space="preserve"> w źró</w:t>
            </w:r>
            <w:r w:rsidRPr="00A33B9F">
              <w:rPr>
                <w:rFonts w:ascii="Times New Roman" w:hAnsi="Times New Roman"/>
                <w:noProof/>
              </w:rPr>
              <w:t>dła ciepła</w:t>
            </w:r>
            <w:r w:rsidR="00A33B9F" w:rsidRPr="00A33B9F">
              <w:rPr>
                <w:rFonts w:ascii="Times New Roman" w:hAnsi="Times New Roman"/>
                <w:noProof/>
              </w:rPr>
              <w:t xml:space="preserve"> w sys</w:t>
            </w:r>
            <w:r w:rsidRPr="00A33B9F">
              <w:rPr>
                <w:rFonts w:ascii="Times New Roman" w:hAnsi="Times New Roman"/>
                <w:noProof/>
              </w:rPr>
              <w:t>temach ciepłowniczych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3B58C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CA4BFA" w14:textId="684B3E8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Źródła ciepła</w:t>
            </w:r>
            <w:r w:rsidR="00A33B9F" w:rsidRPr="00A33B9F">
              <w:rPr>
                <w:rFonts w:ascii="Times New Roman" w:hAnsi="Times New Roman"/>
                <w:noProof/>
              </w:rPr>
              <w:t xml:space="preserve"> w sys</w:t>
            </w:r>
            <w:r w:rsidRPr="00A33B9F">
              <w:rPr>
                <w:rFonts w:ascii="Times New Roman" w:hAnsi="Times New Roman"/>
                <w:noProof/>
              </w:rPr>
              <w:t>temach ciepłowniczych</w:t>
            </w:r>
          </w:p>
        </w:tc>
      </w:tr>
      <w:tr w:rsidR="00D8141F" w:rsidRPr="00A33B9F" w14:paraId="2D1B098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ED010A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F1BC676" w14:textId="63A4339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B1.1.2 Wymiana źródeł ciepła</w:t>
            </w:r>
            <w:r w:rsidR="00A33B9F" w:rsidRPr="00A33B9F">
              <w:rPr>
                <w:rFonts w:ascii="Times New Roman" w:hAnsi="Times New Roman"/>
                <w:noProof/>
              </w:rPr>
              <w:t xml:space="preserve"> i pop</w:t>
            </w:r>
            <w:r w:rsidRPr="00A33B9F">
              <w:rPr>
                <w:rFonts w:ascii="Times New Roman" w:hAnsi="Times New Roman"/>
                <w:noProof/>
              </w:rPr>
              <w:t>rawa efektywności energetycznej</w:t>
            </w:r>
            <w:r w:rsidR="00A33B9F" w:rsidRPr="00A33B9F">
              <w:rPr>
                <w:rFonts w:ascii="Times New Roman" w:hAnsi="Times New Roman"/>
                <w:noProof/>
              </w:rPr>
              <w:t xml:space="preserve"> w bud</w:t>
            </w:r>
            <w:r w:rsidRPr="00A33B9F">
              <w:rPr>
                <w:rFonts w:ascii="Times New Roman" w:hAnsi="Times New Roman"/>
                <w:noProof/>
              </w:rPr>
              <w:t>ynkach mieszkalnych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799770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774EE8" w14:textId="03687AD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Wymiana źródeł ciepła</w:t>
            </w:r>
            <w:r w:rsidR="00A33B9F" w:rsidRPr="00A33B9F">
              <w:rPr>
                <w:rFonts w:ascii="Times New Roman" w:hAnsi="Times New Roman"/>
                <w:noProof/>
              </w:rPr>
              <w:t xml:space="preserve"> w bud</w:t>
            </w:r>
            <w:r w:rsidRPr="00A33B9F">
              <w:rPr>
                <w:rFonts w:ascii="Times New Roman" w:hAnsi="Times New Roman"/>
                <w:noProof/>
              </w:rPr>
              <w:t>ynkach jednorodzinnych</w:t>
            </w:r>
          </w:p>
        </w:tc>
      </w:tr>
      <w:tr w:rsidR="00D8141F" w:rsidRPr="00A33B9F" w14:paraId="1AA0B51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14A35F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70468F2" w14:textId="4F6254B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B1.1.2 Wymiana źródeł ciepła</w:t>
            </w:r>
            <w:r w:rsidR="00A33B9F" w:rsidRPr="00A33B9F">
              <w:rPr>
                <w:rFonts w:ascii="Times New Roman" w:hAnsi="Times New Roman"/>
                <w:noProof/>
              </w:rPr>
              <w:t xml:space="preserve"> i pop</w:t>
            </w:r>
            <w:r w:rsidRPr="00A33B9F">
              <w:rPr>
                <w:rFonts w:ascii="Times New Roman" w:hAnsi="Times New Roman"/>
                <w:noProof/>
              </w:rPr>
              <w:t>rawa efektywności energetycznej</w:t>
            </w:r>
            <w:r w:rsidR="00A33B9F" w:rsidRPr="00A33B9F">
              <w:rPr>
                <w:rFonts w:ascii="Times New Roman" w:hAnsi="Times New Roman"/>
                <w:noProof/>
              </w:rPr>
              <w:t xml:space="preserve"> w bud</w:t>
            </w:r>
            <w:r w:rsidRPr="00A33B9F">
              <w:rPr>
                <w:rFonts w:ascii="Times New Roman" w:hAnsi="Times New Roman"/>
                <w:noProof/>
              </w:rPr>
              <w:t>ynkach mieszkalnych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3AD23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E9EBC0B" w14:textId="481896B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Termomodernizacja</w:t>
            </w:r>
            <w:r w:rsidR="00A33B9F" w:rsidRPr="00A33B9F">
              <w:rPr>
                <w:rFonts w:ascii="Times New Roman" w:hAnsi="Times New Roman"/>
                <w:noProof/>
              </w:rPr>
              <w:t xml:space="preserve"> i ins</w:t>
            </w:r>
            <w:r w:rsidRPr="00A33B9F">
              <w:rPr>
                <w:rFonts w:ascii="Times New Roman" w:hAnsi="Times New Roman"/>
                <w:noProof/>
              </w:rPr>
              <w:t>talacja odnawialnych źródeł energii</w:t>
            </w:r>
            <w:r w:rsidR="00A33B9F" w:rsidRPr="00A33B9F">
              <w:rPr>
                <w:rFonts w:ascii="Times New Roman" w:hAnsi="Times New Roman"/>
                <w:noProof/>
              </w:rPr>
              <w:t xml:space="preserve"> w bud</w:t>
            </w:r>
            <w:r w:rsidRPr="00A33B9F">
              <w:rPr>
                <w:rFonts w:ascii="Times New Roman" w:hAnsi="Times New Roman"/>
                <w:noProof/>
              </w:rPr>
              <w:t>ynkach mieszkalnych (budynki jedno-</w:t>
            </w:r>
            <w:r w:rsidR="00A33B9F" w:rsidRPr="00A33B9F">
              <w:rPr>
                <w:rFonts w:ascii="Times New Roman" w:hAnsi="Times New Roman"/>
                <w:noProof/>
              </w:rPr>
              <w:t xml:space="preserve"> i wie</w:t>
            </w:r>
            <w:r w:rsidRPr="00A33B9F">
              <w:rPr>
                <w:rFonts w:ascii="Times New Roman" w:hAnsi="Times New Roman"/>
                <w:noProof/>
              </w:rPr>
              <w:t>lorodzinne)</w:t>
            </w:r>
          </w:p>
        </w:tc>
      </w:tr>
      <w:tr w:rsidR="00D8141F" w:rsidRPr="00A33B9F" w14:paraId="2625CFD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25039A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AC10C1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B1.1.3 Termomodernizacja szkół</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AF9513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AE7E08" w14:textId="7EEE340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Zmodernizowane lub wymienione źródła ciepła spełniające wymogi dotyczące stosowania zasady „nie czyń poważnych szkód”</w:t>
            </w:r>
            <w:r w:rsidR="00A33B9F" w:rsidRPr="00A33B9F">
              <w:rPr>
                <w:rFonts w:ascii="Times New Roman" w:hAnsi="Times New Roman"/>
                <w:noProof/>
              </w:rPr>
              <w:t xml:space="preserve"> w bud</w:t>
            </w:r>
            <w:r w:rsidRPr="00A33B9F">
              <w:rPr>
                <w:rFonts w:ascii="Times New Roman" w:hAnsi="Times New Roman"/>
                <w:noProof/>
              </w:rPr>
              <w:t>ynkach instytucji edukacyjnych (w ramach podpisanych umów)</w:t>
            </w:r>
          </w:p>
        </w:tc>
      </w:tr>
      <w:tr w:rsidR="00D8141F" w:rsidRPr="00A33B9F" w14:paraId="2A62227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3A2A01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0E4E61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B1.1.3 Termomodernizacja szkół</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5C596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9DF663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Poddane termomodernizacji budynki instytucji edukacyjnych (w ramach podpisanych umów)</w:t>
            </w:r>
          </w:p>
        </w:tc>
      </w:tr>
      <w:tr w:rsidR="00D8141F" w:rsidRPr="00A33B9F" w14:paraId="1AC778F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1D186E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30101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B1.1.4 Wzmocnienie efektywności energetycznej obiektów lokalnej aktywności społecznej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4E5746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1B07D65" w14:textId="442BA60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Obiekty aktywności społecznej,</w:t>
            </w:r>
            <w:r w:rsidR="00A33B9F" w:rsidRPr="00A33B9F">
              <w:rPr>
                <w:rFonts w:ascii="Times New Roman" w:hAnsi="Times New Roman"/>
                <w:noProof/>
              </w:rPr>
              <w:t xml:space="preserve"> w któ</w:t>
            </w:r>
            <w:r w:rsidRPr="00A33B9F">
              <w:rPr>
                <w:rFonts w:ascii="Times New Roman" w:hAnsi="Times New Roman"/>
                <w:noProof/>
              </w:rPr>
              <w:t>rych nieefektywne źródła ciepła wykorzystujące paliwa stałe wymieniono na nowoczesne źródła ciepła spełniające wymogi dotyczące stosowania zasady „nie czyń poważnych szkód”</w:t>
            </w:r>
          </w:p>
        </w:tc>
      </w:tr>
      <w:tr w:rsidR="00D8141F" w:rsidRPr="00A33B9F" w14:paraId="4A39073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17762B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C138E15"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B1.1.4 Wzmocnienie efektywności energetycznej obiektów lokalnej aktywności społecznej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53E6FB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502F7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Obiekty aktywności społecznej poddane termomodernizacji</w:t>
            </w:r>
          </w:p>
        </w:tc>
      </w:tr>
      <w:tr w:rsidR="00D8141F" w:rsidRPr="00A33B9F" w14:paraId="2556070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8D600C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E79BB2" w14:textId="3C82DC1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B2.1.1. Inwestycje</w:t>
            </w:r>
            <w:r w:rsidR="00A33B9F" w:rsidRPr="00A33B9F">
              <w:rPr>
                <w:rFonts w:ascii="Times New Roman" w:hAnsi="Times New Roman"/>
                <w:noProof/>
              </w:rPr>
              <w:t xml:space="preserve"> w tec</w:t>
            </w:r>
            <w:r w:rsidRPr="00A33B9F">
              <w:rPr>
                <w:rFonts w:ascii="Times New Roman" w:hAnsi="Times New Roman"/>
                <w:noProof/>
              </w:rPr>
              <w:t>hnologie wodorowe, wytwarzanie, magazynowanie</w:t>
            </w:r>
            <w:r w:rsidR="00A33B9F" w:rsidRPr="00A33B9F">
              <w:rPr>
                <w:rFonts w:ascii="Times New Roman" w:hAnsi="Times New Roman"/>
                <w:noProof/>
              </w:rPr>
              <w:t xml:space="preserve"> i tra</w:t>
            </w:r>
            <w:r w:rsidRPr="00A33B9F">
              <w:rPr>
                <w:rFonts w:ascii="Times New Roman" w:hAnsi="Times New Roman"/>
                <w:noProof/>
              </w:rPr>
              <w:t>nsport wodoru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4CBC4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DED31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Uruchomienie stacji tankowania wodoru</w:t>
            </w:r>
          </w:p>
        </w:tc>
      </w:tr>
      <w:tr w:rsidR="00D8141F" w:rsidRPr="00A33B9F" w14:paraId="308D908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0579AC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BDA00A9" w14:textId="2D04746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B2.1.1. Inwestycje</w:t>
            </w:r>
            <w:r w:rsidR="00A33B9F" w:rsidRPr="00A33B9F">
              <w:rPr>
                <w:rFonts w:ascii="Times New Roman" w:hAnsi="Times New Roman"/>
                <w:noProof/>
              </w:rPr>
              <w:t xml:space="preserve"> w tec</w:t>
            </w:r>
            <w:r w:rsidRPr="00A33B9F">
              <w:rPr>
                <w:rFonts w:ascii="Times New Roman" w:hAnsi="Times New Roman"/>
                <w:noProof/>
              </w:rPr>
              <w:t>hnologie wodorowe, wytwarzanie, magazynowanie</w:t>
            </w:r>
            <w:r w:rsidR="00A33B9F" w:rsidRPr="00A33B9F">
              <w:rPr>
                <w:rFonts w:ascii="Times New Roman" w:hAnsi="Times New Roman"/>
                <w:noProof/>
              </w:rPr>
              <w:t xml:space="preserve"> i tra</w:t>
            </w:r>
            <w:r w:rsidRPr="00A33B9F">
              <w:rPr>
                <w:rFonts w:ascii="Times New Roman" w:hAnsi="Times New Roman"/>
                <w:noProof/>
              </w:rPr>
              <w:t>nsport wodoru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58461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867D9B" w14:textId="662BD1E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Projekty dotyczące badań naukowych</w:t>
            </w:r>
            <w:r w:rsidR="00A33B9F" w:rsidRPr="00A33B9F">
              <w:rPr>
                <w:rFonts w:ascii="Times New Roman" w:hAnsi="Times New Roman"/>
                <w:noProof/>
              </w:rPr>
              <w:t xml:space="preserve"> i inn</w:t>
            </w:r>
            <w:r w:rsidRPr="00A33B9F">
              <w:rPr>
                <w:rFonts w:ascii="Times New Roman" w:hAnsi="Times New Roman"/>
                <w:noProof/>
              </w:rPr>
              <w:t>owacji</w:t>
            </w:r>
            <w:r w:rsidR="00A33B9F" w:rsidRPr="00A33B9F">
              <w:rPr>
                <w:rFonts w:ascii="Times New Roman" w:hAnsi="Times New Roman"/>
                <w:noProof/>
              </w:rPr>
              <w:t xml:space="preserve"> w zak</w:t>
            </w:r>
            <w:r w:rsidRPr="00A33B9F">
              <w:rPr>
                <w:rFonts w:ascii="Times New Roman" w:hAnsi="Times New Roman"/>
                <w:noProof/>
              </w:rPr>
              <w:t>resie budowy innowacyjnych jednostek transportowych zasilanych wodorem</w:t>
            </w:r>
          </w:p>
        </w:tc>
      </w:tr>
      <w:tr w:rsidR="00D8141F" w:rsidRPr="00A33B9F" w14:paraId="2D8A69F4"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1EF6AFB"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B21dG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8E7FF65" w14:textId="6AB160DC"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B2.1.1. Inwestycje</w:t>
            </w:r>
            <w:r w:rsidR="00A33B9F" w:rsidRPr="00A33B9F">
              <w:rPr>
                <w:rFonts w:ascii="Times New Roman" w:hAnsi="Times New Roman"/>
                <w:noProof/>
                <w:color w:val="000000" w:themeColor="text1"/>
              </w:rPr>
              <w:t xml:space="preserve"> w tec</w:t>
            </w:r>
            <w:r w:rsidRPr="00A33B9F">
              <w:rPr>
                <w:rFonts w:ascii="Times New Roman" w:hAnsi="Times New Roman"/>
                <w:noProof/>
                <w:color w:val="000000" w:themeColor="text1"/>
              </w:rPr>
              <w:t>hnologie wodorowe, wytwarzanie, magazynowanie</w:t>
            </w:r>
            <w:r w:rsidR="00A33B9F" w:rsidRPr="00A33B9F">
              <w:rPr>
                <w:rFonts w:ascii="Times New Roman" w:hAnsi="Times New Roman"/>
                <w:noProof/>
                <w:color w:val="000000" w:themeColor="text1"/>
              </w:rPr>
              <w:t xml:space="preserve"> i tra</w:t>
            </w:r>
            <w:r w:rsidRPr="00A33B9F">
              <w:rPr>
                <w:rFonts w:ascii="Times New Roman" w:hAnsi="Times New Roman"/>
                <w:noProof/>
                <w:color w:val="000000" w:themeColor="text1"/>
              </w:rPr>
              <w:t>nsport wodoru</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73D81DD"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color w:val="000000" w:themeColor="text1"/>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DABA94B" w14:textId="626316F8" w:rsidR="00D8141F" w:rsidRPr="00A33B9F" w:rsidRDefault="00D8141F" w:rsidP="00753103">
            <w:pPr>
              <w:spacing w:line="240" w:lineRule="auto"/>
              <w:rPr>
                <w:rFonts w:ascii="Times New Roman" w:hAnsi="Times New Roman"/>
                <w:noProof/>
                <w:szCs w:val="28"/>
              </w:rPr>
            </w:pPr>
            <w:r w:rsidRPr="00A33B9F">
              <w:rPr>
                <w:rStyle w:val="normaltextrun"/>
                <w:rFonts w:ascii="Times New Roman" w:hAnsi="Times New Roman"/>
                <w:noProof/>
              </w:rPr>
              <w:t>Umowy prawne podpisane</w:t>
            </w:r>
            <w:r w:rsidR="00A33B9F" w:rsidRPr="00A33B9F">
              <w:rPr>
                <w:rStyle w:val="normaltextrun"/>
                <w:rFonts w:ascii="Times New Roman" w:hAnsi="Times New Roman"/>
                <w:noProof/>
              </w:rPr>
              <w:t xml:space="preserve"> z ben</w:t>
            </w:r>
            <w:r w:rsidRPr="00A33B9F">
              <w:rPr>
                <w:rStyle w:val="normaltextrun"/>
                <w:rFonts w:ascii="Times New Roman" w:hAnsi="Times New Roman"/>
                <w:noProof/>
              </w:rPr>
              <w:t>eficjentami końcowymi</w:t>
            </w:r>
            <w:r w:rsidRPr="00A33B9F">
              <w:rPr>
                <w:rStyle w:val="eop"/>
                <w:rFonts w:ascii="Times New Roman" w:hAnsi="Times New Roman"/>
                <w:noProof/>
              </w:rPr>
              <w:t xml:space="preserve"> </w:t>
            </w:r>
          </w:p>
        </w:tc>
      </w:tr>
      <w:tr w:rsidR="00D8141F" w:rsidRPr="00A33B9F" w14:paraId="35F9BE04"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20F88F6"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B21eG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9061E9C" w14:textId="2BB5FCD8" w:rsidR="00D8141F" w:rsidRPr="00A33B9F" w:rsidRDefault="00D8141F" w:rsidP="00753103">
            <w:pPr>
              <w:spacing w:line="240" w:lineRule="auto"/>
              <w:rPr>
                <w:rFonts w:ascii="Times New Roman" w:hAnsi="Times New Roman"/>
                <w:noProof/>
                <w:color w:val="000000" w:themeColor="text1"/>
                <w:szCs w:val="28"/>
              </w:rPr>
            </w:pPr>
            <w:r w:rsidRPr="00A33B9F">
              <w:rPr>
                <w:rFonts w:ascii="Times New Roman" w:hAnsi="Times New Roman"/>
                <w:noProof/>
                <w:color w:val="000000" w:themeColor="text1"/>
              </w:rPr>
              <w:t>B2.1.1. Inwestycje</w:t>
            </w:r>
            <w:r w:rsidR="00A33B9F" w:rsidRPr="00A33B9F">
              <w:rPr>
                <w:rFonts w:ascii="Times New Roman" w:hAnsi="Times New Roman"/>
                <w:noProof/>
                <w:color w:val="000000" w:themeColor="text1"/>
              </w:rPr>
              <w:t xml:space="preserve"> w tec</w:t>
            </w:r>
            <w:r w:rsidRPr="00A33B9F">
              <w:rPr>
                <w:rFonts w:ascii="Times New Roman" w:hAnsi="Times New Roman"/>
                <w:noProof/>
                <w:color w:val="000000" w:themeColor="text1"/>
              </w:rPr>
              <w:t>hnologie wodorowe, wytwarzanie, magazynowanie</w:t>
            </w:r>
            <w:r w:rsidR="00A33B9F" w:rsidRPr="00A33B9F">
              <w:rPr>
                <w:rFonts w:ascii="Times New Roman" w:hAnsi="Times New Roman"/>
                <w:noProof/>
                <w:color w:val="000000" w:themeColor="text1"/>
              </w:rPr>
              <w:t xml:space="preserve"> i tra</w:t>
            </w:r>
            <w:r w:rsidRPr="00A33B9F">
              <w:rPr>
                <w:rFonts w:ascii="Times New Roman" w:hAnsi="Times New Roman"/>
                <w:noProof/>
                <w:color w:val="000000" w:themeColor="text1"/>
              </w:rPr>
              <w:t>nsport wodoru</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D106F7" w14:textId="11B27A19" w:rsidR="00D8141F" w:rsidRPr="00A33B9F" w:rsidRDefault="00D8141F" w:rsidP="00753103">
            <w:pPr>
              <w:spacing w:line="240" w:lineRule="auto"/>
              <w:jc w:val="center"/>
              <w:rPr>
                <w:rFonts w:ascii="Times New Roman" w:hAnsi="Times New Roman"/>
                <w:noProof/>
                <w:color w:val="000000" w:themeColor="text1"/>
                <w:szCs w:val="28"/>
              </w:rPr>
            </w:pPr>
            <w:r w:rsidRPr="00A33B9F">
              <w:rPr>
                <w:rFonts w:ascii="Times New Roman" w:hAnsi="Times New Roman"/>
                <w:noProof/>
                <w:color w:val="000000" w:themeColor="text1"/>
              </w:rPr>
              <w:t>Kamień milowy</w:t>
            </w:r>
            <w:r w:rsidR="00C3621A" w:rsidRPr="00A33B9F">
              <w:rPr>
                <w:rFonts w:ascii="Times New Roman" w:hAnsi="Times New Roman"/>
                <w:noProof/>
                <w:color w:val="000000" w:themeColor="text1"/>
              </w:rPr>
              <w:t xml:space="preserve">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004DF5C" w14:textId="77777777" w:rsidR="00D8141F" w:rsidRPr="00A33B9F" w:rsidRDefault="00D8141F" w:rsidP="00753103">
            <w:pPr>
              <w:spacing w:line="240" w:lineRule="auto"/>
              <w:rPr>
                <w:rStyle w:val="normaltextrun"/>
                <w:rFonts w:ascii="Times New Roman" w:hAnsi="Times New Roman"/>
                <w:noProof/>
                <w:szCs w:val="28"/>
              </w:rPr>
            </w:pPr>
            <w:r w:rsidRPr="00A33B9F">
              <w:rPr>
                <w:rStyle w:val="normaltextrun"/>
                <w:rFonts w:ascii="Times New Roman" w:hAnsi="Times New Roman"/>
                <w:noProof/>
              </w:rPr>
              <w:t>Ministerstwo zakończyło inwestycję</w:t>
            </w:r>
            <w:r w:rsidRPr="00A33B9F">
              <w:rPr>
                <w:rStyle w:val="eop"/>
                <w:rFonts w:ascii="Times New Roman" w:hAnsi="Times New Roman"/>
                <w:noProof/>
              </w:rPr>
              <w:t xml:space="preserve"> </w:t>
            </w:r>
          </w:p>
        </w:tc>
      </w:tr>
      <w:tr w:rsidR="00D8141F" w:rsidRPr="00A33B9F" w14:paraId="56C1CE3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8FB6104" w14:textId="77777777" w:rsidR="00D8141F" w:rsidRPr="00A33B9F" w:rsidRDefault="00D8141F" w:rsidP="00753103">
            <w:pPr>
              <w:spacing w:line="240" w:lineRule="auto"/>
              <w:jc w:val="center"/>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EC5ADD1"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0AA2330" w14:textId="77777777" w:rsidR="00D8141F" w:rsidRPr="00A33B9F" w:rsidRDefault="00D8141F" w:rsidP="00753103">
            <w:pPr>
              <w:spacing w:line="240" w:lineRule="auto"/>
              <w:jc w:val="center"/>
              <w:rPr>
                <w:rFonts w:ascii="Times New Roman" w:eastAsia="Times New Roman" w:hAnsi="Times New Roman" w:cs="Times New Roman"/>
                <w:noProof/>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A14B072" w14:textId="77777777" w:rsidR="00D8141F" w:rsidRPr="00A33B9F" w:rsidRDefault="00D8141F" w:rsidP="00753103">
            <w:pPr>
              <w:spacing w:line="240" w:lineRule="auto"/>
              <w:rPr>
                <w:rFonts w:ascii="Times New Roman" w:eastAsia="Times New Roman" w:hAnsi="Times New Roman" w:cs="Times New Roman"/>
                <w:noProof/>
              </w:rPr>
            </w:pPr>
          </w:p>
        </w:tc>
      </w:tr>
      <w:tr w:rsidR="00D8141F" w:rsidRPr="00A33B9F" w14:paraId="1B4C0C6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4120FA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B37G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EEEEB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B2.2.3 Budowa infrastruktury terminalowej </w:t>
            </w:r>
            <w:r w:rsidRPr="00A33B9F">
              <w:rPr>
                <w:rFonts w:ascii="Times New Roman" w:hAnsi="Times New Roman"/>
                <w:i/>
                <w:noProof/>
              </w:rPr>
              <w:t>offshore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04941D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56FC101"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Budowa terminalu instalacyjnego </w:t>
            </w:r>
            <w:r w:rsidRPr="00A33B9F">
              <w:rPr>
                <w:rFonts w:ascii="Times New Roman" w:hAnsi="Times New Roman"/>
                <w:i/>
                <w:noProof/>
              </w:rPr>
              <w:t>offshore</w:t>
            </w:r>
          </w:p>
        </w:tc>
      </w:tr>
      <w:tr w:rsidR="00D8141F" w:rsidRPr="00A33B9F" w14:paraId="3C22A32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F85428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B38G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563731"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B2.2.3 Budowa infrastruktury terminalowej </w:t>
            </w:r>
            <w:r w:rsidRPr="00A33B9F">
              <w:rPr>
                <w:rFonts w:ascii="Times New Roman" w:hAnsi="Times New Roman"/>
                <w:i/>
                <w:noProof/>
              </w:rPr>
              <w:t>offshore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490403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CFB9F7F" w14:textId="5F4E233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Budowa morskiego terminalu serwisowego</w:t>
            </w:r>
            <w:r w:rsidR="00A33B9F" w:rsidRPr="00A33B9F">
              <w:rPr>
                <w:rFonts w:ascii="Times New Roman" w:hAnsi="Times New Roman"/>
                <w:noProof/>
              </w:rPr>
              <w:t xml:space="preserve"> w Łeb</w:t>
            </w:r>
            <w:r w:rsidRPr="00A33B9F">
              <w:rPr>
                <w:rFonts w:ascii="Times New Roman" w:hAnsi="Times New Roman"/>
                <w:noProof/>
              </w:rPr>
              <w:t>ie</w:t>
            </w:r>
            <w:r w:rsidR="00A33B9F" w:rsidRPr="00A33B9F">
              <w:rPr>
                <w:rFonts w:ascii="Times New Roman" w:hAnsi="Times New Roman"/>
                <w:noProof/>
              </w:rPr>
              <w:t xml:space="preserve"> i Ust</w:t>
            </w:r>
            <w:r w:rsidRPr="00A33B9F">
              <w:rPr>
                <w:rFonts w:ascii="Times New Roman" w:hAnsi="Times New Roman"/>
                <w:noProof/>
              </w:rPr>
              <w:t>ce</w:t>
            </w:r>
          </w:p>
        </w:tc>
      </w:tr>
      <w:tr w:rsidR="00D8141F" w:rsidRPr="00A33B9F" w14:paraId="4CEC02C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7DADF9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2C0B9C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C1.1.1 Zapewnienie dostępu do bardzo szybkiego internetu na obszarach białych plam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A43F9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2963F2" w14:textId="674FFE1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T3 – Dodatkowe gospodarstwa domowe (lokale mieszkalne)</w:t>
            </w:r>
            <w:r w:rsidR="00A33B9F" w:rsidRPr="00A33B9F">
              <w:rPr>
                <w:rFonts w:ascii="Times New Roman" w:hAnsi="Times New Roman"/>
                <w:noProof/>
              </w:rPr>
              <w:t xml:space="preserve"> z sze</w:t>
            </w:r>
            <w:r w:rsidRPr="00A33B9F">
              <w:rPr>
                <w:rFonts w:ascii="Times New Roman" w:hAnsi="Times New Roman"/>
                <w:noProof/>
              </w:rPr>
              <w:t>rokopasmowym dostępem do internetu</w:t>
            </w:r>
            <w:r w:rsidR="00A33B9F" w:rsidRPr="00A33B9F">
              <w:rPr>
                <w:rFonts w:ascii="Times New Roman" w:hAnsi="Times New Roman"/>
                <w:noProof/>
              </w:rPr>
              <w:t xml:space="preserve"> o prz</w:t>
            </w:r>
            <w:r w:rsidRPr="00A33B9F">
              <w:rPr>
                <w:rFonts w:ascii="Times New Roman" w:hAnsi="Times New Roman"/>
                <w:noProof/>
              </w:rPr>
              <w:t>epustowości co najmniej 100 Mb/s (z możliwością jej zwiększenia do prędkości mierzonych w Gb/s)</w:t>
            </w:r>
          </w:p>
        </w:tc>
      </w:tr>
      <w:tr w:rsidR="00D8141F" w:rsidRPr="00A33B9F" w14:paraId="2F782E2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53320D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7F0FA6" w14:textId="624DD23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C2.1.1 E-usługi publiczne, rozwiązania IT usprawniające funkcjonowanie sektorów gospodarki oraz technologie przełomowe</w:t>
            </w:r>
            <w:r w:rsidR="00A33B9F" w:rsidRPr="00A33B9F">
              <w:rPr>
                <w:rFonts w:ascii="Times New Roman" w:hAnsi="Times New Roman"/>
                <w:noProof/>
              </w:rPr>
              <w:t xml:space="preserve"> w sek</w:t>
            </w:r>
            <w:r w:rsidRPr="00A33B9F">
              <w:rPr>
                <w:rFonts w:ascii="Times New Roman" w:hAnsi="Times New Roman"/>
                <w:noProof/>
              </w:rPr>
              <w:t>torze publicznym, gospodarce</w:t>
            </w:r>
            <w:r w:rsidR="00A33B9F" w:rsidRPr="00A33B9F">
              <w:rPr>
                <w:rFonts w:ascii="Times New Roman" w:hAnsi="Times New Roman"/>
                <w:noProof/>
              </w:rPr>
              <w:t xml:space="preserve"> i spo</w:t>
            </w:r>
            <w:r w:rsidRPr="00A33B9F">
              <w:rPr>
                <w:rFonts w:ascii="Times New Roman" w:hAnsi="Times New Roman"/>
                <w:noProof/>
              </w:rPr>
              <w:t>łeczeństwie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883AB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340FEB5" w14:textId="30882EF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Projekty polegające na tworzeniu nowych</w:t>
            </w:r>
            <w:r w:rsidR="00A33B9F" w:rsidRPr="00A33B9F">
              <w:rPr>
                <w:rFonts w:ascii="Times New Roman" w:hAnsi="Times New Roman"/>
                <w:noProof/>
              </w:rPr>
              <w:t xml:space="preserve"> i mod</w:t>
            </w:r>
            <w:r w:rsidRPr="00A33B9F">
              <w:rPr>
                <w:rFonts w:ascii="Times New Roman" w:hAnsi="Times New Roman"/>
                <w:noProof/>
              </w:rPr>
              <w:t>ernizacji istniejących e-usług, usprawnianiu procesu ich tworzenia lub usprawnianiu obsługi procesów</w:t>
            </w:r>
            <w:r w:rsidR="00A33B9F" w:rsidRPr="00A33B9F">
              <w:rPr>
                <w:rFonts w:ascii="Times New Roman" w:hAnsi="Times New Roman"/>
                <w:noProof/>
              </w:rPr>
              <w:t xml:space="preserve"> z pom</w:t>
            </w:r>
            <w:r w:rsidRPr="00A33B9F">
              <w:rPr>
                <w:rFonts w:ascii="Times New Roman" w:hAnsi="Times New Roman"/>
                <w:noProof/>
              </w:rPr>
              <w:t>ocą digitalizacji</w:t>
            </w:r>
          </w:p>
        </w:tc>
      </w:tr>
      <w:tr w:rsidR="00D8141F" w:rsidRPr="00A33B9F" w14:paraId="0AA26F66"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08EBA06"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C13aG</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8352B1" w14:textId="30849EB2"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C2.1.1 E-usługi publiczne, rozwiązania IT usprawniające funkcjonowanie administracji</w:t>
            </w:r>
            <w:r w:rsidR="00A33B9F" w:rsidRPr="00A33B9F">
              <w:rPr>
                <w:rFonts w:ascii="Times New Roman" w:hAnsi="Times New Roman"/>
                <w:noProof/>
                <w:color w:val="000000" w:themeColor="text1"/>
              </w:rPr>
              <w:t xml:space="preserve"> i sek</w:t>
            </w:r>
            <w:r w:rsidRPr="00A33B9F">
              <w:rPr>
                <w:rFonts w:ascii="Times New Roman" w:hAnsi="Times New Roman"/>
                <w:noProof/>
                <w:color w:val="000000" w:themeColor="text1"/>
              </w:rPr>
              <w:t>torów gospodarki oraz technologie przełomowe</w:t>
            </w:r>
            <w:r w:rsidR="00A33B9F" w:rsidRPr="00A33B9F">
              <w:rPr>
                <w:rFonts w:ascii="Times New Roman" w:hAnsi="Times New Roman"/>
                <w:noProof/>
                <w:color w:val="000000" w:themeColor="text1"/>
              </w:rPr>
              <w:t xml:space="preserve"> w sek</w:t>
            </w:r>
            <w:r w:rsidRPr="00A33B9F">
              <w:rPr>
                <w:rFonts w:ascii="Times New Roman" w:hAnsi="Times New Roman"/>
                <w:noProof/>
                <w:color w:val="000000" w:themeColor="text1"/>
              </w:rPr>
              <w:t>torze publicznym, gospodarce</w:t>
            </w:r>
            <w:r w:rsidR="00A33B9F" w:rsidRPr="00A33B9F">
              <w:rPr>
                <w:rFonts w:ascii="Times New Roman" w:hAnsi="Times New Roman"/>
                <w:noProof/>
                <w:color w:val="000000" w:themeColor="text1"/>
              </w:rPr>
              <w:t xml:space="preserve"> i spo</w:t>
            </w:r>
            <w:r w:rsidRPr="00A33B9F">
              <w:rPr>
                <w:rFonts w:ascii="Times New Roman" w:hAnsi="Times New Roman"/>
                <w:noProof/>
                <w:color w:val="000000" w:themeColor="text1"/>
              </w:rPr>
              <w:t>łeczeństwie</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083A53"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color w:val="000000" w:themeColor="text1"/>
              </w:rPr>
              <w:t>Wartość docelowa</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9B25CE4"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Opracowywanie nowych lub rozwijanie istniejących publicznych systemów informatycznych</w:t>
            </w:r>
          </w:p>
        </w:tc>
      </w:tr>
      <w:tr w:rsidR="00D8141F" w:rsidRPr="00A33B9F" w14:paraId="30EB65E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49843F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07539F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C2.1.3 E-kompetencje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C3EB37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C78CA08" w14:textId="7944240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Dodatkowe osoby przeszkolone</w:t>
            </w:r>
            <w:r w:rsidR="00A33B9F" w:rsidRPr="00A33B9F">
              <w:rPr>
                <w:rFonts w:ascii="Times New Roman" w:hAnsi="Times New Roman"/>
                <w:noProof/>
              </w:rPr>
              <w:t xml:space="preserve"> w zak</w:t>
            </w:r>
            <w:r w:rsidRPr="00A33B9F">
              <w:rPr>
                <w:rFonts w:ascii="Times New Roman" w:hAnsi="Times New Roman"/>
                <w:noProof/>
              </w:rPr>
              <w:t>resie kompetencji cyfrowych,</w:t>
            </w:r>
            <w:r w:rsidR="00A33B9F" w:rsidRPr="00A33B9F">
              <w:rPr>
                <w:rFonts w:ascii="Times New Roman" w:hAnsi="Times New Roman"/>
                <w:noProof/>
              </w:rPr>
              <w:t xml:space="preserve"> w tym</w:t>
            </w:r>
            <w:r w:rsidRPr="00A33B9F">
              <w:rPr>
                <w:rFonts w:ascii="Times New Roman" w:hAnsi="Times New Roman"/>
                <w:noProof/>
              </w:rPr>
              <w:t xml:space="preserve"> umiejętności cyfrowych</w:t>
            </w:r>
          </w:p>
        </w:tc>
      </w:tr>
      <w:tr w:rsidR="00D8141F" w:rsidRPr="00A33B9F" w14:paraId="7254E8F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1B1365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7DB4B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C3.1.1 Cyberbezpieczeństwo – CyberPL, infrastruktura przetwarzania danych oraz optymalizacja infrastruktury służb państwowych odpowiedzialnych za bezpieczeństwo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F8BA56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B554C17" w14:textId="2971CAA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Projekty</w:t>
            </w:r>
            <w:r w:rsidR="00A33B9F" w:rsidRPr="00A33B9F">
              <w:rPr>
                <w:rFonts w:ascii="Times New Roman" w:hAnsi="Times New Roman"/>
                <w:noProof/>
              </w:rPr>
              <w:t xml:space="preserve"> w dzi</w:t>
            </w:r>
            <w:r w:rsidRPr="00A33B9F">
              <w:rPr>
                <w:rFonts w:ascii="Times New Roman" w:hAnsi="Times New Roman"/>
                <w:noProof/>
              </w:rPr>
              <w:t>edzinie cyberbezpieczeństwa (CyberPL)</w:t>
            </w:r>
            <w:r w:rsidR="00A33B9F" w:rsidRPr="00A33B9F">
              <w:rPr>
                <w:rFonts w:ascii="Times New Roman" w:hAnsi="Times New Roman"/>
                <w:noProof/>
              </w:rPr>
              <w:t xml:space="preserve"> w dwó</w:t>
            </w:r>
            <w:r w:rsidRPr="00A33B9F">
              <w:rPr>
                <w:rFonts w:ascii="Times New Roman" w:hAnsi="Times New Roman"/>
                <w:noProof/>
              </w:rPr>
              <w:t>ch obszarach interwencji:</w:t>
            </w:r>
            <w:r w:rsidR="00C3621A" w:rsidRPr="00A33B9F">
              <w:rPr>
                <w:rFonts w:ascii="Times New Roman" w:hAnsi="Times New Roman"/>
                <w:noProof/>
              </w:rPr>
              <w:t xml:space="preserve"> </w:t>
            </w:r>
            <w:r w:rsidRPr="00A33B9F">
              <w:rPr>
                <w:noProof/>
              </w:rPr>
              <w:br/>
            </w:r>
            <w:r w:rsidRPr="00A33B9F">
              <w:rPr>
                <w:rFonts w:ascii="Times New Roman" w:hAnsi="Times New Roman"/>
                <w:noProof/>
              </w:rPr>
              <w:t>1) program na rzecz zwiększenia skuteczności krajowego systemu cyberbezpieczeństwa (KSC-PL) oraz 2) budowa</w:t>
            </w:r>
            <w:r w:rsidR="00A33B9F" w:rsidRPr="00A33B9F">
              <w:rPr>
                <w:rFonts w:ascii="Times New Roman" w:hAnsi="Times New Roman"/>
                <w:noProof/>
              </w:rPr>
              <w:t xml:space="preserve"> i roz</w:t>
            </w:r>
            <w:r w:rsidRPr="00A33B9F">
              <w:rPr>
                <w:rFonts w:ascii="Times New Roman" w:hAnsi="Times New Roman"/>
                <w:noProof/>
              </w:rPr>
              <w:t>wój operacyjnych centrów cyberbezpieczeństwa (SOC-DEV-PL)</w:t>
            </w:r>
          </w:p>
        </w:tc>
      </w:tr>
      <w:tr w:rsidR="00D8141F" w:rsidRPr="00A33B9F" w14:paraId="6876405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E79568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FF9E90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C3.1.1 Cyberbezpieczeństwo – CyberPL, infrastruktura przetwarzania danych oraz optymalizacja infrastruktury służb państwowych odpowiedzialnych za bezpieczeństwo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6DF69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9A6736" w14:textId="77777777" w:rsidR="00D8141F" w:rsidRPr="00A33B9F" w:rsidRDefault="00D8141F" w:rsidP="00753103">
            <w:pPr>
              <w:spacing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Stworzenie ustandaryzowanych centrów przetwarzania danych, zapewniających energooszczędną infrastrukturę</w:t>
            </w:r>
          </w:p>
        </w:tc>
      </w:tr>
      <w:tr w:rsidR="00D8141F" w:rsidRPr="00A33B9F" w14:paraId="7D92574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B8FD6A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82B68BC" w14:textId="591110B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zdrowotnych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5DF5D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AD61EC" w14:textId="20183C3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pakietu legislacyjnego dotyczącego uruchomienia krajowych usług</w:t>
            </w:r>
            <w:r w:rsidR="00A33B9F" w:rsidRPr="00A33B9F">
              <w:rPr>
                <w:rFonts w:ascii="Times New Roman" w:hAnsi="Times New Roman"/>
                <w:noProof/>
              </w:rPr>
              <w:t xml:space="preserve"> w zak</w:t>
            </w:r>
            <w:r w:rsidRPr="00A33B9F">
              <w:rPr>
                <w:rFonts w:ascii="Times New Roman" w:hAnsi="Times New Roman"/>
                <w:noProof/>
              </w:rPr>
              <w:t>resie e-zdrowia oraz ich integracji</w:t>
            </w:r>
            <w:r w:rsidR="00A33B9F" w:rsidRPr="00A33B9F">
              <w:rPr>
                <w:rFonts w:ascii="Times New Roman" w:hAnsi="Times New Roman"/>
                <w:noProof/>
              </w:rPr>
              <w:t xml:space="preserve"> z ist</w:t>
            </w:r>
            <w:r w:rsidRPr="00A33B9F">
              <w:rPr>
                <w:rFonts w:ascii="Times New Roman" w:hAnsi="Times New Roman"/>
                <w:noProof/>
              </w:rPr>
              <w:t>niejącymi/dostępnymi systemami e-zdrowia na poziomie krajowym</w:t>
            </w:r>
            <w:r w:rsidR="00A33B9F" w:rsidRPr="00A33B9F">
              <w:rPr>
                <w:rFonts w:ascii="Times New Roman" w:hAnsi="Times New Roman"/>
                <w:noProof/>
              </w:rPr>
              <w:t xml:space="preserve"> i reg</w:t>
            </w:r>
            <w:r w:rsidRPr="00A33B9F">
              <w:rPr>
                <w:rFonts w:ascii="Times New Roman" w:hAnsi="Times New Roman"/>
                <w:noProof/>
              </w:rPr>
              <w:t>ionalnym</w:t>
            </w:r>
          </w:p>
        </w:tc>
      </w:tr>
      <w:tr w:rsidR="00D8141F" w:rsidRPr="00A33B9F" w14:paraId="17DD3EA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22B0FA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D13G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903E01D" w14:textId="2CE9062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D1.1.1 Rozwój</w:t>
            </w:r>
            <w:r w:rsidR="00A33B9F" w:rsidRPr="00A33B9F">
              <w:rPr>
                <w:rFonts w:ascii="Times New Roman" w:hAnsi="Times New Roman"/>
                <w:noProof/>
              </w:rPr>
              <w:t xml:space="preserve"> i mod</w:t>
            </w:r>
            <w:r w:rsidRPr="00A33B9F">
              <w:rPr>
                <w:rFonts w:ascii="Times New Roman" w:hAnsi="Times New Roman"/>
                <w:noProof/>
              </w:rPr>
              <w:t>ernizacja infrastruktury centrów opieki wysokospecjalistycznej</w:t>
            </w:r>
            <w:r w:rsidR="00A33B9F" w:rsidRPr="00A33B9F">
              <w:rPr>
                <w:rFonts w:ascii="Times New Roman" w:hAnsi="Times New Roman"/>
                <w:noProof/>
              </w:rPr>
              <w:t xml:space="preserve"> i inn</w:t>
            </w:r>
            <w:r w:rsidRPr="00A33B9F">
              <w:rPr>
                <w:rFonts w:ascii="Times New Roman" w:hAnsi="Times New Roman"/>
                <w:noProof/>
              </w:rPr>
              <w:t>ych podmiotów leczniczych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4B9BB2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44CF846" w14:textId="2F72C2B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Szpitale dysponujące nowym sprzętem medycznym zakupionym</w:t>
            </w:r>
            <w:r w:rsidR="00A33B9F" w:rsidRPr="00A33B9F">
              <w:rPr>
                <w:rFonts w:ascii="Times New Roman" w:hAnsi="Times New Roman"/>
                <w:noProof/>
              </w:rPr>
              <w:t xml:space="preserve"> w zwi</w:t>
            </w:r>
            <w:r w:rsidRPr="00A33B9F">
              <w:rPr>
                <w:rFonts w:ascii="Times New Roman" w:hAnsi="Times New Roman"/>
                <w:noProof/>
              </w:rPr>
              <w:t>ązku</w:t>
            </w:r>
            <w:r w:rsidR="00A33B9F" w:rsidRPr="00A33B9F">
              <w:rPr>
                <w:rFonts w:ascii="Times New Roman" w:hAnsi="Times New Roman"/>
                <w:noProof/>
              </w:rPr>
              <w:t xml:space="preserve"> z ich</w:t>
            </w:r>
            <w:r w:rsidRPr="00A33B9F">
              <w:rPr>
                <w:rFonts w:ascii="Times New Roman" w:hAnsi="Times New Roman"/>
                <w:noProof/>
              </w:rPr>
              <w:t xml:space="preserve"> restrukturyzacją lub wprowadzeniem ich do Krajowej Sieci Onkologicznej</w:t>
            </w:r>
          </w:p>
        </w:tc>
      </w:tr>
      <w:tr w:rsidR="00D8141F" w:rsidRPr="00A33B9F" w14:paraId="2DB9059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DB8EFA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CF6802" w14:textId="3FE169D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D1.1.1 Rozwój</w:t>
            </w:r>
            <w:r w:rsidR="00A33B9F" w:rsidRPr="00A33B9F">
              <w:rPr>
                <w:rFonts w:ascii="Times New Roman" w:hAnsi="Times New Roman"/>
                <w:noProof/>
              </w:rPr>
              <w:t xml:space="preserve"> i mod</w:t>
            </w:r>
            <w:r w:rsidRPr="00A33B9F">
              <w:rPr>
                <w:rFonts w:ascii="Times New Roman" w:hAnsi="Times New Roman"/>
                <w:noProof/>
              </w:rPr>
              <w:t>ernizacja infrastruktury centrów opieki wysokospecjalistycznej</w:t>
            </w:r>
            <w:r w:rsidR="00A33B9F" w:rsidRPr="00A33B9F">
              <w:rPr>
                <w:rFonts w:ascii="Times New Roman" w:hAnsi="Times New Roman"/>
                <w:noProof/>
              </w:rPr>
              <w:t xml:space="preserve"> i inn</w:t>
            </w:r>
            <w:r w:rsidRPr="00A33B9F">
              <w:rPr>
                <w:rFonts w:ascii="Times New Roman" w:hAnsi="Times New Roman"/>
                <w:noProof/>
              </w:rPr>
              <w:t>ych podmiotów leczniczych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1D5FC5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93EEA8D" w14:textId="5854D19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Szpitale,</w:t>
            </w:r>
            <w:r w:rsidR="00A33B9F" w:rsidRPr="00A33B9F">
              <w:rPr>
                <w:rFonts w:ascii="Times New Roman" w:hAnsi="Times New Roman"/>
                <w:noProof/>
              </w:rPr>
              <w:t xml:space="preserve"> w któ</w:t>
            </w:r>
            <w:r w:rsidRPr="00A33B9F">
              <w:rPr>
                <w:rFonts w:ascii="Times New Roman" w:hAnsi="Times New Roman"/>
                <w:noProof/>
              </w:rPr>
              <w:t>rych udoskonalono infrastrukturę</w:t>
            </w:r>
            <w:r w:rsidR="00A33B9F" w:rsidRPr="00A33B9F">
              <w:rPr>
                <w:rFonts w:ascii="Times New Roman" w:hAnsi="Times New Roman"/>
                <w:noProof/>
              </w:rPr>
              <w:t xml:space="preserve"> w zwi</w:t>
            </w:r>
            <w:r w:rsidRPr="00A33B9F">
              <w:rPr>
                <w:rFonts w:ascii="Times New Roman" w:hAnsi="Times New Roman"/>
                <w:noProof/>
              </w:rPr>
              <w:t>ązku</w:t>
            </w:r>
            <w:r w:rsidR="00A33B9F" w:rsidRPr="00A33B9F">
              <w:rPr>
                <w:rFonts w:ascii="Times New Roman" w:hAnsi="Times New Roman"/>
                <w:noProof/>
              </w:rPr>
              <w:t xml:space="preserve"> z ich</w:t>
            </w:r>
            <w:r w:rsidRPr="00A33B9F">
              <w:rPr>
                <w:rFonts w:ascii="Times New Roman" w:hAnsi="Times New Roman"/>
                <w:noProof/>
              </w:rPr>
              <w:t xml:space="preserve"> restrukturyzacją lub wprowadzeniem ich do Krajowej Sieci Onkologicznej</w:t>
            </w:r>
          </w:p>
        </w:tc>
      </w:tr>
      <w:tr w:rsidR="00D8141F" w:rsidRPr="00A33B9F" w14:paraId="08D5C09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E18D1B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93335FA" w14:textId="099606E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AA640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FCC40D2" w14:textId="200BB33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Wdrożenie nowych e-usług,</w:t>
            </w:r>
            <w:r w:rsidR="00A33B9F" w:rsidRPr="00A33B9F">
              <w:rPr>
                <w:rFonts w:ascii="Times New Roman" w:hAnsi="Times New Roman"/>
                <w:noProof/>
              </w:rPr>
              <w:t xml:space="preserve"> w tym</w:t>
            </w:r>
            <w:r w:rsidRPr="00A33B9F">
              <w:rPr>
                <w:rFonts w:ascii="Times New Roman" w:hAnsi="Times New Roman"/>
                <w:noProof/>
              </w:rPr>
              <w:t xml:space="preserve">: </w:t>
            </w:r>
          </w:p>
          <w:p w14:paraId="59DFC82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 narzędzia wspomagające analizę stanu zdrowia pacjenta; </w:t>
            </w:r>
          </w:p>
          <w:p w14:paraId="790E506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 narzędzia dla lekarzy wspierające podejmowanie decyzji oparte na algorytmach AI oraz </w:t>
            </w:r>
          </w:p>
          <w:p w14:paraId="352FE0F4" w14:textId="0F51DD9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centralne repozytorium danych medycznych zintegrowane</w:t>
            </w:r>
            <w:r w:rsidR="00A33B9F" w:rsidRPr="00A33B9F">
              <w:rPr>
                <w:rFonts w:ascii="Times New Roman" w:hAnsi="Times New Roman"/>
                <w:noProof/>
              </w:rPr>
              <w:t xml:space="preserve"> z inn</w:t>
            </w:r>
            <w:r w:rsidRPr="00A33B9F">
              <w:rPr>
                <w:rFonts w:ascii="Times New Roman" w:hAnsi="Times New Roman"/>
                <w:noProof/>
              </w:rPr>
              <w:t>ymi kluczowymi systemami opieki zdrowotnej.</w:t>
            </w:r>
          </w:p>
        </w:tc>
      </w:tr>
      <w:tr w:rsidR="00D8141F" w:rsidRPr="00A33B9F" w14:paraId="11DA3D4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B4A336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A3BCE2" w14:textId="069A451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91ED3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5470D6A" w14:textId="55034A3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Cyfryzacja przechowywanej</w:t>
            </w:r>
            <w:r w:rsidR="00A33B9F" w:rsidRPr="00A33B9F">
              <w:rPr>
                <w:rFonts w:ascii="Times New Roman" w:hAnsi="Times New Roman"/>
                <w:noProof/>
              </w:rPr>
              <w:t xml:space="preserve"> w pla</w:t>
            </w:r>
            <w:r w:rsidRPr="00A33B9F">
              <w:rPr>
                <w:rFonts w:ascii="Times New Roman" w:hAnsi="Times New Roman"/>
                <w:noProof/>
              </w:rPr>
              <w:t>cówkach medycznych historii interakcji między pacjentem</w:t>
            </w:r>
            <w:r w:rsidR="00A33B9F" w:rsidRPr="00A33B9F">
              <w:rPr>
                <w:rFonts w:ascii="Times New Roman" w:hAnsi="Times New Roman"/>
                <w:noProof/>
              </w:rPr>
              <w:t xml:space="preserve"> a sys</w:t>
            </w:r>
            <w:r w:rsidRPr="00A33B9F">
              <w:rPr>
                <w:rFonts w:ascii="Times New Roman" w:hAnsi="Times New Roman"/>
                <w:noProof/>
              </w:rPr>
              <w:t>temem opieki zdrowotnej</w:t>
            </w:r>
          </w:p>
        </w:tc>
      </w:tr>
      <w:tr w:rsidR="00D8141F" w:rsidRPr="00A33B9F" w14:paraId="11C0E04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C6E89B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7A6FE8A" w14:textId="24455FB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C7FB6B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A92833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Zdigitalizowane dokumenty medyczne</w:t>
            </w:r>
          </w:p>
        </w:tc>
      </w:tr>
      <w:tr w:rsidR="00D8141F" w:rsidRPr="00A33B9F" w14:paraId="198083A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F68AA9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65D998" w14:textId="23BBA95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597B8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EE4C5AE" w14:textId="108A27F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Centralni/regionalni świadczeniodawcy opieki zdrowotnej połączeni</w:t>
            </w:r>
            <w:r w:rsidR="00A33B9F" w:rsidRPr="00A33B9F">
              <w:rPr>
                <w:rFonts w:ascii="Times New Roman" w:hAnsi="Times New Roman"/>
                <w:noProof/>
              </w:rPr>
              <w:t xml:space="preserve"> z cen</w:t>
            </w:r>
            <w:r w:rsidRPr="00A33B9F">
              <w:rPr>
                <w:rFonts w:ascii="Times New Roman" w:hAnsi="Times New Roman"/>
                <w:noProof/>
              </w:rPr>
              <w:t>tralnym repozytorium danych medycznych oraz centralni/regionalni świadczeniodawcy opieki zdrowotnej wyposażeni</w:t>
            </w:r>
            <w:r w:rsidR="00A33B9F" w:rsidRPr="00A33B9F">
              <w:rPr>
                <w:rFonts w:ascii="Times New Roman" w:hAnsi="Times New Roman"/>
                <w:noProof/>
              </w:rPr>
              <w:t xml:space="preserve"> w opa</w:t>
            </w:r>
            <w:r w:rsidRPr="00A33B9F">
              <w:rPr>
                <w:rFonts w:ascii="Times New Roman" w:hAnsi="Times New Roman"/>
                <w:noProof/>
              </w:rPr>
              <w:t>rte na sztucznej inteligencji narzędzie wspierające proces decyzyjny</w:t>
            </w:r>
          </w:p>
        </w:tc>
      </w:tr>
      <w:tr w:rsidR="00D8141F" w:rsidRPr="00A33B9F" w14:paraId="05ADCD0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24820B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1B23E1" w14:textId="3765132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D1.1.2 Przyspieszenie procesów transformacji cyfrowej ochrony zdrowia poprzez dalszy rozwój usług cyfrowych</w:t>
            </w:r>
            <w:r w:rsidR="00A33B9F" w:rsidRPr="00A33B9F">
              <w:rPr>
                <w:rFonts w:ascii="Times New Roman" w:hAnsi="Times New Roman"/>
                <w:noProof/>
              </w:rPr>
              <w:t xml:space="preserve"> w och</w:t>
            </w:r>
            <w:r w:rsidRPr="00A33B9F">
              <w:rPr>
                <w:rFonts w:ascii="Times New Roman" w:hAnsi="Times New Roman"/>
                <w:noProof/>
              </w:rPr>
              <w:t>ronie zdrowia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03C591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318AFD"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Dorośli pacjenci objęci narzędziem wspomagającym analizę stanu zdrowia pacjenta</w:t>
            </w:r>
          </w:p>
        </w:tc>
      </w:tr>
      <w:tr w:rsidR="00D8141F" w:rsidRPr="00A33B9F" w14:paraId="5706D2A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79F331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7830B5"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 Stworzenie odpowiednich warunków dla zwiększenia liczebności kadry medycznej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F1558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76A608D" w14:textId="6F83326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studentów uniwersytetów medycznych, którzy otrzymali wsparcie finansowe na podstawie prawa</w:t>
            </w:r>
            <w:r w:rsidR="00A33B9F" w:rsidRPr="00A33B9F">
              <w:rPr>
                <w:rFonts w:ascii="Times New Roman" w:hAnsi="Times New Roman"/>
                <w:noProof/>
              </w:rPr>
              <w:t xml:space="preserve"> o szk</w:t>
            </w:r>
            <w:r w:rsidRPr="00A33B9F">
              <w:rPr>
                <w:rFonts w:ascii="Times New Roman" w:hAnsi="Times New Roman"/>
                <w:noProof/>
              </w:rPr>
              <w:t>olnictwie wyższym</w:t>
            </w:r>
            <w:r w:rsidR="00A33B9F" w:rsidRPr="00A33B9F">
              <w:rPr>
                <w:rFonts w:ascii="Times New Roman" w:hAnsi="Times New Roman"/>
                <w:noProof/>
              </w:rPr>
              <w:t xml:space="preserve"> i nau</w:t>
            </w:r>
            <w:r w:rsidRPr="00A33B9F">
              <w:rPr>
                <w:rFonts w:ascii="Times New Roman" w:hAnsi="Times New Roman"/>
                <w:noProof/>
              </w:rPr>
              <w:t>ce</w:t>
            </w:r>
            <w:r w:rsidR="00A33B9F" w:rsidRPr="00A33B9F">
              <w:rPr>
                <w:rFonts w:ascii="Times New Roman" w:hAnsi="Times New Roman"/>
                <w:noProof/>
              </w:rPr>
              <w:t xml:space="preserve"> i ust</w:t>
            </w:r>
            <w:r w:rsidRPr="00A33B9F">
              <w:rPr>
                <w:rFonts w:ascii="Times New Roman" w:hAnsi="Times New Roman"/>
                <w:noProof/>
              </w:rPr>
              <w:t>awy</w:t>
            </w:r>
            <w:r w:rsidR="00A33B9F" w:rsidRPr="00A33B9F">
              <w:rPr>
                <w:rFonts w:ascii="Times New Roman" w:hAnsi="Times New Roman"/>
                <w:noProof/>
              </w:rPr>
              <w:t xml:space="preserve"> o zaw</w:t>
            </w:r>
            <w:r w:rsidRPr="00A33B9F">
              <w:rPr>
                <w:rFonts w:ascii="Times New Roman" w:hAnsi="Times New Roman"/>
                <w:noProof/>
              </w:rPr>
              <w:t>odach lekarza</w:t>
            </w:r>
            <w:r w:rsidR="00A33B9F" w:rsidRPr="00A33B9F">
              <w:rPr>
                <w:rFonts w:ascii="Times New Roman" w:hAnsi="Times New Roman"/>
                <w:noProof/>
              </w:rPr>
              <w:t xml:space="preserve"> i lek</w:t>
            </w:r>
            <w:r w:rsidRPr="00A33B9F">
              <w:rPr>
                <w:rFonts w:ascii="Times New Roman" w:hAnsi="Times New Roman"/>
                <w:noProof/>
              </w:rPr>
              <w:t>arza dentysty</w:t>
            </w:r>
          </w:p>
        </w:tc>
      </w:tr>
      <w:tr w:rsidR="00D8141F" w:rsidRPr="00A33B9F" w14:paraId="3FB73D4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BCCD4F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C1308A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 Stworzenie odpowiednich warunków dla zwiększenia liczebności kadry medycznej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40EC3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2B25D6E" w14:textId="6785483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lekarzy</w:t>
            </w:r>
            <w:r w:rsidR="00A33B9F" w:rsidRPr="00A33B9F">
              <w:rPr>
                <w:rFonts w:ascii="Times New Roman" w:hAnsi="Times New Roman"/>
                <w:noProof/>
              </w:rPr>
              <w:t xml:space="preserve"> i lek</w:t>
            </w:r>
            <w:r w:rsidRPr="00A33B9F">
              <w:rPr>
                <w:rFonts w:ascii="Times New Roman" w:hAnsi="Times New Roman"/>
                <w:noProof/>
              </w:rPr>
              <w:t>arzy dentystów, którzy uzyskali certyfikat potwierdzający ich zawodowe kompetencje medyczne</w:t>
            </w:r>
          </w:p>
        </w:tc>
      </w:tr>
      <w:tr w:rsidR="00D8141F" w:rsidRPr="00A33B9F" w14:paraId="553AE63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3B75BA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442E12" w14:textId="6D2E09E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D2.1.1. Inwestycje związane</w:t>
            </w:r>
            <w:r w:rsidR="00A33B9F" w:rsidRPr="00A33B9F">
              <w:rPr>
                <w:rFonts w:ascii="Times New Roman" w:hAnsi="Times New Roman"/>
                <w:noProof/>
              </w:rPr>
              <w:t xml:space="preserve"> z mod</w:t>
            </w:r>
            <w:r w:rsidRPr="00A33B9F">
              <w:rPr>
                <w:rFonts w:ascii="Times New Roman" w:hAnsi="Times New Roman"/>
                <w:noProof/>
              </w:rPr>
              <w:t>ernizacją</w:t>
            </w:r>
            <w:r w:rsidR="00A33B9F" w:rsidRPr="00A33B9F">
              <w:rPr>
                <w:rFonts w:ascii="Times New Roman" w:hAnsi="Times New Roman"/>
                <w:noProof/>
              </w:rPr>
              <w:t xml:space="preserve"> i dop</w:t>
            </w:r>
            <w:r w:rsidRPr="00A33B9F">
              <w:rPr>
                <w:rFonts w:ascii="Times New Roman" w:hAnsi="Times New Roman"/>
                <w:noProof/>
              </w:rPr>
              <w:t>osażeniem obiektów dydaktycznych</w:t>
            </w:r>
            <w:r w:rsidR="00A33B9F" w:rsidRPr="00A33B9F">
              <w:rPr>
                <w:rFonts w:ascii="Times New Roman" w:hAnsi="Times New Roman"/>
                <w:noProof/>
              </w:rPr>
              <w:t xml:space="preserve"> w zwi</w:t>
            </w:r>
            <w:r w:rsidRPr="00A33B9F">
              <w:rPr>
                <w:rFonts w:ascii="Times New Roman" w:hAnsi="Times New Roman"/>
                <w:noProof/>
              </w:rPr>
              <w:t>ązku ze zwiększeniem limitów przyjęć na studia medyczne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EA8541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AADB663" w14:textId="6087D18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studentów pielęgniarstwa, położnictwa, ratownictwa medycznego, medycyny, stomatologii, analityki medycznej, fizjoterapii</w:t>
            </w:r>
            <w:r w:rsidR="00A33B9F" w:rsidRPr="00A33B9F">
              <w:rPr>
                <w:rFonts w:ascii="Times New Roman" w:hAnsi="Times New Roman"/>
                <w:noProof/>
              </w:rPr>
              <w:t xml:space="preserve"> i far</w:t>
            </w:r>
            <w:r w:rsidRPr="00A33B9F">
              <w:rPr>
                <w:rFonts w:ascii="Times New Roman" w:hAnsi="Times New Roman"/>
                <w:noProof/>
              </w:rPr>
              <w:t>macji, którzy otrzymali stypendium, oraz studentów pielęgniarstwa, położnictwa, ratownictwa medycznego objętych stypendium, dofinansowaniem studiów lub mentoringiem</w:t>
            </w:r>
          </w:p>
        </w:tc>
      </w:tr>
      <w:tr w:rsidR="00D8141F" w:rsidRPr="00A33B9F" w14:paraId="562CF84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F9F3F5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B4E11F9" w14:textId="51A70A9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D3.1.1 Kompleksowy rozwój badań</w:t>
            </w:r>
            <w:r w:rsidR="00A33B9F" w:rsidRPr="00A33B9F">
              <w:rPr>
                <w:rFonts w:ascii="Times New Roman" w:hAnsi="Times New Roman"/>
                <w:noProof/>
              </w:rPr>
              <w:t xml:space="preserve"> w zak</w:t>
            </w:r>
            <w:r w:rsidRPr="00A33B9F">
              <w:rPr>
                <w:rFonts w:ascii="Times New Roman" w:hAnsi="Times New Roman"/>
                <w:noProof/>
              </w:rPr>
              <w:t>resie nauk medycznych</w:t>
            </w:r>
            <w:r w:rsidR="00A33B9F" w:rsidRPr="00A33B9F">
              <w:rPr>
                <w:rFonts w:ascii="Times New Roman" w:hAnsi="Times New Roman"/>
                <w:noProof/>
              </w:rPr>
              <w:t xml:space="preserve"> i nau</w:t>
            </w:r>
            <w:r w:rsidRPr="00A33B9F">
              <w:rPr>
                <w:rFonts w:ascii="Times New Roman" w:hAnsi="Times New Roman"/>
                <w:noProof/>
              </w:rPr>
              <w:t>k</w:t>
            </w:r>
            <w:r w:rsidR="00A33B9F" w:rsidRPr="00A33B9F">
              <w:rPr>
                <w:rFonts w:ascii="Times New Roman" w:hAnsi="Times New Roman"/>
                <w:noProof/>
              </w:rPr>
              <w:t xml:space="preserve"> o zdr</w:t>
            </w:r>
            <w:r w:rsidRPr="00A33B9F">
              <w:rPr>
                <w:rFonts w:ascii="Times New Roman" w:hAnsi="Times New Roman"/>
                <w:noProof/>
              </w:rPr>
              <w:t>owiu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1452B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B6782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Ustanowienie specjalistycznego Centrum Badawczo-Analitycznego</w:t>
            </w:r>
          </w:p>
        </w:tc>
      </w:tr>
      <w:tr w:rsidR="00D8141F" w:rsidRPr="00A33B9F" w14:paraId="4B35D93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63E139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6824020" w14:textId="24A3825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D3.1.1 Kompleksowy rozwój badań</w:t>
            </w:r>
            <w:r w:rsidR="00A33B9F" w:rsidRPr="00A33B9F">
              <w:rPr>
                <w:rFonts w:ascii="Times New Roman" w:hAnsi="Times New Roman"/>
                <w:noProof/>
              </w:rPr>
              <w:t xml:space="preserve"> w zak</w:t>
            </w:r>
            <w:r w:rsidRPr="00A33B9F">
              <w:rPr>
                <w:rFonts w:ascii="Times New Roman" w:hAnsi="Times New Roman"/>
                <w:noProof/>
              </w:rPr>
              <w:t>resie nauk medycznych</w:t>
            </w:r>
            <w:r w:rsidR="00A33B9F" w:rsidRPr="00A33B9F">
              <w:rPr>
                <w:rFonts w:ascii="Times New Roman" w:hAnsi="Times New Roman"/>
                <w:noProof/>
              </w:rPr>
              <w:t xml:space="preserve"> i nau</w:t>
            </w:r>
            <w:r w:rsidRPr="00A33B9F">
              <w:rPr>
                <w:rFonts w:ascii="Times New Roman" w:hAnsi="Times New Roman"/>
                <w:noProof/>
              </w:rPr>
              <w:t>k</w:t>
            </w:r>
            <w:r w:rsidR="00A33B9F" w:rsidRPr="00A33B9F">
              <w:rPr>
                <w:rFonts w:ascii="Times New Roman" w:hAnsi="Times New Roman"/>
                <w:noProof/>
              </w:rPr>
              <w:t xml:space="preserve"> o zdr</w:t>
            </w:r>
            <w:r w:rsidRPr="00A33B9F">
              <w:rPr>
                <w:rFonts w:ascii="Times New Roman" w:hAnsi="Times New Roman"/>
                <w:noProof/>
              </w:rPr>
              <w:t>owiu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DE2F54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E85C9D" w14:textId="3CB0B7D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finansowanych projektów na rzecz jednostek badawczych</w:t>
            </w:r>
            <w:r w:rsidR="00A33B9F" w:rsidRPr="00A33B9F">
              <w:rPr>
                <w:rFonts w:ascii="Times New Roman" w:hAnsi="Times New Roman"/>
                <w:noProof/>
              </w:rPr>
              <w:t xml:space="preserve"> i prz</w:t>
            </w:r>
            <w:r w:rsidRPr="00A33B9F">
              <w:rPr>
                <w:rFonts w:ascii="Times New Roman" w:hAnsi="Times New Roman"/>
                <w:noProof/>
              </w:rPr>
              <w:t>edsiębiorców</w:t>
            </w:r>
            <w:r w:rsidR="00A33B9F" w:rsidRPr="00A33B9F">
              <w:rPr>
                <w:rFonts w:ascii="Times New Roman" w:hAnsi="Times New Roman"/>
                <w:noProof/>
              </w:rPr>
              <w:t xml:space="preserve"> z sek</w:t>
            </w:r>
            <w:r w:rsidRPr="00A33B9F">
              <w:rPr>
                <w:rFonts w:ascii="Times New Roman" w:hAnsi="Times New Roman"/>
                <w:noProof/>
              </w:rPr>
              <w:t>tora biomedycznego</w:t>
            </w:r>
          </w:p>
        </w:tc>
      </w:tr>
      <w:tr w:rsidR="00D8141F" w:rsidRPr="00A33B9F" w14:paraId="275513B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BDBC9B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9D608B5" w14:textId="3D9BA06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D3.1.1 Kompleksowy rozwój badań</w:t>
            </w:r>
            <w:r w:rsidR="00A33B9F" w:rsidRPr="00A33B9F">
              <w:rPr>
                <w:rFonts w:ascii="Times New Roman" w:hAnsi="Times New Roman"/>
                <w:noProof/>
              </w:rPr>
              <w:t xml:space="preserve"> w zak</w:t>
            </w:r>
            <w:r w:rsidRPr="00A33B9F">
              <w:rPr>
                <w:rFonts w:ascii="Times New Roman" w:hAnsi="Times New Roman"/>
                <w:noProof/>
              </w:rPr>
              <w:t>resie nauk medycznych</w:t>
            </w:r>
            <w:r w:rsidR="00A33B9F" w:rsidRPr="00A33B9F">
              <w:rPr>
                <w:rFonts w:ascii="Times New Roman" w:hAnsi="Times New Roman"/>
                <w:noProof/>
              </w:rPr>
              <w:t xml:space="preserve"> i nau</w:t>
            </w:r>
            <w:r w:rsidRPr="00A33B9F">
              <w:rPr>
                <w:rFonts w:ascii="Times New Roman" w:hAnsi="Times New Roman"/>
                <w:noProof/>
              </w:rPr>
              <w:t>k</w:t>
            </w:r>
            <w:r w:rsidR="00A33B9F" w:rsidRPr="00A33B9F">
              <w:rPr>
                <w:rFonts w:ascii="Times New Roman" w:hAnsi="Times New Roman"/>
                <w:noProof/>
              </w:rPr>
              <w:t xml:space="preserve"> o zdr</w:t>
            </w:r>
            <w:r w:rsidRPr="00A33B9F">
              <w:rPr>
                <w:rFonts w:ascii="Times New Roman" w:hAnsi="Times New Roman"/>
                <w:noProof/>
              </w:rPr>
              <w:t>owiu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318ED9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5F413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utworzonych Centrów Wsparcia Badań Klinicznych</w:t>
            </w:r>
          </w:p>
        </w:tc>
      </w:tr>
      <w:tr w:rsidR="00D8141F" w:rsidRPr="00A33B9F" w14:paraId="6D0581F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5E2841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F21EB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 Wzrost wykorzystania transportu przyjaznego dla środowiska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C90A9A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C8F901" w14:textId="3A72CBA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wprowadzającego podatek od posiadania pojazdów związanych</w:t>
            </w:r>
            <w:r w:rsidR="00A33B9F" w:rsidRPr="00A33B9F">
              <w:rPr>
                <w:rFonts w:ascii="Times New Roman" w:hAnsi="Times New Roman"/>
                <w:noProof/>
              </w:rPr>
              <w:t xml:space="preserve"> z emi</w:t>
            </w:r>
            <w:r w:rsidRPr="00A33B9F">
              <w:rPr>
                <w:rFonts w:ascii="Times New Roman" w:hAnsi="Times New Roman"/>
                <w:noProof/>
              </w:rPr>
              <w:t>sjami zgodne</w:t>
            </w:r>
            <w:r w:rsidR="00A33B9F" w:rsidRPr="00A33B9F">
              <w:rPr>
                <w:rFonts w:ascii="Times New Roman" w:hAnsi="Times New Roman"/>
                <w:noProof/>
              </w:rPr>
              <w:t xml:space="preserve"> z zas</w:t>
            </w:r>
            <w:r w:rsidRPr="00A33B9F">
              <w:rPr>
                <w:rFonts w:ascii="Times New Roman" w:hAnsi="Times New Roman"/>
                <w:noProof/>
              </w:rPr>
              <w:t>adą „zanieczyszczający płaci”</w:t>
            </w:r>
          </w:p>
        </w:tc>
      </w:tr>
      <w:tr w:rsidR="00D8141F" w:rsidRPr="00A33B9F" w14:paraId="3EBC145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756C79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733481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 Wzrost wykorzystania transportu przyjaznego dla środowiska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562681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B3FEEE1"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Nowe pojazdy zeroemisyjne</w:t>
            </w:r>
          </w:p>
        </w:tc>
      </w:tr>
      <w:tr w:rsidR="00D8141F" w:rsidRPr="00A33B9F" w14:paraId="5580171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064347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F3D157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E1.1.1 Wsparcie dla gospodarki niskoemisyjnej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6E43F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2320F42" w14:textId="054317A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Zainstalowana moc produkcyjna</w:t>
            </w:r>
            <w:r w:rsidR="00A33B9F" w:rsidRPr="00A33B9F">
              <w:rPr>
                <w:rFonts w:ascii="Times New Roman" w:hAnsi="Times New Roman"/>
                <w:noProof/>
              </w:rPr>
              <w:t xml:space="preserve"> w zak</w:t>
            </w:r>
            <w:r w:rsidRPr="00A33B9F">
              <w:rPr>
                <w:rFonts w:ascii="Times New Roman" w:hAnsi="Times New Roman"/>
                <w:noProof/>
              </w:rPr>
              <w:t>resie nowych pojazdów zeroemisyjnych</w:t>
            </w:r>
          </w:p>
        </w:tc>
      </w:tr>
      <w:tr w:rsidR="00D8141F" w:rsidRPr="00A33B9F" w14:paraId="5B712BD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E039FF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C1C647A"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E1.1.1 Wsparcie dla gospodarki niskoemisyjnej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8477A6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30AD31" w14:textId="5DDFACC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Zainstalowana moc produkcyjna</w:t>
            </w:r>
            <w:r w:rsidR="00A33B9F" w:rsidRPr="00A33B9F">
              <w:rPr>
                <w:rFonts w:ascii="Times New Roman" w:hAnsi="Times New Roman"/>
                <w:noProof/>
              </w:rPr>
              <w:t xml:space="preserve"> i zdo</w:t>
            </w:r>
            <w:r w:rsidRPr="00A33B9F">
              <w:rPr>
                <w:rFonts w:ascii="Times New Roman" w:hAnsi="Times New Roman"/>
                <w:noProof/>
              </w:rPr>
              <w:t>lność magazynowania paliw/energii alternatywnych zeroemisyjnych/niskoemisyjnych</w:t>
            </w:r>
          </w:p>
        </w:tc>
      </w:tr>
      <w:tr w:rsidR="00D8141F" w:rsidRPr="00A33B9F" w14:paraId="3E82B52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FAB6E1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ABF8F3" w14:textId="35880D7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E1.1.2 Zeroemisyjny</w:t>
            </w:r>
            <w:r w:rsidR="00A33B9F" w:rsidRPr="00A33B9F">
              <w:rPr>
                <w:rFonts w:ascii="Times New Roman" w:hAnsi="Times New Roman"/>
                <w:noProof/>
              </w:rPr>
              <w:t xml:space="preserve"> i nis</w:t>
            </w:r>
            <w:r w:rsidRPr="00A33B9F">
              <w:rPr>
                <w:rFonts w:ascii="Times New Roman" w:hAnsi="Times New Roman"/>
                <w:noProof/>
              </w:rPr>
              <w:t>koemisyjny transport zbiorowy (autobusy)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7A2E6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534B75" w14:textId="5500016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Nowe pojazdy zeroemisyjne</w:t>
            </w:r>
            <w:r w:rsidR="00A33B9F" w:rsidRPr="00A33B9F">
              <w:rPr>
                <w:rFonts w:ascii="Times New Roman" w:hAnsi="Times New Roman"/>
                <w:noProof/>
              </w:rPr>
              <w:t xml:space="preserve"> i nis</w:t>
            </w:r>
            <w:r w:rsidRPr="00A33B9F">
              <w:rPr>
                <w:rFonts w:ascii="Times New Roman" w:hAnsi="Times New Roman"/>
                <w:noProof/>
              </w:rPr>
              <w:t>koemisyjne</w:t>
            </w:r>
            <w:r w:rsidR="00A33B9F" w:rsidRPr="00A33B9F">
              <w:rPr>
                <w:rFonts w:ascii="Times New Roman" w:hAnsi="Times New Roman"/>
                <w:noProof/>
              </w:rPr>
              <w:t xml:space="preserve"> w eks</w:t>
            </w:r>
            <w:r w:rsidRPr="00A33B9F">
              <w:rPr>
                <w:rFonts w:ascii="Times New Roman" w:hAnsi="Times New Roman"/>
                <w:noProof/>
              </w:rPr>
              <w:t>ploatacji</w:t>
            </w:r>
          </w:p>
        </w:tc>
      </w:tr>
      <w:tr w:rsidR="00D8141F" w:rsidRPr="00A33B9F" w14:paraId="560CF2C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76B5C8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CC8661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E2.1.1 Linie kolejowe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01D7D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4C288F5" w14:textId="75F70D6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Modernizacja 478 km linii kolejowych,</w:t>
            </w:r>
            <w:r w:rsidR="00A33B9F" w:rsidRPr="00A33B9F">
              <w:rPr>
                <w:rFonts w:ascii="Times New Roman" w:hAnsi="Times New Roman"/>
                <w:noProof/>
              </w:rPr>
              <w:t xml:space="preserve"> w tym </w:t>
            </w:r>
            <w:r w:rsidRPr="00A33B9F">
              <w:rPr>
                <w:rFonts w:ascii="Times New Roman" w:hAnsi="Times New Roman"/>
                <w:noProof/>
              </w:rPr>
              <w:t>300 km zgodnie ze standardami TEN-T</w:t>
            </w:r>
          </w:p>
        </w:tc>
      </w:tr>
      <w:tr w:rsidR="00D8141F" w:rsidRPr="00A33B9F" w14:paraId="2094A96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9CA729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69BE55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E2.1.2 Pasażerski tabor kolejowy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5B9776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7263A3A" w14:textId="6DE9722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Elektryczny</w:t>
            </w:r>
            <w:r w:rsidR="00A33B9F" w:rsidRPr="00A33B9F">
              <w:rPr>
                <w:rFonts w:ascii="Times New Roman" w:hAnsi="Times New Roman"/>
                <w:noProof/>
              </w:rPr>
              <w:t xml:space="preserve"> i wyp</w:t>
            </w:r>
            <w:r w:rsidRPr="00A33B9F">
              <w:rPr>
                <w:rFonts w:ascii="Times New Roman" w:hAnsi="Times New Roman"/>
                <w:noProof/>
              </w:rPr>
              <w:t>osażony w ERTMS tabor</w:t>
            </w:r>
            <w:r w:rsidR="00A33B9F" w:rsidRPr="00A33B9F">
              <w:rPr>
                <w:rFonts w:ascii="Times New Roman" w:hAnsi="Times New Roman"/>
                <w:noProof/>
              </w:rPr>
              <w:t xml:space="preserve"> w uży</w:t>
            </w:r>
            <w:r w:rsidRPr="00A33B9F">
              <w:rPr>
                <w:rFonts w:ascii="Times New Roman" w:hAnsi="Times New Roman"/>
                <w:noProof/>
              </w:rPr>
              <w:t>ciu na regionalnych oraz długodystansowych liniach kolejowych</w:t>
            </w:r>
          </w:p>
        </w:tc>
      </w:tr>
      <w:tr w:rsidR="00D8141F" w:rsidRPr="00A33B9F" w14:paraId="37B2727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23472B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E22G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121D88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E2.1.3 Projekty intermodalne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A7DA60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56BD8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Zwiększenie zdolności przeładunkowej</w:t>
            </w:r>
          </w:p>
        </w:tc>
      </w:tr>
      <w:tr w:rsidR="00D8141F" w:rsidRPr="00A33B9F" w14:paraId="78A8AAC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3DDE11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1159D2" w14:textId="5BE44EA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E2.2.1 Inwestycje</w:t>
            </w:r>
            <w:r w:rsidR="00A33B9F" w:rsidRPr="00A33B9F">
              <w:rPr>
                <w:rFonts w:ascii="Times New Roman" w:hAnsi="Times New Roman"/>
                <w:noProof/>
              </w:rPr>
              <w:t xml:space="preserve"> w zak</w:t>
            </w:r>
            <w:r w:rsidRPr="00A33B9F">
              <w:rPr>
                <w:rFonts w:ascii="Times New Roman" w:hAnsi="Times New Roman"/>
                <w:noProof/>
              </w:rPr>
              <w:t>resie bezpieczeństwa transportu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AF89A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41C17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Zakończenie budowy obwodnic, usunięcie czarnych punktów/hotspotów bezpieczeństwa ruchu drogowego oraz instalacja urządzeń automatycznego nadzoru nad ruchem drogowym</w:t>
            </w:r>
          </w:p>
        </w:tc>
      </w:tr>
      <w:tr w:rsidR="00D8141F" w:rsidRPr="00A33B9F" w14:paraId="08DCE1E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9AB9FD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E28G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8206435"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E2.2.2 Cyfryzacja transportu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B1226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8127B4" w14:textId="0696A0C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Instalacja systemów automatycznego sterowania, przejazdy kolejowe, 180 urządzeń pokładowych ERTMS</w:t>
            </w:r>
            <w:r w:rsidR="00A33B9F" w:rsidRPr="00A33B9F">
              <w:rPr>
                <w:rFonts w:ascii="Times New Roman" w:hAnsi="Times New Roman"/>
                <w:noProof/>
              </w:rPr>
              <w:t xml:space="preserve"> i zwi</w:t>
            </w:r>
            <w:r w:rsidRPr="00A33B9F">
              <w:rPr>
                <w:rFonts w:ascii="Times New Roman" w:hAnsi="Times New Roman"/>
                <w:noProof/>
              </w:rPr>
              <w:t>ązane</w:t>
            </w:r>
            <w:r w:rsidR="00A33B9F" w:rsidRPr="00A33B9F">
              <w:rPr>
                <w:rFonts w:ascii="Times New Roman" w:hAnsi="Times New Roman"/>
                <w:noProof/>
              </w:rPr>
              <w:t xml:space="preserve"> z tym</w:t>
            </w:r>
            <w:r w:rsidRPr="00A33B9F">
              <w:rPr>
                <w:rFonts w:ascii="Times New Roman" w:hAnsi="Times New Roman"/>
                <w:noProof/>
              </w:rPr>
              <w:t xml:space="preserve"> wejście do użytku</w:t>
            </w:r>
          </w:p>
        </w:tc>
      </w:tr>
      <w:tr w:rsidR="00D8141F" w:rsidRPr="00A33B9F" w14:paraId="3CC79AB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CD35FF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G5G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4165D86" w14:textId="3D5006F1" w:rsidR="00D8141F" w:rsidRPr="00A33B9F" w:rsidRDefault="00D8141F" w:rsidP="00753103">
            <w:pPr>
              <w:spacing w:line="240" w:lineRule="auto"/>
              <w:rPr>
                <w:rFonts w:ascii="Times New Roman" w:hAnsi="Times New Roman"/>
                <w:noProof/>
              </w:rPr>
            </w:pPr>
            <w:r w:rsidRPr="00A33B9F">
              <w:rPr>
                <w:rFonts w:ascii="Times New Roman" w:hAnsi="Times New Roman"/>
                <w:noProof/>
              </w:rPr>
              <w:t>G1.1.2 Instalacje odnawialnych źródeł energii realizowane przez społeczności energetyczne,</w:t>
            </w:r>
            <w:r w:rsidR="00A33B9F" w:rsidRPr="00A33B9F">
              <w:rPr>
                <w:rFonts w:ascii="Times New Roman" w:hAnsi="Times New Roman"/>
                <w:noProof/>
              </w:rPr>
              <w:t xml:space="preserve"> w tym</w:t>
            </w:r>
            <w:r w:rsidRPr="00A33B9F">
              <w:rPr>
                <w:rFonts w:ascii="Times New Roman" w:hAnsi="Times New Roman"/>
                <w:noProof/>
              </w:rPr>
              <w:t xml:space="preserve"> inwestycje</w:t>
            </w:r>
            <w:r w:rsidR="00A33B9F" w:rsidRPr="00A33B9F">
              <w:rPr>
                <w:rFonts w:ascii="Times New Roman" w:hAnsi="Times New Roman"/>
                <w:noProof/>
              </w:rPr>
              <w:t xml:space="preserve"> o zwi</w:t>
            </w:r>
            <w:r w:rsidRPr="00A33B9F">
              <w:rPr>
                <w:rFonts w:ascii="Times New Roman" w:hAnsi="Times New Roman"/>
                <w:noProof/>
              </w:rPr>
              <w:t>ększonej skali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90EDE1C"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A6B9888" w14:textId="1DDDF8EB" w:rsidR="00D8141F" w:rsidRPr="00A33B9F" w:rsidRDefault="00D8141F" w:rsidP="00753103">
            <w:pPr>
              <w:spacing w:line="240" w:lineRule="auto"/>
              <w:rPr>
                <w:rFonts w:ascii="Times New Roman" w:hAnsi="Times New Roman"/>
                <w:noProof/>
              </w:rPr>
            </w:pPr>
            <w:r w:rsidRPr="00A33B9F">
              <w:rPr>
                <w:rFonts w:ascii="Times New Roman" w:hAnsi="Times New Roman"/>
                <w:noProof/>
              </w:rPr>
              <w:t>Podmioty wspierane</w:t>
            </w:r>
            <w:r w:rsidR="00A33B9F" w:rsidRPr="00A33B9F">
              <w:rPr>
                <w:rFonts w:ascii="Times New Roman" w:hAnsi="Times New Roman"/>
                <w:noProof/>
              </w:rPr>
              <w:t xml:space="preserve"> w ram</w:t>
            </w:r>
            <w:r w:rsidRPr="00A33B9F">
              <w:rPr>
                <w:rFonts w:ascii="Times New Roman" w:hAnsi="Times New Roman"/>
                <w:noProof/>
              </w:rPr>
              <w:t>ach części inwestycyjnej</w:t>
            </w:r>
          </w:p>
        </w:tc>
      </w:tr>
      <w:tr w:rsidR="00D8141F" w:rsidRPr="00A33B9F" w14:paraId="78F9A60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087E567"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G6G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7888B9"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G1.1.3 Systemy magazynowania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321CEB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3031998"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 Wdrożenie wielkoskalowego systemu magazynowania energii (BESS)</w:t>
            </w:r>
          </w:p>
        </w:tc>
      </w:tr>
      <w:tr w:rsidR="00D8141F" w:rsidRPr="00A33B9F" w14:paraId="06945EA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C630ACD"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G11G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A20D0D" w14:textId="42E44360"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G1.1.4 Wsparcie dla instytucji wdrażających reformy</w:t>
            </w:r>
            <w:r w:rsidR="00A33B9F" w:rsidRPr="00A33B9F">
              <w:rPr>
                <w:rFonts w:ascii="Times New Roman" w:hAnsi="Times New Roman"/>
                <w:noProof/>
              </w:rPr>
              <w:t xml:space="preserve"> i inw</w:t>
            </w:r>
            <w:r w:rsidRPr="00A33B9F">
              <w:rPr>
                <w:rFonts w:ascii="Times New Roman" w:hAnsi="Times New Roman"/>
                <w:noProof/>
              </w:rPr>
              <w:t>estycje</w:t>
            </w:r>
            <w:r w:rsidR="00A33B9F" w:rsidRPr="00A33B9F">
              <w:rPr>
                <w:rFonts w:ascii="Times New Roman" w:hAnsi="Times New Roman"/>
                <w:noProof/>
              </w:rPr>
              <w:t xml:space="preserve"> w ram</w:t>
            </w:r>
            <w:r w:rsidRPr="00A33B9F">
              <w:rPr>
                <w:rFonts w:ascii="Times New Roman" w:hAnsi="Times New Roman"/>
                <w:noProof/>
              </w:rPr>
              <w:t>ach REPowerEU</w:t>
            </w:r>
          </w:p>
          <w:p w14:paraId="49DB7680" w14:textId="77777777" w:rsidR="00D8141F" w:rsidRPr="00A33B9F" w:rsidRDefault="00D8141F" w:rsidP="00753103">
            <w:pPr>
              <w:spacing w:line="240" w:lineRule="auto"/>
              <w:rPr>
                <w:rFonts w:ascii="Times New Roman" w:hAnsi="Times New Roman"/>
                <w:noProof/>
                <w:szCs w:val="28"/>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35DF0FC"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5F296EA"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Wdrożenie narzędzia informatycznego na potrzeby stosowania nowego modelu regulacyjnego przez Urząd Regulacji Energetyki</w:t>
            </w:r>
          </w:p>
        </w:tc>
      </w:tr>
      <w:tr w:rsidR="00D8141F" w:rsidRPr="00A33B9F" w14:paraId="12EEB86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5003019"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341D31F"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G1.2.3 Rozwój sieci przesyłowych, inteligentna infrastruktura elektroenergetyczna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F4D3443"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DACCAE"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Długość nowo </w:t>
            </w:r>
          </w:p>
          <w:p w14:paraId="57EAD69F"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wybudowanej lub zmodernizowanej </w:t>
            </w:r>
          </w:p>
          <w:p w14:paraId="6738806E"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elektroenergetycznej sieci przesyłowej </w:t>
            </w:r>
          </w:p>
          <w:p w14:paraId="7DA3E0A9"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 km)</w:t>
            </w:r>
          </w:p>
        </w:tc>
      </w:tr>
      <w:tr w:rsidR="00D8141F" w:rsidRPr="00A33B9F" w14:paraId="2E9A4CD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B24BE0D"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G19G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B9BDDDF"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G1.2.3. Rozwój sieci przesyłowych, inteligentna infrastruktura elektroenergetyczna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9BBC9C"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29F653E"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Długość nowo </w:t>
            </w:r>
          </w:p>
          <w:p w14:paraId="17FBDAAF" w14:textId="77777777"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 xml:space="preserve">wybudowanej lub zmodernizowanej </w:t>
            </w:r>
          </w:p>
          <w:p w14:paraId="34013947" w14:textId="77777777" w:rsidR="00D8141F" w:rsidRPr="00A33B9F" w:rsidRDefault="00D8141F" w:rsidP="00753103">
            <w:pPr>
              <w:spacing w:after="0" w:line="240" w:lineRule="auto"/>
              <w:rPr>
                <w:rFonts w:ascii="Times New Roman" w:eastAsia="Times New Roman" w:hAnsi="Times New Roman" w:cs="Times New Roman"/>
                <w:noProof/>
              </w:rPr>
            </w:pPr>
            <w:r w:rsidRPr="00A33B9F">
              <w:rPr>
                <w:rFonts w:ascii="Times New Roman" w:hAnsi="Times New Roman"/>
                <w:noProof/>
              </w:rPr>
              <w:t xml:space="preserve">elektroenergetycznej sieci przesyłowej </w:t>
            </w:r>
          </w:p>
          <w:p w14:paraId="2DFF1A22"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 km)</w:t>
            </w:r>
          </w:p>
        </w:tc>
      </w:tr>
      <w:tr w:rsidR="00D8141F" w:rsidRPr="00A33B9F" w14:paraId="1FD1917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081A5D2"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G20G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C35676"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G1.2.3 Rozwój sieci przesyłowych, inteligentna infrastruktura elektroenergetyczna</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8D8B95F"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D4C3671" w14:textId="626D1930"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Rozbudowane lub zmodernizowane elektrownie</w:t>
            </w:r>
            <w:r w:rsidR="00A33B9F" w:rsidRPr="00A33B9F">
              <w:rPr>
                <w:rFonts w:ascii="Times New Roman" w:hAnsi="Times New Roman"/>
                <w:noProof/>
              </w:rPr>
              <w:t xml:space="preserve"> w ram</w:t>
            </w:r>
            <w:r w:rsidRPr="00A33B9F">
              <w:rPr>
                <w:rFonts w:ascii="Times New Roman" w:hAnsi="Times New Roman"/>
                <w:noProof/>
              </w:rPr>
              <w:t>ach sieci przesyłowej</w:t>
            </w:r>
          </w:p>
        </w:tc>
      </w:tr>
      <w:tr w:rsidR="00D8141F" w:rsidRPr="00A33B9F" w14:paraId="1644F05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5C5C11E"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G24G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8E7BA8" w14:textId="28B60576"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G1.2.4 Budowa lub modernizacja sieci dystrybucyjnych energii elektrycznej na obszarach wiejskich</w:t>
            </w:r>
            <w:r w:rsidR="00A33B9F" w:rsidRPr="00A33B9F">
              <w:rPr>
                <w:rFonts w:ascii="Times New Roman" w:hAnsi="Times New Roman"/>
                <w:noProof/>
              </w:rPr>
              <w:t xml:space="preserve"> w cel</w:t>
            </w:r>
            <w:r w:rsidRPr="00A33B9F">
              <w:rPr>
                <w:rFonts w:ascii="Times New Roman" w:hAnsi="Times New Roman"/>
                <w:noProof/>
              </w:rPr>
              <w:t>u umożliwienia przyłączenia nowych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2ABB1D"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5934A2" w14:textId="67E35081"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Długość nowo wybudowanych lub zmodernizowanych linii</w:t>
            </w:r>
            <w:r w:rsidR="00A33B9F" w:rsidRPr="00A33B9F">
              <w:rPr>
                <w:rFonts w:ascii="Times New Roman" w:hAnsi="Times New Roman"/>
                <w:noProof/>
              </w:rPr>
              <w:t xml:space="preserve"> w sie</w:t>
            </w:r>
            <w:r w:rsidRPr="00A33B9F">
              <w:rPr>
                <w:rFonts w:ascii="Times New Roman" w:hAnsi="Times New Roman"/>
                <w:noProof/>
              </w:rPr>
              <w:t>ciach dystrybucyjnych (km)</w:t>
            </w:r>
          </w:p>
        </w:tc>
      </w:tr>
      <w:tr w:rsidR="00D8141F" w:rsidRPr="00A33B9F" w14:paraId="4DA09C3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DC3EF26"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G27G</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0BA6697"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G1.3.2 Zeroemisyjny transport zbiorowy (autobusy)</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9FE63FA"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F4E65B5" w14:textId="23333C5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Nowe pojazdy zeroemisyjne</w:t>
            </w:r>
            <w:r w:rsidR="00A33B9F" w:rsidRPr="00A33B9F">
              <w:rPr>
                <w:rFonts w:ascii="Times New Roman" w:hAnsi="Times New Roman"/>
                <w:noProof/>
              </w:rPr>
              <w:t xml:space="preserve"> w eks</w:t>
            </w:r>
            <w:r w:rsidRPr="00A33B9F">
              <w:rPr>
                <w:rFonts w:ascii="Times New Roman" w:hAnsi="Times New Roman"/>
                <w:noProof/>
              </w:rPr>
              <w:t>ploatacji</w:t>
            </w:r>
          </w:p>
        </w:tc>
      </w:tr>
      <w:tr w:rsidR="00D8141F" w:rsidRPr="00A33B9F" w14:paraId="76FF55A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59573B9"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1854B35"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21A329A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0B8135F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3 490 373 613 EUR </w:t>
            </w:r>
          </w:p>
        </w:tc>
      </w:tr>
    </w:tbl>
    <w:p w14:paraId="3C87136F"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483F069B"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sz w:val="24"/>
          <w:szCs w:val="24"/>
        </w:rPr>
      </w:pPr>
      <w:r w:rsidRPr="00A33B9F">
        <w:rPr>
          <w:rFonts w:ascii="Times New Roman" w:hAnsi="Times New Roman"/>
          <w:b/>
          <w:noProof/>
          <w:color w:val="000000" w:themeColor="text1"/>
          <w:sz w:val="24"/>
        </w:rPr>
        <w:t>2.2. Pożyczka</w:t>
      </w:r>
    </w:p>
    <w:p w14:paraId="34ED46DE" w14:textId="67F3B02A" w:rsidR="00D8141F" w:rsidRPr="00A33B9F" w:rsidRDefault="00D8141F" w:rsidP="00D8141F">
      <w:pPr>
        <w:spacing w:before="120" w:after="120" w:line="240" w:lineRule="auto"/>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Transze,</w:t>
      </w:r>
      <w:r w:rsidR="00A33B9F" w:rsidRPr="00A33B9F">
        <w:rPr>
          <w:rFonts w:ascii="Times New Roman" w:hAnsi="Times New Roman"/>
          <w:noProof/>
          <w:color w:val="000000" w:themeColor="text1"/>
          <w:sz w:val="24"/>
        </w:rPr>
        <w:t xml:space="preserve"> o któ</w:t>
      </w:r>
      <w:r w:rsidRPr="00A33B9F">
        <w:rPr>
          <w:rFonts w:ascii="Times New Roman" w:hAnsi="Times New Roman"/>
          <w:noProof/>
          <w:color w:val="000000" w:themeColor="text1"/>
          <w:sz w:val="24"/>
        </w:rPr>
        <w:t>rych mowa</w:t>
      </w:r>
      <w:r w:rsidR="00A33B9F" w:rsidRPr="00A33B9F">
        <w:rPr>
          <w:rFonts w:ascii="Times New Roman" w:hAnsi="Times New Roman"/>
          <w:noProof/>
          <w:color w:val="000000" w:themeColor="text1"/>
          <w:sz w:val="24"/>
        </w:rPr>
        <w:t xml:space="preserve"> w art</w:t>
      </w:r>
      <w:r w:rsidRPr="00A33B9F">
        <w:rPr>
          <w:rFonts w:ascii="Times New Roman" w:hAnsi="Times New Roman"/>
          <w:noProof/>
          <w:color w:val="000000" w:themeColor="text1"/>
          <w:sz w:val="24"/>
        </w:rPr>
        <w: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3 ust.</w:t>
      </w:r>
      <w:r w:rsidR="00A33B9F" w:rsidRPr="00A33B9F">
        <w:rPr>
          <w:rFonts w:ascii="Times New Roman" w:hAnsi="Times New Roman"/>
          <w:noProof/>
          <w:color w:val="000000" w:themeColor="text1"/>
          <w:sz w:val="24"/>
        </w:rPr>
        <w:t> </w:t>
      </w:r>
      <w:r w:rsidRPr="00A33B9F">
        <w:rPr>
          <w:rFonts w:ascii="Times New Roman" w:hAnsi="Times New Roman"/>
          <w:noProof/>
          <w:color w:val="000000" w:themeColor="text1"/>
          <w:sz w:val="24"/>
        </w:rPr>
        <w:t>2, zostaną zorganizowane</w:t>
      </w:r>
      <w:r w:rsidR="00A33B9F" w:rsidRPr="00A33B9F">
        <w:rPr>
          <w:rFonts w:ascii="Times New Roman" w:hAnsi="Times New Roman"/>
          <w:noProof/>
          <w:color w:val="000000" w:themeColor="text1"/>
          <w:sz w:val="24"/>
        </w:rPr>
        <w:t xml:space="preserve"> w spo</w:t>
      </w:r>
      <w:r w:rsidRPr="00A33B9F">
        <w:rPr>
          <w:rFonts w:ascii="Times New Roman" w:hAnsi="Times New Roman"/>
          <w:noProof/>
          <w:color w:val="000000" w:themeColor="text1"/>
          <w:sz w:val="24"/>
        </w:rPr>
        <w:t>sób następujący:</w:t>
      </w:r>
    </w:p>
    <w:p w14:paraId="0DC49555"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sz w:val="24"/>
          <w:szCs w:val="24"/>
        </w:rPr>
      </w:pPr>
    </w:p>
    <w:p w14:paraId="49A199D2" w14:textId="4312C1AA" w:rsidR="00D8141F" w:rsidRPr="00A33B9F" w:rsidRDefault="00D8141F" w:rsidP="00D8141F">
      <w:pPr>
        <w:spacing w:before="120" w:after="120" w:line="240" w:lineRule="auto"/>
        <w:rPr>
          <w:rFonts w:ascii="Times New Roman" w:eastAsia="Times New Roman" w:hAnsi="Times New Roman" w:cs="Times New Roman"/>
          <w:noProof/>
          <w:color w:val="000000" w:themeColor="text1"/>
          <w:sz w:val="24"/>
          <w:szCs w:val="24"/>
        </w:rPr>
      </w:pPr>
      <w:r w:rsidRPr="00A33B9F">
        <w:rPr>
          <w:rFonts w:ascii="Times New Roman" w:hAnsi="Times New Roman"/>
          <w:noProof/>
          <w:color w:val="000000" w:themeColor="text1"/>
          <w:sz w:val="24"/>
        </w:rPr>
        <w:t>2.2.1. Pierwsza transza (wsparcie</w:t>
      </w:r>
      <w:r w:rsidR="00A33B9F" w:rsidRPr="00A33B9F">
        <w:rPr>
          <w:rFonts w:ascii="Times New Roman" w:hAnsi="Times New Roman"/>
          <w:noProof/>
          <w:color w:val="000000" w:themeColor="text1"/>
          <w:sz w:val="24"/>
        </w:rPr>
        <w:t xml:space="preserve"> w for</w:t>
      </w:r>
      <w:r w:rsidRPr="00A33B9F">
        <w:rPr>
          <w:rFonts w:ascii="Times New Roman" w:hAnsi="Times New Roman"/>
          <w:noProof/>
          <w:color w:val="000000" w:themeColor="text1"/>
          <w:sz w:val="24"/>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0AABE2AF" w14:textId="77777777" w:rsidTr="00753103">
        <w:trPr>
          <w:trHeight w:val="715"/>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5796F31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4F999F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694914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0C96A7B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03D9FDC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F23FB9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277832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B1.2 Ułatwienie spełnienia obowiązku oszczędności energii dla przedsiębiorstw energetycznych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DF065E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A8177B3" w14:textId="409B010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rozporządzenia wykonawczego do ustawy</w:t>
            </w:r>
            <w:r w:rsidR="00A33B9F" w:rsidRPr="00A33B9F">
              <w:rPr>
                <w:rFonts w:ascii="Times New Roman" w:hAnsi="Times New Roman"/>
                <w:noProof/>
              </w:rPr>
              <w:t xml:space="preserve"> o efe</w:t>
            </w:r>
            <w:r w:rsidRPr="00A33B9F">
              <w:rPr>
                <w:rFonts w:ascii="Times New Roman" w:hAnsi="Times New Roman"/>
                <w:noProof/>
              </w:rPr>
              <w:t>ktywności energetycznej</w:t>
            </w:r>
          </w:p>
        </w:tc>
      </w:tr>
      <w:tr w:rsidR="00D8141F" w:rsidRPr="00A33B9F" w14:paraId="7FE6F64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CE85B8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90D484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B2.4 Ramy prawne dla rozwoju magazynów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D99AE2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BBA94B0" w14:textId="0CF8841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zmian ustawy – Prawo energetyczne</w:t>
            </w:r>
            <w:r w:rsidR="00A33B9F" w:rsidRPr="00A33B9F">
              <w:rPr>
                <w:rFonts w:ascii="Times New Roman" w:hAnsi="Times New Roman"/>
                <w:noProof/>
              </w:rPr>
              <w:t xml:space="preserve"> w zak</w:t>
            </w:r>
            <w:r w:rsidRPr="00A33B9F">
              <w:rPr>
                <w:rFonts w:ascii="Times New Roman" w:hAnsi="Times New Roman"/>
                <w:noProof/>
              </w:rPr>
              <w:t>resie magazynowania energii</w:t>
            </w:r>
          </w:p>
        </w:tc>
      </w:tr>
      <w:tr w:rsidR="00D8141F" w:rsidRPr="00A33B9F" w14:paraId="2B8147B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A8319E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2855C33" w14:textId="4C3DDA1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B3.3 Wsparcie dla zrównoważonego gospodarowania zasobami wodnymi</w:t>
            </w:r>
            <w:r w:rsidR="00A33B9F" w:rsidRPr="00A33B9F">
              <w:rPr>
                <w:rFonts w:ascii="Times New Roman" w:hAnsi="Times New Roman"/>
                <w:noProof/>
              </w:rPr>
              <w:t xml:space="preserve"> w rol</w:t>
            </w:r>
            <w:r w:rsidRPr="00A33B9F">
              <w:rPr>
                <w:rFonts w:ascii="Times New Roman" w:hAnsi="Times New Roman"/>
                <w:noProof/>
              </w:rPr>
              <w:t>nictwie i na obszarach wiejskich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2F13F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1D4233" w14:textId="5D68160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zmian</w:t>
            </w:r>
            <w:r w:rsidR="00A33B9F" w:rsidRPr="00A33B9F">
              <w:rPr>
                <w:rFonts w:ascii="Times New Roman" w:hAnsi="Times New Roman"/>
                <w:noProof/>
              </w:rPr>
              <w:t xml:space="preserve"> w prz</w:t>
            </w:r>
            <w:r w:rsidRPr="00A33B9F">
              <w:rPr>
                <w:rFonts w:ascii="Times New Roman" w:hAnsi="Times New Roman"/>
                <w:noProof/>
              </w:rPr>
              <w:t>episach krajowych, które są niezbędne do poprawy warunków odnoszących się do odpornej gospodarki wodnej</w:t>
            </w:r>
            <w:r w:rsidR="00A33B9F" w:rsidRPr="00A33B9F">
              <w:rPr>
                <w:rFonts w:ascii="Times New Roman" w:hAnsi="Times New Roman"/>
                <w:noProof/>
              </w:rPr>
              <w:t xml:space="preserve"> w rol</w:t>
            </w:r>
            <w:r w:rsidRPr="00A33B9F">
              <w:rPr>
                <w:rFonts w:ascii="Times New Roman" w:hAnsi="Times New Roman"/>
                <w:noProof/>
              </w:rPr>
              <w:t>nictwie i na obszarach wiejskich.</w:t>
            </w:r>
          </w:p>
        </w:tc>
      </w:tr>
      <w:tr w:rsidR="00D8141F" w:rsidRPr="00A33B9F" w14:paraId="6BAA946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9A9FF4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9B20FC8" w14:textId="3C8F56D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B3.3.1 Inwestycje</w:t>
            </w:r>
            <w:r w:rsidR="00A33B9F" w:rsidRPr="00A33B9F">
              <w:rPr>
                <w:rFonts w:ascii="Times New Roman" w:hAnsi="Times New Roman"/>
                <w:noProof/>
              </w:rPr>
              <w:t xml:space="preserve"> w zwi</w:t>
            </w:r>
            <w:r w:rsidRPr="00A33B9F">
              <w:rPr>
                <w:rFonts w:ascii="Times New Roman" w:hAnsi="Times New Roman"/>
                <w:noProof/>
              </w:rPr>
              <w:t>ększanie potencjału zrównoważonej gospodarki wodnej na obszarach wiejskich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143F7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D38538" w14:textId="64F10AC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kryteriów kwalifikacji</w:t>
            </w:r>
            <w:r w:rsidR="00A33B9F" w:rsidRPr="00A33B9F">
              <w:rPr>
                <w:rFonts w:ascii="Times New Roman" w:hAnsi="Times New Roman"/>
                <w:noProof/>
              </w:rPr>
              <w:t xml:space="preserve"> w odn</w:t>
            </w:r>
            <w:r w:rsidRPr="00A33B9F">
              <w:rPr>
                <w:rFonts w:ascii="Times New Roman" w:hAnsi="Times New Roman"/>
                <w:noProof/>
              </w:rPr>
              <w:t>iesieniu do zaproszeń do składania wniosków</w:t>
            </w:r>
          </w:p>
        </w:tc>
      </w:tr>
      <w:tr w:rsidR="00D8141F" w:rsidRPr="00A33B9F" w14:paraId="3E0CFD5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A0B96C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9A4DB42"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B3.4 Inwestycje na rzecz kompleksowej zielonej transformacji miast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47C7A4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6C913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Instrument na rzecz Zielonej Transformacji Miast</w:t>
            </w:r>
          </w:p>
        </w:tc>
      </w:tr>
      <w:tr w:rsidR="00D8141F" w:rsidRPr="00A33B9F" w14:paraId="4FE12AC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36002B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542574" w14:textId="3AD6738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B3.5 Reforma budownictwa mieszkaniowego dla osób</w:t>
            </w:r>
            <w:r w:rsidR="00A33B9F" w:rsidRPr="00A33B9F">
              <w:rPr>
                <w:rFonts w:ascii="Times New Roman" w:hAnsi="Times New Roman"/>
                <w:noProof/>
              </w:rPr>
              <w:t xml:space="preserve"> o nis</w:t>
            </w:r>
            <w:r w:rsidRPr="00A33B9F">
              <w:rPr>
                <w:rFonts w:ascii="Times New Roman" w:hAnsi="Times New Roman"/>
                <w:noProof/>
              </w:rPr>
              <w:t>kich</w:t>
            </w:r>
            <w:r w:rsidR="00A33B9F" w:rsidRPr="00A33B9F">
              <w:rPr>
                <w:rFonts w:ascii="Times New Roman" w:hAnsi="Times New Roman"/>
                <w:noProof/>
              </w:rPr>
              <w:t xml:space="preserve"> i śre</w:t>
            </w:r>
            <w:r w:rsidRPr="00A33B9F">
              <w:rPr>
                <w:rFonts w:ascii="Times New Roman" w:hAnsi="Times New Roman"/>
                <w:noProof/>
              </w:rPr>
              <w:t>dnich dochodach,</w:t>
            </w:r>
          </w:p>
          <w:p w14:paraId="682DB53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 uwzględnieniem wyższej efektywności energetycznej budynków</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C8E1CA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ED2CEC" w14:textId="10EDD71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zmiany do ustawy</w:t>
            </w:r>
            <w:r w:rsidR="00A33B9F" w:rsidRPr="00A33B9F">
              <w:rPr>
                <w:rFonts w:ascii="Times New Roman" w:hAnsi="Times New Roman"/>
                <w:noProof/>
              </w:rPr>
              <w:t xml:space="preserve"> z dni</w:t>
            </w:r>
            <w:r w:rsidRPr="00A33B9F">
              <w:rPr>
                <w:rFonts w:ascii="Times New Roman" w:hAnsi="Times New Roman"/>
                <w:noProof/>
              </w:rPr>
              <w:t>a 8 grudnia 2006</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o fin</w:t>
            </w:r>
            <w:r w:rsidRPr="00A33B9F">
              <w:rPr>
                <w:rFonts w:ascii="Times New Roman" w:hAnsi="Times New Roman"/>
                <w:noProof/>
              </w:rPr>
              <w:t>ansowym wsparciu tworzenia lokali mieszkalnych na wynajem, mieszkań chronionych, noclegowni, schronisk dla bezdomnych, ogrzewalni</w:t>
            </w:r>
            <w:r w:rsidR="00A33B9F" w:rsidRPr="00A33B9F">
              <w:rPr>
                <w:rFonts w:ascii="Times New Roman" w:hAnsi="Times New Roman"/>
                <w:noProof/>
              </w:rPr>
              <w:t xml:space="preserve"> i tym</w:t>
            </w:r>
            <w:r w:rsidRPr="00A33B9F">
              <w:rPr>
                <w:rFonts w:ascii="Times New Roman" w:hAnsi="Times New Roman"/>
                <w:noProof/>
              </w:rPr>
              <w:t>czasowych pomieszczeń</w:t>
            </w:r>
            <w:r w:rsidR="00A33B9F" w:rsidRPr="00A33B9F">
              <w:rPr>
                <w:rFonts w:ascii="Times New Roman" w:hAnsi="Times New Roman"/>
                <w:noProof/>
              </w:rPr>
              <w:t xml:space="preserve"> i wpr</w:t>
            </w:r>
            <w:r w:rsidRPr="00A33B9F">
              <w:rPr>
                <w:rFonts w:ascii="Times New Roman" w:hAnsi="Times New Roman"/>
                <w:noProof/>
              </w:rPr>
              <w:t>owadzenie powiązanych</w:t>
            </w:r>
            <w:r w:rsidR="00A33B9F" w:rsidRPr="00A33B9F">
              <w:rPr>
                <w:rFonts w:ascii="Times New Roman" w:hAnsi="Times New Roman"/>
                <w:noProof/>
              </w:rPr>
              <w:t xml:space="preserve"> z tym</w:t>
            </w:r>
            <w:r w:rsidRPr="00A33B9F">
              <w:rPr>
                <w:rFonts w:ascii="Times New Roman" w:hAnsi="Times New Roman"/>
                <w:noProof/>
              </w:rPr>
              <w:t xml:space="preserve"> faktem zmian</w:t>
            </w:r>
            <w:r w:rsidR="00A33B9F" w:rsidRPr="00A33B9F">
              <w:rPr>
                <w:rFonts w:ascii="Times New Roman" w:hAnsi="Times New Roman"/>
                <w:noProof/>
              </w:rPr>
              <w:t xml:space="preserve"> w inn</w:t>
            </w:r>
            <w:r w:rsidRPr="00A33B9F">
              <w:rPr>
                <w:rFonts w:ascii="Times New Roman" w:hAnsi="Times New Roman"/>
                <w:noProof/>
              </w:rPr>
              <w:t>ych ustawach</w:t>
            </w:r>
          </w:p>
        </w:tc>
      </w:tr>
      <w:tr w:rsidR="00D8141F" w:rsidRPr="00A33B9F" w14:paraId="7CE6140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C340F35"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4382D16"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A266DC0"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4D2089" w14:textId="074CCA26" w:rsidR="00D8141F" w:rsidRPr="00A33B9F" w:rsidRDefault="00D8141F" w:rsidP="00753103">
            <w:pPr>
              <w:spacing w:line="240" w:lineRule="auto"/>
              <w:rPr>
                <w:rFonts w:ascii="Times New Roman" w:hAnsi="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zmi</w:t>
            </w:r>
            <w:r w:rsidRPr="00A33B9F">
              <w:rPr>
                <w:rFonts w:ascii="Times New Roman" w:hAnsi="Times New Roman"/>
                <w:noProof/>
              </w:rPr>
              <w:t>anie ustawy</w:t>
            </w:r>
            <w:r w:rsidR="00A33B9F" w:rsidRPr="00A33B9F">
              <w:rPr>
                <w:rFonts w:ascii="Times New Roman" w:hAnsi="Times New Roman"/>
                <w:noProof/>
              </w:rPr>
              <w:t xml:space="preserve"> o inw</w:t>
            </w:r>
            <w:r w:rsidRPr="00A33B9F">
              <w:rPr>
                <w:rFonts w:ascii="Times New Roman" w:hAnsi="Times New Roman"/>
                <w:noProof/>
              </w:rPr>
              <w:t>estycjach</w:t>
            </w:r>
            <w:r w:rsidR="00A33B9F" w:rsidRPr="00A33B9F">
              <w:rPr>
                <w:rFonts w:ascii="Times New Roman" w:hAnsi="Times New Roman"/>
                <w:noProof/>
              </w:rPr>
              <w:t xml:space="preserve"> w zak</w:t>
            </w:r>
            <w:r w:rsidRPr="00A33B9F">
              <w:rPr>
                <w:rFonts w:ascii="Times New Roman" w:hAnsi="Times New Roman"/>
                <w:noProof/>
              </w:rPr>
              <w:t>resie lądowych farm wiatrowych</w:t>
            </w:r>
          </w:p>
        </w:tc>
      </w:tr>
      <w:tr w:rsidR="00D8141F" w:rsidRPr="00A33B9F" w14:paraId="37B374F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19BAF9B"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AC9D68"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51F7F4A"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46311ED" w14:textId="0ED3B7FB" w:rsidR="00D8141F" w:rsidRPr="00A33B9F" w:rsidRDefault="00D8141F" w:rsidP="00753103">
            <w:pPr>
              <w:spacing w:line="240" w:lineRule="auto"/>
              <w:rPr>
                <w:rFonts w:ascii="Times New Roman" w:hAnsi="Times New Roman"/>
                <w:noProof/>
              </w:rPr>
            </w:pPr>
            <w:r w:rsidRPr="00A33B9F">
              <w:rPr>
                <w:rFonts w:ascii="Times New Roman" w:hAnsi="Times New Roman"/>
                <w:noProof/>
              </w:rPr>
              <w:t>T1 – Moc zainstalowana lądowych instalacji wiatrowych</w:t>
            </w:r>
            <w:r w:rsidR="00A33B9F" w:rsidRPr="00A33B9F">
              <w:rPr>
                <w:rFonts w:ascii="Times New Roman" w:hAnsi="Times New Roman"/>
                <w:noProof/>
              </w:rPr>
              <w:t xml:space="preserve"> i fot</w:t>
            </w:r>
            <w:r w:rsidRPr="00A33B9F">
              <w:rPr>
                <w:rFonts w:ascii="Times New Roman" w:hAnsi="Times New Roman"/>
                <w:noProof/>
              </w:rPr>
              <w:t>owoltaicznych (w GW)</w:t>
            </w:r>
          </w:p>
        </w:tc>
      </w:tr>
      <w:tr w:rsidR="00D8141F" w:rsidRPr="00A33B9F" w14:paraId="4AB1419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A9BB0C0"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1D8A159"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EB2A6E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6B8CD86" w14:textId="09EF82A9" w:rsidR="00D8141F" w:rsidRPr="00A33B9F" w:rsidRDefault="00D8141F" w:rsidP="00753103">
            <w:pPr>
              <w:spacing w:line="240" w:lineRule="auto"/>
              <w:rPr>
                <w:rFonts w:ascii="Times New Roman" w:hAnsi="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rozporządzenia wykonawczego</w:t>
            </w:r>
            <w:r w:rsidR="00A33B9F" w:rsidRPr="00A33B9F">
              <w:rPr>
                <w:rFonts w:ascii="Times New Roman" w:hAnsi="Times New Roman"/>
                <w:noProof/>
              </w:rPr>
              <w:t xml:space="preserve"> w nas</w:t>
            </w:r>
            <w:r w:rsidRPr="00A33B9F">
              <w:rPr>
                <w:rFonts w:ascii="Times New Roman" w:hAnsi="Times New Roman"/>
                <w:noProof/>
              </w:rPr>
              <w:t>tępstwie ustawy</w:t>
            </w:r>
            <w:r w:rsidR="00A33B9F" w:rsidRPr="00A33B9F">
              <w:rPr>
                <w:rFonts w:ascii="Times New Roman" w:hAnsi="Times New Roman"/>
                <w:noProof/>
              </w:rPr>
              <w:t xml:space="preserve"> z dni</w:t>
            </w:r>
            <w:r w:rsidRPr="00A33B9F">
              <w:rPr>
                <w:rFonts w:ascii="Times New Roman" w:hAnsi="Times New Roman"/>
                <w:noProof/>
              </w:rPr>
              <w:t>a 17 grudnia 2020</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o pro</w:t>
            </w:r>
            <w:r w:rsidRPr="00A33B9F">
              <w:rPr>
                <w:rFonts w:ascii="Times New Roman" w:hAnsi="Times New Roman"/>
                <w:noProof/>
              </w:rPr>
              <w:t>mowaniu wytwarzania energii elektrycznej</w:t>
            </w:r>
            <w:r w:rsidR="00A33B9F" w:rsidRPr="00A33B9F">
              <w:rPr>
                <w:rFonts w:ascii="Times New Roman" w:hAnsi="Times New Roman"/>
                <w:noProof/>
              </w:rPr>
              <w:t xml:space="preserve"> w mor</w:t>
            </w:r>
            <w:r w:rsidRPr="00A33B9F">
              <w:rPr>
                <w:rFonts w:ascii="Times New Roman" w:hAnsi="Times New Roman"/>
                <w:noProof/>
              </w:rPr>
              <w:t>skich farmach wiatrowych</w:t>
            </w:r>
          </w:p>
        </w:tc>
      </w:tr>
      <w:tr w:rsidR="00D8141F" w:rsidRPr="00A33B9F" w14:paraId="52E4388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D2EAC6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299B8A0" w14:textId="620F119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C1.2 Podniesienie poziomu dostępności</w:t>
            </w:r>
            <w:r w:rsidR="00A33B9F" w:rsidRPr="00A33B9F">
              <w:rPr>
                <w:rFonts w:ascii="Times New Roman" w:hAnsi="Times New Roman"/>
                <w:noProof/>
              </w:rPr>
              <w:t xml:space="preserve"> i wyk</w:t>
            </w:r>
            <w:r w:rsidRPr="00A33B9F">
              <w:rPr>
                <w:rFonts w:ascii="Times New Roman" w:hAnsi="Times New Roman"/>
                <w:noProof/>
              </w:rPr>
              <w:t>orzystania nowoczesnej łączności przewodowej</w:t>
            </w:r>
            <w:r w:rsidR="00A33B9F" w:rsidRPr="00A33B9F">
              <w:rPr>
                <w:rFonts w:ascii="Times New Roman" w:hAnsi="Times New Roman"/>
                <w:noProof/>
              </w:rPr>
              <w:t xml:space="preserve"> i bez</w:t>
            </w:r>
            <w:r w:rsidRPr="00A33B9F">
              <w:rPr>
                <w:rFonts w:ascii="Times New Roman" w:hAnsi="Times New Roman"/>
                <w:noProof/>
              </w:rPr>
              <w:t>przewodowej na potrzeby społeczne</w:t>
            </w:r>
            <w:r w:rsidR="00A33B9F" w:rsidRPr="00A33B9F">
              <w:rPr>
                <w:rFonts w:ascii="Times New Roman" w:hAnsi="Times New Roman"/>
                <w:noProof/>
              </w:rPr>
              <w:t xml:space="preserve"> i gos</w:t>
            </w:r>
            <w:r w:rsidRPr="00A33B9F">
              <w:rPr>
                <w:rFonts w:ascii="Times New Roman" w:hAnsi="Times New Roman"/>
                <w:noProof/>
              </w:rPr>
              <w:t>podarcze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E4CA29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06A492" w14:textId="23E8081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rozporządzenia</w:t>
            </w:r>
            <w:r w:rsidR="00A33B9F" w:rsidRPr="00A33B9F">
              <w:rPr>
                <w:rFonts w:ascii="Times New Roman" w:hAnsi="Times New Roman"/>
                <w:noProof/>
              </w:rPr>
              <w:t xml:space="preserve"> z dni</w:t>
            </w:r>
            <w:r w:rsidRPr="00A33B9F">
              <w:rPr>
                <w:rFonts w:ascii="Times New Roman" w:hAnsi="Times New Roman"/>
                <w:noProof/>
              </w:rPr>
              <w:t>a 17 lutego 2020</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w spr</w:t>
            </w:r>
            <w:r w:rsidRPr="00A33B9F">
              <w:rPr>
                <w:rFonts w:ascii="Times New Roman" w:hAnsi="Times New Roman"/>
                <w:noProof/>
              </w:rPr>
              <w:t>awie sposobów sprawdzania dotrzymania dopuszczalnych poziomów pól elektromagnetycznych</w:t>
            </w:r>
            <w:r w:rsidR="00A33B9F" w:rsidRPr="00A33B9F">
              <w:rPr>
                <w:rFonts w:ascii="Times New Roman" w:hAnsi="Times New Roman"/>
                <w:noProof/>
              </w:rPr>
              <w:t xml:space="preserve"> w śro</w:t>
            </w:r>
            <w:r w:rsidRPr="00A33B9F">
              <w:rPr>
                <w:rFonts w:ascii="Times New Roman" w:hAnsi="Times New Roman"/>
                <w:noProof/>
              </w:rPr>
              <w:t>dowisku</w:t>
            </w:r>
          </w:p>
        </w:tc>
      </w:tr>
      <w:tr w:rsidR="00D8141F" w:rsidRPr="00A33B9F" w14:paraId="3B8A553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85A45F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3A551D" w14:textId="3124923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C1.2 Podniesienie poziomu dostępności</w:t>
            </w:r>
            <w:r w:rsidR="00A33B9F" w:rsidRPr="00A33B9F">
              <w:rPr>
                <w:rFonts w:ascii="Times New Roman" w:hAnsi="Times New Roman"/>
                <w:noProof/>
              </w:rPr>
              <w:t xml:space="preserve"> i wyk</w:t>
            </w:r>
            <w:r w:rsidRPr="00A33B9F">
              <w:rPr>
                <w:rFonts w:ascii="Times New Roman" w:hAnsi="Times New Roman"/>
                <w:noProof/>
              </w:rPr>
              <w:t>orzystania nowoczesnej łączności przewodowej</w:t>
            </w:r>
            <w:r w:rsidR="00A33B9F" w:rsidRPr="00A33B9F">
              <w:rPr>
                <w:rFonts w:ascii="Times New Roman" w:hAnsi="Times New Roman"/>
                <w:noProof/>
              </w:rPr>
              <w:t xml:space="preserve"> i bez</w:t>
            </w:r>
            <w:r w:rsidRPr="00A33B9F">
              <w:rPr>
                <w:rFonts w:ascii="Times New Roman" w:hAnsi="Times New Roman"/>
                <w:noProof/>
              </w:rPr>
              <w:t>przewodowej na potrzeby społeczne</w:t>
            </w:r>
            <w:r w:rsidR="00A33B9F" w:rsidRPr="00A33B9F">
              <w:rPr>
                <w:rFonts w:ascii="Times New Roman" w:hAnsi="Times New Roman"/>
                <w:noProof/>
              </w:rPr>
              <w:t xml:space="preserve"> i gos</w:t>
            </w:r>
            <w:r w:rsidRPr="00A33B9F">
              <w:rPr>
                <w:rFonts w:ascii="Times New Roman" w:hAnsi="Times New Roman"/>
                <w:noProof/>
              </w:rPr>
              <w:t>podarcze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AE0319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5DA876D" w14:textId="2815F63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Zmiana rozporządzenia Rady Ministrów</w:t>
            </w:r>
            <w:r w:rsidR="00A33B9F" w:rsidRPr="00A33B9F">
              <w:rPr>
                <w:rFonts w:ascii="Times New Roman" w:hAnsi="Times New Roman"/>
                <w:noProof/>
              </w:rPr>
              <w:t xml:space="preserve"> z dni</w:t>
            </w:r>
            <w:r w:rsidRPr="00A33B9F">
              <w:rPr>
                <w:rFonts w:ascii="Times New Roman" w:hAnsi="Times New Roman"/>
                <w:noProof/>
              </w:rPr>
              <w:t>a 10 września 2019</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w spr</w:t>
            </w:r>
            <w:r w:rsidRPr="00A33B9F">
              <w:rPr>
                <w:rFonts w:ascii="Times New Roman" w:hAnsi="Times New Roman"/>
                <w:noProof/>
              </w:rPr>
              <w:t>awie przedsięwzięć mogących znacząco oddziaływać na środowisko</w:t>
            </w:r>
          </w:p>
        </w:tc>
      </w:tr>
      <w:tr w:rsidR="00D8141F" w:rsidRPr="00A33B9F" w14:paraId="1DF99C4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4F2DE3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442C9C7" w14:textId="05C8357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D1.2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opieki długoterminowej podmiotów leczniczych na poziomie powiatowym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43B82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FD6ADF" w14:textId="33700B6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Przegląd potencjału ustanowienia jednostek/ośrodków opieki długoterminowej</w:t>
            </w:r>
            <w:r w:rsidR="00A33B9F" w:rsidRPr="00A33B9F">
              <w:rPr>
                <w:rFonts w:ascii="Times New Roman" w:hAnsi="Times New Roman"/>
                <w:noProof/>
              </w:rPr>
              <w:t xml:space="preserve"> i ger</w:t>
            </w:r>
            <w:r w:rsidRPr="00A33B9F">
              <w:rPr>
                <w:rFonts w:ascii="Times New Roman" w:hAnsi="Times New Roman"/>
                <w:noProof/>
              </w:rPr>
              <w:t>iatrycznej</w:t>
            </w:r>
            <w:r w:rsidR="00A33B9F" w:rsidRPr="00A33B9F">
              <w:rPr>
                <w:rFonts w:ascii="Times New Roman" w:hAnsi="Times New Roman"/>
                <w:noProof/>
              </w:rPr>
              <w:t xml:space="preserve"> w szp</w:t>
            </w:r>
            <w:r w:rsidRPr="00A33B9F">
              <w:rPr>
                <w:rFonts w:ascii="Times New Roman" w:hAnsi="Times New Roman"/>
                <w:noProof/>
              </w:rPr>
              <w:t>italach powiatowych</w:t>
            </w:r>
            <w:r w:rsidR="00A33B9F" w:rsidRPr="00A33B9F">
              <w:rPr>
                <w:rFonts w:ascii="Times New Roman" w:hAnsi="Times New Roman"/>
                <w:noProof/>
              </w:rPr>
              <w:t xml:space="preserve"> w Pol</w:t>
            </w:r>
            <w:r w:rsidRPr="00A33B9F">
              <w:rPr>
                <w:rFonts w:ascii="Times New Roman" w:hAnsi="Times New Roman"/>
                <w:noProof/>
              </w:rPr>
              <w:t>sce</w:t>
            </w:r>
          </w:p>
        </w:tc>
      </w:tr>
      <w:tr w:rsidR="00D8141F" w:rsidRPr="00A33B9F" w14:paraId="6458655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BEDBFD4"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3AE4EA4A"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7AFCF8E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55E59A2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4 178 257 125 EUR </w:t>
            </w:r>
          </w:p>
        </w:tc>
      </w:tr>
    </w:tbl>
    <w:p w14:paraId="2E33E4BD"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17DAFA5C" w14:textId="1A845720"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2.2.2. Druga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6DB7FD2D" w14:textId="77777777" w:rsidTr="00753103">
        <w:trPr>
          <w:trHeight w:val="769"/>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6C34AC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4D18865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40E68D7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67CE3AF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47C9CD0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678881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909544A" w14:textId="739BB03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A2.5 Zwiększenie znaczenia sektora kultury</w:t>
            </w:r>
            <w:r w:rsidR="00A33B9F" w:rsidRPr="00A33B9F">
              <w:rPr>
                <w:rFonts w:ascii="Times New Roman" w:hAnsi="Times New Roman"/>
                <w:noProof/>
              </w:rPr>
              <w:t xml:space="preserve"> i prz</w:t>
            </w:r>
            <w:r w:rsidRPr="00A33B9F">
              <w:rPr>
                <w:rFonts w:ascii="Times New Roman" w:hAnsi="Times New Roman"/>
                <w:noProof/>
              </w:rPr>
              <w:t>emysłu kultury dla rozwoju gospodarczego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5F3596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3B87E15" w14:textId="31E4160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dokumentu programowego</w:t>
            </w:r>
            <w:r w:rsidR="00A33B9F" w:rsidRPr="00A33B9F">
              <w:rPr>
                <w:rFonts w:ascii="Times New Roman" w:hAnsi="Times New Roman"/>
                <w:noProof/>
              </w:rPr>
              <w:t xml:space="preserve"> w spr</w:t>
            </w:r>
            <w:r w:rsidRPr="00A33B9F">
              <w:rPr>
                <w:rFonts w:ascii="Times New Roman" w:hAnsi="Times New Roman"/>
                <w:noProof/>
              </w:rPr>
              <w:t>awie wspierania działań ekologicznych</w:t>
            </w:r>
            <w:r w:rsidR="00A33B9F" w:rsidRPr="00A33B9F">
              <w:rPr>
                <w:rFonts w:ascii="Times New Roman" w:hAnsi="Times New Roman"/>
                <w:noProof/>
              </w:rPr>
              <w:t xml:space="preserve"> i cyf</w:t>
            </w:r>
            <w:r w:rsidRPr="00A33B9F">
              <w:rPr>
                <w:rFonts w:ascii="Times New Roman" w:hAnsi="Times New Roman"/>
                <w:noProof/>
              </w:rPr>
              <w:t>rowych</w:t>
            </w:r>
            <w:r w:rsidR="00A33B9F" w:rsidRPr="00A33B9F">
              <w:rPr>
                <w:rFonts w:ascii="Times New Roman" w:hAnsi="Times New Roman"/>
                <w:noProof/>
              </w:rPr>
              <w:t xml:space="preserve"> w sek</w:t>
            </w:r>
            <w:r w:rsidRPr="00A33B9F">
              <w:rPr>
                <w:rFonts w:ascii="Times New Roman" w:hAnsi="Times New Roman"/>
                <w:noProof/>
              </w:rPr>
              <w:t>torze kultury</w:t>
            </w:r>
            <w:r w:rsidR="00A33B9F" w:rsidRPr="00A33B9F">
              <w:rPr>
                <w:rFonts w:ascii="Times New Roman" w:hAnsi="Times New Roman"/>
                <w:noProof/>
              </w:rPr>
              <w:t xml:space="preserve"> i sek</w:t>
            </w:r>
            <w:r w:rsidRPr="00A33B9F">
              <w:rPr>
                <w:rFonts w:ascii="Times New Roman" w:hAnsi="Times New Roman"/>
                <w:noProof/>
              </w:rPr>
              <w:t>torze kreatywnym</w:t>
            </w:r>
          </w:p>
        </w:tc>
      </w:tr>
      <w:tr w:rsidR="00D8141F" w:rsidRPr="00A33B9F" w14:paraId="40144AA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3CBB13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859F70C" w14:textId="01383AF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A2.5.1 Program wspierania działalności podmiotów sektora kultury</w:t>
            </w:r>
            <w:r w:rsidR="00A33B9F" w:rsidRPr="00A33B9F">
              <w:rPr>
                <w:rFonts w:ascii="Times New Roman" w:hAnsi="Times New Roman"/>
                <w:noProof/>
              </w:rPr>
              <w:t xml:space="preserve"> i prz</w:t>
            </w:r>
            <w:r w:rsidRPr="00A33B9F">
              <w:rPr>
                <w:rFonts w:ascii="Times New Roman" w:hAnsi="Times New Roman"/>
                <w:noProof/>
              </w:rPr>
              <w:t>emysłów kreatywnych na rzecz stymulowania ich rozwoju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E677B6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2F6C5F0" w14:textId="5B62B7D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Kryteria kwalifikacji projektów do otrzymania wsparcia</w:t>
            </w:r>
            <w:r w:rsidR="00A33B9F" w:rsidRPr="00A33B9F">
              <w:rPr>
                <w:rFonts w:ascii="Times New Roman" w:hAnsi="Times New Roman"/>
                <w:noProof/>
              </w:rPr>
              <w:t xml:space="preserve"> w sek</w:t>
            </w:r>
            <w:r w:rsidRPr="00A33B9F">
              <w:rPr>
                <w:rFonts w:ascii="Times New Roman" w:hAnsi="Times New Roman"/>
                <w:noProof/>
              </w:rPr>
              <w:t>torze kultury</w:t>
            </w:r>
            <w:r w:rsidR="00A33B9F" w:rsidRPr="00A33B9F">
              <w:rPr>
                <w:rFonts w:ascii="Times New Roman" w:hAnsi="Times New Roman"/>
                <w:noProof/>
              </w:rPr>
              <w:t xml:space="preserve"> i sek</w:t>
            </w:r>
            <w:r w:rsidRPr="00A33B9F">
              <w:rPr>
                <w:rFonts w:ascii="Times New Roman" w:hAnsi="Times New Roman"/>
                <w:noProof/>
              </w:rPr>
              <w:t>torze kreatywnym</w:t>
            </w:r>
            <w:r w:rsidR="00C3621A" w:rsidRPr="00A33B9F">
              <w:rPr>
                <w:rFonts w:ascii="Times New Roman" w:hAnsi="Times New Roman"/>
                <w:noProof/>
              </w:rPr>
              <w:t xml:space="preserve"> </w:t>
            </w:r>
          </w:p>
        </w:tc>
      </w:tr>
      <w:tr w:rsidR="00D8141F" w:rsidRPr="00A33B9F" w14:paraId="53584EA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580A09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29CA17C" w14:textId="1D9C3B2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B1.2.1 Efektywność energetyczna i OZE</w:t>
            </w:r>
            <w:r w:rsidR="00A33B9F" w:rsidRPr="00A33B9F">
              <w:rPr>
                <w:rFonts w:ascii="Times New Roman" w:hAnsi="Times New Roman"/>
                <w:noProof/>
              </w:rPr>
              <w:t xml:space="preserve"> w prz</w:t>
            </w:r>
            <w:r w:rsidRPr="00A33B9F">
              <w:rPr>
                <w:rFonts w:ascii="Times New Roman" w:hAnsi="Times New Roman"/>
                <w:noProof/>
              </w:rPr>
              <w:t>edsiębiorstwach – inwestycje</w:t>
            </w:r>
            <w:r w:rsidR="00A33B9F" w:rsidRPr="00A33B9F">
              <w:rPr>
                <w:rFonts w:ascii="Times New Roman" w:hAnsi="Times New Roman"/>
                <w:noProof/>
              </w:rPr>
              <w:t xml:space="preserve"> o naj</w:t>
            </w:r>
            <w:r w:rsidRPr="00A33B9F">
              <w:rPr>
                <w:rFonts w:ascii="Times New Roman" w:hAnsi="Times New Roman"/>
                <w:noProof/>
              </w:rPr>
              <w:t>większym potencjale redukcji gazów cieplarnianych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EBDE7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CC2AC48" w14:textId="05339D1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Instrukcje dotyczące finansowania (w tym kryteria kwalifikowalności</w:t>
            </w:r>
            <w:r w:rsidR="00A33B9F" w:rsidRPr="00A33B9F">
              <w:rPr>
                <w:rFonts w:ascii="Times New Roman" w:hAnsi="Times New Roman"/>
                <w:noProof/>
              </w:rPr>
              <w:t xml:space="preserve"> i kwa</w:t>
            </w:r>
            <w:r w:rsidRPr="00A33B9F">
              <w:rPr>
                <w:rFonts w:ascii="Times New Roman" w:hAnsi="Times New Roman"/>
                <w:noProof/>
              </w:rPr>
              <w:t>lifikacji) odnoszące się do systemu wsparcia ukierunkowanego na efektywność energetyczną i OZE</w:t>
            </w:r>
            <w:r w:rsidR="00A33B9F" w:rsidRPr="00A33B9F">
              <w:rPr>
                <w:rFonts w:ascii="Times New Roman" w:hAnsi="Times New Roman"/>
                <w:noProof/>
              </w:rPr>
              <w:t xml:space="preserve"> w prz</w:t>
            </w:r>
            <w:r w:rsidRPr="00A33B9F">
              <w:rPr>
                <w:rFonts w:ascii="Times New Roman" w:hAnsi="Times New Roman"/>
                <w:noProof/>
              </w:rPr>
              <w:t>edsiębiorstwach,</w:t>
            </w:r>
            <w:r w:rsidR="00A33B9F" w:rsidRPr="00A33B9F">
              <w:rPr>
                <w:rFonts w:ascii="Times New Roman" w:hAnsi="Times New Roman"/>
                <w:noProof/>
              </w:rPr>
              <w:t xml:space="preserve"> w tym</w:t>
            </w:r>
            <w:r w:rsidRPr="00A33B9F">
              <w:rPr>
                <w:rFonts w:ascii="Times New Roman" w:hAnsi="Times New Roman"/>
                <w:noProof/>
              </w:rPr>
              <w:t xml:space="preserve"> przedsiębiorstwach objętych unijnym systemem handlu uprawnieniami do emisji</w:t>
            </w:r>
          </w:p>
        </w:tc>
      </w:tr>
      <w:tr w:rsidR="00D8141F" w:rsidRPr="00A33B9F" w14:paraId="566E2D4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DCF1AE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D4760B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B3.2 Wsparcie na poprawę stanu środowiska oraz na zabezpieczenie przed substancjami niebezpiecznymi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65615D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F9085EA" w14:textId="5E5C8A3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 ułatwiającej kompleksową eliminację negatywnego wpływu na środowisko wielkoobszarowych terenów poprzemysłowych</w:t>
            </w:r>
          </w:p>
        </w:tc>
      </w:tr>
      <w:tr w:rsidR="00D8141F" w:rsidRPr="00A33B9F" w14:paraId="3E5C050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BCD1E97"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71B8076"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1C278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4244446" w14:textId="1D1A4CDB"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 Wejście</w:t>
            </w:r>
            <w:r w:rsidR="00A33B9F" w:rsidRPr="00A33B9F">
              <w:rPr>
                <w:rFonts w:ascii="Times New Roman" w:hAnsi="Times New Roman"/>
                <w:noProof/>
              </w:rPr>
              <w:t xml:space="preserve"> w życ</w:t>
            </w:r>
            <w:r w:rsidRPr="00A33B9F">
              <w:rPr>
                <w:rFonts w:ascii="Times New Roman" w:hAnsi="Times New Roman"/>
                <w:noProof/>
              </w:rPr>
              <w:t>ie rozporządzenia określającego plan aukcji na odnawialne źródła energii na lata 2022–2027</w:t>
            </w:r>
          </w:p>
        </w:tc>
      </w:tr>
      <w:tr w:rsidR="00D8141F" w:rsidRPr="00A33B9F" w14:paraId="4224329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B3A9278"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1120220"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AE85B44"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023124" w14:textId="6F467704" w:rsidR="00D8141F" w:rsidRPr="00A33B9F" w:rsidRDefault="00D8141F" w:rsidP="00753103">
            <w:pPr>
              <w:spacing w:line="240" w:lineRule="auto"/>
              <w:rPr>
                <w:rFonts w:ascii="Times New Roman" w:hAnsi="Times New Roman"/>
                <w:noProof/>
              </w:rPr>
            </w:pPr>
            <w:r w:rsidRPr="00A33B9F">
              <w:rPr>
                <w:rFonts w:ascii="Times New Roman" w:hAnsi="Times New Roman"/>
                <w:noProof/>
              </w:rPr>
              <w:t>T2 – Moc zainstalowana lądowych instalacji wiatrowych</w:t>
            </w:r>
            <w:r w:rsidR="00A33B9F" w:rsidRPr="00A33B9F">
              <w:rPr>
                <w:rFonts w:ascii="Times New Roman" w:hAnsi="Times New Roman"/>
                <w:noProof/>
              </w:rPr>
              <w:t xml:space="preserve"> i fot</w:t>
            </w:r>
            <w:r w:rsidRPr="00A33B9F">
              <w:rPr>
                <w:rFonts w:ascii="Times New Roman" w:hAnsi="Times New Roman"/>
                <w:noProof/>
              </w:rPr>
              <w:t>owoltaicznych (w GW)</w:t>
            </w:r>
          </w:p>
        </w:tc>
      </w:tr>
      <w:tr w:rsidR="00D8141F" w:rsidRPr="00A33B9F" w14:paraId="4E67BCF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1B54564"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B40L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233B6D7"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4FA21B6"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EC1828" w14:textId="00DE76B6" w:rsidR="00D8141F" w:rsidRPr="00A33B9F" w:rsidRDefault="00D8141F" w:rsidP="00753103">
            <w:pPr>
              <w:spacing w:line="240" w:lineRule="auto"/>
              <w:rPr>
                <w:rFonts w:ascii="Times New Roman" w:hAnsi="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rozporządzenia wykonawczego</w:t>
            </w:r>
            <w:r w:rsidR="00A33B9F" w:rsidRPr="00A33B9F">
              <w:rPr>
                <w:rFonts w:ascii="Times New Roman" w:hAnsi="Times New Roman"/>
                <w:noProof/>
              </w:rPr>
              <w:t xml:space="preserve"> w nas</w:t>
            </w:r>
            <w:r w:rsidRPr="00A33B9F">
              <w:rPr>
                <w:rFonts w:ascii="Times New Roman" w:hAnsi="Times New Roman"/>
                <w:noProof/>
              </w:rPr>
              <w:t>tępstwie ustawy</w:t>
            </w:r>
            <w:r w:rsidR="00A33B9F" w:rsidRPr="00A33B9F">
              <w:rPr>
                <w:rFonts w:ascii="Times New Roman" w:hAnsi="Times New Roman"/>
                <w:noProof/>
              </w:rPr>
              <w:t xml:space="preserve"> z dni</w:t>
            </w:r>
            <w:r w:rsidRPr="00A33B9F">
              <w:rPr>
                <w:rFonts w:ascii="Times New Roman" w:hAnsi="Times New Roman"/>
                <w:noProof/>
              </w:rPr>
              <w:t>a 17 grudnia 2020</w:t>
            </w:r>
            <w:r w:rsidR="00A33B9F" w:rsidRPr="00A33B9F">
              <w:rPr>
                <w:rFonts w:ascii="Times New Roman" w:hAnsi="Times New Roman"/>
                <w:noProof/>
              </w:rPr>
              <w:t> </w:t>
            </w:r>
            <w:r w:rsidRPr="00A33B9F">
              <w:rPr>
                <w:rFonts w:ascii="Times New Roman" w:hAnsi="Times New Roman"/>
                <w:noProof/>
              </w:rPr>
              <w:t>r.</w:t>
            </w:r>
            <w:r w:rsidR="00A33B9F" w:rsidRPr="00A33B9F">
              <w:rPr>
                <w:rFonts w:ascii="Times New Roman" w:hAnsi="Times New Roman"/>
                <w:noProof/>
              </w:rPr>
              <w:t xml:space="preserve"> o pro</w:t>
            </w:r>
            <w:r w:rsidRPr="00A33B9F">
              <w:rPr>
                <w:rFonts w:ascii="Times New Roman" w:hAnsi="Times New Roman"/>
                <w:noProof/>
              </w:rPr>
              <w:t>mowaniu wytwarzania energii elektrycznej</w:t>
            </w:r>
            <w:r w:rsidR="00A33B9F" w:rsidRPr="00A33B9F">
              <w:rPr>
                <w:rFonts w:ascii="Times New Roman" w:hAnsi="Times New Roman"/>
                <w:noProof/>
              </w:rPr>
              <w:t xml:space="preserve"> w mor</w:t>
            </w:r>
            <w:r w:rsidRPr="00A33B9F">
              <w:rPr>
                <w:rFonts w:ascii="Times New Roman" w:hAnsi="Times New Roman"/>
                <w:noProof/>
              </w:rPr>
              <w:t>skich farmach wiatrowych</w:t>
            </w:r>
          </w:p>
        </w:tc>
      </w:tr>
      <w:tr w:rsidR="00D8141F" w:rsidRPr="00A33B9F" w14:paraId="705064C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CC8B16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A49E72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C2.2 Reforma podstaw transformacji cyfrowej systemu edukacji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35820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CA55F4" w14:textId="1D80D5E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Przyjęcie nowej polityki transformacji cyfrowej</w:t>
            </w:r>
            <w:r w:rsidR="00A33B9F" w:rsidRPr="00A33B9F">
              <w:rPr>
                <w:rFonts w:ascii="Times New Roman" w:hAnsi="Times New Roman"/>
                <w:noProof/>
              </w:rPr>
              <w:t xml:space="preserve"> w obs</w:t>
            </w:r>
            <w:r w:rsidRPr="00A33B9F">
              <w:rPr>
                <w:rFonts w:ascii="Times New Roman" w:hAnsi="Times New Roman"/>
                <w:noProof/>
              </w:rPr>
              <w:t>zarze edukacji, stanowiącej podstawę zmian</w:t>
            </w:r>
            <w:r w:rsidR="00A33B9F" w:rsidRPr="00A33B9F">
              <w:rPr>
                <w:rFonts w:ascii="Times New Roman" w:hAnsi="Times New Roman"/>
                <w:noProof/>
              </w:rPr>
              <w:t xml:space="preserve"> w sys</w:t>
            </w:r>
            <w:r w:rsidRPr="00A33B9F">
              <w:rPr>
                <w:rFonts w:ascii="Times New Roman" w:hAnsi="Times New Roman"/>
                <w:noProof/>
              </w:rPr>
              <w:t>temie edukacji</w:t>
            </w:r>
            <w:r w:rsidR="00A33B9F" w:rsidRPr="00A33B9F">
              <w:rPr>
                <w:rFonts w:ascii="Times New Roman" w:hAnsi="Times New Roman"/>
                <w:noProof/>
              </w:rPr>
              <w:t xml:space="preserve"> i rea</w:t>
            </w:r>
            <w:r w:rsidRPr="00A33B9F">
              <w:rPr>
                <w:rFonts w:ascii="Times New Roman" w:hAnsi="Times New Roman"/>
                <w:noProof/>
              </w:rPr>
              <w:t>lizacji inwestycji w ICT oraz służącej określeniu kierunków procesu transformacji cyfrowej systemu edukacji</w:t>
            </w:r>
            <w:r w:rsidR="00A33B9F" w:rsidRPr="00A33B9F">
              <w:rPr>
                <w:rFonts w:ascii="Times New Roman" w:hAnsi="Times New Roman"/>
                <w:noProof/>
              </w:rPr>
              <w:t xml:space="preserve"> w per</w:t>
            </w:r>
            <w:r w:rsidRPr="00A33B9F">
              <w:rPr>
                <w:rFonts w:ascii="Times New Roman" w:hAnsi="Times New Roman"/>
                <w:noProof/>
              </w:rPr>
              <w:t>spektywie krótko-</w:t>
            </w:r>
            <w:r w:rsidR="00A33B9F" w:rsidRPr="00A33B9F">
              <w:rPr>
                <w:rFonts w:ascii="Times New Roman" w:hAnsi="Times New Roman"/>
                <w:noProof/>
              </w:rPr>
              <w:t xml:space="preserve"> i dłu</w:t>
            </w:r>
            <w:r w:rsidRPr="00A33B9F">
              <w:rPr>
                <w:rFonts w:ascii="Times New Roman" w:hAnsi="Times New Roman"/>
                <w:noProof/>
              </w:rPr>
              <w:t>goterminowej</w:t>
            </w:r>
          </w:p>
        </w:tc>
      </w:tr>
      <w:tr w:rsidR="00D8141F" w:rsidRPr="00A33B9F" w14:paraId="6EBE804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73813A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D566E7F" w14:textId="1087038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C2.2.1 Wyposażenie szkół/instytucji</w:t>
            </w:r>
            <w:r w:rsidR="00A33B9F" w:rsidRPr="00A33B9F">
              <w:rPr>
                <w:rFonts w:ascii="Times New Roman" w:hAnsi="Times New Roman"/>
                <w:noProof/>
              </w:rPr>
              <w:t xml:space="preserve"> w odp</w:t>
            </w:r>
            <w:r w:rsidRPr="00A33B9F">
              <w:rPr>
                <w:rFonts w:ascii="Times New Roman" w:hAnsi="Times New Roman"/>
                <w:noProof/>
              </w:rPr>
              <w:t>owiednie urządzenia</w:t>
            </w:r>
            <w:r w:rsidR="00A33B9F" w:rsidRPr="00A33B9F">
              <w:rPr>
                <w:rFonts w:ascii="Times New Roman" w:hAnsi="Times New Roman"/>
                <w:noProof/>
              </w:rPr>
              <w:t xml:space="preserve"> i inf</w:t>
            </w:r>
            <w:r w:rsidRPr="00A33B9F">
              <w:rPr>
                <w:rFonts w:ascii="Times New Roman" w:hAnsi="Times New Roman"/>
                <w:noProof/>
              </w:rPr>
              <w:t>rastrukturę ICT</w:t>
            </w:r>
            <w:r w:rsidR="00A33B9F" w:rsidRPr="00A33B9F">
              <w:rPr>
                <w:rFonts w:ascii="Times New Roman" w:hAnsi="Times New Roman"/>
                <w:noProof/>
              </w:rPr>
              <w:t xml:space="preserve"> w cel</w:t>
            </w:r>
            <w:r w:rsidRPr="00A33B9F">
              <w:rPr>
                <w:rFonts w:ascii="Times New Roman" w:hAnsi="Times New Roman"/>
                <w:noProof/>
              </w:rPr>
              <w:t>u poprawy ogólnej wydajności systemów edukacji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D9B18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57CC5D7" w14:textId="0E36DC2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Konsultacje publiczne</w:t>
            </w:r>
            <w:r w:rsidR="00A33B9F" w:rsidRPr="00A33B9F">
              <w:rPr>
                <w:rFonts w:ascii="Times New Roman" w:hAnsi="Times New Roman"/>
                <w:noProof/>
              </w:rPr>
              <w:t xml:space="preserve"> w spr</w:t>
            </w:r>
            <w:r w:rsidRPr="00A33B9F">
              <w:rPr>
                <w:rFonts w:ascii="Times New Roman" w:hAnsi="Times New Roman"/>
                <w:noProof/>
              </w:rPr>
              <w:t xml:space="preserve">awie ram określających procedury dystrybucji sprzętu ICT oraz udostępniania infrastruktury szkołom </w:t>
            </w:r>
          </w:p>
        </w:tc>
      </w:tr>
      <w:tr w:rsidR="00D8141F" w:rsidRPr="00A33B9F" w14:paraId="2857D59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D4B0B7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303A394" w14:textId="1847226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D1.2 Zwiększenie efektywności, dostępności</w:t>
            </w:r>
            <w:r w:rsidR="00A33B9F" w:rsidRPr="00A33B9F">
              <w:rPr>
                <w:rFonts w:ascii="Times New Roman" w:hAnsi="Times New Roman"/>
                <w:noProof/>
              </w:rPr>
              <w:t xml:space="preserve"> i jak</w:t>
            </w:r>
            <w:r w:rsidRPr="00A33B9F">
              <w:rPr>
                <w:rFonts w:ascii="Times New Roman" w:hAnsi="Times New Roman"/>
                <w:noProof/>
              </w:rPr>
              <w:t>ości świadczeń opieki długoterminowej podmiotów leczniczych na poziomie powiatowym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A74C5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279A51" w14:textId="1BF84C8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ustawodawczego</w:t>
            </w:r>
            <w:r w:rsidR="00A33B9F" w:rsidRPr="00A33B9F">
              <w:rPr>
                <w:rFonts w:ascii="Times New Roman" w:hAnsi="Times New Roman"/>
                <w:noProof/>
              </w:rPr>
              <w:t xml:space="preserve"> w spr</w:t>
            </w:r>
            <w:r w:rsidRPr="00A33B9F">
              <w:rPr>
                <w:rFonts w:ascii="Times New Roman" w:hAnsi="Times New Roman"/>
                <w:noProof/>
              </w:rPr>
              <w:t>awie wsparcia na rzecz ustanowienia jednostek/ośrodków opieki długoterminowej</w:t>
            </w:r>
            <w:r w:rsidR="00A33B9F" w:rsidRPr="00A33B9F">
              <w:rPr>
                <w:rFonts w:ascii="Times New Roman" w:hAnsi="Times New Roman"/>
                <w:noProof/>
              </w:rPr>
              <w:t xml:space="preserve"> i ger</w:t>
            </w:r>
            <w:r w:rsidRPr="00A33B9F">
              <w:rPr>
                <w:rFonts w:ascii="Times New Roman" w:hAnsi="Times New Roman"/>
                <w:noProof/>
              </w:rPr>
              <w:t>iatrycznej</w:t>
            </w:r>
            <w:r w:rsidR="00A33B9F" w:rsidRPr="00A33B9F">
              <w:rPr>
                <w:rFonts w:ascii="Times New Roman" w:hAnsi="Times New Roman"/>
                <w:noProof/>
              </w:rPr>
              <w:t xml:space="preserve"> w szp</w:t>
            </w:r>
            <w:r w:rsidRPr="00A33B9F">
              <w:rPr>
                <w:rFonts w:ascii="Times New Roman" w:hAnsi="Times New Roman"/>
                <w:noProof/>
              </w:rPr>
              <w:t>italach powiatowych na podstawie wyników przeglądu</w:t>
            </w:r>
          </w:p>
        </w:tc>
      </w:tr>
      <w:tr w:rsidR="00D8141F" w:rsidRPr="00A33B9F" w14:paraId="2DAEC20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CA8E1B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E8BCC5" w14:textId="5DC3071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E2.3 Poprawa dostępności</w:t>
            </w:r>
            <w:r w:rsidR="00A33B9F" w:rsidRPr="00A33B9F">
              <w:rPr>
                <w:rFonts w:ascii="Times New Roman" w:hAnsi="Times New Roman"/>
                <w:noProof/>
              </w:rPr>
              <w:t xml:space="preserve"> i bez</w:t>
            </w:r>
            <w:r w:rsidRPr="00A33B9F">
              <w:rPr>
                <w:rFonts w:ascii="Times New Roman" w:hAnsi="Times New Roman"/>
                <w:noProof/>
              </w:rPr>
              <w:t>pieczeństwa transportu oraz usprawnienie rozwiązań cyfrowych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C9E926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A6271A5" w14:textId="551700C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wprowadzającego ulepszenia</w:t>
            </w:r>
            <w:r w:rsidR="00A33B9F" w:rsidRPr="00A33B9F">
              <w:rPr>
                <w:rFonts w:ascii="Times New Roman" w:hAnsi="Times New Roman"/>
                <w:noProof/>
              </w:rPr>
              <w:t xml:space="preserve"> w odn</w:t>
            </w:r>
            <w:r w:rsidRPr="00A33B9F">
              <w:rPr>
                <w:rFonts w:ascii="Times New Roman" w:hAnsi="Times New Roman"/>
                <w:noProof/>
              </w:rPr>
              <w:t>iesieniu do praw pasażerów</w:t>
            </w:r>
            <w:r w:rsidR="00A33B9F" w:rsidRPr="00A33B9F">
              <w:rPr>
                <w:rFonts w:ascii="Times New Roman" w:hAnsi="Times New Roman"/>
                <w:noProof/>
              </w:rPr>
              <w:t xml:space="preserve"> w zak</w:t>
            </w:r>
            <w:r w:rsidRPr="00A33B9F">
              <w:rPr>
                <w:rFonts w:ascii="Times New Roman" w:hAnsi="Times New Roman"/>
                <w:noProof/>
              </w:rPr>
              <w:t>resie wymogów dotyczących taboru</w:t>
            </w:r>
          </w:p>
        </w:tc>
      </w:tr>
      <w:tr w:rsidR="00D8141F" w:rsidRPr="00A33B9F" w14:paraId="0E068FF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245730FC"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3FFEF93B"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3AC236D"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6DD7E20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3 213 973 652 EUR </w:t>
            </w:r>
          </w:p>
        </w:tc>
      </w:tr>
    </w:tbl>
    <w:p w14:paraId="2CCEC357"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13289FB3" w14:textId="296380F5" w:rsidR="00D8141F" w:rsidRPr="00A33B9F" w:rsidRDefault="00D8141F" w:rsidP="00AD0FC1">
      <w:pPr>
        <w:pageBreakBefore/>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2.2.3. Trzecia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37DFDAE4" w14:textId="77777777" w:rsidTr="00753103">
        <w:trPr>
          <w:trHeight w:val="868"/>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1883474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7F516F6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722C177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08C0D1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2BE1DD7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1DD3000"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D873B4E"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7FAE7DF"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F9E02E5" w14:textId="44A62556" w:rsidR="00D8141F" w:rsidRPr="00A33B9F" w:rsidRDefault="00D8141F" w:rsidP="00753103">
            <w:pPr>
              <w:spacing w:line="240" w:lineRule="auto"/>
              <w:rPr>
                <w:rFonts w:ascii="Times New Roman" w:hAnsi="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w:t>
            </w:r>
            <w:r w:rsidR="00A33B9F" w:rsidRPr="00A33B9F">
              <w:rPr>
                <w:rFonts w:ascii="Times New Roman" w:hAnsi="Times New Roman"/>
                <w:noProof/>
              </w:rPr>
              <w:t xml:space="preserve"> o zmi</w:t>
            </w:r>
            <w:r w:rsidRPr="00A33B9F">
              <w:rPr>
                <w:rFonts w:ascii="Times New Roman" w:hAnsi="Times New Roman"/>
                <w:noProof/>
              </w:rPr>
              <w:t>anie ram legislacyjnych dotyczących społeczności energetycznych działających</w:t>
            </w:r>
            <w:r w:rsidR="00A33B9F" w:rsidRPr="00A33B9F">
              <w:rPr>
                <w:rFonts w:ascii="Times New Roman" w:hAnsi="Times New Roman"/>
                <w:noProof/>
              </w:rPr>
              <w:t xml:space="preserve"> w zak</w:t>
            </w:r>
            <w:r w:rsidRPr="00A33B9F">
              <w:rPr>
                <w:rFonts w:ascii="Times New Roman" w:hAnsi="Times New Roman"/>
                <w:noProof/>
              </w:rPr>
              <w:t>resie energii odnawialnej</w:t>
            </w:r>
            <w:r w:rsidR="00A33B9F" w:rsidRPr="00A33B9F">
              <w:rPr>
                <w:rFonts w:ascii="Times New Roman" w:hAnsi="Times New Roman"/>
                <w:noProof/>
              </w:rPr>
              <w:t xml:space="preserve"> i bio</w:t>
            </w:r>
            <w:r w:rsidRPr="00A33B9F">
              <w:rPr>
                <w:rFonts w:ascii="Times New Roman" w:hAnsi="Times New Roman"/>
                <w:noProof/>
              </w:rPr>
              <w:t>metanu: Zmiana ustawy</w:t>
            </w:r>
            <w:r w:rsidR="00A33B9F" w:rsidRPr="00A33B9F">
              <w:rPr>
                <w:rFonts w:ascii="Times New Roman" w:hAnsi="Times New Roman"/>
                <w:noProof/>
              </w:rPr>
              <w:t xml:space="preserve"> o odn</w:t>
            </w:r>
            <w:r w:rsidRPr="00A33B9F">
              <w:rPr>
                <w:rFonts w:ascii="Times New Roman" w:hAnsi="Times New Roman"/>
                <w:noProof/>
              </w:rPr>
              <w:t>awialnych źródłach energii, zmiana przepisów dotyczących rynku energii oraz wejście</w:t>
            </w:r>
            <w:r w:rsidR="00A33B9F" w:rsidRPr="00A33B9F">
              <w:rPr>
                <w:rFonts w:ascii="Times New Roman" w:hAnsi="Times New Roman"/>
                <w:noProof/>
              </w:rPr>
              <w:t xml:space="preserve"> w życ</w:t>
            </w:r>
            <w:r w:rsidRPr="00A33B9F">
              <w:rPr>
                <w:rFonts w:ascii="Times New Roman" w:hAnsi="Times New Roman"/>
                <w:noProof/>
              </w:rPr>
              <w:t>ie rozporządzenia wykonawczego do ustawy</w:t>
            </w:r>
            <w:r w:rsidR="00A33B9F" w:rsidRPr="00A33B9F">
              <w:rPr>
                <w:rFonts w:ascii="Times New Roman" w:hAnsi="Times New Roman"/>
                <w:noProof/>
              </w:rPr>
              <w:t xml:space="preserve"> o odn</w:t>
            </w:r>
            <w:r w:rsidRPr="00A33B9F">
              <w:rPr>
                <w:rFonts w:ascii="Times New Roman" w:hAnsi="Times New Roman"/>
                <w:noProof/>
              </w:rPr>
              <w:t>awialnych źródłach energii</w:t>
            </w:r>
          </w:p>
        </w:tc>
      </w:tr>
      <w:tr w:rsidR="00D8141F" w:rsidRPr="00A33B9F" w14:paraId="04C677D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2F9E2A5"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7788133"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5015048"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E7189F6" w14:textId="5C64236C" w:rsidR="00D8141F" w:rsidRPr="00A33B9F" w:rsidRDefault="00D8141F" w:rsidP="00753103">
            <w:pPr>
              <w:spacing w:line="240" w:lineRule="auto"/>
              <w:rPr>
                <w:rFonts w:ascii="Times New Roman" w:hAnsi="Times New Roman"/>
                <w:noProof/>
              </w:rPr>
            </w:pPr>
            <w:r w:rsidRPr="00A33B9F">
              <w:rPr>
                <w:rFonts w:ascii="Times New Roman" w:hAnsi="Times New Roman"/>
                <w:noProof/>
              </w:rPr>
              <w:t>T3 – Moc zainstalowana lądowych instalacji wiatrowych</w:t>
            </w:r>
            <w:r w:rsidR="00A33B9F" w:rsidRPr="00A33B9F">
              <w:rPr>
                <w:rFonts w:ascii="Times New Roman" w:hAnsi="Times New Roman"/>
                <w:noProof/>
              </w:rPr>
              <w:t xml:space="preserve"> i fot</w:t>
            </w:r>
            <w:r w:rsidRPr="00A33B9F">
              <w:rPr>
                <w:rFonts w:ascii="Times New Roman" w:hAnsi="Times New Roman"/>
                <w:noProof/>
              </w:rPr>
              <w:t>owoltaicznych (w GW)</w:t>
            </w:r>
          </w:p>
        </w:tc>
      </w:tr>
      <w:tr w:rsidR="00D8141F" w:rsidRPr="00A33B9F" w14:paraId="062EB58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CF1166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7F635D4" w14:textId="25856BA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C2.2.1 Wyposażenie szkół/instytucji</w:t>
            </w:r>
            <w:r w:rsidR="00A33B9F" w:rsidRPr="00A33B9F">
              <w:rPr>
                <w:rFonts w:ascii="Times New Roman" w:hAnsi="Times New Roman"/>
                <w:noProof/>
              </w:rPr>
              <w:t xml:space="preserve"> w odp</w:t>
            </w:r>
            <w:r w:rsidRPr="00A33B9F">
              <w:rPr>
                <w:rFonts w:ascii="Times New Roman" w:hAnsi="Times New Roman"/>
                <w:noProof/>
              </w:rPr>
              <w:t>owiednie urządzenia</w:t>
            </w:r>
            <w:r w:rsidR="00A33B9F" w:rsidRPr="00A33B9F">
              <w:rPr>
                <w:rFonts w:ascii="Times New Roman" w:hAnsi="Times New Roman"/>
                <w:noProof/>
              </w:rPr>
              <w:t xml:space="preserve"> i inf</w:t>
            </w:r>
            <w:r w:rsidRPr="00A33B9F">
              <w:rPr>
                <w:rFonts w:ascii="Times New Roman" w:hAnsi="Times New Roman"/>
                <w:noProof/>
              </w:rPr>
              <w:t>rastrukturę ICT</w:t>
            </w:r>
            <w:r w:rsidR="00A33B9F" w:rsidRPr="00A33B9F">
              <w:rPr>
                <w:rFonts w:ascii="Times New Roman" w:hAnsi="Times New Roman"/>
                <w:noProof/>
              </w:rPr>
              <w:t xml:space="preserve"> w cel</w:t>
            </w:r>
            <w:r w:rsidRPr="00A33B9F">
              <w:rPr>
                <w:rFonts w:ascii="Times New Roman" w:hAnsi="Times New Roman"/>
                <w:noProof/>
              </w:rPr>
              <w:t>u poprawy ogólnej wydajności systemów edukacji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B7BE4E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083D9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Ramy określające procedury dystrybucji urządzeń ICT oraz udostępniania infrastruktury szkołom</w:t>
            </w:r>
          </w:p>
        </w:tc>
      </w:tr>
      <w:tr w:rsidR="00D8141F" w:rsidRPr="00A33B9F" w14:paraId="7AC8613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8F5B07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47F8B3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D1.2.1 Rozwój opieki długoterminowej poprzez modernizację infrastruktury podmiotów leczniczych na poziomie powiatowym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0C897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031EFC" w14:textId="5BA40A3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Wykaz szpitali powiatowych wybranych do uzyskania dodatkowego wsparcia na utworzenie łóżek opieki długoterminowej</w:t>
            </w:r>
            <w:r w:rsidR="00A33B9F" w:rsidRPr="00A33B9F">
              <w:rPr>
                <w:rFonts w:ascii="Times New Roman" w:hAnsi="Times New Roman"/>
                <w:noProof/>
              </w:rPr>
              <w:t xml:space="preserve"> i ger</w:t>
            </w:r>
            <w:r w:rsidRPr="00A33B9F">
              <w:rPr>
                <w:rFonts w:ascii="Times New Roman" w:hAnsi="Times New Roman"/>
                <w:noProof/>
              </w:rPr>
              <w:t>iatrycznej na podstawie szczegółowych kryteriów kwalifikacji</w:t>
            </w:r>
          </w:p>
        </w:tc>
      </w:tr>
      <w:tr w:rsidR="00D8141F" w:rsidRPr="00A33B9F" w14:paraId="387C28C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446799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EB42E9C" w14:textId="58DD421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D3.2 Stworzenie sprzyjających warunków dla rozwoju sektora leków</w:t>
            </w:r>
            <w:r w:rsidR="00A33B9F" w:rsidRPr="00A33B9F">
              <w:rPr>
                <w:rFonts w:ascii="Times New Roman" w:hAnsi="Times New Roman"/>
                <w:noProof/>
              </w:rPr>
              <w:t xml:space="preserve"> i wyr</w:t>
            </w:r>
            <w:r w:rsidRPr="00A33B9F">
              <w:rPr>
                <w:rFonts w:ascii="Times New Roman" w:hAnsi="Times New Roman"/>
                <w:noProof/>
              </w:rPr>
              <w:t>obów medycznych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6D07E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D47AE9" w14:textId="4832146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ustawodawczego zapewniającego bezpieczeństwo dostaw leków,</w:t>
            </w:r>
            <w:r w:rsidR="00A33B9F" w:rsidRPr="00A33B9F">
              <w:rPr>
                <w:rFonts w:ascii="Times New Roman" w:hAnsi="Times New Roman"/>
                <w:noProof/>
              </w:rPr>
              <w:t xml:space="preserve"> w tym</w:t>
            </w:r>
            <w:r w:rsidRPr="00A33B9F">
              <w:rPr>
                <w:rFonts w:ascii="Times New Roman" w:hAnsi="Times New Roman"/>
                <w:noProof/>
              </w:rPr>
              <w:t xml:space="preserve"> rozwiązań odnoszących się do niedoborów leków</w:t>
            </w:r>
            <w:r w:rsidR="00A33B9F" w:rsidRPr="00A33B9F">
              <w:rPr>
                <w:rFonts w:ascii="Times New Roman" w:hAnsi="Times New Roman"/>
                <w:noProof/>
              </w:rPr>
              <w:t xml:space="preserve"> i klu</w:t>
            </w:r>
            <w:r w:rsidRPr="00A33B9F">
              <w:rPr>
                <w:rFonts w:ascii="Times New Roman" w:hAnsi="Times New Roman"/>
                <w:noProof/>
              </w:rPr>
              <w:t>czowych zagrożeń</w:t>
            </w:r>
            <w:r w:rsidR="00A33B9F" w:rsidRPr="00A33B9F">
              <w:rPr>
                <w:rFonts w:ascii="Times New Roman" w:hAnsi="Times New Roman"/>
                <w:noProof/>
              </w:rPr>
              <w:t xml:space="preserve"> w ram</w:t>
            </w:r>
            <w:r w:rsidRPr="00A33B9F">
              <w:rPr>
                <w:rFonts w:ascii="Times New Roman" w:hAnsi="Times New Roman"/>
                <w:noProof/>
              </w:rPr>
              <w:t>ach łańcuchów dostaw</w:t>
            </w:r>
          </w:p>
        </w:tc>
      </w:tr>
      <w:tr w:rsidR="00D8141F" w:rsidRPr="00A33B9F" w14:paraId="1520725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E34C53E"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197F8D6E"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D61676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2CC8242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3 103 232 462 EUR </w:t>
            </w:r>
          </w:p>
        </w:tc>
      </w:tr>
    </w:tbl>
    <w:p w14:paraId="18CF62F4"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6713DAF8" w14:textId="08722FBF"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2.2.4. Czwarta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05C20E9A" w14:textId="77777777" w:rsidTr="00753103">
        <w:trPr>
          <w:trHeight w:val="868"/>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7FC43C0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263EB90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4F4CD9B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524A419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31CC16F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0B6E2E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32B2078" w14:textId="6EA8781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B1.2.1 Efektywność energetyczna i OZE</w:t>
            </w:r>
            <w:r w:rsidR="00A33B9F" w:rsidRPr="00A33B9F">
              <w:rPr>
                <w:rFonts w:ascii="Times New Roman" w:hAnsi="Times New Roman"/>
                <w:noProof/>
              </w:rPr>
              <w:t xml:space="preserve"> w prz</w:t>
            </w:r>
            <w:r w:rsidRPr="00A33B9F">
              <w:rPr>
                <w:rFonts w:ascii="Times New Roman" w:hAnsi="Times New Roman"/>
                <w:noProof/>
              </w:rPr>
              <w:t>edsiębiorstwach – inwestycje</w:t>
            </w:r>
            <w:r w:rsidR="00A33B9F" w:rsidRPr="00A33B9F">
              <w:rPr>
                <w:rFonts w:ascii="Times New Roman" w:hAnsi="Times New Roman"/>
                <w:noProof/>
              </w:rPr>
              <w:t xml:space="preserve"> o naj</w:t>
            </w:r>
            <w:r w:rsidRPr="00A33B9F">
              <w:rPr>
                <w:rFonts w:ascii="Times New Roman" w:hAnsi="Times New Roman"/>
                <w:noProof/>
              </w:rPr>
              <w:t>większym potencjale redukcji gazów cieplarnianych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88954B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782D903" w14:textId="14F5E69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Udzielanie wszystkich zamówień na wdrażanie efektywności energetycznej i OZE</w:t>
            </w:r>
            <w:r w:rsidR="00A33B9F" w:rsidRPr="00A33B9F">
              <w:rPr>
                <w:rFonts w:ascii="Times New Roman" w:hAnsi="Times New Roman"/>
                <w:noProof/>
              </w:rPr>
              <w:t xml:space="preserve"> w prz</w:t>
            </w:r>
            <w:r w:rsidRPr="00A33B9F">
              <w:rPr>
                <w:rFonts w:ascii="Times New Roman" w:hAnsi="Times New Roman"/>
                <w:noProof/>
              </w:rPr>
              <w:t>edsiębiorstwach</w:t>
            </w:r>
          </w:p>
        </w:tc>
      </w:tr>
      <w:tr w:rsidR="00D8141F" w:rsidRPr="00A33B9F" w14:paraId="611A921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D995C1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F6FBDB1" w14:textId="1CFC284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B2.3 Wsparcie inwestycji</w:t>
            </w:r>
            <w:r w:rsidR="00A33B9F" w:rsidRPr="00A33B9F">
              <w:rPr>
                <w:rFonts w:ascii="Times New Roman" w:hAnsi="Times New Roman"/>
                <w:noProof/>
              </w:rPr>
              <w:t xml:space="preserve"> w obs</w:t>
            </w:r>
            <w:r w:rsidRPr="00A33B9F">
              <w:rPr>
                <w:rFonts w:ascii="Times New Roman" w:hAnsi="Times New Roman"/>
                <w:noProof/>
              </w:rPr>
              <w:t xml:space="preserve">zarze morskich farm wiatrowych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CCD248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008C7D" w14:textId="1AC897F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zmienionego rozporządzenia</w:t>
            </w:r>
            <w:r w:rsidR="00A33B9F" w:rsidRPr="00A33B9F">
              <w:rPr>
                <w:rFonts w:ascii="Times New Roman" w:hAnsi="Times New Roman"/>
                <w:noProof/>
              </w:rPr>
              <w:t xml:space="preserve"> w spr</w:t>
            </w:r>
            <w:r w:rsidRPr="00A33B9F">
              <w:rPr>
                <w:rFonts w:ascii="Times New Roman" w:hAnsi="Times New Roman"/>
                <w:noProof/>
              </w:rPr>
              <w:t>awie szczegółowych warunków funkcjonowania systemu energetycznego, którego skutkiem będzie zmiana krajowych przepisów dotyczących bilansowania</w:t>
            </w:r>
            <w:r w:rsidR="00A33B9F" w:rsidRPr="00A33B9F">
              <w:rPr>
                <w:rFonts w:ascii="Times New Roman" w:hAnsi="Times New Roman"/>
                <w:noProof/>
              </w:rPr>
              <w:t xml:space="preserve"> w cel</w:t>
            </w:r>
            <w:r w:rsidRPr="00A33B9F">
              <w:rPr>
                <w:rFonts w:ascii="Times New Roman" w:hAnsi="Times New Roman"/>
                <w:noProof/>
              </w:rPr>
              <w:t>u zmniejszenia</w:t>
            </w:r>
            <w:r w:rsidR="00A33B9F" w:rsidRPr="00A33B9F">
              <w:rPr>
                <w:rFonts w:ascii="Times New Roman" w:hAnsi="Times New Roman"/>
                <w:noProof/>
              </w:rPr>
              <w:t xml:space="preserve"> w jak</w:t>
            </w:r>
            <w:r w:rsidRPr="00A33B9F">
              <w:rPr>
                <w:rFonts w:ascii="Times New Roman" w:hAnsi="Times New Roman"/>
                <w:noProof/>
              </w:rPr>
              <w:t xml:space="preserve"> największym stopniu wpływu ograniczeń alokacji</w:t>
            </w:r>
          </w:p>
        </w:tc>
      </w:tr>
      <w:tr w:rsidR="00D8141F" w:rsidRPr="00A33B9F" w14:paraId="4678464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3627D4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46CE43D"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B3.4 Inwestycje na rzecz kompleksowej zielonej transformacji miast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07CAAA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ABFF92" w14:textId="082AF00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zró</w:t>
            </w:r>
            <w:r w:rsidRPr="00A33B9F">
              <w:rPr>
                <w:rFonts w:ascii="Times New Roman" w:hAnsi="Times New Roman"/>
                <w:noProof/>
              </w:rPr>
              <w:t>wnoważonym rozwoju obszarów miejskich służącej wyznaczeniu celów, kierunków, zasad realizacji oraz mechanizmów koordynacji zielonej transformacji miast</w:t>
            </w:r>
          </w:p>
        </w:tc>
      </w:tr>
      <w:tr w:rsidR="00D8141F" w:rsidRPr="00A33B9F" w14:paraId="59D5C6C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F2CDB27"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E013FA"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B2.2 Poprawa warunków dla rozwoju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6B2920"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3157928" w14:textId="65CBC1E2" w:rsidR="00D8141F" w:rsidRPr="00A33B9F" w:rsidRDefault="00D8141F" w:rsidP="00753103">
            <w:pPr>
              <w:spacing w:line="240" w:lineRule="auto"/>
              <w:rPr>
                <w:rFonts w:ascii="Times New Roman" w:hAnsi="Times New Roman"/>
                <w:noProof/>
              </w:rPr>
            </w:pPr>
            <w:r w:rsidRPr="00A33B9F">
              <w:rPr>
                <w:rFonts w:ascii="Times New Roman" w:hAnsi="Times New Roman"/>
                <w:noProof/>
              </w:rPr>
              <w:t>T4 – Moc zainstalowana lądowych instalacji wiatrowych</w:t>
            </w:r>
            <w:r w:rsidR="00A33B9F" w:rsidRPr="00A33B9F">
              <w:rPr>
                <w:rFonts w:ascii="Times New Roman" w:hAnsi="Times New Roman"/>
                <w:noProof/>
              </w:rPr>
              <w:t xml:space="preserve"> i fot</w:t>
            </w:r>
            <w:r w:rsidRPr="00A33B9F">
              <w:rPr>
                <w:rFonts w:ascii="Times New Roman" w:hAnsi="Times New Roman"/>
                <w:noProof/>
              </w:rPr>
              <w:t>owoltaicznych (w GW)</w:t>
            </w:r>
          </w:p>
        </w:tc>
      </w:tr>
      <w:tr w:rsidR="00D8141F" w:rsidRPr="00A33B9F" w14:paraId="4BCE441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937929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3FE8915" w14:textId="69C2703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C1.2 Podniesienie poziomu dostępności</w:t>
            </w:r>
            <w:r w:rsidR="00A33B9F" w:rsidRPr="00A33B9F">
              <w:rPr>
                <w:rFonts w:ascii="Times New Roman" w:hAnsi="Times New Roman"/>
                <w:noProof/>
              </w:rPr>
              <w:t xml:space="preserve"> i wyk</w:t>
            </w:r>
            <w:r w:rsidRPr="00A33B9F">
              <w:rPr>
                <w:rFonts w:ascii="Times New Roman" w:hAnsi="Times New Roman"/>
                <w:noProof/>
              </w:rPr>
              <w:t>orzystania nowoczesnej łączności przewodowej</w:t>
            </w:r>
            <w:r w:rsidR="00A33B9F" w:rsidRPr="00A33B9F">
              <w:rPr>
                <w:rFonts w:ascii="Times New Roman" w:hAnsi="Times New Roman"/>
                <w:noProof/>
              </w:rPr>
              <w:t xml:space="preserve"> i bez</w:t>
            </w:r>
            <w:r w:rsidRPr="00A33B9F">
              <w:rPr>
                <w:rFonts w:ascii="Times New Roman" w:hAnsi="Times New Roman"/>
                <w:noProof/>
              </w:rPr>
              <w:t>przewodowej na potrzeby społeczne</w:t>
            </w:r>
            <w:r w:rsidR="00A33B9F" w:rsidRPr="00A33B9F">
              <w:rPr>
                <w:rFonts w:ascii="Times New Roman" w:hAnsi="Times New Roman"/>
                <w:noProof/>
              </w:rPr>
              <w:t xml:space="preserve"> i gos</w:t>
            </w:r>
            <w:r w:rsidRPr="00A33B9F">
              <w:rPr>
                <w:rFonts w:ascii="Times New Roman" w:hAnsi="Times New Roman"/>
                <w:noProof/>
              </w:rPr>
              <w:t>podarcze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DDE4B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99B09A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Nowy akt prawny służący likwidacji barier we wdrażaniu sieci 5G przez pionowe branże rynku</w:t>
            </w:r>
          </w:p>
        </w:tc>
      </w:tr>
      <w:tr w:rsidR="00D8141F" w:rsidRPr="00A33B9F" w14:paraId="58B79F8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316893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29A9D3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D1.2.1 Rozwój opieki długoterminowej poprzez modernizację infrastruktury podmiotów leczniczych na poziomie powiatowym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08DC3C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9BCA96" w14:textId="5EC73E4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Umowy podpisane między szpitalami powiatowymi</w:t>
            </w:r>
            <w:r w:rsidR="00A33B9F" w:rsidRPr="00A33B9F">
              <w:rPr>
                <w:rFonts w:ascii="Times New Roman" w:hAnsi="Times New Roman"/>
                <w:noProof/>
              </w:rPr>
              <w:t xml:space="preserve"> a Min</w:t>
            </w:r>
            <w:r w:rsidRPr="00A33B9F">
              <w:rPr>
                <w:rFonts w:ascii="Times New Roman" w:hAnsi="Times New Roman"/>
                <w:noProof/>
              </w:rPr>
              <w:t>isterstwem Zdrowia (lub inną instytucją wskazaną przez Ministerstwo) dotyczące wsparcia inwestycyjnego na rzecz tworzenia jednostek/ośrodków opieki długoterminowej</w:t>
            </w:r>
            <w:r w:rsidR="00A33B9F" w:rsidRPr="00A33B9F">
              <w:rPr>
                <w:rFonts w:ascii="Times New Roman" w:hAnsi="Times New Roman"/>
                <w:noProof/>
              </w:rPr>
              <w:t xml:space="preserve"> i ger</w:t>
            </w:r>
            <w:r w:rsidRPr="00A33B9F">
              <w:rPr>
                <w:rFonts w:ascii="Times New Roman" w:hAnsi="Times New Roman"/>
                <w:noProof/>
              </w:rPr>
              <w:t>iatrycznej</w:t>
            </w:r>
          </w:p>
        </w:tc>
      </w:tr>
      <w:tr w:rsidR="00D8141F" w:rsidRPr="00A33B9F" w14:paraId="72ACBA36"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770D3D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E7CB7D9" w14:textId="2A3804C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D3.2.1 Rozwój potencjału sektora leków</w:t>
            </w:r>
            <w:r w:rsidR="00A33B9F" w:rsidRPr="00A33B9F">
              <w:rPr>
                <w:rFonts w:ascii="Times New Roman" w:hAnsi="Times New Roman"/>
                <w:noProof/>
              </w:rPr>
              <w:t xml:space="preserve"> i wyr</w:t>
            </w:r>
            <w:r w:rsidRPr="00A33B9F">
              <w:rPr>
                <w:rFonts w:ascii="Times New Roman" w:hAnsi="Times New Roman"/>
                <w:noProof/>
              </w:rPr>
              <w:t>obów medycznych – inwestycje związane</w:t>
            </w:r>
            <w:r w:rsidR="00A33B9F" w:rsidRPr="00A33B9F">
              <w:rPr>
                <w:rFonts w:ascii="Times New Roman" w:hAnsi="Times New Roman"/>
                <w:noProof/>
              </w:rPr>
              <w:t xml:space="preserve"> z pro</w:t>
            </w:r>
            <w:r w:rsidRPr="00A33B9F">
              <w:rPr>
                <w:rFonts w:ascii="Times New Roman" w:hAnsi="Times New Roman"/>
                <w:noProof/>
              </w:rPr>
              <w:t>dukcją</w:t>
            </w:r>
            <w:r w:rsidR="00A33B9F" w:rsidRPr="00A33B9F">
              <w:rPr>
                <w:rFonts w:ascii="Times New Roman" w:hAnsi="Times New Roman"/>
                <w:noProof/>
              </w:rPr>
              <w:t xml:space="preserve"> w Pol</w:t>
            </w:r>
            <w:r w:rsidRPr="00A33B9F">
              <w:rPr>
                <w:rFonts w:ascii="Times New Roman" w:hAnsi="Times New Roman"/>
                <w:noProof/>
              </w:rPr>
              <w:t>sce</w:t>
            </w:r>
            <w:r w:rsidR="003A7910" w:rsidRPr="00A33B9F">
              <w:rPr>
                <w:rFonts w:ascii="Times New Roman" w:hAnsi="Times New Roman"/>
                <w:noProof/>
              </w:rPr>
              <w:t xml:space="preserve"> API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1A5F59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6CC9CE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Wybór projektów dotyczących produkcji API, które mają zostać objęte wsparciem</w:t>
            </w:r>
          </w:p>
        </w:tc>
      </w:tr>
      <w:tr w:rsidR="00D8141F" w:rsidRPr="00A33B9F" w14:paraId="698CF43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770977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56F6ECB" w14:textId="07494C6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D3.2.1 Rozwój potencjału sektora leków</w:t>
            </w:r>
            <w:r w:rsidR="00A33B9F" w:rsidRPr="00A33B9F">
              <w:rPr>
                <w:rFonts w:ascii="Times New Roman" w:hAnsi="Times New Roman"/>
                <w:noProof/>
              </w:rPr>
              <w:t xml:space="preserve"> i wyr</w:t>
            </w:r>
            <w:r w:rsidRPr="00A33B9F">
              <w:rPr>
                <w:rFonts w:ascii="Times New Roman" w:hAnsi="Times New Roman"/>
                <w:noProof/>
              </w:rPr>
              <w:t>obów medycznych – inwestycje związane</w:t>
            </w:r>
            <w:r w:rsidR="00A33B9F" w:rsidRPr="00A33B9F">
              <w:rPr>
                <w:rFonts w:ascii="Times New Roman" w:hAnsi="Times New Roman"/>
                <w:noProof/>
              </w:rPr>
              <w:t xml:space="preserve"> z pro</w:t>
            </w:r>
            <w:r w:rsidRPr="00A33B9F">
              <w:rPr>
                <w:rFonts w:ascii="Times New Roman" w:hAnsi="Times New Roman"/>
                <w:noProof/>
              </w:rPr>
              <w:t>dukcją</w:t>
            </w:r>
            <w:r w:rsidR="00A33B9F" w:rsidRPr="00A33B9F">
              <w:rPr>
                <w:rFonts w:ascii="Times New Roman" w:hAnsi="Times New Roman"/>
                <w:noProof/>
              </w:rPr>
              <w:t xml:space="preserve"> w Pol</w:t>
            </w:r>
            <w:r w:rsidRPr="00A33B9F">
              <w:rPr>
                <w:rFonts w:ascii="Times New Roman" w:hAnsi="Times New Roman"/>
                <w:noProof/>
              </w:rPr>
              <w:t>sce</w:t>
            </w:r>
            <w:r w:rsidR="003A7910" w:rsidRPr="00A33B9F">
              <w:rPr>
                <w:rFonts w:ascii="Times New Roman" w:hAnsi="Times New Roman"/>
                <w:noProof/>
              </w:rPr>
              <w:t xml:space="preserve"> API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EFA554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4A6AECE" w14:textId="31BAACE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wspieranych farmaceutycznych składników czynnych</w:t>
            </w:r>
            <w:r w:rsidR="00A33B9F" w:rsidRPr="00A33B9F">
              <w:rPr>
                <w:rFonts w:ascii="Times New Roman" w:hAnsi="Times New Roman"/>
                <w:noProof/>
              </w:rPr>
              <w:t xml:space="preserve"> o kry</w:t>
            </w:r>
            <w:r w:rsidRPr="00A33B9F">
              <w:rPr>
                <w:rFonts w:ascii="Times New Roman" w:hAnsi="Times New Roman"/>
                <w:noProof/>
              </w:rPr>
              <w:t>tycznym znaczeniu</w:t>
            </w:r>
          </w:p>
        </w:tc>
      </w:tr>
      <w:tr w:rsidR="00D8141F" w:rsidRPr="00A33B9F" w14:paraId="28414E3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5F81EAF3"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161F479E"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90B3BFC"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F09063E"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3 176 461 320 EUR </w:t>
            </w:r>
          </w:p>
        </w:tc>
      </w:tr>
    </w:tbl>
    <w:p w14:paraId="6C637291"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3E2F20E8" w14:textId="26B7636D"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2.2.5. Piąta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501A2A01" w14:textId="77777777" w:rsidTr="00753103">
        <w:trPr>
          <w:trHeight w:val="769"/>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10E446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0B63721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11BF50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893FB3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3C7424C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6CA3B5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753925B" w14:textId="1FA997F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B2.3 Wsparcie inwestycji</w:t>
            </w:r>
            <w:r w:rsidR="00A33B9F" w:rsidRPr="00A33B9F">
              <w:rPr>
                <w:rFonts w:ascii="Times New Roman" w:hAnsi="Times New Roman"/>
                <w:noProof/>
              </w:rPr>
              <w:t xml:space="preserve"> w obs</w:t>
            </w:r>
            <w:r w:rsidRPr="00A33B9F">
              <w:rPr>
                <w:rFonts w:ascii="Times New Roman" w:hAnsi="Times New Roman"/>
                <w:noProof/>
              </w:rPr>
              <w:t>zarze morskich farm wiatrowych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C22A2C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7CB471E" w14:textId="563F75A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rozporządzeń wykonawczych</w:t>
            </w:r>
            <w:r w:rsidR="00A33B9F" w:rsidRPr="00A33B9F">
              <w:rPr>
                <w:rFonts w:ascii="Times New Roman" w:hAnsi="Times New Roman"/>
                <w:noProof/>
              </w:rPr>
              <w:t xml:space="preserve"> w nas</w:t>
            </w:r>
            <w:r w:rsidRPr="00A33B9F">
              <w:rPr>
                <w:rFonts w:ascii="Times New Roman" w:hAnsi="Times New Roman"/>
                <w:noProof/>
              </w:rPr>
              <w:t>tępstwie ustawy</w:t>
            </w:r>
            <w:r w:rsidR="00A33B9F" w:rsidRPr="00A33B9F">
              <w:rPr>
                <w:rFonts w:ascii="Times New Roman" w:hAnsi="Times New Roman"/>
                <w:noProof/>
              </w:rPr>
              <w:t xml:space="preserve"> o pro</w:t>
            </w:r>
            <w:r w:rsidRPr="00A33B9F">
              <w:rPr>
                <w:rFonts w:ascii="Times New Roman" w:hAnsi="Times New Roman"/>
                <w:noProof/>
              </w:rPr>
              <w:t>mowaniu wytwarzania energii elektrycznej</w:t>
            </w:r>
            <w:r w:rsidR="00A33B9F" w:rsidRPr="00A33B9F">
              <w:rPr>
                <w:rFonts w:ascii="Times New Roman" w:hAnsi="Times New Roman"/>
                <w:noProof/>
              </w:rPr>
              <w:t xml:space="preserve"> w mor</w:t>
            </w:r>
            <w:r w:rsidRPr="00A33B9F">
              <w:rPr>
                <w:rFonts w:ascii="Times New Roman" w:hAnsi="Times New Roman"/>
                <w:noProof/>
              </w:rPr>
              <w:t>skich farmach wiatrowych.</w:t>
            </w:r>
          </w:p>
        </w:tc>
      </w:tr>
      <w:tr w:rsidR="00D8141F" w:rsidRPr="00A33B9F" w14:paraId="5C333F68"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4EB41985"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C15L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E43EFBC" w14:textId="3117CB64"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C4.1.1 Wspieranie transformacji cyfrowej przedsiębiorstw dzięki wykorzystaniu technologii przetwarzania</w:t>
            </w:r>
            <w:r w:rsidR="00A33B9F" w:rsidRPr="00A33B9F">
              <w:rPr>
                <w:rFonts w:ascii="Times New Roman" w:hAnsi="Times New Roman"/>
                <w:noProof/>
                <w:color w:val="000000" w:themeColor="text1"/>
              </w:rPr>
              <w:t xml:space="preserve"> w chm</w:t>
            </w:r>
            <w:r w:rsidRPr="00A33B9F">
              <w:rPr>
                <w:rFonts w:ascii="Times New Roman" w:hAnsi="Times New Roman"/>
                <w:noProof/>
                <w:color w:val="000000" w:themeColor="text1"/>
              </w:rPr>
              <w:t>urze</w:t>
            </w:r>
            <w:r w:rsidR="00C3621A" w:rsidRPr="00A33B9F">
              <w:rPr>
                <w:rFonts w:ascii="Times New Roman" w:hAnsi="Times New Roman"/>
                <w:noProof/>
                <w:color w:val="000000" w:themeColor="text1"/>
              </w:rPr>
              <w:t xml:space="preserve">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F50F921"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color w:val="000000" w:themeColor="text1"/>
              </w:rPr>
              <w:t>Kamień milowy</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0724E51" w14:textId="3AB81871"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Przewodnik poświęcony transformacji cyfrowej przedsiębiorstw dzięki wykorzystaniu technologii przetwarzania</w:t>
            </w:r>
            <w:r w:rsidR="00A33B9F" w:rsidRPr="00A33B9F">
              <w:rPr>
                <w:rFonts w:ascii="Times New Roman" w:hAnsi="Times New Roman"/>
                <w:noProof/>
                <w:color w:val="000000" w:themeColor="text1"/>
              </w:rPr>
              <w:t xml:space="preserve"> w chm</w:t>
            </w:r>
            <w:r w:rsidRPr="00A33B9F">
              <w:rPr>
                <w:rFonts w:ascii="Times New Roman" w:hAnsi="Times New Roman"/>
                <w:noProof/>
                <w:color w:val="000000" w:themeColor="text1"/>
              </w:rPr>
              <w:t>urze</w:t>
            </w:r>
            <w:r w:rsidR="00C3621A" w:rsidRPr="00A33B9F">
              <w:rPr>
                <w:rFonts w:ascii="Times New Roman" w:hAnsi="Times New Roman"/>
                <w:noProof/>
                <w:color w:val="000000" w:themeColor="text1"/>
              </w:rPr>
              <w:t xml:space="preserve"> </w:t>
            </w:r>
          </w:p>
        </w:tc>
      </w:tr>
      <w:tr w:rsidR="00D8141F" w:rsidRPr="00A33B9F" w14:paraId="589CEAD8"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5146BA6"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C16L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6B72843D" w14:textId="0B88B264"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C4.1.1 Wspieranie transformacji cyfrowej przedsiębiorstw dzięki wykorzystaniu technologii przetwarzania</w:t>
            </w:r>
            <w:r w:rsidR="00A33B9F" w:rsidRPr="00A33B9F">
              <w:rPr>
                <w:rFonts w:ascii="Times New Roman" w:hAnsi="Times New Roman"/>
                <w:noProof/>
                <w:color w:val="000000" w:themeColor="text1"/>
              </w:rPr>
              <w:t xml:space="preserve"> w chm</w:t>
            </w:r>
            <w:r w:rsidRPr="00A33B9F">
              <w:rPr>
                <w:rFonts w:ascii="Times New Roman" w:hAnsi="Times New Roman"/>
                <w:noProof/>
                <w:color w:val="000000" w:themeColor="text1"/>
              </w:rPr>
              <w:t xml:space="preserve">urze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2347F632"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color w:val="000000" w:themeColor="text1"/>
              </w:rPr>
              <w:t>Kamień milowy</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ABCB482" w14:textId="77777777" w:rsidR="00D8141F" w:rsidRPr="00A33B9F" w:rsidRDefault="00D8141F" w:rsidP="00753103">
            <w:pPr>
              <w:pStyle w:val="Normal0"/>
              <w:spacing w:after="0" w:line="240" w:lineRule="auto"/>
              <w:rPr>
                <w:noProof/>
                <w:szCs w:val="28"/>
              </w:rPr>
            </w:pPr>
            <w:r w:rsidRPr="00A33B9F">
              <w:rPr>
                <w:rFonts w:ascii="Times New Roman" w:hAnsi="Times New Roman"/>
                <w:noProof/>
                <w:color w:val="000000" w:themeColor="text1"/>
              </w:rPr>
              <w:t>Umowa wykonawcza</w:t>
            </w:r>
          </w:p>
          <w:p w14:paraId="5465989F" w14:textId="77777777" w:rsidR="00D8141F" w:rsidRPr="00A33B9F" w:rsidRDefault="00D8141F" w:rsidP="00753103">
            <w:pPr>
              <w:spacing w:line="240" w:lineRule="auto"/>
              <w:rPr>
                <w:rFonts w:ascii="Times New Roman" w:hAnsi="Times New Roman"/>
                <w:noProof/>
                <w:szCs w:val="28"/>
              </w:rPr>
            </w:pPr>
          </w:p>
        </w:tc>
      </w:tr>
      <w:tr w:rsidR="00D8141F" w:rsidRPr="00A33B9F" w14:paraId="13DBE80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6EA4D9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5AE7923" w14:textId="2F0F0DF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E1.2 Zwiększenie udziału transportu zeroemisyjnego</w:t>
            </w:r>
            <w:r w:rsidR="00A33B9F" w:rsidRPr="00A33B9F">
              <w:rPr>
                <w:rFonts w:ascii="Times New Roman" w:hAnsi="Times New Roman"/>
                <w:noProof/>
              </w:rPr>
              <w:t xml:space="preserve"> i nis</w:t>
            </w:r>
            <w:r w:rsidRPr="00A33B9F">
              <w:rPr>
                <w:rFonts w:ascii="Times New Roman" w:hAnsi="Times New Roman"/>
                <w:noProof/>
              </w:rPr>
              <w:t>koemisyjnego, zapobieganie problemowi negatywnego wpływu transportu na środowisko</w:t>
            </w:r>
            <w:r w:rsidR="00A33B9F" w:rsidRPr="00A33B9F">
              <w:rPr>
                <w:rFonts w:ascii="Times New Roman" w:hAnsi="Times New Roman"/>
                <w:noProof/>
              </w:rPr>
              <w:t xml:space="preserve"> i jeg</w:t>
            </w:r>
            <w:r w:rsidRPr="00A33B9F">
              <w:rPr>
                <w:rFonts w:ascii="Times New Roman" w:hAnsi="Times New Roman"/>
                <w:noProof/>
              </w:rPr>
              <w:t>o ograniczenie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69F5C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9079B41" w14:textId="2D07249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wprowadzającego obowiązek tworzenia stref niskoemisyjnych dla wybranych, najbardziej zanieczyszczonych miast</w:t>
            </w:r>
          </w:p>
        </w:tc>
      </w:tr>
      <w:tr w:rsidR="00D8141F" w:rsidRPr="00A33B9F" w14:paraId="28D01CC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6612A8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AA9DDF" w14:textId="5290275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E2.3 Poprawa dostępności</w:t>
            </w:r>
            <w:r w:rsidR="00A33B9F" w:rsidRPr="00A33B9F">
              <w:rPr>
                <w:rFonts w:ascii="Times New Roman" w:hAnsi="Times New Roman"/>
                <w:noProof/>
              </w:rPr>
              <w:t xml:space="preserve"> i bez</w:t>
            </w:r>
            <w:r w:rsidRPr="00A33B9F">
              <w:rPr>
                <w:rFonts w:ascii="Times New Roman" w:hAnsi="Times New Roman"/>
                <w:noProof/>
              </w:rPr>
              <w:t>pieczeństwa transportu oraz usprawnienie rozwiązań cyfrowych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77397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CE4990B" w14:textId="27D4ACB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Obowiązek modernizacji krajowego, międzynarodowego</w:t>
            </w:r>
            <w:r w:rsidR="00A33B9F" w:rsidRPr="00A33B9F">
              <w:rPr>
                <w:rFonts w:ascii="Times New Roman" w:hAnsi="Times New Roman"/>
                <w:noProof/>
              </w:rPr>
              <w:t xml:space="preserve"> i reg</w:t>
            </w:r>
            <w:r w:rsidRPr="00A33B9F">
              <w:rPr>
                <w:rFonts w:ascii="Times New Roman" w:hAnsi="Times New Roman"/>
                <w:noProof/>
              </w:rPr>
              <w:t>ionalnego taboru kolejowego</w:t>
            </w:r>
            <w:r w:rsidR="00A33B9F" w:rsidRPr="00A33B9F">
              <w:rPr>
                <w:rFonts w:ascii="Times New Roman" w:hAnsi="Times New Roman"/>
                <w:noProof/>
              </w:rPr>
              <w:t xml:space="preserve"> z uwz</w:t>
            </w:r>
            <w:r w:rsidRPr="00A33B9F">
              <w:rPr>
                <w:rFonts w:ascii="Times New Roman" w:hAnsi="Times New Roman"/>
                <w:noProof/>
              </w:rPr>
              <w:t>ględnieniem wymogów dotyczących pasażerów</w:t>
            </w:r>
            <w:r w:rsidR="00A33B9F" w:rsidRPr="00A33B9F">
              <w:rPr>
                <w:rFonts w:ascii="Times New Roman" w:hAnsi="Times New Roman"/>
                <w:noProof/>
              </w:rPr>
              <w:t xml:space="preserve"> z nie</w:t>
            </w:r>
            <w:r w:rsidRPr="00A33B9F">
              <w:rPr>
                <w:rFonts w:ascii="Times New Roman" w:hAnsi="Times New Roman"/>
                <w:noProof/>
              </w:rPr>
              <w:t>pełnosprawnościami</w:t>
            </w:r>
          </w:p>
        </w:tc>
      </w:tr>
      <w:tr w:rsidR="00D8141F" w:rsidRPr="00A33B9F" w14:paraId="6F181B3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2ECD9B4"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368BF4E"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G3.1.4 Wsparcie na rzecz krajowego systemu energetycznego (Fundusz Wsparcia Energetyki)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4800946"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EF09885"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Umowa wykonawcza</w:t>
            </w:r>
          </w:p>
        </w:tc>
      </w:tr>
      <w:tr w:rsidR="00D8141F" w:rsidRPr="00A33B9F" w14:paraId="3562237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AD88185"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color w:val="000000" w:themeColor="text1"/>
              </w:rPr>
              <w:t>G20L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ED86E3" w14:textId="773C4A94" w:rsidR="00D8141F" w:rsidRPr="00A33B9F" w:rsidRDefault="00D8141F" w:rsidP="00753103">
            <w:pPr>
              <w:spacing w:line="240" w:lineRule="auto"/>
              <w:rPr>
                <w:rFonts w:ascii="Times New Roman" w:hAnsi="Times New Roman"/>
                <w:noProof/>
              </w:rPr>
            </w:pPr>
            <w:r w:rsidRPr="00A33B9F">
              <w:rPr>
                <w:rFonts w:ascii="Times New Roman" w:hAnsi="Times New Roman"/>
                <w:noProof/>
                <w:color w:val="000000" w:themeColor="text1"/>
              </w:rPr>
              <w:t>G3.2.1 Budowa infrastruktury gazu ziemnego</w:t>
            </w:r>
            <w:r w:rsidR="00A33B9F" w:rsidRPr="00A33B9F">
              <w:rPr>
                <w:rFonts w:ascii="Times New Roman" w:hAnsi="Times New Roman"/>
                <w:noProof/>
                <w:color w:val="000000" w:themeColor="text1"/>
              </w:rPr>
              <w:t xml:space="preserve"> w cel</w:t>
            </w:r>
            <w:r w:rsidRPr="00A33B9F">
              <w:rPr>
                <w:rFonts w:ascii="Times New Roman" w:hAnsi="Times New Roman"/>
                <w:noProof/>
                <w:color w:val="000000" w:themeColor="text1"/>
              </w:rPr>
              <w:t xml:space="preserve">u zapewnienia bezpieczeństwa energetycznego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95C7573"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color w:val="000000" w:themeColor="text1"/>
              </w:rPr>
              <w:t xml:space="preserve">Kamień milowy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B12A574"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color w:val="000000" w:themeColor="text1"/>
              </w:rPr>
              <w:t>Wydanie pozwoleń na budowę</w:t>
            </w:r>
          </w:p>
        </w:tc>
      </w:tr>
      <w:tr w:rsidR="00D8141F" w:rsidRPr="00A33B9F" w14:paraId="45299C2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10F75B48"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C75A4D5"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8416AC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0A92CD5"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4 808 815 201 EUR </w:t>
            </w:r>
          </w:p>
        </w:tc>
      </w:tr>
    </w:tbl>
    <w:p w14:paraId="68577308"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7DE4D9F6" w14:textId="395886B3"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2.2.6. Szósta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5CFA4244" w14:textId="77777777" w:rsidTr="00753103">
        <w:trPr>
          <w:trHeight w:val="954"/>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4F8AAD5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162825D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1D40770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4D23442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44E7327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7CD0A1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008D099" w14:textId="252B5A3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A2.6.1 Rozbudowa krajowego systemu serwisów monitoringowych, produktów, narzędzi analitycznych, usług</w:t>
            </w:r>
            <w:r w:rsidR="00A33B9F" w:rsidRPr="00A33B9F">
              <w:rPr>
                <w:rFonts w:ascii="Times New Roman" w:hAnsi="Times New Roman"/>
                <w:noProof/>
              </w:rPr>
              <w:t xml:space="preserve"> i tow</w:t>
            </w:r>
            <w:r w:rsidRPr="00A33B9F">
              <w:rPr>
                <w:rFonts w:ascii="Times New Roman" w:hAnsi="Times New Roman"/>
                <w:noProof/>
              </w:rPr>
              <w:t>arzyszącej infrastruktury wykorzystujących dane satelitarne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D3758E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F5B1951" w14:textId="569324E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ustawy</w:t>
            </w:r>
            <w:r w:rsidR="00A33B9F" w:rsidRPr="00A33B9F">
              <w:rPr>
                <w:rFonts w:ascii="Times New Roman" w:hAnsi="Times New Roman"/>
                <w:noProof/>
              </w:rPr>
              <w:t xml:space="preserve"> o dzi</w:t>
            </w:r>
            <w:r w:rsidRPr="00A33B9F">
              <w:rPr>
                <w:rFonts w:ascii="Times New Roman" w:hAnsi="Times New Roman"/>
                <w:noProof/>
              </w:rPr>
              <w:t>ałalności</w:t>
            </w:r>
            <w:r w:rsidR="00A33B9F" w:rsidRPr="00A33B9F">
              <w:rPr>
                <w:rFonts w:ascii="Times New Roman" w:hAnsi="Times New Roman"/>
                <w:noProof/>
              </w:rPr>
              <w:t xml:space="preserve"> w prz</w:t>
            </w:r>
            <w:r w:rsidRPr="00A33B9F">
              <w:rPr>
                <w:rFonts w:ascii="Times New Roman" w:hAnsi="Times New Roman"/>
                <w:noProof/>
              </w:rPr>
              <w:t>estrzeni kosmicznej, która ma być przyjęta przez Parlament</w:t>
            </w:r>
          </w:p>
        </w:tc>
      </w:tr>
      <w:tr w:rsidR="00D8141F" w:rsidRPr="00A33B9F" w14:paraId="10F499C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48894C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6BFF540" w14:textId="38B943E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A2.6.1 Rozbudowa krajowego systemu serwisów monitoringowych, produktów, narzędzi analitycznych, usług</w:t>
            </w:r>
            <w:r w:rsidR="00A33B9F" w:rsidRPr="00A33B9F">
              <w:rPr>
                <w:rFonts w:ascii="Times New Roman" w:hAnsi="Times New Roman"/>
                <w:noProof/>
              </w:rPr>
              <w:t xml:space="preserve"> i tow</w:t>
            </w:r>
            <w:r w:rsidRPr="00A33B9F">
              <w:rPr>
                <w:rFonts w:ascii="Times New Roman" w:hAnsi="Times New Roman"/>
                <w:noProof/>
              </w:rPr>
              <w:t>arzyszącej infrastruktury wykorzystujących dane satelitarne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306E3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0034C1" w14:textId="14DB7E6B"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Prace przygotowawcze do wyniesienia pierwszego polskiego satelity: ECSS Phase 0/A/B/C (analiza misji/identyfikacja potrzeb, wykonalność</w:t>
            </w:r>
            <w:r w:rsidR="00A33B9F" w:rsidRPr="00A33B9F">
              <w:rPr>
                <w:rFonts w:ascii="Times New Roman" w:hAnsi="Times New Roman"/>
                <w:noProof/>
              </w:rPr>
              <w:t xml:space="preserve"> i def</w:t>
            </w:r>
            <w:r w:rsidRPr="00A33B9F">
              <w:rPr>
                <w:rFonts w:ascii="Times New Roman" w:hAnsi="Times New Roman"/>
                <w:noProof/>
              </w:rPr>
              <w:t>inicja)</w:t>
            </w:r>
          </w:p>
        </w:tc>
      </w:tr>
      <w:tr w:rsidR="00D8141F" w:rsidRPr="00A33B9F" w14:paraId="1E3C081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2BBE34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D09C911" w14:textId="3E1F99B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B3.2.1 Inwestycje</w:t>
            </w:r>
            <w:r w:rsidR="00A33B9F" w:rsidRPr="00A33B9F">
              <w:rPr>
                <w:rFonts w:ascii="Times New Roman" w:hAnsi="Times New Roman"/>
                <w:noProof/>
              </w:rPr>
              <w:t xml:space="preserve"> w neu</w:t>
            </w:r>
            <w:r w:rsidRPr="00A33B9F">
              <w:rPr>
                <w:rFonts w:ascii="Times New Roman" w:hAnsi="Times New Roman"/>
                <w:noProof/>
              </w:rPr>
              <w:t>tralizację zagrożeń oraz odnowę wielkoobszarowych terenów zdegradowanych</w:t>
            </w:r>
            <w:r w:rsidR="00A33B9F" w:rsidRPr="00A33B9F">
              <w:rPr>
                <w:rFonts w:ascii="Times New Roman" w:hAnsi="Times New Roman"/>
                <w:noProof/>
              </w:rPr>
              <w:t xml:space="preserve"> i Mor</w:t>
            </w:r>
            <w:r w:rsidRPr="00A33B9F">
              <w:rPr>
                <w:rFonts w:ascii="Times New Roman" w:hAnsi="Times New Roman"/>
                <w:noProof/>
              </w:rPr>
              <w:t>za Bałtyckiego</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B73819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93E8332" w14:textId="6AECC5A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Obszary lądowe, dla których zrealizowano badania terenowe związane</w:t>
            </w:r>
            <w:r w:rsidR="00A33B9F" w:rsidRPr="00A33B9F">
              <w:rPr>
                <w:rFonts w:ascii="Times New Roman" w:hAnsi="Times New Roman"/>
                <w:noProof/>
              </w:rPr>
              <w:t xml:space="preserve"> z wys</w:t>
            </w:r>
            <w:r w:rsidRPr="00A33B9F">
              <w:rPr>
                <w:rFonts w:ascii="Times New Roman" w:hAnsi="Times New Roman"/>
                <w:noProof/>
              </w:rPr>
              <w:t>tępowaniem substancji zanieczyszczających</w:t>
            </w:r>
            <w:r w:rsidR="00A33B9F" w:rsidRPr="00A33B9F">
              <w:rPr>
                <w:rFonts w:ascii="Times New Roman" w:hAnsi="Times New Roman"/>
                <w:noProof/>
              </w:rPr>
              <w:t xml:space="preserve"> i mat</w:t>
            </w:r>
            <w:r w:rsidRPr="00A33B9F">
              <w:rPr>
                <w:rFonts w:ascii="Times New Roman" w:hAnsi="Times New Roman"/>
                <w:noProof/>
              </w:rPr>
              <w:t>eriałów niebezpiecznych</w:t>
            </w:r>
          </w:p>
        </w:tc>
      </w:tr>
      <w:tr w:rsidR="00D8141F" w:rsidRPr="00A33B9F" w14:paraId="51EA8AE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00FBFB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73A830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B3.4.1 Inwestycje na rzecz zielonej transformacji miast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AC1A28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185B7D8" w14:textId="4993F23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Podpisanie wszystkich umów</w:t>
            </w:r>
            <w:r w:rsidR="00A33B9F" w:rsidRPr="00A33B9F">
              <w:rPr>
                <w:rFonts w:ascii="Times New Roman" w:hAnsi="Times New Roman"/>
                <w:noProof/>
              </w:rPr>
              <w:t xml:space="preserve"> o udz</w:t>
            </w:r>
            <w:r w:rsidRPr="00A33B9F">
              <w:rPr>
                <w:rFonts w:ascii="Times New Roman" w:hAnsi="Times New Roman"/>
                <w:noProof/>
              </w:rPr>
              <w:t>ielenie zamówienia na inwestycje</w:t>
            </w:r>
            <w:r w:rsidR="00A33B9F" w:rsidRPr="00A33B9F">
              <w:rPr>
                <w:rFonts w:ascii="Times New Roman" w:hAnsi="Times New Roman"/>
                <w:noProof/>
              </w:rPr>
              <w:t xml:space="preserve"> w pro</w:t>
            </w:r>
            <w:r w:rsidRPr="00A33B9F">
              <w:rPr>
                <w:rFonts w:ascii="Times New Roman" w:hAnsi="Times New Roman"/>
                <w:noProof/>
              </w:rPr>
              <w:t>jekty zielonego rozwoju obszarów miejskich (obliczone narastająco)</w:t>
            </w:r>
          </w:p>
        </w:tc>
      </w:tr>
      <w:tr w:rsidR="00D8141F" w:rsidRPr="00A33B9F" w14:paraId="0EB51A9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DE0551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22CB5D6" w14:textId="3DA5BF9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B3.5.1 Inwestycje</w:t>
            </w:r>
            <w:r w:rsidR="00A33B9F" w:rsidRPr="00A33B9F">
              <w:rPr>
                <w:rFonts w:ascii="Times New Roman" w:hAnsi="Times New Roman"/>
                <w:noProof/>
              </w:rPr>
              <w:t xml:space="preserve"> w ene</w:t>
            </w:r>
            <w:r w:rsidRPr="00A33B9F">
              <w:rPr>
                <w:rFonts w:ascii="Times New Roman" w:hAnsi="Times New Roman"/>
                <w:noProof/>
              </w:rPr>
              <w:t>rgooszczędne mieszkania dla gospodarstw domowych</w:t>
            </w:r>
            <w:r w:rsidR="00A33B9F" w:rsidRPr="00A33B9F">
              <w:rPr>
                <w:rFonts w:ascii="Times New Roman" w:hAnsi="Times New Roman"/>
                <w:noProof/>
              </w:rPr>
              <w:t xml:space="preserve"> o nis</w:t>
            </w:r>
            <w:r w:rsidRPr="00A33B9F">
              <w:rPr>
                <w:rFonts w:ascii="Times New Roman" w:hAnsi="Times New Roman"/>
                <w:noProof/>
              </w:rPr>
              <w:t>kich</w:t>
            </w:r>
            <w:r w:rsidR="00A33B9F" w:rsidRPr="00A33B9F">
              <w:rPr>
                <w:rFonts w:ascii="Times New Roman" w:hAnsi="Times New Roman"/>
                <w:noProof/>
              </w:rPr>
              <w:t xml:space="preserve"> i śre</w:t>
            </w:r>
            <w:r w:rsidRPr="00A33B9F">
              <w:rPr>
                <w:rFonts w:ascii="Times New Roman" w:hAnsi="Times New Roman"/>
                <w:noProof/>
              </w:rPr>
              <w:t>dnich dochodach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84896D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3D0074D" w14:textId="0EA42A2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Ukończenie budowy pierwszej partii energooszczędnych mieszkań dla gospodarstw domowych</w:t>
            </w:r>
            <w:r w:rsidR="00A33B9F" w:rsidRPr="00A33B9F">
              <w:rPr>
                <w:rFonts w:ascii="Times New Roman" w:hAnsi="Times New Roman"/>
                <w:noProof/>
              </w:rPr>
              <w:t xml:space="preserve"> o nis</w:t>
            </w:r>
            <w:r w:rsidRPr="00A33B9F">
              <w:rPr>
                <w:rFonts w:ascii="Times New Roman" w:hAnsi="Times New Roman"/>
                <w:noProof/>
              </w:rPr>
              <w:t>kich</w:t>
            </w:r>
            <w:r w:rsidR="00A33B9F" w:rsidRPr="00A33B9F">
              <w:rPr>
                <w:rFonts w:ascii="Times New Roman" w:hAnsi="Times New Roman"/>
                <w:noProof/>
              </w:rPr>
              <w:t xml:space="preserve"> i śre</w:t>
            </w:r>
            <w:r w:rsidRPr="00A33B9F">
              <w:rPr>
                <w:rFonts w:ascii="Times New Roman" w:hAnsi="Times New Roman"/>
                <w:noProof/>
              </w:rPr>
              <w:t xml:space="preserve">dnich dochodach </w:t>
            </w:r>
          </w:p>
        </w:tc>
      </w:tr>
      <w:tr w:rsidR="00D8141F" w:rsidRPr="00A33B9F" w14:paraId="2B87444D"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4C927C8"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4080E34"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G3.1.1 Usprawnienie procesu wydawania pozwoleń dotyczących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415C5F9"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2589635" w14:textId="6D14F793"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Mapowanie potencjału energii ze źródeł odnawialnych</w:t>
            </w:r>
            <w:r w:rsidR="00A33B9F" w:rsidRPr="00A33B9F">
              <w:rPr>
                <w:rFonts w:ascii="Times New Roman" w:hAnsi="Times New Roman"/>
                <w:noProof/>
              </w:rPr>
              <w:t xml:space="preserve"> w odn</w:t>
            </w:r>
            <w:r w:rsidRPr="00A33B9F">
              <w:rPr>
                <w:rFonts w:ascii="Times New Roman" w:hAnsi="Times New Roman"/>
                <w:noProof/>
              </w:rPr>
              <w:t>iesieniu do fotowoltaicznych</w:t>
            </w:r>
            <w:r w:rsidR="00A33B9F" w:rsidRPr="00A33B9F">
              <w:rPr>
                <w:rFonts w:ascii="Times New Roman" w:hAnsi="Times New Roman"/>
                <w:noProof/>
              </w:rPr>
              <w:t xml:space="preserve"> i ląd</w:t>
            </w:r>
            <w:r w:rsidRPr="00A33B9F">
              <w:rPr>
                <w:rFonts w:ascii="Times New Roman" w:hAnsi="Times New Roman"/>
                <w:noProof/>
              </w:rPr>
              <w:t>owych instalacji wiatrowych</w:t>
            </w:r>
          </w:p>
        </w:tc>
      </w:tr>
      <w:tr w:rsidR="00D8141F" w:rsidRPr="00A33B9F" w14:paraId="1E4DF01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F53F7AA"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3512FB7"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G3.1.1 Usprawnienie procesu wydawania pozwoleń dotyczących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CA05C2A"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EFCAB8C"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Przyspieszenie procedur wydawania pozwoleń</w:t>
            </w:r>
          </w:p>
        </w:tc>
      </w:tr>
      <w:tr w:rsidR="00D8141F" w:rsidRPr="00A33B9F" w14:paraId="445F65A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F00F1E8"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24D30AA"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G3.1.1 Usprawnienie procesu wydawania pozwoleń dotyczących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650CC5C" w14:textId="77777777" w:rsidR="00D8141F" w:rsidRPr="00A33B9F" w:rsidRDefault="00D8141F" w:rsidP="00753103">
            <w:pPr>
              <w:spacing w:line="240" w:lineRule="auto"/>
              <w:rPr>
                <w:rFonts w:ascii="Times New Roman" w:eastAsia="Times New Roman" w:hAnsi="Times New Roman" w:cs="Times New Roman"/>
                <w:noProof/>
                <w:szCs w:val="28"/>
              </w:rPr>
            </w:pPr>
            <w:r w:rsidRPr="00A33B9F">
              <w:rPr>
                <w:rFonts w:ascii="Times New Roman" w:hAnsi="Times New Roman"/>
                <w:noProof/>
              </w:rPr>
              <w:t>Kamień milowy</w:t>
            </w:r>
          </w:p>
          <w:p w14:paraId="14BCE720" w14:textId="77777777" w:rsidR="00D8141F" w:rsidRPr="00A33B9F" w:rsidRDefault="00D8141F" w:rsidP="00753103">
            <w:pPr>
              <w:spacing w:line="240" w:lineRule="auto"/>
              <w:jc w:val="center"/>
              <w:rPr>
                <w:rFonts w:ascii="Times New Roman" w:hAnsi="Times New Roman"/>
                <w:noProof/>
                <w:szCs w:val="28"/>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DFB7A49" w14:textId="008D273D"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Cyfryzacja procesu wydawania pozwoleń</w:t>
            </w:r>
            <w:r w:rsidR="00C3621A" w:rsidRPr="00A33B9F">
              <w:rPr>
                <w:rFonts w:ascii="Times New Roman" w:hAnsi="Times New Roman"/>
                <w:noProof/>
              </w:rPr>
              <w:t xml:space="preserve"> </w:t>
            </w:r>
          </w:p>
          <w:p w14:paraId="238F1D2F" w14:textId="77777777" w:rsidR="00D8141F" w:rsidRPr="00A33B9F" w:rsidRDefault="00D8141F" w:rsidP="00753103">
            <w:pPr>
              <w:spacing w:line="240" w:lineRule="auto"/>
              <w:rPr>
                <w:rFonts w:ascii="Times New Roman" w:hAnsi="Times New Roman"/>
                <w:noProof/>
                <w:szCs w:val="28"/>
              </w:rPr>
            </w:pPr>
          </w:p>
        </w:tc>
      </w:tr>
      <w:tr w:rsidR="00D8141F" w:rsidRPr="00A33B9F" w14:paraId="4187CEE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ACC49E8"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A3C1BA1" w14:textId="1E45EDAF"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G3.1.3 Zwiększenie efektywności energetycznej oraz przyspieszenie stopniowego wycofywania paliw kopalnych</w:t>
            </w:r>
            <w:r w:rsidR="00A33B9F" w:rsidRPr="00A33B9F">
              <w:rPr>
                <w:rFonts w:ascii="Times New Roman" w:hAnsi="Times New Roman"/>
                <w:noProof/>
              </w:rPr>
              <w:t xml:space="preserve"> w ogr</w:t>
            </w:r>
            <w:r w:rsidRPr="00A33B9F">
              <w:rPr>
                <w:rFonts w:ascii="Times New Roman" w:hAnsi="Times New Roman"/>
                <w:noProof/>
              </w:rPr>
              <w:t>zewaniu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FCBADD"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99A626" w14:textId="57F447B9"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wdrażającego system wsparcia dla dostawców zintegrowanych usług</w:t>
            </w:r>
            <w:r w:rsidR="00A33B9F" w:rsidRPr="00A33B9F">
              <w:rPr>
                <w:rFonts w:ascii="Times New Roman" w:hAnsi="Times New Roman"/>
                <w:noProof/>
              </w:rPr>
              <w:t xml:space="preserve"> w zak</w:t>
            </w:r>
            <w:r w:rsidRPr="00A33B9F">
              <w:rPr>
                <w:rFonts w:ascii="Times New Roman" w:hAnsi="Times New Roman"/>
                <w:noProof/>
              </w:rPr>
              <w:t>resie renowacji budynków mieszkalnych</w:t>
            </w:r>
          </w:p>
        </w:tc>
      </w:tr>
      <w:tr w:rsidR="00D8141F" w:rsidRPr="00A33B9F" w14:paraId="2DFC3F2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21A531C"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6F31A10"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G3.1.5 Budowa morskich farm wiatrowych (Fundusz na rzecz morskiej energetyki wiatrowej)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73B96D5"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41613A4" w14:textId="77777777"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Umowa wykonawcza</w:t>
            </w:r>
          </w:p>
        </w:tc>
      </w:tr>
      <w:tr w:rsidR="00D8141F" w:rsidRPr="00A33B9F" w14:paraId="783C76A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410F0346"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77FD5AEF"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D96801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21BD5A43"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6 310 611 006 EUR </w:t>
            </w:r>
          </w:p>
        </w:tc>
      </w:tr>
    </w:tbl>
    <w:p w14:paraId="42A00AD4"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10CC491A" w14:textId="26C6FEB0"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2.2.7. Siódma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35DF9376" w14:textId="77777777" w:rsidTr="00AD0FC1">
        <w:trPr>
          <w:trHeight w:val="916"/>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081D150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5EBBA7C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60210E2E"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6F29E91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0912045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D28DE9F"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3F161EB" w14:textId="4C5D7B7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A2.6.1 Rozbudowa krajowego systemu serwisów monitoringowych, produktów, narzędzi analitycznych, usług</w:t>
            </w:r>
            <w:r w:rsidR="00A33B9F" w:rsidRPr="00A33B9F">
              <w:rPr>
                <w:rFonts w:ascii="Times New Roman" w:hAnsi="Times New Roman"/>
                <w:noProof/>
              </w:rPr>
              <w:t xml:space="preserve"> i tow</w:t>
            </w:r>
            <w:r w:rsidRPr="00A33B9F">
              <w:rPr>
                <w:rFonts w:ascii="Times New Roman" w:hAnsi="Times New Roman"/>
                <w:noProof/>
              </w:rPr>
              <w:t>arzyszącej infrastruktury wykorzystujących dane satelitarne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E4613E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176E3E8" w14:textId="1CFD1B5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Rozwój niezbędnej infrastruktury: Narodowy System Informacji Satelitarnej (NSIS), który będzie świadczyć usługi monitorowania</w:t>
            </w:r>
            <w:r w:rsidR="00A33B9F" w:rsidRPr="00A33B9F">
              <w:rPr>
                <w:rFonts w:ascii="Times New Roman" w:hAnsi="Times New Roman"/>
                <w:noProof/>
              </w:rPr>
              <w:t xml:space="preserve"> z wyk</w:t>
            </w:r>
            <w:r w:rsidRPr="00A33B9F">
              <w:rPr>
                <w:rFonts w:ascii="Times New Roman" w:hAnsi="Times New Roman"/>
                <w:noProof/>
              </w:rPr>
              <w:t>orzystaniem danych pochodzących</w:t>
            </w:r>
            <w:r w:rsidR="00A33B9F" w:rsidRPr="00A33B9F">
              <w:rPr>
                <w:rFonts w:ascii="Times New Roman" w:hAnsi="Times New Roman"/>
                <w:noProof/>
              </w:rPr>
              <w:t xml:space="preserve"> z obs</w:t>
            </w:r>
            <w:r w:rsidRPr="00A33B9F">
              <w:rPr>
                <w:rFonts w:ascii="Times New Roman" w:hAnsi="Times New Roman"/>
                <w:noProof/>
              </w:rPr>
              <w:t>erwacji satelitarnej Ziemi.</w:t>
            </w:r>
          </w:p>
        </w:tc>
      </w:tr>
      <w:tr w:rsidR="00D8141F" w:rsidRPr="00A33B9F" w14:paraId="6B33BBA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33D34E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235DB5" w14:textId="516B451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A2.6.1 Rozbudowa krajowego systemu serwisów monitoringowych, produktów, narzędzi analitycznych, usług</w:t>
            </w:r>
            <w:r w:rsidR="00A33B9F" w:rsidRPr="00A33B9F">
              <w:rPr>
                <w:rFonts w:ascii="Times New Roman" w:hAnsi="Times New Roman"/>
                <w:noProof/>
              </w:rPr>
              <w:t xml:space="preserve"> i tow</w:t>
            </w:r>
            <w:r w:rsidRPr="00A33B9F">
              <w:rPr>
                <w:rFonts w:ascii="Times New Roman" w:hAnsi="Times New Roman"/>
                <w:noProof/>
              </w:rPr>
              <w:t>arzyszącej infrastruktury wykorzystujących dane satelitarne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DCEAFC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D3A935B"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T1 – Wyniesienie pierwszego polskiego satelity</w:t>
            </w:r>
          </w:p>
        </w:tc>
      </w:tr>
      <w:tr w:rsidR="00D8141F" w:rsidRPr="00A33B9F" w14:paraId="28E0D06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AB325AD"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B15L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5B92B41"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B3.2 Wsparcie na poprawę stanu środowiska oraz na zabezpieczenie przed substancjami niebezpiecznymi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BBD0214"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058C37" w14:textId="1F9DDCB2" w:rsidR="00D8141F" w:rsidRPr="00A33B9F" w:rsidRDefault="00D8141F" w:rsidP="00753103">
            <w:pPr>
              <w:spacing w:line="240" w:lineRule="auto"/>
              <w:rPr>
                <w:rFonts w:ascii="Times New Roman" w:hAnsi="Times New Roman"/>
                <w:noProof/>
              </w:rPr>
            </w:pPr>
            <w:r w:rsidRPr="00A33B9F">
              <w:rPr>
                <w:rFonts w:ascii="Times New Roman" w:hAnsi="Times New Roman"/>
                <w:noProof/>
              </w:rPr>
              <w:t>Wejście</w:t>
            </w:r>
            <w:r w:rsidR="00A33B9F" w:rsidRPr="00A33B9F">
              <w:rPr>
                <w:rFonts w:ascii="Times New Roman" w:hAnsi="Times New Roman"/>
                <w:noProof/>
              </w:rPr>
              <w:t xml:space="preserve"> w życ</w:t>
            </w:r>
            <w:r w:rsidRPr="00A33B9F">
              <w:rPr>
                <w:rFonts w:ascii="Times New Roman" w:hAnsi="Times New Roman"/>
                <w:noProof/>
              </w:rPr>
              <w:t>ie aktu prawnego dotyczącego materiałów niebezpiecznych zalegających</w:t>
            </w:r>
            <w:r w:rsidR="00A33B9F" w:rsidRPr="00A33B9F">
              <w:rPr>
                <w:rFonts w:ascii="Times New Roman" w:hAnsi="Times New Roman"/>
                <w:noProof/>
              </w:rPr>
              <w:t xml:space="preserve"> w Mor</w:t>
            </w:r>
            <w:r w:rsidRPr="00A33B9F">
              <w:rPr>
                <w:rFonts w:ascii="Times New Roman" w:hAnsi="Times New Roman"/>
                <w:noProof/>
              </w:rPr>
              <w:t>zu Bałtyckim</w:t>
            </w:r>
          </w:p>
        </w:tc>
      </w:tr>
      <w:tr w:rsidR="00D8141F" w:rsidRPr="00A33B9F" w14:paraId="2E7647A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3A6EE22"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60A6079" w14:textId="05E0B945"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C2.2.1 Wyposażenie szkół/instytucji</w:t>
            </w:r>
            <w:r w:rsidR="00A33B9F" w:rsidRPr="00A33B9F">
              <w:rPr>
                <w:rFonts w:ascii="Times New Roman" w:hAnsi="Times New Roman"/>
                <w:noProof/>
              </w:rPr>
              <w:t xml:space="preserve"> w odp</w:t>
            </w:r>
            <w:r w:rsidRPr="00A33B9F">
              <w:rPr>
                <w:rFonts w:ascii="Times New Roman" w:hAnsi="Times New Roman"/>
                <w:noProof/>
              </w:rPr>
              <w:t>owiednie urządzenia</w:t>
            </w:r>
            <w:r w:rsidR="00A33B9F" w:rsidRPr="00A33B9F">
              <w:rPr>
                <w:rFonts w:ascii="Times New Roman" w:hAnsi="Times New Roman"/>
                <w:noProof/>
              </w:rPr>
              <w:t xml:space="preserve"> i inf</w:t>
            </w:r>
            <w:r w:rsidRPr="00A33B9F">
              <w:rPr>
                <w:rFonts w:ascii="Times New Roman" w:hAnsi="Times New Roman"/>
                <w:noProof/>
              </w:rPr>
              <w:t>rastrukturę ICT</w:t>
            </w:r>
            <w:r w:rsidR="00A33B9F" w:rsidRPr="00A33B9F">
              <w:rPr>
                <w:rFonts w:ascii="Times New Roman" w:hAnsi="Times New Roman"/>
                <w:noProof/>
              </w:rPr>
              <w:t xml:space="preserve"> w cel</w:t>
            </w:r>
            <w:r w:rsidRPr="00A33B9F">
              <w:rPr>
                <w:rFonts w:ascii="Times New Roman" w:hAnsi="Times New Roman"/>
                <w:noProof/>
              </w:rPr>
              <w:t>u poprawy ogólnej wydajności systemów edukacji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23DEC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626ED9B" w14:textId="7C20478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Sale lekcyjne</w:t>
            </w:r>
            <w:r w:rsidR="00A33B9F" w:rsidRPr="00A33B9F">
              <w:rPr>
                <w:rFonts w:ascii="Times New Roman" w:hAnsi="Times New Roman"/>
                <w:noProof/>
              </w:rPr>
              <w:t xml:space="preserve"> w szk</w:t>
            </w:r>
            <w:r w:rsidRPr="00A33B9F">
              <w:rPr>
                <w:rFonts w:ascii="Times New Roman" w:hAnsi="Times New Roman"/>
                <w:noProof/>
              </w:rPr>
              <w:t>ołach zawodowych oraz instytucjach kształcenia ogólnego wyposażone</w:t>
            </w:r>
            <w:r w:rsidR="00A33B9F" w:rsidRPr="00A33B9F">
              <w:rPr>
                <w:rFonts w:ascii="Times New Roman" w:hAnsi="Times New Roman"/>
                <w:noProof/>
              </w:rPr>
              <w:t xml:space="preserve"> w nar</w:t>
            </w:r>
            <w:r w:rsidRPr="00A33B9F">
              <w:rPr>
                <w:rFonts w:ascii="Times New Roman" w:hAnsi="Times New Roman"/>
                <w:noProof/>
              </w:rPr>
              <w:t>zędzia informatyczne</w:t>
            </w:r>
            <w:r w:rsidR="00A33B9F" w:rsidRPr="00A33B9F">
              <w:rPr>
                <w:rFonts w:ascii="Times New Roman" w:hAnsi="Times New Roman"/>
                <w:noProof/>
              </w:rPr>
              <w:t xml:space="preserve"> w cel</w:t>
            </w:r>
            <w:r w:rsidRPr="00A33B9F">
              <w:rPr>
                <w:rFonts w:ascii="Times New Roman" w:hAnsi="Times New Roman"/>
                <w:noProof/>
              </w:rPr>
              <w:t>u umożliwienia nauczania zdalnego</w:t>
            </w:r>
          </w:p>
        </w:tc>
      </w:tr>
      <w:tr w:rsidR="00D8141F" w:rsidRPr="00A33B9F" w14:paraId="1D2DEDC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AA86EB3"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E2L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AAB7B00" w14:textId="02BB0A0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E1.2 Zwiększenie udziału transportu zeroemisyjnego</w:t>
            </w:r>
            <w:r w:rsidR="00A33B9F" w:rsidRPr="00A33B9F">
              <w:rPr>
                <w:rFonts w:ascii="Times New Roman" w:hAnsi="Times New Roman"/>
                <w:noProof/>
              </w:rPr>
              <w:t xml:space="preserve"> i nis</w:t>
            </w:r>
            <w:r w:rsidRPr="00A33B9F">
              <w:rPr>
                <w:rFonts w:ascii="Times New Roman" w:hAnsi="Times New Roman"/>
                <w:noProof/>
              </w:rPr>
              <w:t>koemisyjnego, zapobieganie problemowi negatywnego wpływu transportu na środowisko</w:t>
            </w:r>
            <w:r w:rsidR="00A33B9F" w:rsidRPr="00A33B9F">
              <w:rPr>
                <w:rFonts w:ascii="Times New Roman" w:hAnsi="Times New Roman"/>
                <w:noProof/>
              </w:rPr>
              <w:t xml:space="preserve"> i jeg</w:t>
            </w:r>
            <w:r w:rsidRPr="00A33B9F">
              <w:rPr>
                <w:rFonts w:ascii="Times New Roman" w:hAnsi="Times New Roman"/>
                <w:noProof/>
              </w:rPr>
              <w:t>o ograniczenie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F9AB52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D23458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Wprowadzenie stref transportu niskoemisyjnego wdrażane przez właściwe władze miejskie</w:t>
            </w:r>
          </w:p>
        </w:tc>
      </w:tr>
      <w:tr w:rsidR="00D8141F" w:rsidRPr="00A33B9F" w14:paraId="3BB175E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608DB6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CD65AB6" w14:textId="2503A44A"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E1.2.1 Zeroemisyjny transport publiczny</w:t>
            </w:r>
            <w:r w:rsidR="00A33B9F" w:rsidRPr="00A33B9F">
              <w:rPr>
                <w:rFonts w:ascii="Times New Roman" w:hAnsi="Times New Roman"/>
                <w:noProof/>
              </w:rPr>
              <w:t xml:space="preserve"> w mia</w:t>
            </w:r>
            <w:r w:rsidRPr="00A33B9F">
              <w:rPr>
                <w:rFonts w:ascii="Times New Roman" w:hAnsi="Times New Roman"/>
                <w:noProof/>
              </w:rPr>
              <w:t>stach (tramwaje)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662AC7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2803656"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Nowe tramwaje: wybór beneficjentów</w:t>
            </w:r>
          </w:p>
        </w:tc>
      </w:tr>
      <w:tr w:rsidR="00D8141F" w:rsidRPr="00A33B9F" w14:paraId="62591B5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2051814"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8798617"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G3.1.2 Umiejętności na potrzeby zielonej transformacji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919FD7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1E9C25"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Zmiana trzech sektorowych ram kwalifikacji na rzecz zielonej transformacji </w:t>
            </w:r>
          </w:p>
        </w:tc>
      </w:tr>
      <w:tr w:rsidR="00D8141F" w:rsidRPr="00A33B9F" w14:paraId="3EF8DA2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F79F780"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518B3C1"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G3.1.2 Umiejętności na potrzeby zielonej transformacji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B4CD2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6301DED"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Zmiana ram kwalifikacji dotyczących energii</w:t>
            </w:r>
          </w:p>
        </w:tc>
      </w:tr>
      <w:tr w:rsidR="00D8141F" w:rsidRPr="00A33B9F" w14:paraId="5AC023F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BD4CCF9"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DC85402"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G3.1.4 Wsparcie na rzecz krajowego systemu energetycznego (Fundusz Wsparcia Energetyki)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94BABC3"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17094C48" w14:textId="66773152" w:rsidR="00D8141F" w:rsidRPr="00A33B9F" w:rsidRDefault="00D8141F" w:rsidP="00753103">
            <w:pPr>
              <w:spacing w:line="240" w:lineRule="auto"/>
              <w:rPr>
                <w:rFonts w:ascii="Times New Roman" w:hAnsi="Times New Roman"/>
                <w:noProof/>
              </w:rPr>
            </w:pPr>
            <w:r w:rsidRPr="00A33B9F">
              <w:rPr>
                <w:rFonts w:ascii="Times New Roman" w:hAnsi="Times New Roman"/>
                <w:noProof/>
              </w:rPr>
              <w:t>Umowy prawne podpisane</w:t>
            </w:r>
            <w:r w:rsidR="00A33B9F" w:rsidRPr="00A33B9F">
              <w:rPr>
                <w:rFonts w:ascii="Times New Roman" w:hAnsi="Times New Roman"/>
                <w:noProof/>
              </w:rPr>
              <w:t xml:space="preserve"> z ben</w:t>
            </w:r>
            <w:r w:rsidRPr="00A33B9F">
              <w:rPr>
                <w:rFonts w:ascii="Times New Roman" w:hAnsi="Times New Roman"/>
                <w:noProof/>
              </w:rPr>
              <w:t>eficjentami końcowymi</w:t>
            </w:r>
          </w:p>
        </w:tc>
      </w:tr>
      <w:tr w:rsidR="00D8141F" w:rsidRPr="00A33B9F" w14:paraId="0942B913"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830DBAE"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G17L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685BFC"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G3.1.5 Fundusz wsparcia morskiej energetyki wiatrowej – Budowa morskich farm wiatrowych (Fundusz na rzecz morskiej energetyki wiatrowej)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F9D87BF"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6D82E0" w14:textId="0E0B6374" w:rsidR="00D8141F" w:rsidRPr="00A33B9F" w:rsidRDefault="00D8141F" w:rsidP="00753103">
            <w:pPr>
              <w:spacing w:line="240" w:lineRule="auto"/>
              <w:rPr>
                <w:rFonts w:ascii="Times New Roman" w:hAnsi="Times New Roman"/>
                <w:noProof/>
              </w:rPr>
            </w:pPr>
            <w:r w:rsidRPr="00A33B9F">
              <w:rPr>
                <w:rFonts w:ascii="Times New Roman" w:hAnsi="Times New Roman"/>
                <w:noProof/>
              </w:rPr>
              <w:t>Umowy prawne podpisane</w:t>
            </w:r>
            <w:r w:rsidR="00A33B9F" w:rsidRPr="00A33B9F">
              <w:rPr>
                <w:rFonts w:ascii="Times New Roman" w:hAnsi="Times New Roman"/>
                <w:noProof/>
              </w:rPr>
              <w:t xml:space="preserve"> z ben</w:t>
            </w:r>
            <w:r w:rsidRPr="00A33B9F">
              <w:rPr>
                <w:rFonts w:ascii="Times New Roman" w:hAnsi="Times New Roman"/>
                <w:noProof/>
              </w:rPr>
              <w:t>eficjentami końcowymi</w:t>
            </w:r>
          </w:p>
        </w:tc>
      </w:tr>
      <w:tr w:rsidR="00D8141F" w:rsidRPr="00A33B9F" w14:paraId="15A08F2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FC2BE61"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color w:val="000000" w:themeColor="text1"/>
              </w:rPr>
              <w:t>G21L</w:t>
            </w:r>
            <w:r w:rsidRPr="00A33B9F">
              <w:rPr>
                <w:rFonts w:ascii="Times New Roman" w:hAnsi="Times New Roman"/>
                <w:noProof/>
                <w:color w:val="0078D4"/>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D0E7D15" w14:textId="3AB8D964" w:rsidR="00D8141F" w:rsidRPr="00A33B9F" w:rsidRDefault="00D8141F" w:rsidP="00753103">
            <w:pPr>
              <w:spacing w:line="240" w:lineRule="auto"/>
              <w:rPr>
                <w:rFonts w:ascii="Times New Roman" w:hAnsi="Times New Roman"/>
                <w:noProof/>
              </w:rPr>
            </w:pPr>
            <w:r w:rsidRPr="00A33B9F">
              <w:rPr>
                <w:rFonts w:ascii="Times New Roman" w:hAnsi="Times New Roman"/>
                <w:noProof/>
                <w:color w:val="000000" w:themeColor="text1"/>
              </w:rPr>
              <w:t> G3.2.1 Budowa infrastruktury gazu ziemnego</w:t>
            </w:r>
            <w:r w:rsidR="00A33B9F" w:rsidRPr="00A33B9F">
              <w:rPr>
                <w:rFonts w:ascii="Times New Roman" w:hAnsi="Times New Roman"/>
                <w:noProof/>
                <w:color w:val="000000" w:themeColor="text1"/>
              </w:rPr>
              <w:t xml:space="preserve"> w cel</w:t>
            </w:r>
            <w:r w:rsidRPr="00A33B9F">
              <w:rPr>
                <w:rFonts w:ascii="Times New Roman" w:hAnsi="Times New Roman"/>
                <w:noProof/>
                <w:color w:val="000000" w:themeColor="text1"/>
              </w:rPr>
              <w:t>u zapewnienia bezpieczeństwa energetycznego</w:t>
            </w:r>
            <w:r w:rsidRPr="00A33B9F">
              <w:rPr>
                <w:rFonts w:ascii="Times New Roman" w:hAnsi="Times New Roman"/>
                <w:noProof/>
                <w:color w:val="0078D4"/>
              </w:rPr>
              <w:t xml:space="preserve">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FE17368"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color w:val="000000" w:themeColor="text1"/>
              </w:rPr>
              <w:t>Kamień milowy</w:t>
            </w:r>
            <w:r w:rsidRPr="00A33B9F">
              <w:rPr>
                <w:rFonts w:ascii="Times New Roman" w:hAnsi="Times New Roman"/>
                <w:noProof/>
                <w:color w:val="0078D4"/>
              </w:rPr>
              <w:t xml:space="preserve">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7154262"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color w:val="000000" w:themeColor="text1"/>
              </w:rPr>
              <w:t>Wybór wykonawcy</w:t>
            </w:r>
            <w:r w:rsidRPr="00A33B9F">
              <w:rPr>
                <w:rFonts w:ascii="Times New Roman" w:hAnsi="Times New Roman"/>
                <w:noProof/>
                <w:color w:val="0078D4"/>
              </w:rPr>
              <w:t xml:space="preserve"> </w:t>
            </w:r>
          </w:p>
        </w:tc>
      </w:tr>
      <w:tr w:rsidR="00D8141F" w:rsidRPr="00A33B9F" w14:paraId="699B660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B9FC38C"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color w:val="000000" w:themeColor="text1"/>
              </w:rPr>
              <w:t>G22L</w:t>
            </w:r>
            <w:r w:rsidRPr="00A33B9F">
              <w:rPr>
                <w:rFonts w:ascii="Times New Roman" w:hAnsi="Times New Roman"/>
                <w:noProof/>
                <w:color w:val="0078D4"/>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B1DB48A" w14:textId="6FE21D20" w:rsidR="00D8141F" w:rsidRPr="00A33B9F" w:rsidRDefault="00D8141F" w:rsidP="00753103">
            <w:pPr>
              <w:spacing w:line="240" w:lineRule="auto"/>
              <w:rPr>
                <w:rFonts w:ascii="Times New Roman" w:hAnsi="Times New Roman"/>
                <w:noProof/>
              </w:rPr>
            </w:pPr>
            <w:r w:rsidRPr="00A33B9F">
              <w:rPr>
                <w:rFonts w:ascii="Times New Roman" w:hAnsi="Times New Roman"/>
                <w:noProof/>
                <w:color w:val="000000" w:themeColor="text1"/>
              </w:rPr>
              <w:t> G3.2.1 Budowa infrastruktury gazu ziemnego</w:t>
            </w:r>
            <w:r w:rsidR="00A33B9F" w:rsidRPr="00A33B9F">
              <w:rPr>
                <w:rFonts w:ascii="Times New Roman" w:hAnsi="Times New Roman"/>
                <w:noProof/>
                <w:color w:val="000000" w:themeColor="text1"/>
              </w:rPr>
              <w:t xml:space="preserve"> w cel</w:t>
            </w:r>
            <w:r w:rsidRPr="00A33B9F">
              <w:rPr>
                <w:rFonts w:ascii="Times New Roman" w:hAnsi="Times New Roman"/>
                <w:noProof/>
                <w:color w:val="000000" w:themeColor="text1"/>
              </w:rPr>
              <w:t>u zapewnienia bezpieczeństwa energetycznego</w:t>
            </w:r>
            <w:r w:rsidRPr="00A33B9F">
              <w:rPr>
                <w:rFonts w:ascii="Times New Roman" w:hAnsi="Times New Roman"/>
                <w:noProof/>
                <w:color w:val="0078D4"/>
              </w:rPr>
              <w:t xml:space="preserve">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DA3F470"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color w:val="000000" w:themeColor="text1"/>
              </w:rPr>
              <w:t>Kamień milowy</w:t>
            </w:r>
            <w:r w:rsidRPr="00A33B9F">
              <w:rPr>
                <w:rFonts w:ascii="Times New Roman" w:hAnsi="Times New Roman"/>
                <w:noProof/>
                <w:color w:val="0078D4"/>
              </w:rPr>
              <w:t xml:space="preserve">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5E55284"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Rozpoczęcie prac budowlanych</w:t>
            </w:r>
          </w:p>
        </w:tc>
      </w:tr>
      <w:tr w:rsidR="00D8141F" w:rsidRPr="00A33B9F" w14:paraId="4D9FB42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09A5C661"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37B834AE"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30C9CEF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4915350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3 355 926 170 EUR </w:t>
            </w:r>
          </w:p>
        </w:tc>
      </w:tr>
    </w:tbl>
    <w:p w14:paraId="02CEB32E"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4EBCA6FB" w14:textId="6CB584C4" w:rsidR="00D8141F" w:rsidRPr="00A33B9F" w:rsidRDefault="00D8141F" w:rsidP="00D8141F">
      <w:pPr>
        <w:pageBreakBefore/>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2.2.8. Ósma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0794D0D6" w14:textId="77777777" w:rsidTr="00AD0FC1">
        <w:trPr>
          <w:trHeight w:val="1052"/>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65EB8AA"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6ADF153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0B3CE4E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3A270FC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26F3A24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31C542B"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0D5D8D4" w14:textId="2EC63B3C"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A2.5.1 Program wspierania działalności podmiotów sektora kultury</w:t>
            </w:r>
            <w:r w:rsidR="00A33B9F" w:rsidRPr="00A33B9F">
              <w:rPr>
                <w:rFonts w:ascii="Times New Roman" w:hAnsi="Times New Roman"/>
                <w:noProof/>
              </w:rPr>
              <w:t xml:space="preserve"> i prz</w:t>
            </w:r>
            <w:r w:rsidRPr="00A33B9F">
              <w:rPr>
                <w:rFonts w:ascii="Times New Roman" w:hAnsi="Times New Roman"/>
                <w:noProof/>
              </w:rPr>
              <w:t>emysłów kreatywnych na rzecz stymulowania ich rozwoju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6EC036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74A42DA" w14:textId="101D13F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podpisanych umów dotyczących projektów instytucji kultury, organizacji pozarządowych, MŚP</w:t>
            </w:r>
            <w:r w:rsidR="00A33B9F" w:rsidRPr="00A33B9F">
              <w:rPr>
                <w:rFonts w:ascii="Times New Roman" w:hAnsi="Times New Roman"/>
                <w:noProof/>
              </w:rPr>
              <w:t xml:space="preserve"> i mik</w:t>
            </w:r>
            <w:r w:rsidRPr="00A33B9F">
              <w:rPr>
                <w:rFonts w:ascii="Times New Roman" w:hAnsi="Times New Roman"/>
                <w:noProof/>
              </w:rPr>
              <w:t>roprzedsiębiorstw działających</w:t>
            </w:r>
            <w:r w:rsidR="00A33B9F" w:rsidRPr="00A33B9F">
              <w:rPr>
                <w:rFonts w:ascii="Times New Roman" w:hAnsi="Times New Roman"/>
                <w:noProof/>
              </w:rPr>
              <w:t xml:space="preserve"> w sek</w:t>
            </w:r>
            <w:r w:rsidRPr="00A33B9F">
              <w:rPr>
                <w:rFonts w:ascii="Times New Roman" w:hAnsi="Times New Roman"/>
                <w:noProof/>
              </w:rPr>
              <w:t>torze kultury</w:t>
            </w:r>
            <w:r w:rsidR="00A33B9F" w:rsidRPr="00A33B9F">
              <w:rPr>
                <w:rFonts w:ascii="Times New Roman" w:hAnsi="Times New Roman"/>
                <w:noProof/>
              </w:rPr>
              <w:t xml:space="preserve"> i sek</w:t>
            </w:r>
            <w:r w:rsidRPr="00A33B9F">
              <w:rPr>
                <w:rFonts w:ascii="Times New Roman" w:hAnsi="Times New Roman"/>
                <w:noProof/>
              </w:rPr>
              <w:t>torze kreatywnym</w:t>
            </w:r>
            <w:r w:rsidR="00C3621A" w:rsidRPr="00A33B9F">
              <w:rPr>
                <w:rFonts w:ascii="Times New Roman" w:hAnsi="Times New Roman"/>
                <w:noProof/>
              </w:rPr>
              <w:t xml:space="preserve"> </w:t>
            </w:r>
          </w:p>
        </w:tc>
      </w:tr>
      <w:tr w:rsidR="00D8141F" w:rsidRPr="00A33B9F" w14:paraId="39366C42"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BA4512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9CA588E" w14:textId="403E581F"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A2.5.1 Program wspierania działalności podmiotów sektora kultury</w:t>
            </w:r>
            <w:r w:rsidR="00A33B9F" w:rsidRPr="00A33B9F">
              <w:rPr>
                <w:rFonts w:ascii="Times New Roman" w:hAnsi="Times New Roman"/>
                <w:noProof/>
              </w:rPr>
              <w:t xml:space="preserve"> i prz</w:t>
            </w:r>
            <w:r w:rsidRPr="00A33B9F">
              <w:rPr>
                <w:rFonts w:ascii="Times New Roman" w:hAnsi="Times New Roman"/>
                <w:noProof/>
              </w:rPr>
              <w:t>emysłów kreatywnych na rzecz stymulowania ich rozwoju</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2B3FE2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E29EB58" w14:textId="3A594C4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Liczba stypendiów przyznanych</w:t>
            </w:r>
            <w:r w:rsidR="00A33B9F" w:rsidRPr="00A33B9F">
              <w:rPr>
                <w:rFonts w:ascii="Times New Roman" w:hAnsi="Times New Roman"/>
                <w:noProof/>
              </w:rPr>
              <w:t xml:space="preserve"> w sek</w:t>
            </w:r>
            <w:r w:rsidRPr="00A33B9F">
              <w:rPr>
                <w:rFonts w:ascii="Times New Roman" w:hAnsi="Times New Roman"/>
                <w:noProof/>
              </w:rPr>
              <w:t>torze kultury</w:t>
            </w:r>
            <w:r w:rsidR="00A33B9F" w:rsidRPr="00A33B9F">
              <w:rPr>
                <w:rFonts w:ascii="Times New Roman" w:hAnsi="Times New Roman"/>
                <w:noProof/>
              </w:rPr>
              <w:t xml:space="preserve"> i sek</w:t>
            </w:r>
            <w:r w:rsidRPr="00A33B9F">
              <w:rPr>
                <w:rFonts w:ascii="Times New Roman" w:hAnsi="Times New Roman"/>
                <w:noProof/>
              </w:rPr>
              <w:t>torze kreatywnym</w:t>
            </w:r>
          </w:p>
        </w:tc>
      </w:tr>
      <w:tr w:rsidR="00D8141F" w:rsidRPr="00A33B9F" w14:paraId="6737004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7E3EFE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7E7829AA" w14:textId="78FC908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B2.3 Wsparcie inwestycji</w:t>
            </w:r>
            <w:r w:rsidR="00A33B9F" w:rsidRPr="00A33B9F">
              <w:rPr>
                <w:rFonts w:ascii="Times New Roman" w:hAnsi="Times New Roman"/>
                <w:noProof/>
              </w:rPr>
              <w:t xml:space="preserve"> w obs</w:t>
            </w:r>
            <w:r w:rsidRPr="00A33B9F">
              <w:rPr>
                <w:rFonts w:ascii="Times New Roman" w:hAnsi="Times New Roman"/>
                <w:noProof/>
              </w:rPr>
              <w:t xml:space="preserve">zarze morskich farm wiatrowych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2E3658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8BBC9BC" w14:textId="2D489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Organizacja aukcji na energię elektryczną</w:t>
            </w:r>
            <w:r w:rsidR="00A33B9F" w:rsidRPr="00A33B9F">
              <w:rPr>
                <w:rFonts w:ascii="Times New Roman" w:hAnsi="Times New Roman"/>
                <w:noProof/>
              </w:rPr>
              <w:t xml:space="preserve"> z mor</w:t>
            </w:r>
            <w:r w:rsidRPr="00A33B9F">
              <w:rPr>
                <w:rFonts w:ascii="Times New Roman" w:hAnsi="Times New Roman"/>
                <w:noProof/>
              </w:rPr>
              <w:t>skich farm wiatrowych</w:t>
            </w:r>
          </w:p>
        </w:tc>
      </w:tr>
      <w:tr w:rsidR="00D8141F" w:rsidRPr="00A33B9F" w14:paraId="6FADB84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412422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B802836" w14:textId="5FAF1E9C" w:rsidR="00D8141F" w:rsidRPr="00A33B9F" w:rsidRDefault="00D8141F" w:rsidP="00753103">
            <w:pPr>
              <w:pStyle w:val="Normal0"/>
              <w:spacing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 xml:space="preserve"> B3.2.1 Inwestycje</w:t>
            </w:r>
            <w:r w:rsidR="00A33B9F" w:rsidRPr="00A33B9F">
              <w:rPr>
                <w:rFonts w:ascii="Times New Roman" w:hAnsi="Times New Roman"/>
                <w:noProof/>
                <w:color w:val="000000" w:themeColor="text1"/>
              </w:rPr>
              <w:t xml:space="preserve"> w neu</w:t>
            </w:r>
            <w:r w:rsidRPr="00A33B9F">
              <w:rPr>
                <w:rFonts w:ascii="Times New Roman" w:hAnsi="Times New Roman"/>
                <w:noProof/>
                <w:color w:val="000000" w:themeColor="text1"/>
              </w:rPr>
              <w:t>tralizację zagrożeń oraz odnowę wielkoobszarowych terenów zdegradowanych</w:t>
            </w:r>
            <w:r w:rsidR="00A33B9F" w:rsidRPr="00A33B9F">
              <w:rPr>
                <w:rFonts w:ascii="Times New Roman" w:hAnsi="Times New Roman"/>
                <w:noProof/>
                <w:color w:val="000000" w:themeColor="text1"/>
              </w:rPr>
              <w:t xml:space="preserve"> i Mor</w:t>
            </w:r>
            <w:r w:rsidRPr="00A33B9F">
              <w:rPr>
                <w:rFonts w:ascii="Times New Roman" w:hAnsi="Times New Roman"/>
                <w:noProof/>
                <w:color w:val="000000" w:themeColor="text1"/>
              </w:rPr>
              <w:t>za Bałtyckiego</w:t>
            </w:r>
          </w:p>
          <w:p w14:paraId="4E935DE2"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6857EC6"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A5D12F9" w14:textId="5B6554F3"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Lokalizacje na polskich obszarach morskich (w tym wraki),</w:t>
            </w:r>
            <w:r w:rsidR="00A33B9F" w:rsidRPr="00A33B9F">
              <w:rPr>
                <w:rFonts w:ascii="Times New Roman" w:hAnsi="Times New Roman"/>
                <w:noProof/>
              </w:rPr>
              <w:t xml:space="preserve"> w prz</w:t>
            </w:r>
            <w:r w:rsidRPr="00A33B9F">
              <w:rPr>
                <w:rFonts w:ascii="Times New Roman" w:hAnsi="Times New Roman"/>
                <w:noProof/>
              </w:rPr>
              <w:t>ypadku których przeprowadzono inwentaryzację</w:t>
            </w:r>
            <w:r w:rsidR="00A33B9F" w:rsidRPr="00A33B9F">
              <w:rPr>
                <w:rFonts w:ascii="Times New Roman" w:hAnsi="Times New Roman"/>
                <w:noProof/>
              </w:rPr>
              <w:t xml:space="preserve"> i bad</w:t>
            </w:r>
            <w:r w:rsidRPr="00A33B9F">
              <w:rPr>
                <w:rFonts w:ascii="Times New Roman" w:hAnsi="Times New Roman"/>
                <w:noProof/>
              </w:rPr>
              <w:t>ania terenowe na obecność materiałów niebezpiecznych</w:t>
            </w:r>
          </w:p>
        </w:tc>
      </w:tr>
      <w:tr w:rsidR="00D8141F" w:rsidRPr="00A33B9F" w14:paraId="17FA438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682F26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9B24D4" w14:textId="596D9A78"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B3.3.1 Inwestycje</w:t>
            </w:r>
            <w:r w:rsidR="00A33B9F" w:rsidRPr="00A33B9F">
              <w:rPr>
                <w:rFonts w:ascii="Times New Roman" w:hAnsi="Times New Roman"/>
                <w:noProof/>
              </w:rPr>
              <w:t xml:space="preserve"> w zwi</w:t>
            </w:r>
            <w:r w:rsidRPr="00A33B9F">
              <w:rPr>
                <w:rFonts w:ascii="Times New Roman" w:hAnsi="Times New Roman"/>
                <w:noProof/>
              </w:rPr>
              <w:t>ększanie potencjału zrównoważonej gospodarki wodnej na obszarach wiejskich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2E09BC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C4F510" w14:textId="55A86049"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Obszar gruntów rolnych/leśnych (w hektarach) korzystających</w:t>
            </w:r>
            <w:r w:rsidR="00A33B9F" w:rsidRPr="00A33B9F">
              <w:rPr>
                <w:rFonts w:ascii="Times New Roman" w:hAnsi="Times New Roman"/>
                <w:noProof/>
              </w:rPr>
              <w:t xml:space="preserve"> z ule</w:t>
            </w:r>
            <w:r w:rsidRPr="00A33B9F">
              <w:rPr>
                <w:rFonts w:ascii="Times New Roman" w:hAnsi="Times New Roman"/>
                <w:noProof/>
              </w:rPr>
              <w:t>pszonego potencjału retencyjnego</w:t>
            </w:r>
          </w:p>
        </w:tc>
      </w:tr>
      <w:tr w:rsidR="00D8141F" w:rsidRPr="00A33B9F" w14:paraId="5D7ACC1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6FC536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B27L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91952D7"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B3.4.1 Inwestycje na rzecz zielonej transformacji miast</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B8BDEA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FE91FED" w14:textId="52681E9D"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Podpisanie wszystkich umów</w:t>
            </w:r>
            <w:r w:rsidR="00A33B9F" w:rsidRPr="00A33B9F">
              <w:rPr>
                <w:rFonts w:ascii="Times New Roman" w:hAnsi="Times New Roman"/>
                <w:noProof/>
              </w:rPr>
              <w:t xml:space="preserve"> o udz</w:t>
            </w:r>
            <w:r w:rsidRPr="00A33B9F">
              <w:rPr>
                <w:rFonts w:ascii="Times New Roman" w:hAnsi="Times New Roman"/>
                <w:noProof/>
              </w:rPr>
              <w:t>ielenie zamówienia na inwestycje</w:t>
            </w:r>
            <w:r w:rsidR="00A33B9F" w:rsidRPr="00A33B9F">
              <w:rPr>
                <w:rFonts w:ascii="Times New Roman" w:hAnsi="Times New Roman"/>
                <w:noProof/>
              </w:rPr>
              <w:t xml:space="preserve"> w pro</w:t>
            </w:r>
            <w:r w:rsidRPr="00A33B9F">
              <w:rPr>
                <w:rFonts w:ascii="Times New Roman" w:hAnsi="Times New Roman"/>
                <w:noProof/>
              </w:rPr>
              <w:t>jekty zielonego rozwoju obszarów miejskich (obliczone narastająco)</w:t>
            </w:r>
          </w:p>
        </w:tc>
      </w:tr>
      <w:tr w:rsidR="00D8141F" w:rsidRPr="00A33B9F" w14:paraId="35EA94A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AF49E7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C13L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56F3A35" w14:textId="46F6535E"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C2.2.1 Wyposażenie szkół/instytucji</w:t>
            </w:r>
            <w:r w:rsidR="00A33B9F" w:rsidRPr="00A33B9F">
              <w:rPr>
                <w:rFonts w:ascii="Times New Roman" w:hAnsi="Times New Roman"/>
                <w:noProof/>
              </w:rPr>
              <w:t xml:space="preserve"> w odp</w:t>
            </w:r>
            <w:r w:rsidRPr="00A33B9F">
              <w:rPr>
                <w:rFonts w:ascii="Times New Roman" w:hAnsi="Times New Roman"/>
                <w:noProof/>
              </w:rPr>
              <w:t>owiednie urządzenia</w:t>
            </w:r>
            <w:r w:rsidR="00A33B9F" w:rsidRPr="00A33B9F">
              <w:rPr>
                <w:rFonts w:ascii="Times New Roman" w:hAnsi="Times New Roman"/>
                <w:noProof/>
              </w:rPr>
              <w:t xml:space="preserve"> i inf</w:t>
            </w:r>
            <w:r w:rsidRPr="00A33B9F">
              <w:rPr>
                <w:rFonts w:ascii="Times New Roman" w:hAnsi="Times New Roman"/>
                <w:noProof/>
              </w:rPr>
              <w:t>rastrukturę ICT</w:t>
            </w:r>
            <w:r w:rsidR="00A33B9F" w:rsidRPr="00A33B9F">
              <w:rPr>
                <w:rFonts w:ascii="Times New Roman" w:hAnsi="Times New Roman"/>
                <w:noProof/>
              </w:rPr>
              <w:t xml:space="preserve"> w cel</w:t>
            </w:r>
            <w:r w:rsidRPr="00A33B9F">
              <w:rPr>
                <w:rFonts w:ascii="Times New Roman" w:hAnsi="Times New Roman"/>
                <w:noProof/>
              </w:rPr>
              <w:t>u poprawy ogólnej wydajności systemów edukacji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718BEF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B632761" w14:textId="62CBECB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Utworzenie laboratoriów sztucznej inteligencji (AI) oraz laboratoriów nauk przyrodniczych, technologii, inżynierii</w:t>
            </w:r>
            <w:r w:rsidR="00A33B9F" w:rsidRPr="00A33B9F">
              <w:rPr>
                <w:rFonts w:ascii="Times New Roman" w:hAnsi="Times New Roman"/>
                <w:noProof/>
              </w:rPr>
              <w:t xml:space="preserve"> i mat</w:t>
            </w:r>
            <w:r w:rsidRPr="00A33B9F">
              <w:rPr>
                <w:rFonts w:ascii="Times New Roman" w:hAnsi="Times New Roman"/>
                <w:noProof/>
              </w:rPr>
              <w:t>ematyki (STEM)</w:t>
            </w:r>
            <w:r w:rsidR="00A33B9F" w:rsidRPr="00A33B9F">
              <w:rPr>
                <w:rFonts w:ascii="Times New Roman" w:hAnsi="Times New Roman"/>
                <w:noProof/>
              </w:rPr>
              <w:t xml:space="preserve"> w szk</w:t>
            </w:r>
            <w:r w:rsidRPr="00A33B9F">
              <w:rPr>
                <w:rFonts w:ascii="Times New Roman" w:hAnsi="Times New Roman"/>
                <w:noProof/>
              </w:rPr>
              <w:t>ołach</w:t>
            </w:r>
            <w:r w:rsidR="00A33B9F" w:rsidRPr="00A33B9F">
              <w:rPr>
                <w:rFonts w:ascii="Times New Roman" w:hAnsi="Times New Roman"/>
                <w:noProof/>
              </w:rPr>
              <w:t xml:space="preserve"> i inn</w:t>
            </w:r>
            <w:r w:rsidRPr="00A33B9F">
              <w:rPr>
                <w:rFonts w:ascii="Times New Roman" w:hAnsi="Times New Roman"/>
                <w:noProof/>
              </w:rPr>
              <w:t xml:space="preserve">ych instytucjach oświatowych </w:t>
            </w:r>
          </w:p>
        </w:tc>
      </w:tr>
      <w:tr w:rsidR="00D8141F" w:rsidRPr="00A33B9F" w14:paraId="10972D4A"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3565B90"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C14L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30344F5" w14:textId="19A44274"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C2.2.1 Wyposażenie szkół/instytucji</w:t>
            </w:r>
            <w:r w:rsidR="00A33B9F" w:rsidRPr="00A33B9F">
              <w:rPr>
                <w:rFonts w:ascii="Times New Roman" w:hAnsi="Times New Roman"/>
                <w:noProof/>
              </w:rPr>
              <w:t xml:space="preserve"> w odp</w:t>
            </w:r>
            <w:r w:rsidRPr="00A33B9F">
              <w:rPr>
                <w:rFonts w:ascii="Times New Roman" w:hAnsi="Times New Roman"/>
                <w:noProof/>
              </w:rPr>
              <w:t>owiednie urządzenia</w:t>
            </w:r>
            <w:r w:rsidR="00A33B9F" w:rsidRPr="00A33B9F">
              <w:rPr>
                <w:rFonts w:ascii="Times New Roman" w:hAnsi="Times New Roman"/>
                <w:noProof/>
              </w:rPr>
              <w:t xml:space="preserve"> i inf</w:t>
            </w:r>
            <w:r w:rsidRPr="00A33B9F">
              <w:rPr>
                <w:rFonts w:ascii="Times New Roman" w:hAnsi="Times New Roman"/>
                <w:noProof/>
              </w:rPr>
              <w:t>rastrukturę ICT</w:t>
            </w:r>
            <w:r w:rsidR="00A33B9F" w:rsidRPr="00A33B9F">
              <w:rPr>
                <w:rFonts w:ascii="Times New Roman" w:hAnsi="Times New Roman"/>
                <w:noProof/>
              </w:rPr>
              <w:t xml:space="preserve"> w cel</w:t>
            </w:r>
            <w:r w:rsidRPr="00A33B9F">
              <w:rPr>
                <w:rFonts w:ascii="Times New Roman" w:hAnsi="Times New Roman"/>
                <w:noProof/>
              </w:rPr>
              <w:t>u poprawy ogólnej wydajności systemów edukacji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F7933D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7C6617F"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Cyfryzacja systemu egzaminacyjnego</w:t>
            </w:r>
          </w:p>
        </w:tc>
      </w:tr>
      <w:tr w:rsidR="00D8141F" w:rsidRPr="00A33B9F" w14:paraId="56C0628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2B135F2"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336F3206"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G3.1.1 Usprawnienie procesu wydawania pozwoleń dotyczących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BDED0FE" w14:textId="77777777" w:rsidR="00D8141F" w:rsidRPr="00A33B9F" w:rsidRDefault="00D8141F" w:rsidP="00753103">
            <w:pPr>
              <w:spacing w:line="240" w:lineRule="auto"/>
              <w:rPr>
                <w:rFonts w:ascii="Times New Roman" w:eastAsia="Times New Roman" w:hAnsi="Times New Roman" w:cs="Times New Roman"/>
                <w:noProof/>
                <w:szCs w:val="28"/>
              </w:rPr>
            </w:pPr>
            <w:r w:rsidRPr="00A33B9F">
              <w:rPr>
                <w:rFonts w:ascii="Times New Roman" w:hAnsi="Times New Roman"/>
                <w:noProof/>
              </w:rPr>
              <w:t>Kamień milowy</w:t>
            </w:r>
          </w:p>
          <w:p w14:paraId="3E047EAF" w14:textId="77777777" w:rsidR="00D8141F" w:rsidRPr="00A33B9F" w:rsidRDefault="00D8141F" w:rsidP="00753103">
            <w:pPr>
              <w:spacing w:line="240" w:lineRule="auto"/>
              <w:jc w:val="center"/>
              <w:rPr>
                <w:rFonts w:ascii="Times New Roman" w:hAnsi="Times New Roman"/>
                <w:noProof/>
                <w:szCs w:val="28"/>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D7CD451" w14:textId="614AD4D0"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Cyfryzacja procesu wydawania pozwoleń</w:t>
            </w:r>
            <w:r w:rsidR="00C3621A" w:rsidRPr="00A33B9F">
              <w:rPr>
                <w:rFonts w:ascii="Times New Roman" w:hAnsi="Times New Roman"/>
                <w:noProof/>
              </w:rPr>
              <w:t xml:space="preserve"> </w:t>
            </w:r>
          </w:p>
          <w:p w14:paraId="48EA11F9" w14:textId="77777777" w:rsidR="00D8141F" w:rsidRPr="00A33B9F" w:rsidRDefault="00D8141F" w:rsidP="00753103">
            <w:pPr>
              <w:spacing w:line="240" w:lineRule="auto"/>
              <w:rPr>
                <w:rFonts w:ascii="Times New Roman" w:hAnsi="Times New Roman"/>
                <w:noProof/>
                <w:szCs w:val="28"/>
              </w:rPr>
            </w:pPr>
          </w:p>
        </w:tc>
      </w:tr>
      <w:tr w:rsidR="00D8141F" w:rsidRPr="00A33B9F" w14:paraId="742DE5D5"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2D90FCE2"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E423F26" w14:textId="77777777" w:rsidR="00D8141F" w:rsidRPr="00A33B9F" w:rsidRDefault="00D8141F" w:rsidP="00753103">
            <w:pPr>
              <w:spacing w:line="240" w:lineRule="auto"/>
              <w:rPr>
                <w:rFonts w:ascii="Times New Roman" w:eastAsia="Times New Roman" w:hAnsi="Times New Roman" w:cs="Times New Roman"/>
                <w:noProof/>
                <w:szCs w:val="28"/>
              </w:rPr>
            </w:pPr>
            <w:r w:rsidRPr="00A33B9F">
              <w:rPr>
                <w:rFonts w:ascii="Times New Roman" w:hAnsi="Times New Roman"/>
                <w:noProof/>
              </w:rPr>
              <w:t>G3.1.1 Usprawnienie procesu wydawania pozwoleń dotyczących odnawialnych źródeł energii</w:t>
            </w:r>
          </w:p>
          <w:p w14:paraId="3E7D4E80" w14:textId="77777777" w:rsidR="00D8141F" w:rsidRPr="00A33B9F" w:rsidRDefault="00D8141F" w:rsidP="00753103">
            <w:pPr>
              <w:spacing w:line="240" w:lineRule="auto"/>
              <w:rPr>
                <w:rFonts w:ascii="Times New Roman" w:hAnsi="Times New Roman"/>
                <w:noProof/>
                <w:szCs w:val="28"/>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68395918"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B1BCA54" w14:textId="3008B7A4"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Moc zainstalowana lądowych instalacji wiatrowych</w:t>
            </w:r>
            <w:r w:rsidR="00A33B9F" w:rsidRPr="00A33B9F">
              <w:rPr>
                <w:rFonts w:ascii="Times New Roman" w:hAnsi="Times New Roman"/>
                <w:noProof/>
              </w:rPr>
              <w:t xml:space="preserve"> i fot</w:t>
            </w:r>
            <w:r w:rsidRPr="00A33B9F">
              <w:rPr>
                <w:rFonts w:ascii="Times New Roman" w:hAnsi="Times New Roman"/>
                <w:noProof/>
              </w:rPr>
              <w:t>owoltaicznych (w GW)</w:t>
            </w:r>
          </w:p>
        </w:tc>
      </w:tr>
      <w:tr w:rsidR="00D8141F" w:rsidRPr="00A33B9F" w14:paraId="5C97C591"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FD71D2F"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G7L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A8750D8" w14:textId="77777777" w:rsidR="00D8141F" w:rsidRPr="00A33B9F" w:rsidRDefault="00D8141F" w:rsidP="00753103">
            <w:pPr>
              <w:spacing w:line="240" w:lineRule="auto"/>
              <w:rPr>
                <w:rFonts w:ascii="Times New Roman" w:eastAsia="Times New Roman" w:hAnsi="Times New Roman" w:cs="Times New Roman"/>
                <w:noProof/>
                <w:szCs w:val="28"/>
              </w:rPr>
            </w:pPr>
            <w:r w:rsidRPr="00A33B9F">
              <w:rPr>
                <w:rFonts w:ascii="Times New Roman" w:hAnsi="Times New Roman"/>
                <w:noProof/>
              </w:rPr>
              <w:t>G3.1.1 Usprawnienie procesu wydawania pozwoleń dotyczących odnawialnych źródeł energii</w:t>
            </w:r>
          </w:p>
          <w:p w14:paraId="54352DDB" w14:textId="77777777" w:rsidR="00D8141F" w:rsidRPr="00A33B9F" w:rsidRDefault="00D8141F" w:rsidP="00753103">
            <w:pPr>
              <w:spacing w:line="240" w:lineRule="auto"/>
              <w:rPr>
                <w:rFonts w:ascii="Times New Roman" w:hAnsi="Times New Roman"/>
                <w:noProof/>
                <w:szCs w:val="28"/>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72D1E07"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8E5A27F" w14:textId="506716AA"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Moc zainstalowana lądowych instalacji wiatrowych</w:t>
            </w:r>
            <w:r w:rsidR="00A33B9F" w:rsidRPr="00A33B9F">
              <w:rPr>
                <w:rFonts w:ascii="Times New Roman" w:hAnsi="Times New Roman"/>
                <w:noProof/>
              </w:rPr>
              <w:t xml:space="preserve"> i fot</w:t>
            </w:r>
            <w:r w:rsidRPr="00A33B9F">
              <w:rPr>
                <w:rFonts w:ascii="Times New Roman" w:hAnsi="Times New Roman"/>
                <w:noProof/>
              </w:rPr>
              <w:t>owoltaicznych (w GW)</w:t>
            </w:r>
          </w:p>
        </w:tc>
      </w:tr>
      <w:tr w:rsidR="00D8141F" w:rsidRPr="00A33B9F" w14:paraId="74EE078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58326F0"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379A82B"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G3.1.2 Umiejętności na potrzeby zielonej transformacji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7D35516F"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1820B09" w14:textId="314560FF"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Włączenie sektorowych ram kwalifikacji</w:t>
            </w:r>
            <w:r w:rsidR="00A33B9F" w:rsidRPr="00A33B9F">
              <w:rPr>
                <w:rFonts w:ascii="Times New Roman" w:hAnsi="Times New Roman"/>
                <w:noProof/>
              </w:rPr>
              <w:t xml:space="preserve"> w naj</w:t>
            </w:r>
            <w:r w:rsidRPr="00A33B9F">
              <w:rPr>
                <w:rFonts w:ascii="Times New Roman" w:hAnsi="Times New Roman"/>
                <w:noProof/>
              </w:rPr>
              <w:t>bardziej krytycznych sektorach zielonej transformacji do zintegrowanego systemu kwalifikacji</w:t>
            </w:r>
          </w:p>
        </w:tc>
      </w:tr>
      <w:tr w:rsidR="00D8141F" w:rsidRPr="00A33B9F" w14:paraId="0EB8B54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6AA4774D"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4281AA80"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0376CF1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7FF2552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3 678 257 125 EUR </w:t>
            </w:r>
          </w:p>
        </w:tc>
      </w:tr>
    </w:tbl>
    <w:p w14:paraId="5F0FE412"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p>
    <w:p w14:paraId="7FAD80F8" w14:textId="64A86F20" w:rsidR="00D8141F" w:rsidRPr="00A33B9F" w:rsidRDefault="00D8141F" w:rsidP="00D8141F">
      <w:pPr>
        <w:spacing w:before="120" w:after="120"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2.2.9. Dziewiąta transza (wsparcie</w:t>
      </w:r>
      <w:r w:rsidR="00A33B9F" w:rsidRPr="00A33B9F">
        <w:rPr>
          <w:rFonts w:ascii="Times New Roman" w:hAnsi="Times New Roman"/>
          <w:noProof/>
          <w:color w:val="000000" w:themeColor="text1"/>
        </w:rPr>
        <w:t xml:space="preserve"> w for</w:t>
      </w:r>
      <w:r w:rsidRPr="00A33B9F">
        <w:rPr>
          <w:rFonts w:ascii="Times New Roman" w:hAnsi="Times New Roman"/>
          <w:noProof/>
          <w:color w:val="000000" w:themeColor="text1"/>
        </w:rPr>
        <w:t>mie pożyczki):</w:t>
      </w:r>
    </w:p>
    <w:tbl>
      <w:tblPr>
        <w:tblW w:w="10482" w:type="dxa"/>
        <w:tblLayout w:type="fixed"/>
        <w:tblLook w:val="04A0" w:firstRow="1" w:lastRow="0" w:firstColumn="1" w:lastColumn="0" w:noHBand="0" w:noVBand="1"/>
      </w:tblPr>
      <w:tblGrid>
        <w:gridCol w:w="1350"/>
        <w:gridCol w:w="3960"/>
        <w:gridCol w:w="1245"/>
        <w:gridCol w:w="3927"/>
      </w:tblGrid>
      <w:tr w:rsidR="00D8141F" w:rsidRPr="00A33B9F" w14:paraId="0FA36B50" w14:textId="77777777" w:rsidTr="00AD0FC1">
        <w:trPr>
          <w:trHeight w:val="769"/>
          <w:tblHeader/>
        </w:trPr>
        <w:tc>
          <w:tcPr>
            <w:tcW w:w="1350" w:type="dxa"/>
            <w:tcBorders>
              <w:top w:val="single" w:sz="6" w:space="0" w:color="auto"/>
              <w:left w:val="single" w:sz="6" w:space="0" w:color="auto"/>
              <w:bottom w:val="single" w:sz="6" w:space="0" w:color="auto"/>
              <w:right w:val="single" w:sz="6" w:space="0" w:color="auto"/>
            </w:tcBorders>
            <w:shd w:val="clear" w:color="auto" w:fill="BDD6EE"/>
            <w:vAlign w:val="center"/>
          </w:tcPr>
          <w:p w14:paraId="3E39A2A7"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Numer kolejny</w:t>
            </w:r>
          </w:p>
        </w:tc>
        <w:tc>
          <w:tcPr>
            <w:tcW w:w="3960" w:type="dxa"/>
            <w:tcBorders>
              <w:top w:val="single" w:sz="6" w:space="0" w:color="auto"/>
              <w:left w:val="single" w:sz="6" w:space="0" w:color="auto"/>
              <w:bottom w:val="single" w:sz="6" w:space="0" w:color="auto"/>
              <w:right w:val="single" w:sz="6" w:space="0" w:color="auto"/>
            </w:tcBorders>
            <w:shd w:val="clear" w:color="auto" w:fill="BDD6EE"/>
            <w:vAlign w:val="center"/>
          </w:tcPr>
          <w:p w14:paraId="4421C48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Powiązane działanie (reforma lub inwestycja)</w:t>
            </w:r>
          </w:p>
        </w:tc>
        <w:tc>
          <w:tcPr>
            <w:tcW w:w="1245" w:type="dxa"/>
            <w:tcBorders>
              <w:top w:val="single" w:sz="6" w:space="0" w:color="auto"/>
              <w:left w:val="single" w:sz="6" w:space="0" w:color="auto"/>
              <w:bottom w:val="single" w:sz="6" w:space="0" w:color="auto"/>
              <w:right w:val="single" w:sz="6" w:space="0" w:color="auto"/>
            </w:tcBorders>
            <w:shd w:val="clear" w:color="auto" w:fill="BDD6EE"/>
            <w:vAlign w:val="center"/>
          </w:tcPr>
          <w:p w14:paraId="5E7E0D9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Kamień milowy / 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BDD6EE"/>
            <w:vAlign w:val="center"/>
          </w:tcPr>
          <w:p w14:paraId="24DB644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b/>
                <w:noProof/>
              </w:rPr>
              <w:t>Nazwa</w:t>
            </w:r>
          </w:p>
        </w:tc>
      </w:tr>
      <w:tr w:rsidR="00D8141F" w:rsidRPr="00A33B9F" w14:paraId="1271091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0B589C48"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A11L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701CD1" w14:textId="6C65071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A2.6.1 Rozbudowa krajowego systemu serwisów monitoringowych, produktów, narzędzi analitycznych, usług</w:t>
            </w:r>
            <w:r w:rsidR="00A33B9F" w:rsidRPr="00A33B9F">
              <w:rPr>
                <w:rFonts w:ascii="Times New Roman" w:hAnsi="Times New Roman"/>
                <w:noProof/>
              </w:rPr>
              <w:t xml:space="preserve"> i tow</w:t>
            </w:r>
            <w:r w:rsidRPr="00A33B9F">
              <w:rPr>
                <w:rFonts w:ascii="Times New Roman" w:hAnsi="Times New Roman"/>
                <w:noProof/>
              </w:rPr>
              <w:t>arzyszącej infrastruktury wykorzystujących dane satelitarne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50E73A4"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6771BC4"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T2 – Wyniesienie kolejnych trzech polskich satelitów</w:t>
            </w:r>
          </w:p>
        </w:tc>
      </w:tr>
      <w:tr w:rsidR="00D8141F" w:rsidRPr="00A33B9F" w14:paraId="7FB1BBC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5769DD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B16L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292C6FC" w14:textId="02EF84F6" w:rsidR="00D8141F" w:rsidRPr="00A33B9F" w:rsidRDefault="00D8141F" w:rsidP="00753103">
            <w:pPr>
              <w:pStyle w:val="Normal0"/>
              <w:spacing w:line="240" w:lineRule="auto"/>
              <w:rPr>
                <w:rFonts w:ascii="Times New Roman" w:eastAsia="Times New Roman" w:hAnsi="Times New Roman" w:cs="Times New Roman"/>
                <w:noProof/>
                <w:color w:val="000000" w:themeColor="text1"/>
              </w:rPr>
            </w:pPr>
            <w:r w:rsidRPr="00A33B9F">
              <w:rPr>
                <w:rFonts w:ascii="Times New Roman" w:hAnsi="Times New Roman"/>
                <w:noProof/>
                <w:color w:val="000000" w:themeColor="text1"/>
              </w:rPr>
              <w:t xml:space="preserve"> B3.2.1 Inwestycje</w:t>
            </w:r>
            <w:r w:rsidR="00A33B9F" w:rsidRPr="00A33B9F">
              <w:rPr>
                <w:rFonts w:ascii="Times New Roman" w:hAnsi="Times New Roman"/>
                <w:noProof/>
                <w:color w:val="000000" w:themeColor="text1"/>
              </w:rPr>
              <w:t xml:space="preserve"> w neu</w:t>
            </w:r>
            <w:r w:rsidRPr="00A33B9F">
              <w:rPr>
                <w:rFonts w:ascii="Times New Roman" w:hAnsi="Times New Roman"/>
                <w:noProof/>
                <w:color w:val="000000" w:themeColor="text1"/>
              </w:rPr>
              <w:t>tralizację zagrożeń oraz odnowę wielkoobszarowych terenów zdegradowanych</w:t>
            </w:r>
            <w:r w:rsidR="00A33B9F" w:rsidRPr="00A33B9F">
              <w:rPr>
                <w:rFonts w:ascii="Times New Roman" w:hAnsi="Times New Roman"/>
                <w:noProof/>
                <w:color w:val="000000" w:themeColor="text1"/>
              </w:rPr>
              <w:t xml:space="preserve"> i Mor</w:t>
            </w:r>
            <w:r w:rsidRPr="00A33B9F">
              <w:rPr>
                <w:rFonts w:ascii="Times New Roman" w:hAnsi="Times New Roman"/>
                <w:noProof/>
                <w:color w:val="000000" w:themeColor="text1"/>
              </w:rPr>
              <w:t>za Bałtyckiego</w:t>
            </w:r>
          </w:p>
          <w:p w14:paraId="53E85EA7"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148413D9"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9FA3AE2" w14:textId="5B1D6E21"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Zbiory dokumentacji przygotowane na potrzeby inwestycji związanych</w:t>
            </w:r>
            <w:r w:rsidR="00A33B9F" w:rsidRPr="00A33B9F">
              <w:rPr>
                <w:rFonts w:ascii="Times New Roman" w:hAnsi="Times New Roman"/>
                <w:noProof/>
              </w:rPr>
              <w:t xml:space="preserve"> z neg</w:t>
            </w:r>
            <w:r w:rsidRPr="00A33B9F">
              <w:rPr>
                <w:rFonts w:ascii="Times New Roman" w:hAnsi="Times New Roman"/>
                <w:noProof/>
              </w:rPr>
              <w:t>atywnym oddziaływaniem na środowisko wybranych wielkoobszarowych terenów zdegradowanych oraz materiałów niebezpiecznych zatopionych na dnie Morza Bałtyckiego</w:t>
            </w:r>
          </w:p>
        </w:tc>
      </w:tr>
      <w:tr w:rsidR="00D8141F" w:rsidRPr="00A33B9F" w14:paraId="2186355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07DACAA" w14:textId="77777777" w:rsidR="00D8141F" w:rsidRPr="00A33B9F" w:rsidRDefault="00D8141F" w:rsidP="00753103">
            <w:pPr>
              <w:jc w:val="center"/>
              <w:rPr>
                <w:rFonts w:ascii="Times New Roman" w:eastAsia="Times New Roman" w:hAnsi="Times New Roman" w:cs="Times New Roman"/>
                <w:b/>
                <w:noProof/>
                <w:color w:val="000000" w:themeColor="text1"/>
                <w:szCs w:val="18"/>
              </w:rPr>
            </w:pPr>
            <w:r w:rsidRPr="00A33B9F">
              <w:rPr>
                <w:rFonts w:ascii="Times New Roman" w:hAnsi="Times New Roman"/>
                <w:noProof/>
              </w:rPr>
              <w:t>B27aL</w:t>
            </w:r>
          </w:p>
          <w:p w14:paraId="5055DAD6" w14:textId="77777777" w:rsidR="00D8141F" w:rsidRPr="00A33B9F" w:rsidRDefault="00D8141F" w:rsidP="00753103">
            <w:pPr>
              <w:rPr>
                <w:rFonts w:ascii="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8B91EDC" w14:textId="77777777" w:rsidR="00D8141F" w:rsidRPr="00A33B9F" w:rsidRDefault="00D8141F" w:rsidP="00753103">
            <w:pPr>
              <w:rPr>
                <w:rFonts w:ascii="Times New Roman" w:eastAsia="Times New Roman" w:hAnsi="Times New Roman" w:cs="Times New Roman"/>
                <w:noProof/>
                <w:color w:val="000000" w:themeColor="text1"/>
                <w:szCs w:val="18"/>
              </w:rPr>
            </w:pPr>
            <w:r w:rsidRPr="00A33B9F">
              <w:rPr>
                <w:rFonts w:ascii="Times New Roman" w:hAnsi="Times New Roman"/>
                <w:noProof/>
                <w:color w:val="000000" w:themeColor="text1"/>
              </w:rPr>
              <w:t>B3.4.1 Inwestycje na rzecz zielonej transformacji miast</w:t>
            </w:r>
          </w:p>
          <w:p w14:paraId="40E18C9A" w14:textId="77777777" w:rsidR="00D8141F" w:rsidRPr="00A33B9F" w:rsidRDefault="00D8141F" w:rsidP="00753103">
            <w:pPr>
              <w:rPr>
                <w:rFonts w:ascii="Times New Roman" w:hAnsi="Times New Roman" w:cs="Times New Roman"/>
                <w:noProof/>
                <w:color w:val="000000" w:themeColor="text1"/>
              </w:rPr>
            </w:pP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27DBD001" w14:textId="77777777" w:rsidR="00D8141F" w:rsidRPr="00A33B9F" w:rsidRDefault="00D8141F" w:rsidP="00753103">
            <w:pPr>
              <w:rPr>
                <w:rFonts w:ascii="Times New Roman" w:eastAsia="Times New Roman" w:hAnsi="Times New Roman" w:cs="Times New Roman"/>
                <w:noProof/>
                <w:color w:val="000000" w:themeColor="text1"/>
                <w:szCs w:val="18"/>
              </w:rPr>
            </w:pPr>
            <w:r w:rsidRPr="00A33B9F">
              <w:rPr>
                <w:rFonts w:ascii="Times New Roman" w:hAnsi="Times New Roman"/>
                <w:noProof/>
                <w:color w:val="000000" w:themeColor="text1"/>
              </w:rPr>
              <w:t>Wartość docelowa</w:t>
            </w:r>
          </w:p>
          <w:p w14:paraId="36C78AF5" w14:textId="77777777" w:rsidR="00D8141F" w:rsidRPr="00A33B9F" w:rsidRDefault="00D8141F" w:rsidP="00753103">
            <w:pPr>
              <w:rPr>
                <w:rFonts w:ascii="Times New Roman" w:hAnsi="Times New Roman" w:cs="Times New Roman"/>
                <w:noProof/>
              </w:rPr>
            </w:pP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02AB59E" w14:textId="7B20E7DB" w:rsidR="00D8141F" w:rsidRPr="00A33B9F" w:rsidRDefault="00D8141F" w:rsidP="00753103">
            <w:pPr>
              <w:rPr>
                <w:rFonts w:ascii="Times New Roman" w:hAnsi="Times New Roman" w:cs="Times New Roman"/>
                <w:noProof/>
              </w:rPr>
            </w:pPr>
            <w:r w:rsidRPr="00A33B9F">
              <w:rPr>
                <w:rFonts w:ascii="Times New Roman" w:hAnsi="Times New Roman"/>
                <w:noProof/>
                <w:color w:val="000000" w:themeColor="text1"/>
              </w:rPr>
              <w:t>T3 – Zrealizowane projekty wspierające inwestycje</w:t>
            </w:r>
            <w:r w:rsidR="00A33B9F" w:rsidRPr="00A33B9F">
              <w:rPr>
                <w:rFonts w:ascii="Times New Roman" w:hAnsi="Times New Roman"/>
                <w:noProof/>
                <w:color w:val="000000" w:themeColor="text1"/>
              </w:rPr>
              <w:t xml:space="preserve"> w pro</w:t>
            </w:r>
            <w:r w:rsidRPr="00A33B9F">
              <w:rPr>
                <w:rFonts w:ascii="Times New Roman" w:hAnsi="Times New Roman"/>
                <w:noProof/>
                <w:color w:val="000000" w:themeColor="text1"/>
              </w:rPr>
              <w:t>jekty zielonego rozwoju obszarów miejskich</w:t>
            </w:r>
            <w:r w:rsidR="00C3621A" w:rsidRPr="00A33B9F">
              <w:rPr>
                <w:rFonts w:ascii="Times New Roman" w:hAnsi="Times New Roman"/>
                <w:noProof/>
                <w:color w:val="000000" w:themeColor="text1"/>
              </w:rPr>
              <w:t xml:space="preserve"> </w:t>
            </w:r>
          </w:p>
        </w:tc>
      </w:tr>
      <w:tr w:rsidR="00D8141F" w:rsidRPr="00A33B9F" w14:paraId="5585C50E"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4B9BE6C"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B30L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4CB1152" w14:textId="55FA8AC1" w:rsidR="00D8141F" w:rsidRPr="00A33B9F" w:rsidRDefault="00D8141F" w:rsidP="00753103">
            <w:pPr>
              <w:pStyle w:val="Normal0"/>
              <w:rPr>
                <w:rFonts w:ascii="Times New Roman" w:hAnsi="Times New Roman"/>
                <w:noProof/>
                <w:color w:val="000000" w:themeColor="text1"/>
              </w:rPr>
            </w:pPr>
            <w:r w:rsidRPr="00A33B9F">
              <w:rPr>
                <w:rFonts w:ascii="Times New Roman" w:hAnsi="Times New Roman"/>
                <w:noProof/>
                <w:color w:val="000000" w:themeColor="text1"/>
              </w:rPr>
              <w:t>B3.5.1 Inwestycje</w:t>
            </w:r>
            <w:r w:rsidR="00A33B9F" w:rsidRPr="00A33B9F">
              <w:rPr>
                <w:rFonts w:ascii="Times New Roman" w:hAnsi="Times New Roman"/>
                <w:noProof/>
                <w:color w:val="000000" w:themeColor="text1"/>
              </w:rPr>
              <w:t xml:space="preserve"> w ene</w:t>
            </w:r>
            <w:r w:rsidRPr="00A33B9F">
              <w:rPr>
                <w:rFonts w:ascii="Times New Roman" w:hAnsi="Times New Roman"/>
                <w:noProof/>
                <w:color w:val="000000" w:themeColor="text1"/>
              </w:rPr>
              <w:t>rgooszczędne mieszkania dla gospodarstw domowych</w:t>
            </w:r>
            <w:r w:rsidR="00A33B9F" w:rsidRPr="00A33B9F">
              <w:rPr>
                <w:rFonts w:ascii="Times New Roman" w:hAnsi="Times New Roman"/>
                <w:noProof/>
                <w:color w:val="000000" w:themeColor="text1"/>
              </w:rPr>
              <w:t xml:space="preserve"> o nis</w:t>
            </w:r>
            <w:r w:rsidRPr="00A33B9F">
              <w:rPr>
                <w:rFonts w:ascii="Times New Roman" w:hAnsi="Times New Roman"/>
                <w:noProof/>
                <w:color w:val="000000" w:themeColor="text1"/>
              </w:rPr>
              <w:t>kich</w:t>
            </w:r>
            <w:r w:rsidR="00A33B9F" w:rsidRPr="00A33B9F">
              <w:rPr>
                <w:rFonts w:ascii="Times New Roman" w:hAnsi="Times New Roman"/>
                <w:noProof/>
                <w:color w:val="000000" w:themeColor="text1"/>
              </w:rPr>
              <w:t xml:space="preserve"> i śre</w:t>
            </w:r>
            <w:r w:rsidRPr="00A33B9F">
              <w:rPr>
                <w:rFonts w:ascii="Times New Roman" w:hAnsi="Times New Roman"/>
                <w:noProof/>
                <w:color w:val="000000" w:themeColor="text1"/>
              </w:rPr>
              <w:t>dnich dochodach</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D6459B3"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5DD1D283" w14:textId="5A6F2FBC" w:rsidR="00D8141F" w:rsidRPr="00A33B9F" w:rsidRDefault="00D8141F" w:rsidP="00753103">
            <w:pPr>
              <w:spacing w:line="240" w:lineRule="auto"/>
              <w:rPr>
                <w:rFonts w:ascii="Times New Roman" w:hAnsi="Times New Roman"/>
                <w:noProof/>
              </w:rPr>
            </w:pPr>
            <w:r w:rsidRPr="00A33B9F">
              <w:rPr>
                <w:rFonts w:ascii="Times New Roman" w:hAnsi="Times New Roman"/>
                <w:noProof/>
              </w:rPr>
              <w:t>T2 – Ukończenie budowy drugiej partii energooszczędnych mieszkań dla gospodarstw domowych</w:t>
            </w:r>
            <w:r w:rsidR="00A33B9F" w:rsidRPr="00A33B9F">
              <w:rPr>
                <w:rFonts w:ascii="Times New Roman" w:hAnsi="Times New Roman"/>
                <w:noProof/>
              </w:rPr>
              <w:t xml:space="preserve"> o nis</w:t>
            </w:r>
            <w:r w:rsidRPr="00A33B9F">
              <w:rPr>
                <w:rFonts w:ascii="Times New Roman" w:hAnsi="Times New Roman"/>
                <w:noProof/>
              </w:rPr>
              <w:t>kich</w:t>
            </w:r>
            <w:r w:rsidR="00A33B9F" w:rsidRPr="00A33B9F">
              <w:rPr>
                <w:rFonts w:ascii="Times New Roman" w:hAnsi="Times New Roman"/>
                <w:noProof/>
              </w:rPr>
              <w:t xml:space="preserve"> i śre</w:t>
            </w:r>
            <w:r w:rsidRPr="00A33B9F">
              <w:rPr>
                <w:rFonts w:ascii="Times New Roman" w:hAnsi="Times New Roman"/>
                <w:noProof/>
              </w:rPr>
              <w:t>dnich dochodach</w:t>
            </w:r>
          </w:p>
        </w:tc>
      </w:tr>
      <w:tr w:rsidR="00D8141F" w:rsidRPr="00A33B9F" w14:paraId="090AEF38"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7E57F48"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C17L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A50B4CB" w14:textId="57C6A5AC"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C4.1.1 Wspieranie transformacji cyfrowej przedsiębiorstw dzięki wykorzystaniu technologii przetwarzania</w:t>
            </w:r>
            <w:r w:rsidR="00A33B9F" w:rsidRPr="00A33B9F">
              <w:rPr>
                <w:rFonts w:ascii="Times New Roman" w:hAnsi="Times New Roman"/>
                <w:noProof/>
                <w:color w:val="000000" w:themeColor="text1"/>
              </w:rPr>
              <w:t xml:space="preserve"> w chm</w:t>
            </w:r>
            <w:r w:rsidRPr="00A33B9F">
              <w:rPr>
                <w:rFonts w:ascii="Times New Roman" w:hAnsi="Times New Roman"/>
                <w:noProof/>
                <w:color w:val="000000" w:themeColor="text1"/>
              </w:rPr>
              <w:t>urze</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53475BC"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color w:val="000000" w:themeColor="text1"/>
              </w:rPr>
              <w:t>Wartość docelowa</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58958AA8" w14:textId="2801B9D6" w:rsidR="00D8141F" w:rsidRPr="00A33B9F" w:rsidRDefault="00D8141F" w:rsidP="00753103">
            <w:pPr>
              <w:pStyle w:val="Normal0"/>
              <w:spacing w:after="0" w:line="240" w:lineRule="auto"/>
              <w:rPr>
                <w:noProof/>
                <w:szCs w:val="28"/>
              </w:rPr>
            </w:pPr>
            <w:r w:rsidRPr="00A33B9F">
              <w:rPr>
                <w:rFonts w:ascii="Times New Roman" w:hAnsi="Times New Roman"/>
                <w:noProof/>
                <w:color w:val="000000" w:themeColor="text1"/>
              </w:rPr>
              <w:t>Umowy prawne podpisane</w:t>
            </w:r>
            <w:r w:rsidR="00A33B9F" w:rsidRPr="00A33B9F">
              <w:rPr>
                <w:rFonts w:ascii="Times New Roman" w:hAnsi="Times New Roman"/>
                <w:noProof/>
                <w:color w:val="000000" w:themeColor="text1"/>
              </w:rPr>
              <w:t xml:space="preserve"> z ben</w:t>
            </w:r>
            <w:r w:rsidRPr="00A33B9F">
              <w:rPr>
                <w:rFonts w:ascii="Times New Roman" w:hAnsi="Times New Roman"/>
                <w:noProof/>
                <w:color w:val="000000" w:themeColor="text1"/>
              </w:rPr>
              <w:t>eficjentami końcowymi</w:t>
            </w:r>
          </w:p>
          <w:p w14:paraId="7BF5354E" w14:textId="77777777" w:rsidR="00D8141F" w:rsidRPr="00A33B9F" w:rsidRDefault="00D8141F" w:rsidP="00753103">
            <w:pPr>
              <w:spacing w:line="240" w:lineRule="auto"/>
              <w:rPr>
                <w:rFonts w:ascii="Times New Roman" w:hAnsi="Times New Roman"/>
                <w:noProof/>
                <w:szCs w:val="28"/>
              </w:rPr>
            </w:pPr>
          </w:p>
        </w:tc>
      </w:tr>
      <w:tr w:rsidR="00D8141F" w:rsidRPr="00A33B9F" w14:paraId="7F5379EF" w14:textId="77777777" w:rsidTr="0075310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387F0D1"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C18L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112E419E" w14:textId="584C33A3" w:rsidR="00D8141F" w:rsidRPr="00A33B9F" w:rsidRDefault="00D8141F" w:rsidP="00753103">
            <w:pPr>
              <w:spacing w:line="240" w:lineRule="auto"/>
              <w:rPr>
                <w:rFonts w:ascii="Times New Roman" w:hAnsi="Times New Roman"/>
                <w:noProof/>
                <w:color w:val="000000" w:themeColor="text1"/>
                <w:szCs w:val="28"/>
              </w:rPr>
            </w:pPr>
            <w:r w:rsidRPr="00A33B9F">
              <w:rPr>
                <w:rFonts w:ascii="Times New Roman" w:hAnsi="Times New Roman"/>
                <w:noProof/>
                <w:color w:val="000000" w:themeColor="text1"/>
              </w:rPr>
              <w:t>C4.1.1 Wspieranie transformacji cyfrowej przedsiębiorstw dzięki wykorzystaniu technologii przetwarzania</w:t>
            </w:r>
            <w:r w:rsidR="00A33B9F" w:rsidRPr="00A33B9F">
              <w:rPr>
                <w:rFonts w:ascii="Times New Roman" w:hAnsi="Times New Roman"/>
                <w:noProof/>
                <w:color w:val="000000" w:themeColor="text1"/>
              </w:rPr>
              <w:t xml:space="preserve"> w chm</w:t>
            </w:r>
            <w:r w:rsidRPr="00A33B9F">
              <w:rPr>
                <w:rFonts w:ascii="Times New Roman" w:hAnsi="Times New Roman"/>
                <w:noProof/>
                <w:color w:val="000000" w:themeColor="text1"/>
              </w:rPr>
              <w:t>urze</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36980D03" w14:textId="77777777" w:rsidR="00D8141F" w:rsidRPr="00A33B9F" w:rsidRDefault="00D8141F" w:rsidP="00753103">
            <w:pPr>
              <w:spacing w:line="240" w:lineRule="auto"/>
              <w:jc w:val="center"/>
              <w:rPr>
                <w:rFonts w:ascii="Times New Roman" w:hAnsi="Times New Roman"/>
                <w:noProof/>
                <w:color w:val="000000" w:themeColor="text1"/>
                <w:szCs w:val="28"/>
              </w:rPr>
            </w:pPr>
            <w:r w:rsidRPr="00A33B9F">
              <w:rPr>
                <w:rFonts w:ascii="Times New Roman" w:hAnsi="Times New Roman"/>
                <w:noProof/>
                <w:color w:val="000000" w:themeColor="text1"/>
              </w:rPr>
              <w:t>Kamień milowy</w:t>
            </w:r>
          </w:p>
        </w:tc>
        <w:tc>
          <w:tcPr>
            <w:tcW w:w="3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tcPr>
          <w:p w14:paraId="0237F1ED" w14:textId="77777777" w:rsidR="00D8141F" w:rsidRPr="00A33B9F" w:rsidRDefault="00D8141F" w:rsidP="00753103">
            <w:pPr>
              <w:pStyle w:val="Normal0"/>
              <w:spacing w:after="0" w:line="240" w:lineRule="auto"/>
              <w:rPr>
                <w:noProof/>
                <w:szCs w:val="28"/>
              </w:rPr>
            </w:pPr>
            <w:r w:rsidRPr="00A33B9F">
              <w:rPr>
                <w:rFonts w:ascii="Times New Roman" w:hAnsi="Times New Roman"/>
                <w:noProof/>
                <w:color w:val="000000" w:themeColor="text1"/>
              </w:rPr>
              <w:t>Ministerstwo zakończyło inwestycję</w:t>
            </w:r>
          </w:p>
          <w:p w14:paraId="3748CFAA" w14:textId="77777777" w:rsidR="00D8141F" w:rsidRPr="00A33B9F" w:rsidRDefault="00D8141F" w:rsidP="00753103">
            <w:pPr>
              <w:pStyle w:val="Normal0"/>
              <w:spacing w:after="0" w:line="240" w:lineRule="auto"/>
              <w:rPr>
                <w:rFonts w:ascii="Times New Roman" w:hAnsi="Times New Roman"/>
                <w:noProof/>
                <w:color w:val="000000" w:themeColor="text1"/>
                <w:szCs w:val="28"/>
              </w:rPr>
            </w:pPr>
          </w:p>
        </w:tc>
      </w:tr>
      <w:tr w:rsidR="00D8141F" w:rsidRPr="00A33B9F" w14:paraId="10E607BF"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4079BA1D"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D5L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8E5C0C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D1.2.1 Rozwój opieki długoterminowej poprzez modernizację infrastruktury podmiotów leczniczych na poziomie powiatowym</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1216EC1"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AA2C17F" w14:textId="003C0600"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Zakończone projekty mające na celu rozwój opieki długoterminowej</w:t>
            </w:r>
            <w:r w:rsidR="00A33B9F" w:rsidRPr="00A33B9F">
              <w:rPr>
                <w:rFonts w:ascii="Times New Roman" w:hAnsi="Times New Roman"/>
                <w:noProof/>
              </w:rPr>
              <w:t xml:space="preserve"> i ger</w:t>
            </w:r>
            <w:r w:rsidRPr="00A33B9F">
              <w:rPr>
                <w:rFonts w:ascii="Times New Roman" w:hAnsi="Times New Roman"/>
                <w:noProof/>
              </w:rPr>
              <w:t>iatrycznej</w:t>
            </w:r>
            <w:r w:rsidR="00A33B9F" w:rsidRPr="00A33B9F">
              <w:rPr>
                <w:rFonts w:ascii="Times New Roman" w:hAnsi="Times New Roman"/>
                <w:noProof/>
              </w:rPr>
              <w:t xml:space="preserve"> w szp</w:t>
            </w:r>
            <w:r w:rsidRPr="00A33B9F">
              <w:rPr>
                <w:rFonts w:ascii="Times New Roman" w:hAnsi="Times New Roman"/>
                <w:noProof/>
              </w:rPr>
              <w:t>italach powiatowych</w:t>
            </w:r>
          </w:p>
        </w:tc>
      </w:tr>
      <w:tr w:rsidR="00D8141F" w:rsidRPr="00A33B9F" w14:paraId="48340E6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3C3DF5C"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E4L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C5CB65E" w14:textId="3C7B7BA2"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E1.2.1 Zeroemisyjny transport publiczny</w:t>
            </w:r>
            <w:r w:rsidR="00A33B9F" w:rsidRPr="00A33B9F">
              <w:rPr>
                <w:rFonts w:ascii="Times New Roman" w:hAnsi="Times New Roman"/>
                <w:noProof/>
              </w:rPr>
              <w:t xml:space="preserve"> w mia</w:t>
            </w:r>
            <w:r w:rsidRPr="00A33B9F">
              <w:rPr>
                <w:rFonts w:ascii="Times New Roman" w:hAnsi="Times New Roman"/>
                <w:noProof/>
              </w:rPr>
              <w:t>stach (tramwaje)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BCD2E35" w14:textId="77777777" w:rsidR="00D8141F" w:rsidRPr="00A33B9F" w:rsidRDefault="00D8141F" w:rsidP="00753103">
            <w:pPr>
              <w:spacing w:line="240" w:lineRule="auto"/>
              <w:jc w:val="center"/>
              <w:rPr>
                <w:rFonts w:ascii="Times New Roman" w:eastAsia="Times New Roman" w:hAnsi="Times New Roman" w:cs="Times New Roman"/>
                <w:noProof/>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49727D0C" w14:textId="708D1486"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Eksploatacja nowych tramwajów</w:t>
            </w:r>
            <w:r w:rsidR="00A33B9F" w:rsidRPr="00A33B9F">
              <w:rPr>
                <w:rFonts w:ascii="Times New Roman" w:hAnsi="Times New Roman"/>
                <w:noProof/>
              </w:rPr>
              <w:t xml:space="preserve"> w pub</w:t>
            </w:r>
            <w:r w:rsidRPr="00A33B9F">
              <w:rPr>
                <w:rFonts w:ascii="Times New Roman" w:hAnsi="Times New Roman"/>
                <w:noProof/>
              </w:rPr>
              <w:t>licznym transporcie miejskim</w:t>
            </w:r>
          </w:p>
        </w:tc>
      </w:tr>
      <w:tr w:rsidR="00D8141F" w:rsidRPr="00A33B9F" w14:paraId="44DCB287"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0184AA0" w14:textId="77777777" w:rsidR="00D8141F" w:rsidRPr="00A33B9F" w:rsidRDefault="00D8141F" w:rsidP="00753103">
            <w:pPr>
              <w:spacing w:line="240" w:lineRule="auto"/>
              <w:jc w:val="center"/>
              <w:rPr>
                <w:rFonts w:ascii="Times New Roman" w:hAnsi="Times New Roman"/>
                <w:noProof/>
              </w:rPr>
            </w:pPr>
            <w:r w:rsidRPr="00A33B9F">
              <w:rPr>
                <w:rFonts w:ascii="Times New Roman" w:hAnsi="Times New Roman"/>
                <w:noProof/>
              </w:rPr>
              <w:t>G5L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0EF3961F"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G3.1.1 Usprawnienie procesu wydawania pozwoleń dotyczących odnawialnych źródeł energii</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1D2ED5E" w14:textId="77777777" w:rsidR="00D8141F" w:rsidRPr="00A33B9F" w:rsidRDefault="00D8141F" w:rsidP="00753103">
            <w:pPr>
              <w:spacing w:line="240" w:lineRule="auto"/>
              <w:rPr>
                <w:rFonts w:ascii="Times New Roman" w:eastAsia="Times New Roman" w:hAnsi="Times New Roman" w:cs="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3E8FB48" w14:textId="607A4E6D" w:rsidR="00D8141F" w:rsidRPr="00A33B9F" w:rsidRDefault="00D8141F" w:rsidP="00753103">
            <w:pPr>
              <w:spacing w:after="0" w:line="240" w:lineRule="auto"/>
              <w:rPr>
                <w:rFonts w:ascii="Times New Roman" w:eastAsia="Times New Roman" w:hAnsi="Times New Roman" w:cs="Times New Roman"/>
                <w:noProof/>
                <w:szCs w:val="28"/>
              </w:rPr>
            </w:pPr>
            <w:r w:rsidRPr="00A33B9F">
              <w:rPr>
                <w:rFonts w:ascii="Times New Roman" w:hAnsi="Times New Roman"/>
                <w:noProof/>
              </w:rPr>
              <w:t>Cyfryzacja procesu wydawania pozwoleń</w:t>
            </w:r>
            <w:r w:rsidR="00C3621A" w:rsidRPr="00A33B9F">
              <w:rPr>
                <w:rFonts w:ascii="Times New Roman" w:hAnsi="Times New Roman"/>
                <w:noProof/>
              </w:rPr>
              <w:t xml:space="preserve"> </w:t>
            </w:r>
          </w:p>
          <w:p w14:paraId="1BFC9B40" w14:textId="77777777" w:rsidR="00D8141F" w:rsidRPr="00A33B9F" w:rsidRDefault="00D8141F" w:rsidP="00753103">
            <w:pPr>
              <w:spacing w:line="240" w:lineRule="auto"/>
              <w:rPr>
                <w:rFonts w:ascii="Times New Roman" w:hAnsi="Times New Roman"/>
                <w:noProof/>
              </w:rPr>
            </w:pPr>
          </w:p>
        </w:tc>
      </w:tr>
      <w:tr w:rsidR="00D8141F" w:rsidRPr="00A33B9F" w14:paraId="711F603B"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1B9BB6F"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2D587BB9"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G3.1.4 Wsparcie na rzecz krajowego systemu energetycznego (Fundusz Wsparcia Energetyki)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8F3F59"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307E1CB0" w14:textId="50822A89"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Umowy prawne podpisane</w:t>
            </w:r>
            <w:r w:rsidR="00A33B9F" w:rsidRPr="00A33B9F">
              <w:rPr>
                <w:rFonts w:ascii="Times New Roman" w:hAnsi="Times New Roman"/>
                <w:noProof/>
              </w:rPr>
              <w:t xml:space="preserve"> z ben</w:t>
            </w:r>
            <w:r w:rsidRPr="00A33B9F">
              <w:rPr>
                <w:rFonts w:ascii="Times New Roman" w:hAnsi="Times New Roman"/>
                <w:noProof/>
              </w:rPr>
              <w:t>eficjentami końcowymi</w:t>
            </w:r>
          </w:p>
        </w:tc>
      </w:tr>
      <w:tr w:rsidR="00D8141F" w:rsidRPr="00A33B9F" w14:paraId="6CDDFB28"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5BBB9E89"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G15L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7BDC536"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 xml:space="preserve">G3.1.4 Wsparcie na rzecz krajowego systemu energetycznego (Fundusz Wsparcia Energetyki)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5643817B"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6CB35DB" w14:textId="77777777"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Ministerstwo zakończyło inwestycję</w:t>
            </w:r>
          </w:p>
        </w:tc>
      </w:tr>
      <w:tr w:rsidR="00D8141F" w:rsidRPr="00A33B9F" w14:paraId="6DBC843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1AF91D40"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G18L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61E3F37E"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G3.1.5 Budowa morskich farm wiatrowych (Fundusz na rzecz morskiej energetyki wiatrowej)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101216A"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Wartość docelowa</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236B7D8E" w14:textId="2A1DFBF6"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Umowy prawne podpisane</w:t>
            </w:r>
            <w:r w:rsidR="00A33B9F" w:rsidRPr="00A33B9F">
              <w:rPr>
                <w:rFonts w:ascii="Times New Roman" w:hAnsi="Times New Roman"/>
                <w:noProof/>
              </w:rPr>
              <w:t xml:space="preserve"> z ben</w:t>
            </w:r>
            <w:r w:rsidRPr="00A33B9F">
              <w:rPr>
                <w:rFonts w:ascii="Times New Roman" w:hAnsi="Times New Roman"/>
                <w:noProof/>
              </w:rPr>
              <w:t>eficjentami końcowymi</w:t>
            </w:r>
          </w:p>
        </w:tc>
      </w:tr>
      <w:tr w:rsidR="00D8141F" w:rsidRPr="00A33B9F" w14:paraId="61287C04"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7428BF81"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rPr>
              <w:t>G19L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5A479CCA" w14:textId="77777777" w:rsidR="00D8141F" w:rsidRPr="00A33B9F" w:rsidRDefault="00D8141F" w:rsidP="00753103">
            <w:pPr>
              <w:spacing w:line="240" w:lineRule="auto"/>
              <w:rPr>
                <w:rFonts w:ascii="Times New Roman" w:hAnsi="Times New Roman"/>
                <w:noProof/>
              </w:rPr>
            </w:pPr>
            <w:r w:rsidRPr="00A33B9F">
              <w:rPr>
                <w:rFonts w:ascii="Times New Roman" w:hAnsi="Times New Roman"/>
                <w:noProof/>
              </w:rPr>
              <w:t>G3.1.5 Budowa morskich farm wiatrowych (Fundusz na rzecz morskiej energetyki wiatrowej)</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0856E500"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089BEEE5" w14:textId="77777777"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Ministerstwo zakończyło inwestycję</w:t>
            </w:r>
          </w:p>
        </w:tc>
      </w:tr>
      <w:tr w:rsidR="00D8141F" w:rsidRPr="00A33B9F" w14:paraId="6C55CDA0"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692A8176" w14:textId="77777777" w:rsidR="00D8141F" w:rsidRPr="00A33B9F" w:rsidRDefault="00D8141F" w:rsidP="00753103">
            <w:pPr>
              <w:spacing w:line="240" w:lineRule="auto"/>
              <w:jc w:val="center"/>
              <w:rPr>
                <w:rFonts w:ascii="Times New Roman" w:hAnsi="Times New Roman"/>
                <w:noProof/>
                <w:szCs w:val="28"/>
              </w:rPr>
            </w:pPr>
            <w:r w:rsidRPr="00A33B9F">
              <w:rPr>
                <w:rFonts w:ascii="Times New Roman" w:hAnsi="Times New Roman"/>
                <w:noProof/>
                <w:color w:val="000000" w:themeColor="text1"/>
              </w:rPr>
              <w:t>G23L</w:t>
            </w:r>
            <w:r w:rsidRPr="00A33B9F">
              <w:rPr>
                <w:rFonts w:ascii="Times New Roman" w:hAnsi="Times New Roman"/>
                <w:noProof/>
                <w:color w:val="0078D4"/>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1EB58E2B" w14:textId="2A4734BD"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color w:val="000000" w:themeColor="text1"/>
              </w:rPr>
              <w:t> G3.2.1 Budowa infrastruktury gazu ziemnego</w:t>
            </w:r>
            <w:r w:rsidR="00A33B9F" w:rsidRPr="00A33B9F">
              <w:rPr>
                <w:rFonts w:ascii="Times New Roman" w:hAnsi="Times New Roman"/>
                <w:noProof/>
                <w:color w:val="000000" w:themeColor="text1"/>
              </w:rPr>
              <w:t xml:space="preserve"> w cel</w:t>
            </w:r>
            <w:r w:rsidRPr="00A33B9F">
              <w:rPr>
                <w:rFonts w:ascii="Times New Roman" w:hAnsi="Times New Roman"/>
                <w:noProof/>
                <w:color w:val="000000" w:themeColor="text1"/>
              </w:rPr>
              <w:t>u zapewnienia bezpieczeństwa energetycznego</w:t>
            </w:r>
            <w:r w:rsidRPr="00A33B9F">
              <w:rPr>
                <w:rFonts w:ascii="Times New Roman" w:hAnsi="Times New Roman"/>
                <w:noProof/>
                <w:color w:val="0078D4"/>
              </w:rPr>
              <w:t xml:space="preserve"> </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361BDC97"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Kamień milowy</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65EA65F1" w14:textId="77777777"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Zakończenie budowy gazociągu</w:t>
            </w:r>
          </w:p>
        </w:tc>
      </w:tr>
      <w:tr w:rsidR="00D8141F" w:rsidRPr="00A33B9F" w14:paraId="7A1E7E49"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tcPr>
          <w:p w14:paraId="32BE75BA" w14:textId="77777777" w:rsidR="00D8141F" w:rsidRPr="00A33B9F" w:rsidRDefault="00D8141F" w:rsidP="00753103">
            <w:pPr>
              <w:spacing w:line="240" w:lineRule="auto"/>
              <w:jc w:val="center"/>
              <w:rPr>
                <w:rFonts w:ascii="Times New Roman" w:hAnsi="Times New Roman"/>
                <w:noProof/>
                <w:color w:val="000000" w:themeColor="text1"/>
                <w:szCs w:val="28"/>
              </w:rPr>
            </w:pPr>
            <w:r w:rsidRPr="00A33B9F">
              <w:rPr>
                <w:rFonts w:ascii="Times New Roman" w:hAnsi="Times New Roman"/>
                <w:noProof/>
                <w:color w:val="000000" w:themeColor="text1"/>
              </w:rPr>
              <w:t>G24L</w:t>
            </w:r>
          </w:p>
        </w:tc>
        <w:tc>
          <w:tcPr>
            <w:tcW w:w="3960" w:type="dxa"/>
            <w:tcBorders>
              <w:top w:val="single" w:sz="6" w:space="0" w:color="auto"/>
              <w:left w:val="single" w:sz="6" w:space="0" w:color="auto"/>
              <w:bottom w:val="single" w:sz="6" w:space="0" w:color="auto"/>
              <w:right w:val="single" w:sz="6" w:space="0" w:color="auto"/>
            </w:tcBorders>
            <w:shd w:val="clear" w:color="auto" w:fill="C6EFCE"/>
          </w:tcPr>
          <w:p w14:paraId="4FB72B20" w14:textId="77777777" w:rsidR="00D8141F" w:rsidRPr="00A33B9F" w:rsidRDefault="00D8141F" w:rsidP="00753103">
            <w:pPr>
              <w:spacing w:line="240" w:lineRule="auto"/>
              <w:rPr>
                <w:rFonts w:ascii="Times New Roman" w:hAnsi="Times New Roman"/>
                <w:noProof/>
                <w:color w:val="000000" w:themeColor="text1"/>
                <w:szCs w:val="28"/>
              </w:rPr>
            </w:pPr>
            <w:r w:rsidRPr="00A33B9F">
              <w:rPr>
                <w:rFonts w:ascii="Times New Roman" w:hAnsi="Times New Roman"/>
                <w:noProof/>
                <w:color w:val="000000" w:themeColor="text1"/>
              </w:rPr>
              <w:t>G3.3.1 Systemy magazynowania energii (wsparcie zwrotne)</w:t>
            </w:r>
          </w:p>
        </w:tc>
        <w:tc>
          <w:tcPr>
            <w:tcW w:w="1245" w:type="dxa"/>
            <w:tcBorders>
              <w:top w:val="single" w:sz="6" w:space="0" w:color="auto"/>
              <w:left w:val="single" w:sz="6" w:space="0" w:color="auto"/>
              <w:bottom w:val="single" w:sz="6" w:space="0" w:color="auto"/>
              <w:right w:val="single" w:sz="6" w:space="0" w:color="auto"/>
            </w:tcBorders>
            <w:shd w:val="clear" w:color="auto" w:fill="C6EFCE"/>
          </w:tcPr>
          <w:p w14:paraId="40FE3A33" w14:textId="77777777" w:rsidR="00D8141F" w:rsidRPr="00A33B9F" w:rsidRDefault="00D8141F" w:rsidP="00753103">
            <w:pPr>
              <w:spacing w:line="240" w:lineRule="auto"/>
              <w:rPr>
                <w:rFonts w:ascii="Times New Roman" w:hAnsi="Times New Roman"/>
                <w:noProof/>
                <w:szCs w:val="28"/>
              </w:rPr>
            </w:pPr>
            <w:r w:rsidRPr="00A33B9F">
              <w:rPr>
                <w:rFonts w:ascii="Times New Roman" w:hAnsi="Times New Roman"/>
                <w:noProof/>
              </w:rPr>
              <w:t xml:space="preserve">Kamień milowy </w:t>
            </w:r>
          </w:p>
        </w:tc>
        <w:tc>
          <w:tcPr>
            <w:tcW w:w="3927" w:type="dxa"/>
            <w:tcBorders>
              <w:top w:val="single" w:sz="6" w:space="0" w:color="auto"/>
              <w:left w:val="single" w:sz="6" w:space="0" w:color="auto"/>
              <w:bottom w:val="single" w:sz="6" w:space="0" w:color="auto"/>
              <w:right w:val="single" w:sz="6" w:space="0" w:color="auto"/>
            </w:tcBorders>
            <w:shd w:val="clear" w:color="auto" w:fill="C6EFCE"/>
          </w:tcPr>
          <w:p w14:paraId="740B8C9E" w14:textId="77777777" w:rsidR="00D8141F" w:rsidRPr="00A33B9F" w:rsidRDefault="00D8141F" w:rsidP="00753103">
            <w:pPr>
              <w:spacing w:after="0" w:line="240" w:lineRule="auto"/>
              <w:rPr>
                <w:rFonts w:ascii="Times New Roman" w:hAnsi="Times New Roman"/>
                <w:noProof/>
                <w:szCs w:val="28"/>
              </w:rPr>
            </w:pPr>
            <w:r w:rsidRPr="00A33B9F">
              <w:rPr>
                <w:rFonts w:ascii="Times New Roman" w:hAnsi="Times New Roman"/>
                <w:noProof/>
              </w:rPr>
              <w:t>Modernizacja magazynu szczytowo-pompowego</w:t>
            </w:r>
          </w:p>
        </w:tc>
      </w:tr>
      <w:tr w:rsidR="00D8141F" w:rsidRPr="00A33B9F" w14:paraId="369BB3CC" w14:textId="77777777" w:rsidTr="00753103">
        <w:tc>
          <w:tcPr>
            <w:tcW w:w="1350" w:type="dxa"/>
            <w:tcBorders>
              <w:top w:val="single" w:sz="6" w:space="0" w:color="auto"/>
              <w:left w:val="single" w:sz="6" w:space="0" w:color="auto"/>
              <w:bottom w:val="single" w:sz="6" w:space="0" w:color="auto"/>
              <w:right w:val="single" w:sz="6" w:space="0" w:color="auto"/>
            </w:tcBorders>
            <w:shd w:val="clear" w:color="auto" w:fill="C6EFCE"/>
            <w:vAlign w:val="center"/>
          </w:tcPr>
          <w:p w14:paraId="7EDF9E24" w14:textId="77777777" w:rsidR="00D8141F" w:rsidRPr="00A33B9F" w:rsidRDefault="00D8141F" w:rsidP="00753103">
            <w:pPr>
              <w:spacing w:line="240" w:lineRule="auto"/>
              <w:rPr>
                <w:rFonts w:ascii="Times New Roman" w:eastAsia="Times New Roman" w:hAnsi="Times New Roman" w:cs="Times New Roman"/>
                <w:noProof/>
              </w:rPr>
            </w:pPr>
          </w:p>
        </w:tc>
        <w:tc>
          <w:tcPr>
            <w:tcW w:w="3960" w:type="dxa"/>
            <w:tcBorders>
              <w:top w:val="single" w:sz="6" w:space="0" w:color="auto"/>
              <w:left w:val="single" w:sz="6" w:space="0" w:color="auto"/>
              <w:bottom w:val="single" w:sz="6" w:space="0" w:color="auto"/>
              <w:right w:val="single" w:sz="6" w:space="0" w:color="auto"/>
            </w:tcBorders>
            <w:shd w:val="clear" w:color="auto" w:fill="C6EFCE"/>
            <w:vAlign w:val="center"/>
          </w:tcPr>
          <w:p w14:paraId="63C2D35F" w14:textId="77777777" w:rsidR="00D8141F" w:rsidRPr="00A33B9F" w:rsidRDefault="00D8141F" w:rsidP="00753103">
            <w:pPr>
              <w:spacing w:line="240" w:lineRule="auto"/>
              <w:rPr>
                <w:rFonts w:ascii="Times New Roman" w:eastAsia="Times New Roman" w:hAnsi="Times New Roman" w:cs="Times New Roman"/>
                <w:noProof/>
              </w:rPr>
            </w:pPr>
          </w:p>
        </w:tc>
        <w:tc>
          <w:tcPr>
            <w:tcW w:w="1245" w:type="dxa"/>
            <w:tcBorders>
              <w:top w:val="single" w:sz="6" w:space="0" w:color="auto"/>
              <w:left w:val="single" w:sz="6" w:space="0" w:color="auto"/>
              <w:bottom w:val="single" w:sz="6" w:space="0" w:color="auto"/>
              <w:right w:val="single" w:sz="6" w:space="0" w:color="auto"/>
            </w:tcBorders>
            <w:shd w:val="clear" w:color="auto" w:fill="C6EFCE"/>
            <w:vAlign w:val="center"/>
          </w:tcPr>
          <w:p w14:paraId="4433CCF0"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Kwota transzy</w:t>
            </w:r>
          </w:p>
        </w:tc>
        <w:tc>
          <w:tcPr>
            <w:tcW w:w="3927" w:type="dxa"/>
            <w:tcBorders>
              <w:top w:val="single" w:sz="6" w:space="0" w:color="auto"/>
              <w:left w:val="single" w:sz="6" w:space="0" w:color="auto"/>
              <w:bottom w:val="single" w:sz="6" w:space="0" w:color="auto"/>
              <w:right w:val="single" w:sz="6" w:space="0" w:color="auto"/>
            </w:tcBorders>
            <w:shd w:val="clear" w:color="auto" w:fill="C6EFCE"/>
            <w:vAlign w:val="center"/>
          </w:tcPr>
          <w:p w14:paraId="1249DC78" w14:textId="77777777" w:rsidR="00D8141F" w:rsidRPr="00A33B9F" w:rsidRDefault="00D8141F" w:rsidP="00753103">
            <w:pPr>
              <w:spacing w:line="240" w:lineRule="auto"/>
              <w:rPr>
                <w:rFonts w:ascii="Times New Roman" w:eastAsia="Times New Roman" w:hAnsi="Times New Roman" w:cs="Times New Roman"/>
                <w:noProof/>
              </w:rPr>
            </w:pPr>
            <w:r w:rsidRPr="00A33B9F">
              <w:rPr>
                <w:rFonts w:ascii="Times New Roman" w:hAnsi="Times New Roman"/>
                <w:noProof/>
              </w:rPr>
              <w:t xml:space="preserve">2 715 769 457 EUR </w:t>
            </w:r>
          </w:p>
        </w:tc>
      </w:tr>
    </w:tbl>
    <w:p w14:paraId="0E4D6889" w14:textId="77777777" w:rsidR="00D8141F" w:rsidRPr="00A33B9F" w:rsidRDefault="00D8141F" w:rsidP="00D8141F">
      <w:pPr>
        <w:spacing w:before="120" w:after="120" w:line="240" w:lineRule="auto"/>
        <w:rPr>
          <w:rFonts w:ascii="Times New Roman" w:eastAsia="Times New Roman" w:hAnsi="Times New Roman" w:cs="Times New Roman"/>
          <w:noProof/>
          <w:color w:val="000000" w:themeColor="text1"/>
        </w:rPr>
        <w:sectPr w:rsidR="00D8141F" w:rsidRPr="00A33B9F" w:rsidSect="00277459">
          <w:headerReference w:type="even" r:id="rId187"/>
          <w:headerReference w:type="default" r:id="rId188"/>
          <w:footerReference w:type="even" r:id="rId189"/>
          <w:footerReference w:type="default" r:id="rId190"/>
          <w:headerReference w:type="first" r:id="rId191"/>
          <w:footerReference w:type="first" r:id="rId192"/>
          <w:pgSz w:w="11907" w:h="16839"/>
          <w:pgMar w:top="720" w:right="720" w:bottom="720" w:left="720" w:header="709" w:footer="709" w:gutter="0"/>
          <w:cols w:space="720"/>
          <w:docGrid w:linePitch="299"/>
        </w:sectPr>
      </w:pPr>
    </w:p>
    <w:p w14:paraId="7A2D4CE3" w14:textId="4C5B36FF" w:rsidR="24D89BB3" w:rsidRPr="00A33B9F" w:rsidRDefault="24D89BB3" w:rsidP="6397F984">
      <w:pPr>
        <w:spacing w:line="240" w:lineRule="auto"/>
        <w:rPr>
          <w:noProof/>
        </w:rPr>
      </w:pPr>
      <w:r w:rsidRPr="00A33B9F">
        <w:rPr>
          <w:rFonts w:ascii="Times New Roman" w:hAnsi="Times New Roman"/>
          <w:b/>
          <w:noProof/>
          <w:sz w:val="24"/>
        </w:rPr>
        <w:t xml:space="preserve">SEKCJA 3: DODATKOWE USTALENIA </w:t>
      </w:r>
    </w:p>
    <w:p w14:paraId="4776F988" w14:textId="74F00F1C" w:rsidR="24D89BB3" w:rsidRPr="00A33B9F" w:rsidRDefault="24D89BB3" w:rsidP="00394B30">
      <w:pPr>
        <w:pStyle w:val="ListParagraph"/>
        <w:numPr>
          <w:ilvl w:val="0"/>
          <w:numId w:val="24"/>
        </w:numPr>
        <w:spacing w:line="240" w:lineRule="auto"/>
        <w:rPr>
          <w:rFonts w:ascii="Times New Roman" w:eastAsia="Times New Roman" w:hAnsi="Times New Roman" w:cs="Times New Roman"/>
          <w:b/>
          <w:bCs/>
          <w:noProof/>
          <w:sz w:val="24"/>
          <w:szCs w:val="24"/>
        </w:rPr>
      </w:pPr>
      <w:r w:rsidRPr="00A33B9F">
        <w:rPr>
          <w:rFonts w:ascii="Times New Roman" w:hAnsi="Times New Roman"/>
          <w:b/>
          <w:noProof/>
          <w:sz w:val="24"/>
        </w:rPr>
        <w:t>Ustalenia dotyczące monitorowania</w:t>
      </w:r>
      <w:r w:rsidR="00A33B9F" w:rsidRPr="00A33B9F">
        <w:rPr>
          <w:rFonts w:ascii="Times New Roman" w:hAnsi="Times New Roman"/>
          <w:b/>
          <w:noProof/>
          <w:sz w:val="24"/>
        </w:rPr>
        <w:t xml:space="preserve"> i rea</w:t>
      </w:r>
      <w:r w:rsidRPr="00A33B9F">
        <w:rPr>
          <w:rFonts w:ascii="Times New Roman" w:hAnsi="Times New Roman"/>
          <w:b/>
          <w:noProof/>
          <w:sz w:val="24"/>
        </w:rPr>
        <w:t>lizacji planu odbudowy</w:t>
      </w:r>
      <w:r w:rsidR="00A33B9F" w:rsidRPr="00A33B9F">
        <w:rPr>
          <w:rFonts w:ascii="Times New Roman" w:hAnsi="Times New Roman"/>
          <w:b/>
          <w:noProof/>
          <w:sz w:val="24"/>
        </w:rPr>
        <w:t xml:space="preserve"> i zwi</w:t>
      </w:r>
      <w:r w:rsidRPr="00A33B9F">
        <w:rPr>
          <w:rFonts w:ascii="Times New Roman" w:hAnsi="Times New Roman"/>
          <w:b/>
          <w:noProof/>
          <w:sz w:val="24"/>
        </w:rPr>
        <w:t>ększania odporności</w:t>
      </w:r>
    </w:p>
    <w:p w14:paraId="6EB5CE5E" w14:textId="699632B9" w:rsidR="24D89BB3" w:rsidRPr="00A33B9F" w:rsidRDefault="24D89BB3" w:rsidP="6397F984">
      <w:pPr>
        <w:spacing w:line="240" w:lineRule="auto"/>
        <w:jc w:val="both"/>
        <w:rPr>
          <w:noProof/>
        </w:rPr>
      </w:pPr>
      <w:r w:rsidRPr="00A33B9F">
        <w:rPr>
          <w:rFonts w:ascii="Times New Roman" w:hAnsi="Times New Roman"/>
          <w:noProof/>
          <w:sz w:val="24"/>
        </w:rPr>
        <w:t>Monitorowanie</w:t>
      </w:r>
      <w:r w:rsidR="00A33B9F" w:rsidRPr="00A33B9F">
        <w:rPr>
          <w:rFonts w:ascii="Times New Roman" w:hAnsi="Times New Roman"/>
          <w:noProof/>
          <w:sz w:val="24"/>
        </w:rPr>
        <w:t xml:space="preserve"> i rea</w:t>
      </w:r>
      <w:r w:rsidRPr="00A33B9F">
        <w:rPr>
          <w:rFonts w:ascii="Times New Roman" w:hAnsi="Times New Roman"/>
          <w:noProof/>
          <w:sz w:val="24"/>
        </w:rPr>
        <w:t>lizacja planu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 Polski są prowadzone zgodnie</w:t>
      </w:r>
      <w:r w:rsidR="00A33B9F" w:rsidRPr="00A33B9F">
        <w:rPr>
          <w:rFonts w:ascii="Times New Roman" w:hAnsi="Times New Roman"/>
          <w:noProof/>
          <w:sz w:val="24"/>
        </w:rPr>
        <w:t xml:space="preserve"> z nas</w:t>
      </w:r>
      <w:r w:rsidRPr="00A33B9F">
        <w:rPr>
          <w:rFonts w:ascii="Times New Roman" w:hAnsi="Times New Roman"/>
          <w:noProof/>
          <w:sz w:val="24"/>
        </w:rPr>
        <w:t xml:space="preserve">tępującymi ustaleniami: </w:t>
      </w:r>
    </w:p>
    <w:p w14:paraId="4622C520" w14:textId="75F08B44" w:rsidR="24D89BB3" w:rsidRPr="00A33B9F" w:rsidRDefault="24D89BB3" w:rsidP="6397F984">
      <w:pPr>
        <w:spacing w:line="240" w:lineRule="auto"/>
        <w:jc w:val="both"/>
        <w:rPr>
          <w:noProof/>
        </w:rPr>
      </w:pPr>
      <w:r w:rsidRPr="00A33B9F">
        <w:rPr>
          <w:rFonts w:ascii="Times New Roman" w:hAnsi="Times New Roman"/>
          <w:noProof/>
          <w:sz w:val="24"/>
        </w:rPr>
        <w:t>Organem odpowiedzialnym za ogólną koordynację realizacji</w:t>
      </w:r>
      <w:r w:rsidR="00A33B9F" w:rsidRPr="00A33B9F">
        <w:rPr>
          <w:rFonts w:ascii="Times New Roman" w:hAnsi="Times New Roman"/>
          <w:noProof/>
          <w:sz w:val="24"/>
        </w:rPr>
        <w:t xml:space="preserve"> i mon</w:t>
      </w:r>
      <w:r w:rsidRPr="00A33B9F">
        <w:rPr>
          <w:rFonts w:ascii="Times New Roman" w:hAnsi="Times New Roman"/>
          <w:noProof/>
          <w:sz w:val="24"/>
        </w:rPr>
        <w:t>itorowania planu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 jest Ministerstwo Funduszy</w:t>
      </w:r>
      <w:r w:rsidR="00A33B9F" w:rsidRPr="00A33B9F">
        <w:rPr>
          <w:rFonts w:ascii="Times New Roman" w:hAnsi="Times New Roman"/>
          <w:noProof/>
          <w:sz w:val="24"/>
        </w:rPr>
        <w:t xml:space="preserve"> i Pol</w:t>
      </w:r>
      <w:r w:rsidRPr="00A33B9F">
        <w:rPr>
          <w:rFonts w:ascii="Times New Roman" w:hAnsi="Times New Roman"/>
          <w:noProof/>
          <w:sz w:val="24"/>
        </w:rPr>
        <w:t>ityki Regionalnej. Organ ten jest również odpowiedzialny za sporządzanie wniosków</w:t>
      </w:r>
      <w:r w:rsidR="00A33B9F" w:rsidRPr="00A33B9F">
        <w:rPr>
          <w:rFonts w:ascii="Times New Roman" w:hAnsi="Times New Roman"/>
          <w:noProof/>
          <w:sz w:val="24"/>
        </w:rPr>
        <w:t xml:space="preserve"> o pła</w:t>
      </w:r>
      <w:r w:rsidRPr="00A33B9F">
        <w:rPr>
          <w:rFonts w:ascii="Times New Roman" w:hAnsi="Times New Roman"/>
          <w:noProof/>
          <w:sz w:val="24"/>
        </w:rPr>
        <w:t>tność, deklaracji zarządczych</w:t>
      </w:r>
      <w:r w:rsidR="00A33B9F" w:rsidRPr="00A33B9F">
        <w:rPr>
          <w:rFonts w:ascii="Times New Roman" w:hAnsi="Times New Roman"/>
          <w:noProof/>
          <w:sz w:val="24"/>
        </w:rPr>
        <w:t xml:space="preserve"> i pod</w:t>
      </w:r>
      <w:r w:rsidRPr="00A33B9F">
        <w:rPr>
          <w:rFonts w:ascii="Times New Roman" w:hAnsi="Times New Roman"/>
          <w:noProof/>
          <w:sz w:val="24"/>
        </w:rPr>
        <w:t>sumowania audytów oraz pełni funkcję łącznika między Komisją</w:t>
      </w:r>
      <w:r w:rsidR="00A33B9F" w:rsidRPr="00A33B9F">
        <w:rPr>
          <w:rFonts w:ascii="Times New Roman" w:hAnsi="Times New Roman"/>
          <w:noProof/>
          <w:sz w:val="24"/>
        </w:rPr>
        <w:t xml:space="preserve"> a wła</w:t>
      </w:r>
      <w:r w:rsidRPr="00A33B9F">
        <w:rPr>
          <w:rFonts w:ascii="Times New Roman" w:hAnsi="Times New Roman"/>
          <w:noProof/>
          <w:sz w:val="24"/>
        </w:rPr>
        <w:t>dzami polskimi. Instytucje odpowiedzialne za wdrażanie reform</w:t>
      </w:r>
      <w:r w:rsidR="00A33B9F" w:rsidRPr="00A33B9F">
        <w:rPr>
          <w:rFonts w:ascii="Times New Roman" w:hAnsi="Times New Roman"/>
          <w:noProof/>
          <w:sz w:val="24"/>
        </w:rPr>
        <w:t xml:space="preserve"> i inw</w:t>
      </w:r>
      <w:r w:rsidRPr="00A33B9F">
        <w:rPr>
          <w:rFonts w:ascii="Times New Roman" w:hAnsi="Times New Roman"/>
          <w:noProof/>
          <w:sz w:val="24"/>
        </w:rPr>
        <w:t>estycji weryfikują zgodność zrealizowanych działań</w:t>
      </w:r>
      <w:r w:rsidR="00A33B9F" w:rsidRPr="00A33B9F">
        <w:rPr>
          <w:rFonts w:ascii="Times New Roman" w:hAnsi="Times New Roman"/>
          <w:noProof/>
          <w:sz w:val="24"/>
        </w:rPr>
        <w:t xml:space="preserve"> z maj</w:t>
      </w:r>
      <w:r w:rsidRPr="00A33B9F">
        <w:rPr>
          <w:rFonts w:ascii="Times New Roman" w:hAnsi="Times New Roman"/>
          <w:noProof/>
          <w:sz w:val="24"/>
        </w:rPr>
        <w:t>ącym zastosowanie prawem unijnym</w:t>
      </w:r>
      <w:r w:rsidR="00A33B9F" w:rsidRPr="00A33B9F">
        <w:rPr>
          <w:rFonts w:ascii="Times New Roman" w:hAnsi="Times New Roman"/>
          <w:noProof/>
          <w:sz w:val="24"/>
        </w:rPr>
        <w:t xml:space="preserve"> i kra</w:t>
      </w:r>
      <w:r w:rsidRPr="00A33B9F">
        <w:rPr>
          <w:rFonts w:ascii="Times New Roman" w:hAnsi="Times New Roman"/>
          <w:noProof/>
          <w:sz w:val="24"/>
        </w:rPr>
        <w:t>jowym oraz postępy</w:t>
      </w:r>
      <w:r w:rsidR="00A33B9F" w:rsidRPr="00A33B9F">
        <w:rPr>
          <w:rFonts w:ascii="Times New Roman" w:hAnsi="Times New Roman"/>
          <w:noProof/>
          <w:sz w:val="24"/>
        </w:rPr>
        <w:t xml:space="preserve"> w osi</w:t>
      </w:r>
      <w:r w:rsidRPr="00A33B9F">
        <w:rPr>
          <w:rFonts w:ascii="Times New Roman" w:hAnsi="Times New Roman"/>
          <w:noProof/>
          <w:sz w:val="24"/>
        </w:rPr>
        <w:t>ąganiu określonych kamieni milowych</w:t>
      </w:r>
      <w:r w:rsidR="00A33B9F" w:rsidRPr="00A33B9F">
        <w:rPr>
          <w:rFonts w:ascii="Times New Roman" w:hAnsi="Times New Roman"/>
          <w:noProof/>
          <w:sz w:val="24"/>
        </w:rPr>
        <w:t xml:space="preserve"> i war</w:t>
      </w:r>
      <w:r w:rsidRPr="00A33B9F">
        <w:rPr>
          <w:rFonts w:ascii="Times New Roman" w:hAnsi="Times New Roman"/>
          <w:noProof/>
          <w:sz w:val="24"/>
        </w:rPr>
        <w:t>tości docelowych na poziomie odbiorców końcowych. Informacje</w:t>
      </w:r>
      <w:r w:rsidR="00A33B9F" w:rsidRPr="00A33B9F">
        <w:rPr>
          <w:rFonts w:ascii="Times New Roman" w:hAnsi="Times New Roman"/>
          <w:noProof/>
          <w:sz w:val="24"/>
        </w:rPr>
        <w:t xml:space="preserve"> i wyn</w:t>
      </w:r>
      <w:r w:rsidRPr="00A33B9F">
        <w:rPr>
          <w:rFonts w:ascii="Times New Roman" w:hAnsi="Times New Roman"/>
          <w:noProof/>
          <w:sz w:val="24"/>
        </w:rPr>
        <w:t>iki tych weryfikacji są przekazywane jednostce koordynującej za pośrednictwem systemu informatycznego.</w:t>
      </w:r>
    </w:p>
    <w:p w14:paraId="66677990" w14:textId="29075B50" w:rsidR="24D89BB3" w:rsidRPr="00A33B9F" w:rsidRDefault="24D89BB3" w:rsidP="6397F984">
      <w:pPr>
        <w:spacing w:line="240" w:lineRule="auto"/>
        <w:jc w:val="both"/>
        <w:rPr>
          <w:noProof/>
        </w:rPr>
      </w:pPr>
      <w:r w:rsidRPr="00A33B9F">
        <w:rPr>
          <w:rFonts w:ascii="Times New Roman" w:hAnsi="Times New Roman"/>
          <w:noProof/>
          <w:sz w:val="24"/>
        </w:rPr>
        <w:t>Ponadto</w:t>
      </w:r>
      <w:r w:rsidR="00A33B9F" w:rsidRPr="00A33B9F">
        <w:rPr>
          <w:rFonts w:ascii="Times New Roman" w:hAnsi="Times New Roman"/>
          <w:noProof/>
          <w:sz w:val="24"/>
        </w:rPr>
        <w:t xml:space="preserve"> w dro</w:t>
      </w:r>
      <w:r w:rsidRPr="00A33B9F">
        <w:rPr>
          <w:rFonts w:ascii="Times New Roman" w:hAnsi="Times New Roman"/>
          <w:noProof/>
          <w:sz w:val="24"/>
        </w:rPr>
        <w:t>dze aktu ustawodawczego powołany zostanie komitet monitorujący składający się</w:t>
      </w:r>
      <w:r w:rsidR="00A33B9F" w:rsidRPr="00A33B9F">
        <w:rPr>
          <w:rFonts w:ascii="Times New Roman" w:hAnsi="Times New Roman"/>
          <w:noProof/>
          <w:sz w:val="24"/>
        </w:rPr>
        <w:t xml:space="preserve"> z zai</w:t>
      </w:r>
      <w:r w:rsidRPr="00A33B9F">
        <w:rPr>
          <w:rFonts w:ascii="Times New Roman" w:hAnsi="Times New Roman"/>
          <w:noProof/>
          <w:sz w:val="24"/>
        </w:rPr>
        <w:t>nteresowanych stron</w:t>
      </w:r>
      <w:r w:rsidR="00A33B9F" w:rsidRPr="00A33B9F">
        <w:rPr>
          <w:rFonts w:ascii="Times New Roman" w:hAnsi="Times New Roman"/>
          <w:noProof/>
          <w:sz w:val="24"/>
        </w:rPr>
        <w:t xml:space="preserve"> i par</w:t>
      </w:r>
      <w:r w:rsidRPr="00A33B9F">
        <w:rPr>
          <w:rFonts w:ascii="Times New Roman" w:hAnsi="Times New Roman"/>
          <w:noProof/>
          <w:sz w:val="24"/>
        </w:rPr>
        <w:t>tnerów społecznych zaangażowanych</w:t>
      </w:r>
      <w:r w:rsidR="00A33B9F" w:rsidRPr="00A33B9F">
        <w:rPr>
          <w:rFonts w:ascii="Times New Roman" w:hAnsi="Times New Roman"/>
          <w:noProof/>
          <w:sz w:val="24"/>
        </w:rPr>
        <w:t xml:space="preserve"> w rea</w:t>
      </w:r>
      <w:r w:rsidRPr="00A33B9F">
        <w:rPr>
          <w:rFonts w:ascii="Times New Roman" w:hAnsi="Times New Roman"/>
          <w:noProof/>
          <w:sz w:val="24"/>
        </w:rPr>
        <w:t>lizację planu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 Zadaniem komitetu monitorującego będzie nadzorowanie skutecznej realizacji planu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 Akt ustawodawczy zawierać będzie przepis wprowadzający wymóg prawny konsultowania się</w:t>
      </w:r>
      <w:r w:rsidR="00A33B9F" w:rsidRPr="00A33B9F">
        <w:rPr>
          <w:rFonts w:ascii="Times New Roman" w:hAnsi="Times New Roman"/>
          <w:noProof/>
          <w:sz w:val="24"/>
        </w:rPr>
        <w:t xml:space="preserve"> z kom</w:t>
      </w:r>
      <w:r w:rsidRPr="00A33B9F">
        <w:rPr>
          <w:rFonts w:ascii="Times New Roman" w:hAnsi="Times New Roman"/>
          <w:noProof/>
          <w:sz w:val="24"/>
        </w:rPr>
        <w:t>itetem monitorującym podczas realizacji planu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w:t>
      </w:r>
    </w:p>
    <w:p w14:paraId="662C5CC0" w14:textId="65D5EF9A" w:rsidR="24D89BB3" w:rsidRPr="00A33B9F" w:rsidRDefault="24D89BB3" w:rsidP="6397F984">
      <w:pPr>
        <w:spacing w:line="240" w:lineRule="auto"/>
        <w:jc w:val="both"/>
        <w:rPr>
          <w:noProof/>
        </w:rPr>
      </w:pPr>
      <w:r w:rsidRPr="00A33B9F">
        <w:rPr>
          <w:rFonts w:ascii="Times New Roman" w:hAnsi="Times New Roman"/>
          <w:noProof/>
          <w:sz w:val="24"/>
        </w:rPr>
        <w:t>Audyty będą prowadzone przez Krajową Administrację Skarbową,</w:t>
      </w:r>
      <w:r w:rsidR="00A33B9F" w:rsidRPr="00A33B9F">
        <w:rPr>
          <w:rFonts w:ascii="Times New Roman" w:hAnsi="Times New Roman"/>
          <w:noProof/>
          <w:sz w:val="24"/>
        </w:rPr>
        <w:t xml:space="preserve"> w szc</w:t>
      </w:r>
      <w:r w:rsidRPr="00A33B9F">
        <w:rPr>
          <w:rFonts w:ascii="Times New Roman" w:hAnsi="Times New Roman"/>
          <w:noProof/>
          <w:sz w:val="24"/>
        </w:rPr>
        <w:t>zególności Departament Audytu Środków Publicznych</w:t>
      </w:r>
      <w:r w:rsidR="00A33B9F" w:rsidRPr="00A33B9F">
        <w:rPr>
          <w:rFonts w:ascii="Times New Roman" w:hAnsi="Times New Roman"/>
          <w:noProof/>
          <w:sz w:val="24"/>
        </w:rPr>
        <w:t xml:space="preserve"> w Min</w:t>
      </w:r>
      <w:r w:rsidRPr="00A33B9F">
        <w:rPr>
          <w:rFonts w:ascii="Times New Roman" w:hAnsi="Times New Roman"/>
          <w:noProof/>
          <w:sz w:val="24"/>
        </w:rPr>
        <w:t>isterstwie Finansów oraz 16 izb administracji skarbowej (urzędów wojewódzkich)</w:t>
      </w:r>
      <w:r w:rsidR="00A33B9F" w:rsidRPr="00A33B9F">
        <w:rPr>
          <w:rFonts w:ascii="Times New Roman" w:hAnsi="Times New Roman"/>
          <w:noProof/>
          <w:sz w:val="24"/>
        </w:rPr>
        <w:t xml:space="preserve"> w kra</w:t>
      </w:r>
      <w:r w:rsidRPr="00A33B9F">
        <w:rPr>
          <w:rFonts w:ascii="Times New Roman" w:hAnsi="Times New Roman"/>
          <w:noProof/>
          <w:sz w:val="24"/>
        </w:rPr>
        <w:t>ju. Ten organ audytowy będzie sprawdzał prawidłową realizację reform</w:t>
      </w:r>
      <w:r w:rsidR="00A33B9F" w:rsidRPr="00A33B9F">
        <w:rPr>
          <w:rFonts w:ascii="Times New Roman" w:hAnsi="Times New Roman"/>
          <w:noProof/>
          <w:sz w:val="24"/>
        </w:rPr>
        <w:t xml:space="preserve"> i inw</w:t>
      </w:r>
      <w:r w:rsidRPr="00A33B9F">
        <w:rPr>
          <w:rFonts w:ascii="Times New Roman" w:hAnsi="Times New Roman"/>
          <w:noProof/>
          <w:sz w:val="24"/>
        </w:rPr>
        <w:t>estycji, postępy</w:t>
      </w:r>
      <w:r w:rsidR="00A33B9F" w:rsidRPr="00A33B9F">
        <w:rPr>
          <w:rFonts w:ascii="Times New Roman" w:hAnsi="Times New Roman"/>
          <w:noProof/>
          <w:sz w:val="24"/>
        </w:rPr>
        <w:t xml:space="preserve"> w osi</w:t>
      </w:r>
      <w:r w:rsidRPr="00A33B9F">
        <w:rPr>
          <w:rFonts w:ascii="Times New Roman" w:hAnsi="Times New Roman"/>
          <w:noProof/>
          <w:sz w:val="24"/>
        </w:rPr>
        <w:t>ąganiu określonych kamieni milowych</w:t>
      </w:r>
      <w:r w:rsidR="00A33B9F" w:rsidRPr="00A33B9F">
        <w:rPr>
          <w:rFonts w:ascii="Times New Roman" w:hAnsi="Times New Roman"/>
          <w:noProof/>
          <w:sz w:val="24"/>
        </w:rPr>
        <w:t xml:space="preserve"> i war</w:t>
      </w:r>
      <w:r w:rsidRPr="00A33B9F">
        <w:rPr>
          <w:rFonts w:ascii="Times New Roman" w:hAnsi="Times New Roman"/>
          <w:noProof/>
          <w:sz w:val="24"/>
        </w:rPr>
        <w:t>tości docelowych, skuteczność mechanizmów zapobiegania poważnym nieprawidłowościom, takim jak nadużycia finansowe, korupcja, konflikty interesów</w:t>
      </w:r>
      <w:r w:rsidR="00A33B9F" w:rsidRPr="00A33B9F">
        <w:rPr>
          <w:rFonts w:ascii="Times New Roman" w:hAnsi="Times New Roman"/>
          <w:noProof/>
          <w:sz w:val="24"/>
        </w:rPr>
        <w:t xml:space="preserve"> i pod</w:t>
      </w:r>
      <w:r w:rsidRPr="00A33B9F">
        <w:rPr>
          <w:rFonts w:ascii="Times New Roman" w:hAnsi="Times New Roman"/>
          <w:noProof/>
          <w:sz w:val="24"/>
        </w:rPr>
        <w:t>wójne finansowanie, ich wykrywania</w:t>
      </w:r>
      <w:r w:rsidR="00A33B9F" w:rsidRPr="00A33B9F">
        <w:rPr>
          <w:rFonts w:ascii="Times New Roman" w:hAnsi="Times New Roman"/>
          <w:noProof/>
          <w:sz w:val="24"/>
        </w:rPr>
        <w:t xml:space="preserve"> i eli</w:t>
      </w:r>
      <w:r w:rsidRPr="00A33B9F">
        <w:rPr>
          <w:rFonts w:ascii="Times New Roman" w:hAnsi="Times New Roman"/>
          <w:noProof/>
          <w:sz w:val="24"/>
        </w:rPr>
        <w:t>minowania, oraz będzie sprawdzał wiarygodność</w:t>
      </w:r>
      <w:r w:rsidR="00A33B9F" w:rsidRPr="00A33B9F">
        <w:rPr>
          <w:rFonts w:ascii="Times New Roman" w:hAnsi="Times New Roman"/>
          <w:noProof/>
          <w:sz w:val="24"/>
        </w:rPr>
        <w:t xml:space="preserve"> i bez</w:t>
      </w:r>
      <w:r w:rsidRPr="00A33B9F">
        <w:rPr>
          <w:rFonts w:ascii="Times New Roman" w:hAnsi="Times New Roman"/>
          <w:noProof/>
          <w:sz w:val="24"/>
        </w:rPr>
        <w:t>pieczeństwo systemu informatycznego.</w:t>
      </w:r>
    </w:p>
    <w:p w14:paraId="6CF9FEE3" w14:textId="0E2667C7" w:rsidR="24D89BB3" w:rsidRPr="00A33B9F" w:rsidRDefault="24D89BB3" w:rsidP="00394B30">
      <w:pPr>
        <w:pStyle w:val="ListParagraph"/>
        <w:numPr>
          <w:ilvl w:val="0"/>
          <w:numId w:val="24"/>
        </w:numPr>
        <w:spacing w:line="240" w:lineRule="auto"/>
        <w:rPr>
          <w:rFonts w:ascii="Times New Roman" w:eastAsia="Times New Roman" w:hAnsi="Times New Roman" w:cs="Times New Roman"/>
          <w:b/>
          <w:bCs/>
          <w:noProof/>
        </w:rPr>
      </w:pPr>
      <w:r w:rsidRPr="00A33B9F">
        <w:rPr>
          <w:rFonts w:ascii="Times New Roman" w:hAnsi="Times New Roman"/>
          <w:b/>
          <w:noProof/>
        </w:rPr>
        <w:t>Ustalenia dotyczące sposobu zapewnienia Komisji pełnego dostępu do danych bazowych</w:t>
      </w:r>
    </w:p>
    <w:p w14:paraId="2AA6EA87" w14:textId="12249AA1" w:rsidR="24D89BB3" w:rsidRPr="00A33B9F" w:rsidRDefault="24D89BB3" w:rsidP="6397F984">
      <w:pPr>
        <w:spacing w:line="240" w:lineRule="auto"/>
        <w:jc w:val="both"/>
        <w:rPr>
          <w:noProof/>
        </w:rPr>
      </w:pPr>
      <w:r w:rsidRPr="00A33B9F">
        <w:rPr>
          <w:rFonts w:ascii="Times New Roman" w:hAnsi="Times New Roman"/>
          <w:noProof/>
          <w:sz w:val="24"/>
        </w:rPr>
        <w:t>Ministerstwo Funduszy</w:t>
      </w:r>
      <w:r w:rsidR="00A33B9F" w:rsidRPr="00A33B9F">
        <w:rPr>
          <w:rFonts w:ascii="Times New Roman" w:hAnsi="Times New Roman"/>
          <w:noProof/>
          <w:sz w:val="24"/>
        </w:rPr>
        <w:t xml:space="preserve"> i Pol</w:t>
      </w:r>
      <w:r w:rsidRPr="00A33B9F">
        <w:rPr>
          <w:rFonts w:ascii="Times New Roman" w:hAnsi="Times New Roman"/>
          <w:noProof/>
          <w:sz w:val="24"/>
        </w:rPr>
        <w:t>ityki Regionalnej jako centralny organ koordynujący polski plan odbudowy</w:t>
      </w:r>
      <w:r w:rsidR="00A33B9F" w:rsidRPr="00A33B9F">
        <w:rPr>
          <w:rFonts w:ascii="Times New Roman" w:hAnsi="Times New Roman"/>
          <w:noProof/>
          <w:sz w:val="24"/>
        </w:rPr>
        <w:t xml:space="preserve"> i zwi</w:t>
      </w:r>
      <w:r w:rsidRPr="00A33B9F">
        <w:rPr>
          <w:rFonts w:ascii="Times New Roman" w:hAnsi="Times New Roman"/>
          <w:noProof/>
          <w:sz w:val="24"/>
        </w:rPr>
        <w:t>ększania odporności oraz jego realizację odpowiada za ogólną koordynację</w:t>
      </w:r>
      <w:r w:rsidR="00A33B9F" w:rsidRPr="00A33B9F">
        <w:rPr>
          <w:rFonts w:ascii="Times New Roman" w:hAnsi="Times New Roman"/>
          <w:noProof/>
          <w:sz w:val="24"/>
        </w:rPr>
        <w:t xml:space="preserve"> i mon</w:t>
      </w:r>
      <w:r w:rsidRPr="00A33B9F">
        <w:rPr>
          <w:rFonts w:ascii="Times New Roman" w:hAnsi="Times New Roman"/>
          <w:noProof/>
          <w:sz w:val="24"/>
        </w:rPr>
        <w:t>itorowanie planu</w:t>
      </w:r>
      <w:r w:rsidR="00A33B9F" w:rsidRPr="00A33B9F">
        <w:rPr>
          <w:rFonts w:ascii="Times New Roman" w:hAnsi="Times New Roman"/>
          <w:noProof/>
          <w:sz w:val="24"/>
        </w:rPr>
        <w:t>. W szc</w:t>
      </w:r>
      <w:r w:rsidRPr="00A33B9F">
        <w:rPr>
          <w:rFonts w:ascii="Times New Roman" w:hAnsi="Times New Roman"/>
          <w:noProof/>
          <w:sz w:val="24"/>
        </w:rPr>
        <w:t>zególności działa jako jednostka koordynująca do celów monitorowania postępów</w:t>
      </w:r>
      <w:r w:rsidR="00A33B9F" w:rsidRPr="00A33B9F">
        <w:rPr>
          <w:rFonts w:ascii="Times New Roman" w:hAnsi="Times New Roman"/>
          <w:noProof/>
          <w:sz w:val="24"/>
        </w:rPr>
        <w:t xml:space="preserve"> w rea</w:t>
      </w:r>
      <w:r w:rsidRPr="00A33B9F">
        <w:rPr>
          <w:rFonts w:ascii="Times New Roman" w:hAnsi="Times New Roman"/>
          <w:noProof/>
          <w:sz w:val="24"/>
        </w:rPr>
        <w:t>lizacji kamieni milowych</w:t>
      </w:r>
      <w:r w:rsidR="00A33B9F" w:rsidRPr="00A33B9F">
        <w:rPr>
          <w:rFonts w:ascii="Times New Roman" w:hAnsi="Times New Roman"/>
          <w:noProof/>
          <w:sz w:val="24"/>
        </w:rPr>
        <w:t xml:space="preserve"> i war</w:t>
      </w:r>
      <w:r w:rsidRPr="00A33B9F">
        <w:rPr>
          <w:rFonts w:ascii="Times New Roman" w:hAnsi="Times New Roman"/>
          <w:noProof/>
          <w:sz w:val="24"/>
        </w:rPr>
        <w:t>tości docelowych,</w:t>
      </w:r>
      <w:r w:rsidR="00A33B9F" w:rsidRPr="00A33B9F">
        <w:rPr>
          <w:rFonts w:ascii="Times New Roman" w:hAnsi="Times New Roman"/>
          <w:noProof/>
          <w:sz w:val="24"/>
        </w:rPr>
        <w:t xml:space="preserve"> a tak</w:t>
      </w:r>
      <w:r w:rsidRPr="00A33B9F">
        <w:rPr>
          <w:rFonts w:ascii="Times New Roman" w:hAnsi="Times New Roman"/>
          <w:noProof/>
          <w:sz w:val="24"/>
        </w:rPr>
        <w:t>że składania sprawozdań</w:t>
      </w:r>
      <w:r w:rsidR="00A33B9F" w:rsidRPr="00A33B9F">
        <w:rPr>
          <w:rFonts w:ascii="Times New Roman" w:hAnsi="Times New Roman"/>
          <w:noProof/>
          <w:sz w:val="24"/>
        </w:rPr>
        <w:t xml:space="preserve"> i wni</w:t>
      </w:r>
      <w:r w:rsidRPr="00A33B9F">
        <w:rPr>
          <w:rFonts w:ascii="Times New Roman" w:hAnsi="Times New Roman"/>
          <w:noProof/>
          <w:sz w:val="24"/>
        </w:rPr>
        <w:t>osków</w:t>
      </w:r>
      <w:r w:rsidR="00A33B9F" w:rsidRPr="00A33B9F">
        <w:rPr>
          <w:rFonts w:ascii="Times New Roman" w:hAnsi="Times New Roman"/>
          <w:noProof/>
          <w:sz w:val="24"/>
        </w:rPr>
        <w:t xml:space="preserve"> o pła</w:t>
      </w:r>
      <w:r w:rsidRPr="00A33B9F">
        <w:rPr>
          <w:rFonts w:ascii="Times New Roman" w:hAnsi="Times New Roman"/>
          <w:noProof/>
          <w:sz w:val="24"/>
        </w:rPr>
        <w:t>tności. Koordynuje ono sprawozdawczość dotyczącą kamieni milowych</w:t>
      </w:r>
      <w:r w:rsidR="00A33B9F" w:rsidRPr="00A33B9F">
        <w:rPr>
          <w:rFonts w:ascii="Times New Roman" w:hAnsi="Times New Roman"/>
          <w:noProof/>
          <w:sz w:val="24"/>
        </w:rPr>
        <w:t xml:space="preserve"> i war</w:t>
      </w:r>
      <w:r w:rsidRPr="00A33B9F">
        <w:rPr>
          <w:rFonts w:ascii="Times New Roman" w:hAnsi="Times New Roman"/>
          <w:noProof/>
          <w:sz w:val="24"/>
        </w:rPr>
        <w:t>tości docelowych, istotnych wskaźników,</w:t>
      </w:r>
      <w:r w:rsidR="00A33B9F" w:rsidRPr="00A33B9F">
        <w:rPr>
          <w:rFonts w:ascii="Times New Roman" w:hAnsi="Times New Roman"/>
          <w:noProof/>
          <w:sz w:val="24"/>
        </w:rPr>
        <w:t xml:space="preserve"> a tak</w:t>
      </w:r>
      <w:r w:rsidRPr="00A33B9F">
        <w:rPr>
          <w:rFonts w:ascii="Times New Roman" w:hAnsi="Times New Roman"/>
          <w:noProof/>
          <w:sz w:val="24"/>
        </w:rPr>
        <w:t>że jakościowych informacji finansowych</w:t>
      </w:r>
      <w:r w:rsidR="00A33B9F" w:rsidRPr="00A33B9F">
        <w:rPr>
          <w:rFonts w:ascii="Times New Roman" w:hAnsi="Times New Roman"/>
          <w:noProof/>
          <w:sz w:val="24"/>
        </w:rPr>
        <w:t xml:space="preserve"> i inn</w:t>
      </w:r>
      <w:r w:rsidRPr="00A33B9F">
        <w:rPr>
          <w:rFonts w:ascii="Times New Roman" w:hAnsi="Times New Roman"/>
          <w:noProof/>
          <w:sz w:val="24"/>
        </w:rPr>
        <w:t>ych danych, takich jak dane dotyczące beneficjentów końcowych. Kodowanie danych odbywa się</w:t>
      </w:r>
      <w:r w:rsidR="00A33B9F" w:rsidRPr="00A33B9F">
        <w:rPr>
          <w:rFonts w:ascii="Times New Roman" w:hAnsi="Times New Roman"/>
          <w:noProof/>
          <w:sz w:val="24"/>
        </w:rPr>
        <w:t xml:space="preserve"> w sys</w:t>
      </w:r>
      <w:r w:rsidRPr="00A33B9F">
        <w:rPr>
          <w:rFonts w:ascii="Times New Roman" w:hAnsi="Times New Roman"/>
          <w:noProof/>
          <w:sz w:val="24"/>
        </w:rPr>
        <w:t>temie informatycznym, za pośrednictwem którego instytucje odpowiedzialne za wdrażanie reform</w:t>
      </w:r>
      <w:r w:rsidR="00A33B9F" w:rsidRPr="00A33B9F">
        <w:rPr>
          <w:rFonts w:ascii="Times New Roman" w:hAnsi="Times New Roman"/>
          <w:noProof/>
          <w:sz w:val="24"/>
        </w:rPr>
        <w:t xml:space="preserve"> i inw</w:t>
      </w:r>
      <w:r w:rsidRPr="00A33B9F">
        <w:rPr>
          <w:rFonts w:ascii="Times New Roman" w:hAnsi="Times New Roman"/>
          <w:noProof/>
          <w:sz w:val="24"/>
        </w:rPr>
        <w:t>estycji są zobowiązane do przekazywania sprawozdań Ministerstwu Funduszy</w:t>
      </w:r>
      <w:r w:rsidR="00A33B9F" w:rsidRPr="00A33B9F">
        <w:rPr>
          <w:rFonts w:ascii="Times New Roman" w:hAnsi="Times New Roman"/>
          <w:noProof/>
          <w:sz w:val="24"/>
        </w:rPr>
        <w:t xml:space="preserve"> i Pol</w:t>
      </w:r>
      <w:r w:rsidRPr="00A33B9F">
        <w:rPr>
          <w:rFonts w:ascii="Times New Roman" w:hAnsi="Times New Roman"/>
          <w:noProof/>
          <w:sz w:val="24"/>
        </w:rPr>
        <w:t>ityki Regionalnej.</w:t>
      </w:r>
    </w:p>
    <w:p w14:paraId="4647E692" w14:textId="31D1730B" w:rsidR="007C4506" w:rsidRPr="00A33B9F" w:rsidRDefault="24D89BB3" w:rsidP="00024584">
      <w:pPr>
        <w:spacing w:line="240" w:lineRule="auto"/>
        <w:jc w:val="both"/>
        <w:rPr>
          <w:rFonts w:ascii="Times New Roman" w:eastAsia="Times New Roman" w:hAnsi="Times New Roman" w:cs="Times New Roman"/>
          <w:noProof/>
          <w:sz w:val="24"/>
          <w:szCs w:val="24"/>
        </w:rPr>
      </w:pPr>
      <w:r w:rsidRPr="00A33B9F">
        <w:rPr>
          <w:rFonts w:ascii="Times New Roman" w:hAnsi="Times New Roman"/>
          <w:noProof/>
          <w:sz w:val="24"/>
        </w:rPr>
        <w:t>Zgodnie</w:t>
      </w:r>
      <w:r w:rsidR="00A33B9F" w:rsidRPr="00A33B9F">
        <w:rPr>
          <w:rFonts w:ascii="Times New Roman" w:hAnsi="Times New Roman"/>
          <w:noProof/>
          <w:sz w:val="24"/>
        </w:rPr>
        <w:t xml:space="preserve"> z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24 ust.</w:t>
      </w:r>
      <w:r w:rsidR="00A33B9F" w:rsidRPr="00A33B9F">
        <w:rPr>
          <w:rFonts w:ascii="Times New Roman" w:hAnsi="Times New Roman"/>
          <w:noProof/>
          <w:sz w:val="24"/>
        </w:rPr>
        <w:t> </w:t>
      </w:r>
      <w:r w:rsidRPr="00A33B9F">
        <w:rPr>
          <w:rFonts w:ascii="Times New Roman" w:hAnsi="Times New Roman"/>
          <w:noProof/>
          <w:sz w:val="24"/>
        </w:rPr>
        <w:t>2 rozporządzenia (UE) 2021/241 po zakończeniu odpowiednich uzgodnionych kamieni milowych</w:t>
      </w:r>
      <w:r w:rsidR="00A33B9F" w:rsidRPr="00A33B9F">
        <w:rPr>
          <w:rFonts w:ascii="Times New Roman" w:hAnsi="Times New Roman"/>
          <w:noProof/>
          <w:sz w:val="24"/>
        </w:rPr>
        <w:t xml:space="preserve"> i war</w:t>
      </w:r>
      <w:r w:rsidRPr="00A33B9F">
        <w:rPr>
          <w:rFonts w:ascii="Times New Roman" w:hAnsi="Times New Roman"/>
          <w:noProof/>
          <w:sz w:val="24"/>
        </w:rPr>
        <w:t>tości docelowych wymienionych</w:t>
      </w:r>
      <w:r w:rsidR="00A33B9F" w:rsidRPr="00A33B9F">
        <w:rPr>
          <w:rFonts w:ascii="Times New Roman" w:hAnsi="Times New Roman"/>
          <w:noProof/>
          <w:sz w:val="24"/>
        </w:rPr>
        <w:t xml:space="preserve"> w sek</w:t>
      </w:r>
      <w:r w:rsidRPr="00A33B9F">
        <w:rPr>
          <w:rFonts w:ascii="Times New Roman" w:hAnsi="Times New Roman"/>
          <w:noProof/>
          <w:sz w:val="24"/>
        </w:rPr>
        <w:t>cji 2.1 niniejszego załącznika Polska przedkłada Komisji należycie uzasadniony wniosek</w:t>
      </w:r>
      <w:r w:rsidR="00A33B9F" w:rsidRPr="00A33B9F">
        <w:rPr>
          <w:rFonts w:ascii="Times New Roman" w:hAnsi="Times New Roman"/>
          <w:noProof/>
          <w:sz w:val="24"/>
        </w:rPr>
        <w:t xml:space="preserve"> o wyp</w:t>
      </w:r>
      <w:r w:rsidRPr="00A33B9F">
        <w:rPr>
          <w:rFonts w:ascii="Times New Roman" w:hAnsi="Times New Roman"/>
          <w:noProof/>
          <w:sz w:val="24"/>
        </w:rPr>
        <w:t>łatę wkładu finansowego i,</w:t>
      </w:r>
      <w:r w:rsidR="00A33B9F" w:rsidRPr="00A33B9F">
        <w:rPr>
          <w:rFonts w:ascii="Times New Roman" w:hAnsi="Times New Roman"/>
          <w:noProof/>
          <w:sz w:val="24"/>
        </w:rPr>
        <w:t xml:space="preserve"> w sto</w:t>
      </w:r>
      <w:r w:rsidRPr="00A33B9F">
        <w:rPr>
          <w:rFonts w:ascii="Times New Roman" w:hAnsi="Times New Roman"/>
          <w:noProof/>
          <w:sz w:val="24"/>
        </w:rPr>
        <w:t>sownych przypadkach, pożyczki. Polska zapewnia Komisji, na jej wniosek, pełny dostęp do odpowiednich danych, które stanowią podstawę</w:t>
      </w:r>
      <w:r w:rsidR="00A33B9F" w:rsidRPr="00A33B9F">
        <w:rPr>
          <w:rFonts w:ascii="Times New Roman" w:hAnsi="Times New Roman"/>
          <w:noProof/>
          <w:sz w:val="24"/>
        </w:rPr>
        <w:t xml:space="preserve"> i pot</w:t>
      </w:r>
      <w:r w:rsidRPr="00A33B9F">
        <w:rPr>
          <w:rFonts w:ascii="Times New Roman" w:hAnsi="Times New Roman"/>
          <w:noProof/>
          <w:sz w:val="24"/>
        </w:rPr>
        <w:t>wierdzają należyte uzasadnienie wniosku</w:t>
      </w:r>
      <w:r w:rsidR="00A33B9F" w:rsidRPr="00A33B9F">
        <w:rPr>
          <w:rFonts w:ascii="Times New Roman" w:hAnsi="Times New Roman"/>
          <w:noProof/>
          <w:sz w:val="24"/>
        </w:rPr>
        <w:t xml:space="preserve"> o pła</w:t>
      </w:r>
      <w:r w:rsidRPr="00A33B9F">
        <w:rPr>
          <w:rFonts w:ascii="Times New Roman" w:hAnsi="Times New Roman"/>
          <w:noProof/>
          <w:sz w:val="24"/>
        </w:rPr>
        <w:t>tność, zarówno na potrzeby oceny wniosku</w:t>
      </w:r>
      <w:r w:rsidR="00A33B9F" w:rsidRPr="00A33B9F">
        <w:rPr>
          <w:rFonts w:ascii="Times New Roman" w:hAnsi="Times New Roman"/>
          <w:noProof/>
          <w:sz w:val="24"/>
        </w:rPr>
        <w:t xml:space="preserve"> o pła</w:t>
      </w:r>
      <w:r w:rsidRPr="00A33B9F">
        <w:rPr>
          <w:rFonts w:ascii="Times New Roman" w:hAnsi="Times New Roman"/>
          <w:noProof/>
          <w:sz w:val="24"/>
        </w:rPr>
        <w:t>tność zgodnie</w:t>
      </w:r>
      <w:r w:rsidR="00A33B9F" w:rsidRPr="00A33B9F">
        <w:rPr>
          <w:rFonts w:ascii="Times New Roman" w:hAnsi="Times New Roman"/>
          <w:noProof/>
          <w:sz w:val="24"/>
        </w:rPr>
        <w:t xml:space="preserve"> z art</w:t>
      </w:r>
      <w:r w:rsidRPr="00A33B9F">
        <w:rPr>
          <w:rFonts w:ascii="Times New Roman" w:hAnsi="Times New Roman"/>
          <w:noProof/>
          <w:sz w:val="24"/>
        </w:rPr>
        <w:t>.</w:t>
      </w:r>
      <w:r w:rsidR="00A33B9F" w:rsidRPr="00A33B9F">
        <w:rPr>
          <w:rFonts w:ascii="Times New Roman" w:hAnsi="Times New Roman"/>
          <w:noProof/>
          <w:sz w:val="24"/>
        </w:rPr>
        <w:t> </w:t>
      </w:r>
      <w:r w:rsidRPr="00A33B9F">
        <w:rPr>
          <w:rFonts w:ascii="Times New Roman" w:hAnsi="Times New Roman"/>
          <w:noProof/>
          <w:sz w:val="24"/>
        </w:rPr>
        <w:t>24 ust.</w:t>
      </w:r>
      <w:r w:rsidR="00A33B9F" w:rsidRPr="00A33B9F">
        <w:rPr>
          <w:rFonts w:ascii="Times New Roman" w:hAnsi="Times New Roman"/>
          <w:noProof/>
          <w:sz w:val="24"/>
        </w:rPr>
        <w:t> </w:t>
      </w:r>
      <w:r w:rsidRPr="00A33B9F">
        <w:rPr>
          <w:rFonts w:ascii="Times New Roman" w:hAnsi="Times New Roman"/>
          <w:noProof/>
          <w:sz w:val="24"/>
        </w:rPr>
        <w:t>3 rozporządzenia (UE) 2021/241, jak i do celów audytu</w:t>
      </w:r>
      <w:r w:rsidR="00A33B9F" w:rsidRPr="00A33B9F">
        <w:rPr>
          <w:rFonts w:ascii="Times New Roman" w:hAnsi="Times New Roman"/>
          <w:noProof/>
          <w:sz w:val="24"/>
        </w:rPr>
        <w:t xml:space="preserve"> i kon</w:t>
      </w:r>
      <w:r w:rsidRPr="00A33B9F">
        <w:rPr>
          <w:rFonts w:ascii="Times New Roman" w:hAnsi="Times New Roman"/>
          <w:noProof/>
          <w:sz w:val="24"/>
        </w:rPr>
        <w:t>troli.</w:t>
      </w:r>
    </w:p>
    <w:sectPr w:rsidR="007C4506" w:rsidRPr="00A33B9F" w:rsidSect="00C06196">
      <w:headerReference w:type="even" r:id="rId193"/>
      <w:headerReference w:type="default" r:id="rId194"/>
      <w:footerReference w:type="even" r:id="rId195"/>
      <w:footerReference w:type="default" r:id="rId196"/>
      <w:headerReference w:type="first" r:id="rId197"/>
      <w:footerReference w:type="first" r:id="rId198"/>
      <w:pgSz w:w="11907" w:h="16839"/>
      <w:pgMar w:top="720" w:right="1418" w:bottom="720"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4FDFC" w14:textId="77777777" w:rsidR="00B77201" w:rsidRPr="00A33B9F" w:rsidRDefault="00B77201">
      <w:pPr>
        <w:spacing w:after="0" w:line="240" w:lineRule="auto"/>
      </w:pPr>
      <w:r w:rsidRPr="00A33B9F">
        <w:separator/>
      </w:r>
    </w:p>
  </w:endnote>
  <w:endnote w:type="continuationSeparator" w:id="0">
    <w:p w14:paraId="1876B2DE" w14:textId="77777777" w:rsidR="00B77201" w:rsidRPr="00A33B9F" w:rsidRDefault="00B77201">
      <w:pPr>
        <w:spacing w:after="0" w:line="240" w:lineRule="auto"/>
      </w:pPr>
      <w:r w:rsidRPr="00A33B9F">
        <w:continuationSeparator/>
      </w:r>
    </w:p>
  </w:endnote>
  <w:endnote w:type="continuationNotice" w:id="1">
    <w:p w14:paraId="73B765B5" w14:textId="77777777" w:rsidR="00B77201" w:rsidRPr="00A33B9F" w:rsidRDefault="00B77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BE43" w14:textId="0167F60F" w:rsidR="00A33B9F" w:rsidRPr="00092C82" w:rsidRDefault="00A33B9F" w:rsidP="00092C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8F9D"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726447"/>
      <w:docPartObj>
        <w:docPartGallery w:val="Page Numbers (Bottom of Page)"/>
        <w:docPartUnique/>
      </w:docPartObj>
    </w:sdtPr>
    <w:sdtEndPr>
      <w:rPr>
        <w:noProof/>
      </w:rPr>
    </w:sdtEndPr>
    <w:sdtContent>
      <w:p w14:paraId="1BFCAB3B" w14:textId="668BE7F8" w:rsidR="0035718C" w:rsidRDefault="0035718C">
        <w:pPr>
          <w:pStyle w:val="Footer"/>
          <w:jc w:val="center"/>
        </w:pPr>
        <w:r>
          <w:fldChar w:fldCharType="begin"/>
        </w:r>
        <w:r>
          <w:instrText xml:space="preserve"> PAGE   \* MERGEFORMAT </w:instrText>
        </w:r>
        <w:r>
          <w:fldChar w:fldCharType="separate"/>
        </w:r>
        <w:r w:rsidR="005A4630">
          <w:t>46</w:t>
        </w:r>
        <w:r>
          <w:fldChar w:fldCharType="end"/>
        </w:r>
      </w:p>
    </w:sdtContent>
  </w:sdt>
  <w:p w14:paraId="2C1B9DCD" w14:textId="77777777" w:rsidR="00234C48" w:rsidRDefault="00234C4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ED67"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D62B"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06784"/>
      <w:docPartObj>
        <w:docPartGallery w:val="Page Numbers (Bottom of Page)"/>
        <w:docPartUnique/>
      </w:docPartObj>
    </w:sdtPr>
    <w:sdtEndPr>
      <w:rPr>
        <w:noProof/>
      </w:rPr>
    </w:sdtEndPr>
    <w:sdtContent>
      <w:p w14:paraId="3CC545DB" w14:textId="009F2E3E" w:rsidR="0035718C" w:rsidRDefault="0035718C">
        <w:pPr>
          <w:pStyle w:val="Footer"/>
          <w:jc w:val="center"/>
        </w:pPr>
        <w:r>
          <w:fldChar w:fldCharType="begin"/>
        </w:r>
        <w:r>
          <w:instrText xml:space="preserve"> PAGE   \* MERGEFORMAT </w:instrText>
        </w:r>
        <w:r>
          <w:fldChar w:fldCharType="separate"/>
        </w:r>
        <w:r w:rsidR="005A4630">
          <w:t>57</w:t>
        </w:r>
        <w:r>
          <w:fldChar w:fldCharType="end"/>
        </w:r>
      </w:p>
    </w:sdtContent>
  </w:sdt>
  <w:p w14:paraId="528F4EBA" w14:textId="77777777" w:rsidR="00234C48" w:rsidRDefault="00234C4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6A9B"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9CF1D"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950216"/>
      <w:docPartObj>
        <w:docPartGallery w:val="Page Numbers (Bottom of Page)"/>
        <w:docPartUnique/>
      </w:docPartObj>
    </w:sdtPr>
    <w:sdtEndPr>
      <w:rPr>
        <w:noProof/>
      </w:rPr>
    </w:sdtEndPr>
    <w:sdtContent>
      <w:p w14:paraId="2CEADA93" w14:textId="6879B40D" w:rsidR="0035718C" w:rsidRDefault="0035718C">
        <w:pPr>
          <w:pStyle w:val="Footer"/>
          <w:jc w:val="center"/>
        </w:pPr>
        <w:r>
          <w:fldChar w:fldCharType="begin"/>
        </w:r>
        <w:r>
          <w:instrText xml:space="preserve"> PAGE   \* MERGEFORMAT </w:instrText>
        </w:r>
        <w:r>
          <w:fldChar w:fldCharType="separate"/>
        </w:r>
        <w:r w:rsidR="005A4630">
          <w:t>59</w:t>
        </w:r>
        <w:r>
          <w:fldChar w:fldCharType="end"/>
        </w:r>
      </w:p>
    </w:sdtContent>
  </w:sdt>
  <w:p w14:paraId="6BDE5E81" w14:textId="77777777" w:rsidR="00234C48" w:rsidRDefault="00234C4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16AE"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2BA6"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35CD" w14:textId="654E85A0" w:rsidR="00A33B9F" w:rsidRPr="00092C82" w:rsidRDefault="00092C82" w:rsidP="00092C82">
    <w:pPr>
      <w:pStyle w:val="FooterCoverPage"/>
      <w:rPr>
        <w:rFonts w:ascii="Arial" w:hAnsi="Arial" w:cs="Arial"/>
        <w:b/>
        <w:sz w:val="48"/>
      </w:rPr>
    </w:pPr>
    <w:r w:rsidRPr="00092C82">
      <w:rPr>
        <w:rFonts w:ascii="Arial" w:hAnsi="Arial" w:cs="Arial"/>
        <w:b/>
        <w:sz w:val="48"/>
      </w:rPr>
      <w:t>PL</w:t>
    </w:r>
    <w:r w:rsidRPr="00092C82">
      <w:rPr>
        <w:rFonts w:ascii="Arial" w:hAnsi="Arial" w:cs="Arial"/>
        <w:b/>
        <w:sz w:val="48"/>
      </w:rPr>
      <w:tab/>
    </w:r>
    <w:r w:rsidRPr="00092C82">
      <w:rPr>
        <w:rFonts w:ascii="Arial" w:hAnsi="Arial" w:cs="Arial"/>
        <w:b/>
        <w:sz w:val="48"/>
      </w:rPr>
      <w:tab/>
    </w:r>
    <w:r w:rsidRPr="00092C82">
      <w:tab/>
    </w:r>
    <w:r w:rsidRPr="00092C82">
      <w:rPr>
        <w:rFonts w:ascii="Arial" w:hAnsi="Arial" w:cs="Arial"/>
        <w:b/>
        <w:sz w:val="48"/>
      </w:rPr>
      <w:t>PL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325060"/>
      <w:docPartObj>
        <w:docPartGallery w:val="Page Numbers (Bottom of Page)"/>
        <w:docPartUnique/>
      </w:docPartObj>
    </w:sdtPr>
    <w:sdtEndPr>
      <w:rPr>
        <w:noProof/>
      </w:rPr>
    </w:sdtEndPr>
    <w:sdtContent>
      <w:p w14:paraId="07743EC9" w14:textId="28C72975" w:rsidR="0035718C" w:rsidRDefault="0035718C">
        <w:pPr>
          <w:pStyle w:val="Footer"/>
          <w:jc w:val="center"/>
        </w:pPr>
        <w:r>
          <w:fldChar w:fldCharType="begin"/>
        </w:r>
        <w:r>
          <w:instrText xml:space="preserve"> PAGE   \* MERGEFORMAT </w:instrText>
        </w:r>
        <w:r>
          <w:fldChar w:fldCharType="separate"/>
        </w:r>
        <w:r w:rsidR="005A4630">
          <w:t>65</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A7268" w14:textId="77777777" w:rsidR="005A529A" w:rsidRDefault="005A529A">
    <w:pPr>
      <w:pStyle w:val="Normal0"/>
      <w:pBdr>
        <w:top w:val="nil"/>
        <w:left w:val="nil"/>
        <w:bottom w:val="nil"/>
        <w:right w:val="nil"/>
        <w:between w:val="nil"/>
      </w:pBdr>
      <w:tabs>
        <w:tab w:val="center" w:pos="7285"/>
        <w:tab w:val="center" w:pos="10913"/>
        <w:tab w:val="right" w:pos="15137"/>
      </w:tabs>
      <w:spacing w:before="360" w:after="0" w:line="240" w:lineRule="auto"/>
      <w:ind w:left="-567" w:right="-567"/>
      <w:rPr>
        <w:rFonts w:ascii="Times New Roman" w:eastAsia="Times New Roman" w:hAnsi="Times New Roman" w:cs="Times New Roman"/>
        <w:color w:val="000000"/>
        <w:sz w:val="24"/>
        <w:szCs w:val="24"/>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F58C"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934213"/>
      <w:docPartObj>
        <w:docPartGallery w:val="Page Numbers (Bottom of Page)"/>
        <w:docPartUnique/>
      </w:docPartObj>
    </w:sdtPr>
    <w:sdtEndPr>
      <w:rPr>
        <w:noProof/>
      </w:rPr>
    </w:sdtEndPr>
    <w:sdtContent>
      <w:p w14:paraId="6DCA6806" w14:textId="61C7BA97" w:rsidR="0035718C" w:rsidRDefault="0035718C">
        <w:pPr>
          <w:pStyle w:val="Footer"/>
          <w:jc w:val="center"/>
        </w:pPr>
        <w:r>
          <w:fldChar w:fldCharType="begin"/>
        </w:r>
        <w:r>
          <w:instrText xml:space="preserve"> PAGE   \* MERGEFORMAT </w:instrText>
        </w:r>
        <w:r>
          <w:fldChar w:fldCharType="separate"/>
        </w:r>
        <w:r w:rsidR="005A4630">
          <w:t>73</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2604"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6C7C"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099415"/>
      <w:docPartObj>
        <w:docPartGallery w:val="Page Numbers (Bottom of Page)"/>
        <w:docPartUnique/>
      </w:docPartObj>
    </w:sdtPr>
    <w:sdtEndPr>
      <w:rPr>
        <w:noProof/>
      </w:rPr>
    </w:sdtEndPr>
    <w:sdtContent>
      <w:p w14:paraId="0A03F67D" w14:textId="1BA8D092" w:rsidR="0035718C" w:rsidRDefault="0035718C">
        <w:pPr>
          <w:pStyle w:val="Footer"/>
          <w:jc w:val="center"/>
        </w:pPr>
        <w:r>
          <w:fldChar w:fldCharType="begin"/>
        </w:r>
        <w:r>
          <w:instrText xml:space="preserve"> PAGE   \* MERGEFORMAT </w:instrText>
        </w:r>
        <w:r>
          <w:fldChar w:fldCharType="separate"/>
        </w:r>
        <w:r w:rsidR="005A4630">
          <w:t>85</w:t>
        </w:r>
        <w: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7D4A"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F150"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896100"/>
      <w:docPartObj>
        <w:docPartGallery w:val="Page Numbers (Bottom of Page)"/>
        <w:docPartUnique/>
      </w:docPartObj>
    </w:sdtPr>
    <w:sdtEndPr>
      <w:rPr>
        <w:noProof/>
      </w:rPr>
    </w:sdtEndPr>
    <w:sdtContent>
      <w:p w14:paraId="681C189E" w14:textId="235551EE" w:rsidR="0035718C" w:rsidRDefault="0035718C">
        <w:pPr>
          <w:pStyle w:val="Footer"/>
          <w:jc w:val="center"/>
        </w:pPr>
        <w:r>
          <w:fldChar w:fldCharType="begin"/>
        </w:r>
        <w:r>
          <w:instrText xml:space="preserve"> PAGE   \* MERGEFORMAT </w:instrText>
        </w:r>
        <w:r>
          <w:fldChar w:fldCharType="separate"/>
        </w:r>
        <w:r w:rsidR="005A4630">
          <w:t>93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DEE8" w14:textId="77777777" w:rsidR="00092C82" w:rsidRPr="00092C82" w:rsidRDefault="00092C82" w:rsidP="00092C82">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3745"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8BA75"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19826"/>
      <w:docPartObj>
        <w:docPartGallery w:val="Page Numbers (Bottom of Page)"/>
        <w:docPartUnique/>
      </w:docPartObj>
    </w:sdtPr>
    <w:sdtEndPr>
      <w:rPr>
        <w:noProof/>
      </w:rPr>
    </w:sdtEndPr>
    <w:sdtContent>
      <w:p w14:paraId="5E315704" w14:textId="5D223257" w:rsidR="0035718C" w:rsidRDefault="0035718C">
        <w:pPr>
          <w:pStyle w:val="Footer"/>
          <w:jc w:val="center"/>
        </w:pPr>
        <w:r>
          <w:fldChar w:fldCharType="begin"/>
        </w:r>
        <w:r>
          <w:instrText xml:space="preserve"> PAGE   \* MERGEFORMAT </w:instrText>
        </w:r>
        <w:r>
          <w:fldChar w:fldCharType="separate"/>
        </w:r>
        <w:r w:rsidR="005A4630">
          <w:t>110</w:t>
        </w:r>
        <w: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E9D9"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6A81"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742580"/>
      <w:docPartObj>
        <w:docPartGallery w:val="Page Numbers (Bottom of Page)"/>
        <w:docPartUnique/>
      </w:docPartObj>
    </w:sdtPr>
    <w:sdtEndPr>
      <w:rPr>
        <w:noProof/>
      </w:rPr>
    </w:sdtEndPr>
    <w:sdtContent>
      <w:p w14:paraId="7A6C45C8" w14:textId="6217DB91" w:rsidR="0035718C" w:rsidRDefault="0035718C">
        <w:pPr>
          <w:pStyle w:val="Footer"/>
          <w:jc w:val="center"/>
        </w:pPr>
        <w:r>
          <w:fldChar w:fldCharType="begin"/>
        </w:r>
        <w:r>
          <w:instrText xml:space="preserve"> PAGE   \* MERGEFORMAT </w:instrText>
        </w:r>
        <w:r>
          <w:fldChar w:fldCharType="separate"/>
        </w:r>
        <w:r w:rsidR="005A4630">
          <w:t>115</w:t>
        </w:r>
        <w: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7A80"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69A3"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530485"/>
      <w:docPartObj>
        <w:docPartGallery w:val="Page Numbers (Bottom of Page)"/>
        <w:docPartUnique/>
      </w:docPartObj>
    </w:sdtPr>
    <w:sdtEndPr>
      <w:rPr>
        <w:noProof/>
      </w:rPr>
    </w:sdtEndPr>
    <w:sdtContent>
      <w:p w14:paraId="33002790" w14:textId="50A87FC1" w:rsidR="0035718C" w:rsidRDefault="0035718C">
        <w:pPr>
          <w:pStyle w:val="Footer"/>
          <w:jc w:val="center"/>
        </w:pPr>
        <w:r>
          <w:fldChar w:fldCharType="begin"/>
        </w:r>
        <w:r>
          <w:instrText xml:space="preserve"> PAGE   \* MERGEFORMAT </w:instrText>
        </w:r>
        <w:r>
          <w:fldChar w:fldCharType="separate"/>
        </w:r>
        <w:r w:rsidR="005A4630">
          <w:t>129</w:t>
        </w:r>
        <w:r>
          <w:fldChar w:fldCharType="end"/>
        </w:r>
      </w:p>
    </w:sdtContent>
  </w:sdt>
  <w:p w14:paraId="69752CAF" w14:textId="77777777" w:rsidR="00234C48" w:rsidRDefault="00234C48">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8875"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783A"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3FC6"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275765"/>
      <w:docPartObj>
        <w:docPartGallery w:val="Page Numbers (Bottom of Page)"/>
        <w:docPartUnique/>
      </w:docPartObj>
    </w:sdtPr>
    <w:sdtEndPr>
      <w:rPr>
        <w:noProof/>
      </w:rPr>
    </w:sdtEndPr>
    <w:sdtContent>
      <w:p w14:paraId="130E4C1D" w14:textId="140A4847" w:rsidR="0035718C" w:rsidRDefault="0035718C">
        <w:pPr>
          <w:pStyle w:val="Footer"/>
          <w:jc w:val="center"/>
        </w:pPr>
        <w:r>
          <w:fldChar w:fldCharType="begin"/>
        </w:r>
        <w:r>
          <w:instrText xml:space="preserve"> PAGE   \* MERGEFORMAT </w:instrText>
        </w:r>
        <w:r>
          <w:fldChar w:fldCharType="separate"/>
        </w:r>
        <w:r w:rsidR="005A4630">
          <w:t>132</w:t>
        </w:r>
        <w: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80729"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DC78"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283194"/>
      <w:docPartObj>
        <w:docPartGallery w:val="Page Numbers (Bottom of Page)"/>
        <w:docPartUnique/>
      </w:docPartObj>
    </w:sdtPr>
    <w:sdtEndPr>
      <w:rPr>
        <w:noProof/>
      </w:rPr>
    </w:sdtEndPr>
    <w:sdtContent>
      <w:p w14:paraId="7A19C098" w14:textId="190B139F" w:rsidR="0035718C" w:rsidRDefault="0035718C">
        <w:pPr>
          <w:pStyle w:val="Footer"/>
          <w:jc w:val="center"/>
        </w:pPr>
        <w:r>
          <w:fldChar w:fldCharType="begin"/>
        </w:r>
        <w:r>
          <w:instrText xml:space="preserve"> PAGE   \* MERGEFORMAT </w:instrText>
        </w:r>
        <w:r>
          <w:fldChar w:fldCharType="separate"/>
        </w:r>
        <w:r w:rsidR="005A4630">
          <w:t>138</w:t>
        </w:r>
        <w:r>
          <w:fldChar w:fldCharType="end"/>
        </w:r>
      </w:p>
    </w:sdtContent>
  </w:sdt>
  <w:p w14:paraId="768A3D53" w14:textId="77777777" w:rsidR="00234C48" w:rsidRDefault="00234C48">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664E"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47C2"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815801"/>
      <w:docPartObj>
        <w:docPartGallery w:val="Page Numbers (Bottom of Page)"/>
        <w:docPartUnique/>
      </w:docPartObj>
    </w:sdtPr>
    <w:sdtEndPr>
      <w:rPr>
        <w:noProof/>
      </w:rPr>
    </w:sdtEndPr>
    <w:sdtContent>
      <w:p w14:paraId="0882DD37" w14:textId="4EFB8779" w:rsidR="0035718C" w:rsidRDefault="0035718C">
        <w:pPr>
          <w:pStyle w:val="Footer"/>
          <w:jc w:val="center"/>
        </w:pPr>
        <w:r>
          <w:fldChar w:fldCharType="begin"/>
        </w:r>
        <w:r>
          <w:instrText xml:space="preserve"> PAGE   \* MERGEFORMAT </w:instrText>
        </w:r>
        <w:r>
          <w:fldChar w:fldCharType="separate"/>
        </w:r>
        <w:r w:rsidR="005A4630">
          <w:t>142</w:t>
        </w:r>
        <w: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7C88"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E600"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048168"/>
      <w:docPartObj>
        <w:docPartGallery w:val="Page Numbers (Bottom of Page)"/>
        <w:docPartUnique/>
      </w:docPartObj>
    </w:sdtPr>
    <w:sdtEndPr>
      <w:rPr>
        <w:noProof/>
      </w:rPr>
    </w:sdtEndPr>
    <w:sdtContent>
      <w:p w14:paraId="7B82276A" w14:textId="769BC612" w:rsidR="0021753A" w:rsidRDefault="0021753A">
        <w:pPr>
          <w:pStyle w:val="Footer"/>
          <w:jc w:val="center"/>
        </w:pPr>
        <w:r>
          <w:fldChar w:fldCharType="begin"/>
        </w:r>
        <w:r>
          <w:instrText xml:space="preserve"> PAGE   \* MERGEFORMAT </w:instrText>
        </w:r>
        <w:r>
          <w:fldChar w:fldCharType="separate"/>
        </w:r>
        <w:r w:rsidR="00092C82">
          <w:rPr>
            <w:noProof/>
          </w:rPr>
          <w:t>1</w:t>
        </w:r>
        <w:r>
          <w:fldChar w:fldCharType="end"/>
        </w:r>
      </w:p>
    </w:sdtContent>
  </w:sdt>
  <w:p w14:paraId="3C0724AC" w14:textId="77777777" w:rsidR="00234C48" w:rsidRDefault="00234C4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713000"/>
      <w:docPartObj>
        <w:docPartGallery w:val="Page Numbers (Bottom of Page)"/>
        <w:docPartUnique/>
      </w:docPartObj>
    </w:sdtPr>
    <w:sdtEndPr>
      <w:rPr>
        <w:noProof/>
      </w:rPr>
    </w:sdtEndPr>
    <w:sdtContent>
      <w:p w14:paraId="1B0B5491" w14:textId="78D857E1" w:rsidR="0035718C" w:rsidRDefault="0035718C">
        <w:pPr>
          <w:pStyle w:val="Footer"/>
          <w:jc w:val="center"/>
        </w:pPr>
        <w:r>
          <w:fldChar w:fldCharType="begin"/>
        </w:r>
        <w:r>
          <w:instrText xml:space="preserve"> PAGE   \* MERGEFORMAT </w:instrText>
        </w:r>
        <w:r>
          <w:fldChar w:fldCharType="separate"/>
        </w:r>
        <w:r w:rsidR="005A4630">
          <w:t>163</w:t>
        </w:r>
        <w:r>
          <w:fldChar w:fldCharType="end"/>
        </w:r>
      </w:p>
    </w:sdtContent>
  </w:sdt>
  <w:p w14:paraId="0325E908" w14:textId="77777777" w:rsidR="00234C48" w:rsidRDefault="00234C48">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5D32"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03EDE"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275339"/>
      <w:docPartObj>
        <w:docPartGallery w:val="Page Numbers (Bottom of Page)"/>
        <w:docPartUnique/>
      </w:docPartObj>
    </w:sdtPr>
    <w:sdtEndPr>
      <w:rPr>
        <w:noProof/>
      </w:rPr>
    </w:sdtEndPr>
    <w:sdtContent>
      <w:p w14:paraId="6C6B8A88" w14:textId="796D7725" w:rsidR="0035718C" w:rsidRDefault="0035718C">
        <w:pPr>
          <w:pStyle w:val="Footer"/>
          <w:jc w:val="center"/>
        </w:pPr>
        <w:r>
          <w:fldChar w:fldCharType="begin"/>
        </w:r>
        <w:r>
          <w:instrText xml:space="preserve"> PAGE   \* MERGEFORMAT </w:instrText>
        </w:r>
        <w:r>
          <w:fldChar w:fldCharType="separate"/>
        </w:r>
        <w:r w:rsidR="005A4630">
          <w:t>164</w:t>
        </w:r>
        <w: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CA98"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C4CD"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037966"/>
      <w:docPartObj>
        <w:docPartGallery w:val="Page Numbers (Bottom of Page)"/>
        <w:docPartUnique/>
      </w:docPartObj>
    </w:sdtPr>
    <w:sdtEndPr>
      <w:rPr>
        <w:noProof/>
      </w:rPr>
    </w:sdtEndPr>
    <w:sdtContent>
      <w:p w14:paraId="03735864" w14:textId="0CD8CB20" w:rsidR="0035718C" w:rsidRDefault="0035718C">
        <w:pPr>
          <w:pStyle w:val="Footer"/>
          <w:jc w:val="center"/>
        </w:pPr>
        <w:r>
          <w:fldChar w:fldCharType="begin"/>
        </w:r>
        <w:r>
          <w:instrText xml:space="preserve"> PAGE   \* MERGEFORMAT </w:instrText>
        </w:r>
        <w:r>
          <w:fldChar w:fldCharType="separate"/>
        </w:r>
        <w:r w:rsidR="005A4630">
          <w:t>169</w:t>
        </w:r>
        <w:r>
          <w:fldChar w:fldCharType="end"/>
        </w:r>
      </w:p>
    </w:sdtContent>
  </w:sdt>
  <w:p w14:paraId="3E36D0D1" w14:textId="77777777" w:rsidR="00234C48" w:rsidRDefault="00234C4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F9AD"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4643"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686600"/>
      <w:docPartObj>
        <w:docPartGallery w:val="Page Numbers (Bottom of Page)"/>
        <w:docPartUnique/>
      </w:docPartObj>
    </w:sdtPr>
    <w:sdtEndPr>
      <w:rPr>
        <w:noProof/>
      </w:rPr>
    </w:sdtEndPr>
    <w:sdtContent>
      <w:p w14:paraId="461090FE" w14:textId="1EDDD368" w:rsidR="0035718C" w:rsidRDefault="0035718C">
        <w:pPr>
          <w:pStyle w:val="Footer"/>
          <w:jc w:val="center"/>
        </w:pPr>
        <w:r>
          <w:fldChar w:fldCharType="begin"/>
        </w:r>
        <w:r>
          <w:instrText xml:space="preserve"> PAGE   \* MERGEFORMAT </w:instrText>
        </w:r>
        <w:r>
          <w:fldChar w:fldCharType="separate"/>
        </w:r>
        <w:r w:rsidR="005A4630">
          <w:t>174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8E78"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568E"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3B45"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341130"/>
      <w:docPartObj>
        <w:docPartGallery w:val="Page Numbers (Bottom of Page)"/>
        <w:docPartUnique/>
      </w:docPartObj>
    </w:sdtPr>
    <w:sdtEndPr>
      <w:rPr>
        <w:noProof/>
      </w:rPr>
    </w:sdtEndPr>
    <w:sdtContent>
      <w:p w14:paraId="29E14981" w14:textId="18A0E009" w:rsidR="0035718C" w:rsidRDefault="0035718C">
        <w:pPr>
          <w:pStyle w:val="Footer"/>
          <w:jc w:val="center"/>
        </w:pPr>
        <w:r>
          <w:fldChar w:fldCharType="begin"/>
        </w:r>
        <w:r>
          <w:instrText xml:space="preserve"> PAGE   \* MERGEFORMAT </w:instrText>
        </w:r>
        <w:r>
          <w:fldChar w:fldCharType="separate"/>
        </w:r>
        <w:r w:rsidR="005A4630">
          <w:t>184</w:t>
        </w:r>
        <w:r>
          <w:fldChar w:fldCharType="end"/>
        </w:r>
      </w:p>
    </w:sdtContent>
  </w:sdt>
  <w:p w14:paraId="17461BEE" w14:textId="77777777" w:rsidR="00234C48" w:rsidRDefault="00234C48">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F7AA"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251A"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13178"/>
      <w:docPartObj>
        <w:docPartGallery w:val="Page Numbers (Bottom of Page)"/>
        <w:docPartUnique/>
      </w:docPartObj>
    </w:sdtPr>
    <w:sdtEndPr>
      <w:rPr>
        <w:noProof/>
      </w:rPr>
    </w:sdtEndPr>
    <w:sdtContent>
      <w:p w14:paraId="0E1D7BCB" w14:textId="52F9D5CD" w:rsidR="0035718C" w:rsidRDefault="0035718C">
        <w:pPr>
          <w:pStyle w:val="Footer"/>
          <w:jc w:val="center"/>
        </w:pPr>
        <w:r>
          <w:fldChar w:fldCharType="begin"/>
        </w:r>
        <w:r>
          <w:instrText xml:space="preserve"> PAGE   \* MERGEFORMAT </w:instrText>
        </w:r>
        <w:r>
          <w:fldChar w:fldCharType="separate"/>
        </w:r>
        <w:r w:rsidR="005A4630">
          <w:t>185</w:t>
        </w:r>
        <w: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FDB1"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30FB"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400464"/>
      <w:docPartObj>
        <w:docPartGallery w:val="Page Numbers (Bottom of Page)"/>
        <w:docPartUnique/>
      </w:docPartObj>
    </w:sdtPr>
    <w:sdtEndPr>
      <w:rPr>
        <w:noProof/>
      </w:rPr>
    </w:sdtEndPr>
    <w:sdtContent>
      <w:p w14:paraId="09D4B77B" w14:textId="0C5A4A99" w:rsidR="0035718C" w:rsidRDefault="0035718C">
        <w:pPr>
          <w:pStyle w:val="Footer"/>
          <w:jc w:val="center"/>
        </w:pPr>
        <w:r>
          <w:fldChar w:fldCharType="begin"/>
        </w:r>
        <w:r>
          <w:instrText xml:space="preserve"> PAGE   \* MERGEFORMAT </w:instrText>
        </w:r>
        <w:r>
          <w:fldChar w:fldCharType="separate"/>
        </w:r>
        <w:r w:rsidR="005A4630">
          <w:t>188</w:t>
        </w:r>
        <w:r>
          <w:fldChar w:fldCharType="end"/>
        </w:r>
      </w:p>
    </w:sdtContent>
  </w:sdt>
  <w:p w14:paraId="7BBF1DBF" w14:textId="77777777" w:rsidR="00234C48" w:rsidRDefault="00234C48">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A0AC"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11DD"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A522"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1617094"/>
      <w:docPartObj>
        <w:docPartGallery w:val="Page Numbers (Bottom of Page)"/>
        <w:docPartUnique/>
      </w:docPartObj>
    </w:sdtPr>
    <w:sdtEndPr>
      <w:rPr>
        <w:noProof/>
      </w:rPr>
    </w:sdtEndPr>
    <w:sdtContent>
      <w:p w14:paraId="13A8A1FB" w14:textId="30E2D86D" w:rsidR="0035718C" w:rsidRDefault="0035718C">
        <w:pPr>
          <w:pStyle w:val="Footer"/>
          <w:jc w:val="center"/>
        </w:pPr>
        <w:r>
          <w:fldChar w:fldCharType="begin"/>
        </w:r>
        <w:r>
          <w:instrText xml:space="preserve"> PAGE   \* MERGEFORMAT </w:instrText>
        </w:r>
        <w:r>
          <w:fldChar w:fldCharType="separate"/>
        </w:r>
        <w:r w:rsidR="005A4630">
          <w:t>191</w:t>
        </w:r>
        <w: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F8D"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4A15"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04418"/>
      <w:docPartObj>
        <w:docPartGallery w:val="Page Numbers (Bottom of Page)"/>
        <w:docPartUnique/>
      </w:docPartObj>
    </w:sdtPr>
    <w:sdtEndPr>
      <w:rPr>
        <w:noProof/>
      </w:rPr>
    </w:sdtEndPr>
    <w:sdtContent>
      <w:p w14:paraId="0ABBCEF8" w14:textId="5F024628" w:rsidR="0035718C" w:rsidRDefault="0035718C">
        <w:pPr>
          <w:pStyle w:val="Footer"/>
          <w:jc w:val="center"/>
        </w:pPr>
        <w:r>
          <w:fldChar w:fldCharType="begin"/>
        </w:r>
        <w:r>
          <w:instrText xml:space="preserve"> PAGE   \* MERGEFORMAT </w:instrText>
        </w:r>
        <w:r>
          <w:fldChar w:fldCharType="separate"/>
        </w:r>
        <w:r w:rsidR="005A4630">
          <w:t>196</w:t>
        </w:r>
        <w:r>
          <w:fldChar w:fldCharType="end"/>
        </w:r>
      </w:p>
    </w:sdtContent>
  </w:sdt>
  <w:p w14:paraId="2A36F122" w14:textId="77777777" w:rsidR="00234C48" w:rsidRDefault="00234C48">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3F18"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326A"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740300"/>
      <w:docPartObj>
        <w:docPartGallery w:val="Page Numbers (Bottom of Page)"/>
        <w:docPartUnique/>
      </w:docPartObj>
    </w:sdtPr>
    <w:sdtEndPr>
      <w:rPr>
        <w:noProof/>
      </w:rPr>
    </w:sdtEndPr>
    <w:sdtContent>
      <w:p w14:paraId="221E7065" w14:textId="34DCE049" w:rsidR="0035718C" w:rsidRDefault="0035718C">
        <w:pPr>
          <w:pStyle w:val="Footer"/>
          <w:jc w:val="center"/>
        </w:pPr>
        <w:r>
          <w:fldChar w:fldCharType="begin"/>
        </w:r>
        <w:r>
          <w:instrText xml:space="preserve"> PAGE   \* MERGEFORMAT </w:instrText>
        </w:r>
        <w:r>
          <w:fldChar w:fldCharType="separate"/>
        </w:r>
        <w:r w:rsidR="005A4630">
          <w:t>202</w:t>
        </w:r>
        <w: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9198"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17C0B"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087667"/>
      <w:docPartObj>
        <w:docPartGallery w:val="Page Numbers (Bottom of Page)"/>
        <w:docPartUnique/>
      </w:docPartObj>
    </w:sdtPr>
    <w:sdtEndPr>
      <w:rPr>
        <w:noProof/>
      </w:rPr>
    </w:sdtEndPr>
    <w:sdtContent>
      <w:p w14:paraId="30DB5168" w14:textId="2524562E" w:rsidR="0035718C" w:rsidRDefault="0035718C">
        <w:pPr>
          <w:pStyle w:val="Footer"/>
          <w:jc w:val="center"/>
        </w:pPr>
        <w:r>
          <w:fldChar w:fldCharType="begin"/>
        </w:r>
        <w:r>
          <w:instrText xml:space="preserve"> PAGE   \* MERGEFORMAT </w:instrText>
        </w:r>
        <w:r>
          <w:fldChar w:fldCharType="separate"/>
        </w:r>
        <w:r w:rsidR="00C51273">
          <w:rPr>
            <w:noProof/>
          </w:rPr>
          <w:t>20</w:t>
        </w:r>
        <w:r>
          <w:fldChar w:fldCharType="end"/>
        </w:r>
      </w:p>
    </w:sdtContent>
  </w:sdt>
  <w:p w14:paraId="666BA32D" w14:textId="77777777" w:rsidR="00234C48" w:rsidRDefault="00234C48">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49833"/>
      <w:docPartObj>
        <w:docPartGallery w:val="Page Numbers (Bottom of Page)"/>
        <w:docPartUnique/>
      </w:docPartObj>
    </w:sdtPr>
    <w:sdtEndPr>
      <w:rPr>
        <w:noProof/>
      </w:rPr>
    </w:sdtEndPr>
    <w:sdtContent>
      <w:p w14:paraId="1A377224" w14:textId="107FF8E4" w:rsidR="0035718C" w:rsidRDefault="0035718C">
        <w:pPr>
          <w:pStyle w:val="Footer"/>
          <w:jc w:val="center"/>
        </w:pPr>
        <w:r>
          <w:fldChar w:fldCharType="begin"/>
        </w:r>
        <w:r>
          <w:instrText xml:space="preserve"> PAGE   \* MERGEFORMAT </w:instrText>
        </w:r>
        <w:r>
          <w:fldChar w:fldCharType="separate"/>
        </w:r>
        <w:r w:rsidR="005A4630">
          <w:t>208</w:t>
        </w:r>
        <w:r>
          <w:fldChar w:fldCharType="end"/>
        </w:r>
      </w:p>
    </w:sdtContent>
  </w:sdt>
  <w:p w14:paraId="6EFCF006" w14:textId="77777777" w:rsidR="00234C48" w:rsidRDefault="00234C48">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4F0E"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9CCA"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21819"/>
      <w:docPartObj>
        <w:docPartGallery w:val="Page Numbers (Bottom of Page)"/>
        <w:docPartUnique/>
      </w:docPartObj>
    </w:sdtPr>
    <w:sdtEndPr>
      <w:rPr>
        <w:noProof/>
      </w:rPr>
    </w:sdtEndPr>
    <w:sdtContent>
      <w:p w14:paraId="299971A7" w14:textId="1F195FB3" w:rsidR="00781D11" w:rsidRDefault="00781D11">
        <w:pPr>
          <w:pStyle w:val="Footer"/>
          <w:jc w:val="center"/>
        </w:pPr>
        <w:r>
          <w:fldChar w:fldCharType="begin"/>
        </w:r>
        <w:r>
          <w:instrText xml:space="preserve"> PAGE   \* MERGEFORMAT </w:instrText>
        </w:r>
        <w:r>
          <w:fldChar w:fldCharType="separate"/>
        </w:r>
        <w:r w:rsidR="005A4630">
          <w:t>219</w:t>
        </w:r>
        <w:r>
          <w:fldChar w:fldCharType="end"/>
        </w:r>
      </w:p>
    </w:sdtContent>
  </w:sdt>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7543"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209"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579902"/>
      <w:docPartObj>
        <w:docPartGallery w:val="Page Numbers (Bottom of Page)"/>
        <w:docPartUnique/>
      </w:docPartObj>
    </w:sdtPr>
    <w:sdtEndPr>
      <w:rPr>
        <w:noProof/>
      </w:rPr>
    </w:sdtEndPr>
    <w:sdtContent>
      <w:p w14:paraId="4570F09C" w14:textId="63552CE3" w:rsidR="00781D11" w:rsidRDefault="00781D11">
        <w:pPr>
          <w:pStyle w:val="Footer"/>
          <w:jc w:val="center"/>
        </w:pPr>
        <w:r>
          <w:fldChar w:fldCharType="begin"/>
        </w:r>
        <w:r>
          <w:instrText xml:space="preserve"> PAGE   \* MERGEFORMAT </w:instrText>
        </w:r>
        <w:r>
          <w:fldChar w:fldCharType="separate"/>
        </w:r>
        <w:r w:rsidR="005A4630">
          <w:t>229</w:t>
        </w:r>
        <w:r>
          <w:fldChar w:fldCharType="end"/>
        </w:r>
      </w:p>
    </w:sdtContent>
  </w:sdt>
  <w:p w14:paraId="0B9B8AD5" w14:textId="77777777" w:rsidR="00234C48" w:rsidRDefault="00234C48">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2BDB" w14:textId="77777777" w:rsidR="00234C48" w:rsidRDefault="00234C48">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7FFA" w14:textId="77777777" w:rsidR="00D8141F" w:rsidRDefault="00D8141F">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86240"/>
      <w:docPartObj>
        <w:docPartGallery w:val="Page Numbers (Bottom of Page)"/>
        <w:docPartUnique/>
      </w:docPartObj>
    </w:sdtPr>
    <w:sdtEndPr>
      <w:rPr>
        <w:noProof/>
      </w:rPr>
    </w:sdtEndPr>
    <w:sdtContent>
      <w:p w14:paraId="0FC393E7" w14:textId="31DAADF8" w:rsidR="00D8141F" w:rsidRDefault="00D8141F">
        <w:pPr>
          <w:pStyle w:val="Footer"/>
          <w:jc w:val="center"/>
        </w:pPr>
        <w:r>
          <w:fldChar w:fldCharType="begin"/>
        </w:r>
        <w:r>
          <w:instrText xml:space="preserve"> PAGE   \* MERGEFORMAT </w:instrText>
        </w:r>
        <w:r>
          <w:fldChar w:fldCharType="separate"/>
        </w:r>
        <w:r w:rsidR="005A4630">
          <w:t>235</w:t>
        </w:r>
        <w:r>
          <w:fldChar w:fldCharType="end"/>
        </w:r>
      </w:p>
    </w:sdtContent>
  </w:sdt>
  <w:p w14:paraId="5D0DC99E" w14:textId="77777777" w:rsidR="00D8141F" w:rsidRDefault="00D8141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F3B9E"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5ED0" w14:textId="77777777" w:rsidR="00D8141F" w:rsidRDefault="00D8141F">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18B9"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20252"/>
      <w:docPartObj>
        <w:docPartGallery w:val="Page Numbers (Bottom of Page)"/>
        <w:docPartUnique/>
      </w:docPartObj>
    </w:sdtPr>
    <w:sdtEndPr>
      <w:rPr>
        <w:noProof/>
      </w:rPr>
    </w:sdtEndPr>
    <w:sdtContent>
      <w:p w14:paraId="101D63C4" w14:textId="04C53828" w:rsidR="00781D11" w:rsidRDefault="00781D11">
        <w:pPr>
          <w:pStyle w:val="Footer"/>
          <w:jc w:val="center"/>
        </w:pPr>
        <w:r>
          <w:fldChar w:fldCharType="begin"/>
        </w:r>
        <w:r>
          <w:instrText xml:space="preserve"> PAGE   \* MERGEFORMAT </w:instrText>
        </w:r>
        <w:r>
          <w:fldChar w:fldCharType="separate"/>
        </w:r>
        <w:r w:rsidR="005A4630">
          <w:t>265</w:t>
        </w:r>
        <w:r>
          <w:fldChar w:fldCharType="end"/>
        </w:r>
      </w:p>
    </w:sdtContent>
  </w:sdt>
  <w:p w14:paraId="769DAB48" w14:textId="77777777" w:rsidR="00234C48" w:rsidRDefault="00234C48">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2F2B" w14:textId="77777777" w:rsidR="005A529A" w:rsidRDefault="005A529A">
    <w:pPr>
      <w:pStyle w:val="Normal0"/>
      <w:pBdr>
        <w:top w:val="nil"/>
        <w:left w:val="nil"/>
        <w:bottom w:val="nil"/>
        <w:right w:val="nil"/>
        <w:between w:val="nil"/>
      </w:pBdr>
      <w:tabs>
        <w:tab w:val="center" w:pos="4535"/>
        <w:tab w:val="right" w:pos="9071"/>
        <w:tab w:val="right" w:pos="9921"/>
      </w:tabs>
      <w:spacing w:before="360" w:after="0" w:line="240" w:lineRule="auto"/>
      <w:ind w:left="-850" w:right="-850"/>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71491" w14:textId="77777777" w:rsidR="00B77201" w:rsidRPr="00A33B9F" w:rsidRDefault="00B77201">
      <w:pPr>
        <w:spacing w:after="0" w:line="240" w:lineRule="auto"/>
      </w:pPr>
      <w:r w:rsidRPr="00A33B9F">
        <w:separator/>
      </w:r>
    </w:p>
  </w:footnote>
  <w:footnote w:type="continuationSeparator" w:id="0">
    <w:p w14:paraId="438D6050" w14:textId="77777777" w:rsidR="00B77201" w:rsidRPr="00A33B9F" w:rsidRDefault="00B77201">
      <w:pPr>
        <w:spacing w:after="0" w:line="240" w:lineRule="auto"/>
      </w:pPr>
      <w:r w:rsidRPr="00A33B9F">
        <w:continuationSeparator/>
      </w:r>
    </w:p>
  </w:footnote>
  <w:footnote w:type="continuationNotice" w:id="1">
    <w:p w14:paraId="2B837CFB" w14:textId="77777777" w:rsidR="00B77201" w:rsidRPr="00A33B9F" w:rsidRDefault="00B77201">
      <w:pPr>
        <w:spacing w:after="0" w:line="240" w:lineRule="auto"/>
      </w:pPr>
    </w:p>
  </w:footnote>
  <w:footnote w:id="2">
    <w:p w14:paraId="686E7D65" w14:textId="3368C1D0" w:rsidR="005A529A" w:rsidRPr="00A33B9F" w:rsidRDefault="005A529A" w:rsidP="00377F1B">
      <w:pPr>
        <w:pStyle w:val="FootnoteText"/>
        <w:ind w:left="0" w:firstLine="0"/>
        <w:rPr>
          <w:sz w:val="18"/>
        </w:rPr>
      </w:pPr>
      <w:r w:rsidRPr="00A33B9F">
        <w:rPr>
          <w:rStyle w:val="FootnoteReference"/>
          <w:sz w:val="18"/>
        </w:rPr>
        <w:footnoteRef/>
      </w:r>
      <w:r w:rsidRPr="00A33B9F">
        <w:rPr>
          <w:sz w:val="18"/>
        </w:rPr>
        <w:t xml:space="preserve"> Zgodnie</w:t>
      </w:r>
      <w:r w:rsidR="00A33B9F" w:rsidRPr="00A33B9F">
        <w:rPr>
          <w:sz w:val="18"/>
        </w:rPr>
        <w:t xml:space="preserve"> z def</w:t>
      </w:r>
      <w:r w:rsidRPr="00A33B9F">
        <w:rPr>
          <w:sz w:val="18"/>
        </w:rPr>
        <w:t>inicją</w:t>
      </w:r>
      <w:r w:rsidR="00A33B9F" w:rsidRPr="00A33B9F">
        <w:rPr>
          <w:sz w:val="18"/>
        </w:rPr>
        <w:t xml:space="preserve"> w art</w:t>
      </w:r>
      <w:r w:rsidRPr="00A33B9F">
        <w:rPr>
          <w:sz w:val="18"/>
        </w:rPr>
        <w:t>.</w:t>
      </w:r>
      <w:r w:rsidR="00A33B9F" w:rsidRPr="00A33B9F">
        <w:rPr>
          <w:sz w:val="18"/>
        </w:rPr>
        <w:t> </w:t>
      </w:r>
      <w:r w:rsidRPr="00A33B9F">
        <w:rPr>
          <w:sz w:val="18"/>
        </w:rPr>
        <w:t>3 pkt</w:t>
      </w:r>
      <w:r w:rsidR="00A33B9F" w:rsidRPr="00A33B9F">
        <w:rPr>
          <w:sz w:val="18"/>
        </w:rPr>
        <w:t> </w:t>
      </w:r>
      <w:r w:rsidRPr="00A33B9F">
        <w:rPr>
          <w:sz w:val="18"/>
        </w:rPr>
        <w:t>11 rozporządzenia 2019/1242: pojazd nieposiadający silnika spalinowego lub posiadający silnik spalinowy,</w:t>
      </w:r>
      <w:r w:rsidR="00A33B9F" w:rsidRPr="00A33B9F">
        <w:rPr>
          <w:sz w:val="18"/>
        </w:rPr>
        <w:t xml:space="preserve"> z któ</w:t>
      </w:r>
      <w:r w:rsidRPr="00A33B9F">
        <w:rPr>
          <w:sz w:val="18"/>
        </w:rPr>
        <w:t>rego emisje nie przekraczają 1 g CO</w:t>
      </w:r>
      <w:r w:rsidRPr="00A33B9F">
        <w:rPr>
          <w:sz w:val="18"/>
          <w:vertAlign w:val="subscript"/>
        </w:rPr>
        <w:t>2/</w:t>
      </w:r>
      <w:r w:rsidRPr="00A33B9F">
        <w:rPr>
          <w:sz w:val="18"/>
        </w:rPr>
        <w:t>km.</w:t>
      </w:r>
    </w:p>
  </w:footnote>
  <w:footnote w:id="3">
    <w:p w14:paraId="62CABCB5" w14:textId="15EA4CDC" w:rsidR="005A529A" w:rsidRPr="00A33B9F" w:rsidRDefault="005A529A" w:rsidP="00377F1B">
      <w:pPr>
        <w:pStyle w:val="FootnoteText"/>
        <w:ind w:left="0" w:firstLine="0"/>
      </w:pPr>
      <w:r w:rsidRPr="00A33B9F">
        <w:rPr>
          <w:rStyle w:val="FootnoteReference"/>
          <w:sz w:val="18"/>
        </w:rPr>
        <w:footnoteRef/>
      </w:r>
      <w:r w:rsidRPr="00A33B9F">
        <w:rPr>
          <w:sz w:val="18"/>
        </w:rPr>
        <w:t xml:space="preserve"> Zgodnie</w:t>
      </w:r>
      <w:r w:rsidR="00A33B9F" w:rsidRPr="00A33B9F">
        <w:rPr>
          <w:sz w:val="18"/>
        </w:rPr>
        <w:t xml:space="preserve"> z def</w:t>
      </w:r>
      <w:r w:rsidRPr="00A33B9F">
        <w:rPr>
          <w:sz w:val="18"/>
        </w:rPr>
        <w:t>inicją</w:t>
      </w:r>
      <w:r w:rsidR="00A33B9F" w:rsidRPr="00A33B9F">
        <w:rPr>
          <w:sz w:val="18"/>
        </w:rPr>
        <w:t xml:space="preserve"> w art</w:t>
      </w:r>
      <w:r w:rsidRPr="00A33B9F">
        <w:rPr>
          <w:sz w:val="18"/>
        </w:rPr>
        <w:t>.</w:t>
      </w:r>
      <w:r w:rsidR="00A33B9F" w:rsidRPr="00A33B9F">
        <w:rPr>
          <w:sz w:val="18"/>
        </w:rPr>
        <w:t> </w:t>
      </w:r>
      <w:r w:rsidRPr="00A33B9F">
        <w:rPr>
          <w:sz w:val="18"/>
        </w:rPr>
        <w:t>3 pkt</w:t>
      </w:r>
      <w:r w:rsidR="00A33B9F" w:rsidRPr="00A33B9F">
        <w:rPr>
          <w:sz w:val="18"/>
        </w:rPr>
        <w:t> </w:t>
      </w:r>
      <w:r w:rsidRPr="00A33B9F">
        <w:rPr>
          <w:sz w:val="18"/>
        </w:rPr>
        <w:t>12 rozporządzenia (UE) 2019/1242:</w:t>
      </w:r>
      <w:r w:rsidR="00A33B9F" w:rsidRPr="00A33B9F">
        <w:rPr>
          <w:sz w:val="18"/>
        </w:rPr>
        <w:t xml:space="preserve"> o poz</w:t>
      </w:r>
      <w:r w:rsidRPr="00A33B9F">
        <w:rPr>
          <w:sz w:val="18"/>
        </w:rPr>
        <w:t>iomie emisji CO</w:t>
      </w:r>
      <w:r w:rsidRPr="00A33B9F">
        <w:rPr>
          <w:sz w:val="18"/>
          <w:vertAlign w:val="subscript"/>
        </w:rPr>
        <w:t>2</w:t>
      </w:r>
      <w:r w:rsidRPr="00A33B9F">
        <w:rPr>
          <w:sz w:val="18"/>
        </w:rPr>
        <w:t xml:space="preserve"> wynoszącym mniej niż połowa wartości emisji odniesienia CO</w:t>
      </w:r>
      <w:r w:rsidRPr="00A33B9F">
        <w:rPr>
          <w:sz w:val="18"/>
          <w:vertAlign w:val="subscript"/>
        </w:rPr>
        <w:t>2</w:t>
      </w:r>
      <w:r w:rsidRPr="00A33B9F">
        <w:rPr>
          <w:sz w:val="18"/>
        </w:rPr>
        <w:t xml:space="preserve"> dla wszystkich pojazdów</w:t>
      </w:r>
      <w:r w:rsidR="00A33B9F" w:rsidRPr="00A33B9F">
        <w:rPr>
          <w:sz w:val="18"/>
        </w:rPr>
        <w:t xml:space="preserve"> w pod</w:t>
      </w:r>
      <w:r w:rsidRPr="00A33B9F">
        <w:rPr>
          <w:sz w:val="18"/>
        </w:rPr>
        <w:t>grupie pojazdów; wartości referencyjne różnią się</w:t>
      </w:r>
      <w:r w:rsidR="00A33B9F" w:rsidRPr="00A33B9F">
        <w:rPr>
          <w:sz w:val="18"/>
        </w:rPr>
        <w:t xml:space="preserve"> w zal</w:t>
      </w:r>
      <w:r w:rsidRPr="00A33B9F">
        <w:rPr>
          <w:sz w:val="18"/>
        </w:rPr>
        <w:t>eżności od rodzaju ciężarówki.</w:t>
      </w:r>
    </w:p>
  </w:footnote>
  <w:footnote w:id="4">
    <w:p w14:paraId="63101451" w14:textId="56820647" w:rsidR="005A529A" w:rsidRPr="00A33B9F" w:rsidRDefault="005A529A"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A33B9F">
        <w:rPr>
          <w:rStyle w:val="FootnoteReference"/>
          <w:rFonts w:ascii="Times New Roman" w:hAnsi="Times New Roman" w:cs="Times New Roman"/>
          <w:sz w:val="18"/>
          <w:szCs w:val="18"/>
        </w:rPr>
        <w:footnoteRef/>
      </w:r>
      <w:r w:rsidRPr="00A33B9F">
        <w:rPr>
          <w:rFonts w:ascii="Times New Roman" w:hAnsi="Times New Roman"/>
          <w:color w:val="000000"/>
          <w:sz w:val="18"/>
        </w:rPr>
        <w:t xml:space="preserve"> Z wyjątkiem projektów</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tego działania dotyczących wytwarzania energii elektrycznej lub ciepła, jak również powiązanej infrastruktury przesyłowej</w:t>
      </w:r>
      <w:r w:rsidR="00A33B9F" w:rsidRPr="00A33B9F">
        <w:rPr>
          <w:rFonts w:ascii="Times New Roman" w:hAnsi="Times New Roman"/>
          <w:color w:val="000000"/>
          <w:sz w:val="18"/>
        </w:rPr>
        <w:t xml:space="preserve"> i dys</w:t>
      </w:r>
      <w:r w:rsidRPr="00A33B9F">
        <w:rPr>
          <w:rFonts w:ascii="Times New Roman" w:hAnsi="Times New Roman"/>
          <w:color w:val="000000"/>
          <w:sz w:val="18"/>
        </w:rPr>
        <w:t>trybucyjnej, wykorzystujących gaz ziemny, które są zgodne</w:t>
      </w:r>
      <w:r w:rsidR="00A33B9F" w:rsidRPr="00A33B9F">
        <w:rPr>
          <w:rFonts w:ascii="Times New Roman" w:hAnsi="Times New Roman"/>
          <w:color w:val="000000"/>
          <w:sz w:val="18"/>
        </w:rPr>
        <w:t xml:space="preserve"> z war</w:t>
      </w:r>
      <w:r w:rsidRPr="00A33B9F">
        <w:rPr>
          <w:rFonts w:ascii="Times New Roman" w:hAnsi="Times New Roman"/>
          <w:color w:val="000000"/>
          <w:sz w:val="18"/>
        </w:rPr>
        <w:t>unkami określonymi</w:t>
      </w:r>
      <w:r w:rsidR="00A33B9F" w:rsidRPr="00A33B9F">
        <w:rPr>
          <w:rFonts w:ascii="Times New Roman" w:hAnsi="Times New Roman"/>
          <w:color w:val="000000"/>
          <w:sz w:val="18"/>
        </w:rPr>
        <w:t xml:space="preserve"> w zał</w:t>
      </w:r>
      <w:r w:rsidRPr="00A33B9F">
        <w:rPr>
          <w:rFonts w:ascii="Times New Roman" w:hAnsi="Times New Roman"/>
          <w:color w:val="000000"/>
          <w:sz w:val="18"/>
        </w:rPr>
        <w:t>ączniku III do wytycznych technicznych dotyczących stosowania zasady „nie czyń poważnych szkód” (2021/C 58/01).</w:t>
      </w:r>
    </w:p>
  </w:footnote>
  <w:footnote w:id="5">
    <w:p w14:paraId="6296EAAA" w14:textId="2613C488" w:rsidR="005A529A" w:rsidRPr="00A33B9F" w:rsidRDefault="005A529A"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33B9F">
        <w:rPr>
          <w:rStyle w:val="FootnoteReference"/>
          <w:rFonts w:ascii="Times New Roman" w:hAnsi="Times New Roman" w:cs="Times New Roman"/>
          <w:sz w:val="18"/>
          <w:szCs w:val="18"/>
        </w:rPr>
        <w:footnoteRef/>
      </w:r>
      <w:r w:rsidRPr="00A33B9F">
        <w:rPr>
          <w:rFonts w:ascii="Times New Roman" w:hAnsi="Times New Roman"/>
          <w:color w:val="000000"/>
          <w:sz w:val="18"/>
        </w:rPr>
        <w:t xml:space="preserve"> Jeżeli</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rFonts w:ascii="Times New Roman" w:hAnsi="Times New Roman"/>
          <w:color w:val="000000"/>
          <w:sz w:val="18"/>
        </w:rPr>
        <w:t xml:space="preserve"> w zak</w:t>
      </w:r>
      <w:r w:rsidRPr="00A33B9F">
        <w:rPr>
          <w:rFonts w:ascii="Times New Roman" w:hAnsi="Times New Roman"/>
          <w:color w:val="000000"/>
          <w:sz w:val="18"/>
        </w:rPr>
        <w:t>res unijnego systemu handlu uprawnieniami do emisji, zgodnie</w:t>
      </w:r>
      <w:r w:rsidR="00A33B9F" w:rsidRPr="00A33B9F">
        <w:rPr>
          <w:rFonts w:ascii="Times New Roman" w:hAnsi="Times New Roman"/>
          <w:color w:val="000000"/>
          <w:sz w:val="18"/>
        </w:rPr>
        <w:t xml:space="preserve"> z roz</w:t>
      </w:r>
      <w:r w:rsidRPr="00A33B9F">
        <w:rPr>
          <w:rFonts w:ascii="Times New Roman" w:hAnsi="Times New Roman"/>
          <w:color w:val="000000"/>
          <w:sz w:val="18"/>
        </w:rPr>
        <w:t>porządzeniem wykonawczym Komisji (UE) 2021/447.</w:t>
      </w:r>
    </w:p>
  </w:footnote>
  <w:footnote w:id="6">
    <w:p w14:paraId="63F0BE5B" w14:textId="3055A072" w:rsidR="005A529A" w:rsidRPr="00A33B9F" w:rsidRDefault="005A529A"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A33B9F">
        <w:rPr>
          <w:rStyle w:val="FootnoteReference"/>
          <w:rFonts w:ascii="Times New Roman" w:hAnsi="Times New Roman" w:cs="Times New Roman"/>
          <w:sz w:val="18"/>
          <w:szCs w:val="18"/>
        </w:rPr>
        <w:footnoteRef/>
      </w:r>
      <w:r w:rsidRPr="00A33B9F">
        <w:rPr>
          <w:rFonts w:ascii="Times New Roman" w:hAnsi="Times New Roman"/>
          <w:color w:val="000000"/>
          <w:sz w:val="18"/>
        </w:rPr>
        <w:t xml:space="preserve"> Wspomniane wyłączenie nie ma zastosowania do czynności dokonywanych</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tego działania</w:t>
      </w:r>
      <w:r w:rsidR="00A33B9F" w:rsidRPr="00A33B9F">
        <w:rPr>
          <w:rFonts w:ascii="Times New Roman" w:hAnsi="Times New Roman"/>
          <w:color w:val="000000"/>
          <w:sz w:val="18"/>
        </w:rPr>
        <w:t xml:space="preserve"> w zak</w:t>
      </w:r>
      <w:r w:rsidRPr="00A33B9F">
        <w:rPr>
          <w:rFonts w:ascii="Times New Roman" w:hAnsi="Times New Roman"/>
          <w:color w:val="000000"/>
          <w:sz w:val="18"/>
        </w:rPr>
        <w:t>ładach zajmujących się wyłącznie przetwarzaniem odpadów niebezpiecznych nienadających się do recyklingu ani nie ma zastosowania do istniejących zakładów,</w:t>
      </w:r>
      <w:r w:rsidR="00A33B9F" w:rsidRPr="00A33B9F">
        <w:rPr>
          <w:rFonts w:ascii="Times New Roman" w:hAnsi="Times New Roman"/>
          <w:color w:val="000000"/>
          <w:sz w:val="18"/>
        </w:rPr>
        <w:t xml:space="preserve"> w prz</w:t>
      </w:r>
      <w:r w:rsidRPr="00A33B9F">
        <w:rPr>
          <w:rFonts w:ascii="Times New Roman" w:hAnsi="Times New Roman"/>
          <w:color w:val="000000"/>
          <w:sz w:val="18"/>
        </w:rPr>
        <w:t>ypadku gdy czynności dokonywane</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tego działania mają na celu zwiększenie efektywności energetycznej, wychwytywanie gazów spalinowych do składowania lub wykorzystania lub odzyskiwania materiałów</w:t>
      </w:r>
      <w:r w:rsidR="00A33B9F" w:rsidRPr="00A33B9F">
        <w:rPr>
          <w:rFonts w:ascii="Times New Roman" w:hAnsi="Times New Roman"/>
          <w:color w:val="000000"/>
          <w:sz w:val="18"/>
        </w:rPr>
        <w:t xml:space="preserve"> z pop</w:t>
      </w:r>
      <w:r w:rsidRPr="00A33B9F">
        <w:rPr>
          <w:rFonts w:ascii="Times New Roman" w:hAnsi="Times New Roman"/>
          <w:color w:val="000000"/>
          <w:sz w:val="18"/>
        </w:rPr>
        <w:t>iołów powstałych</w:t>
      </w:r>
      <w:r w:rsidR="00A33B9F" w:rsidRPr="00A33B9F">
        <w:rPr>
          <w:rFonts w:ascii="Times New Roman" w:hAnsi="Times New Roman"/>
          <w:color w:val="000000"/>
          <w:sz w:val="18"/>
        </w:rPr>
        <w:t xml:space="preserve"> w wyn</w:t>
      </w:r>
      <w:r w:rsidRPr="00A33B9F">
        <w:rPr>
          <w:rFonts w:ascii="Times New Roman" w:hAnsi="Times New Roman"/>
          <w:color w:val="000000"/>
          <w:sz w:val="18"/>
        </w:rPr>
        <w:t>iku spalania, pod warunkiem że takie czynności dokonywane</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tego działania nie prowadzą do wzrostu mocy przerobowych zakładów</w:t>
      </w:r>
      <w:r w:rsidR="00A33B9F" w:rsidRPr="00A33B9F">
        <w:rPr>
          <w:rFonts w:ascii="Times New Roman" w:hAnsi="Times New Roman"/>
          <w:color w:val="000000"/>
          <w:sz w:val="18"/>
        </w:rPr>
        <w:t xml:space="preserve"> w zak</w:t>
      </w:r>
      <w:r w:rsidRPr="00A33B9F">
        <w:rPr>
          <w:rFonts w:ascii="Times New Roman" w:hAnsi="Times New Roman"/>
          <w:color w:val="000000"/>
          <w:sz w:val="18"/>
        </w:rPr>
        <w:t>resie przetwarzania odpadów ani do wydłużenia okresu eksploatacji zakładów;</w:t>
      </w:r>
      <w:r w:rsidR="00A33B9F" w:rsidRPr="00A33B9F">
        <w:rPr>
          <w:rFonts w:ascii="Times New Roman" w:hAnsi="Times New Roman"/>
          <w:color w:val="000000"/>
          <w:sz w:val="18"/>
        </w:rPr>
        <w:t xml:space="preserve"> w odn</w:t>
      </w:r>
      <w:r w:rsidRPr="00A33B9F">
        <w:rPr>
          <w:rFonts w:ascii="Times New Roman" w:hAnsi="Times New Roman"/>
          <w:color w:val="000000"/>
          <w:sz w:val="18"/>
        </w:rPr>
        <w:t>iesieniu do których przedstawiono dowody na poziomie zakładu.</w:t>
      </w:r>
    </w:p>
  </w:footnote>
  <w:footnote w:id="7">
    <w:p w14:paraId="508C08BD" w14:textId="675E7C43" w:rsidR="005A529A" w:rsidRPr="00A33B9F" w:rsidRDefault="005A529A" w:rsidP="00377F1B">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33B9F">
        <w:rPr>
          <w:rStyle w:val="FootnoteReference"/>
          <w:rFonts w:ascii="Times New Roman" w:hAnsi="Times New Roman" w:cs="Times New Roman"/>
          <w:sz w:val="18"/>
          <w:szCs w:val="18"/>
        </w:rPr>
        <w:footnoteRef/>
      </w:r>
      <w:r w:rsidRPr="00A33B9F">
        <w:rPr>
          <w:rFonts w:ascii="Times New Roman" w:hAnsi="Times New Roman"/>
          <w:color w:val="000000"/>
          <w:sz w:val="18"/>
        </w:rPr>
        <w:t xml:space="preserve"> Wspomniane wyłączenie nie ma zastosowania do czynności dokonywanych</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tego działania</w:t>
      </w:r>
      <w:r w:rsidR="00A33B9F" w:rsidRPr="00A33B9F">
        <w:rPr>
          <w:rFonts w:ascii="Times New Roman" w:hAnsi="Times New Roman"/>
          <w:color w:val="000000"/>
          <w:sz w:val="18"/>
        </w:rPr>
        <w:t xml:space="preserve"> w ist</w:t>
      </w:r>
      <w:r w:rsidRPr="00A33B9F">
        <w:rPr>
          <w:rFonts w:ascii="Times New Roman" w:hAnsi="Times New Roman"/>
          <w:color w:val="000000"/>
          <w:sz w:val="18"/>
        </w:rPr>
        <w:t>niejących zakładach mechaniczno-biologicznego przetwarzania odpadów,</w:t>
      </w:r>
      <w:r w:rsidR="00A33B9F" w:rsidRPr="00A33B9F">
        <w:rPr>
          <w:rFonts w:ascii="Times New Roman" w:hAnsi="Times New Roman"/>
          <w:color w:val="000000"/>
          <w:sz w:val="18"/>
        </w:rPr>
        <w:t xml:space="preserve"> w prz</w:t>
      </w:r>
      <w:r w:rsidRPr="00A33B9F">
        <w:rPr>
          <w:rFonts w:ascii="Times New Roman" w:hAnsi="Times New Roman"/>
          <w:color w:val="000000"/>
          <w:sz w:val="18"/>
        </w:rPr>
        <w:t>ypadku gdy czynności dokonywane</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tego działania mają na celu zwiększenie efektywności energetycznej lub dostosowanie do procesów recyklingu odpadów posegregowanych</w:t>
      </w:r>
      <w:r w:rsidR="00A33B9F" w:rsidRPr="00A33B9F">
        <w:rPr>
          <w:rFonts w:ascii="Times New Roman" w:hAnsi="Times New Roman"/>
          <w:color w:val="000000"/>
          <w:sz w:val="18"/>
        </w:rPr>
        <w:t xml:space="preserve"> w cel</w:t>
      </w:r>
      <w:r w:rsidRPr="00A33B9F">
        <w:rPr>
          <w:rFonts w:ascii="Times New Roman" w:hAnsi="Times New Roman"/>
          <w:color w:val="000000"/>
          <w:sz w:val="18"/>
        </w:rPr>
        <w:t>u kompostowania bioodpadów</w:t>
      </w:r>
      <w:r w:rsidR="00A33B9F" w:rsidRPr="00A33B9F">
        <w:rPr>
          <w:rFonts w:ascii="Times New Roman" w:hAnsi="Times New Roman"/>
          <w:color w:val="000000"/>
          <w:sz w:val="18"/>
        </w:rPr>
        <w:t xml:space="preserve"> i fer</w:t>
      </w:r>
      <w:r w:rsidRPr="00A33B9F">
        <w:rPr>
          <w:rFonts w:ascii="Times New Roman" w:hAnsi="Times New Roman"/>
          <w:color w:val="000000"/>
          <w:sz w:val="18"/>
        </w:rPr>
        <w:t>mentacji beztlenowej bioodpadów, pod warunkiem że takie czynności dokonywane</w:t>
      </w:r>
      <w:r w:rsidR="00A33B9F" w:rsidRPr="00A33B9F">
        <w:rPr>
          <w:rFonts w:ascii="Times New Roman" w:hAnsi="Times New Roman"/>
          <w:color w:val="000000"/>
          <w:sz w:val="18"/>
        </w:rPr>
        <w:t xml:space="preserve"> w ram</w:t>
      </w:r>
      <w:r w:rsidRPr="00A33B9F">
        <w:rPr>
          <w:rFonts w:ascii="Times New Roman" w:hAnsi="Times New Roman"/>
          <w:color w:val="000000"/>
          <w:sz w:val="18"/>
        </w:rPr>
        <w:t>ach tego działania nie prowadzą do wzrostu mocy przerobowych zakładów</w:t>
      </w:r>
      <w:r w:rsidR="00A33B9F" w:rsidRPr="00A33B9F">
        <w:rPr>
          <w:rFonts w:ascii="Times New Roman" w:hAnsi="Times New Roman"/>
          <w:color w:val="000000"/>
          <w:sz w:val="18"/>
        </w:rPr>
        <w:t xml:space="preserve"> w zak</w:t>
      </w:r>
      <w:r w:rsidRPr="00A33B9F">
        <w:rPr>
          <w:rFonts w:ascii="Times New Roman" w:hAnsi="Times New Roman"/>
          <w:color w:val="000000"/>
          <w:sz w:val="18"/>
        </w:rPr>
        <w:t>resie przetwarzania odpadów ani do wydłużenia okresu eksploatacji zakładów;</w:t>
      </w:r>
      <w:r w:rsidR="00A33B9F" w:rsidRPr="00A33B9F">
        <w:rPr>
          <w:rFonts w:ascii="Times New Roman" w:hAnsi="Times New Roman"/>
          <w:color w:val="000000"/>
          <w:sz w:val="18"/>
        </w:rPr>
        <w:t xml:space="preserve"> w odn</w:t>
      </w:r>
      <w:r w:rsidRPr="00A33B9F">
        <w:rPr>
          <w:rFonts w:ascii="Times New Roman" w:hAnsi="Times New Roman"/>
          <w:color w:val="000000"/>
          <w:sz w:val="18"/>
        </w:rPr>
        <w:t>iesieniu do których przedstawiono dowody na poziomie zakładu.</w:t>
      </w:r>
    </w:p>
  </w:footnote>
  <w:footnote w:id="8">
    <w:p w14:paraId="6D3D4F05" w14:textId="6A81116C" w:rsidR="005A529A" w:rsidRPr="00A33B9F" w:rsidRDefault="005A529A" w:rsidP="00141808">
      <w:pPr>
        <w:pStyle w:val="FootnoteText"/>
        <w:ind w:left="0" w:firstLine="0"/>
        <w:rPr>
          <w:sz w:val="18"/>
          <w:szCs w:val="18"/>
        </w:rPr>
      </w:pPr>
      <w:r w:rsidRPr="00A33B9F">
        <w:rPr>
          <w:rStyle w:val="FootnoteReference"/>
          <w:sz w:val="18"/>
          <w:szCs w:val="18"/>
        </w:rPr>
        <w:footnoteRef/>
      </w:r>
      <w:r w:rsidRPr="00A33B9F">
        <w:rPr>
          <w:sz w:val="18"/>
        </w:rPr>
        <w:t xml:space="preserve"> Z wyjątkiem projektów</w:t>
      </w:r>
      <w:r w:rsidR="00A33B9F" w:rsidRPr="00A33B9F">
        <w:rPr>
          <w:sz w:val="18"/>
        </w:rPr>
        <w:t xml:space="preserve"> w ram</w:t>
      </w:r>
      <w:r w:rsidRPr="00A33B9F">
        <w:rPr>
          <w:sz w:val="18"/>
        </w:rPr>
        <w:t>ach tego działania dotyczących wytwarzania energii elektrycznej lub ciepła, jak również powiązanej infrastruktury przesyłowej</w:t>
      </w:r>
      <w:r w:rsidR="00A33B9F" w:rsidRPr="00A33B9F">
        <w:rPr>
          <w:sz w:val="18"/>
        </w:rPr>
        <w:t xml:space="preserve"> i dys</w:t>
      </w:r>
      <w:r w:rsidRPr="00A33B9F">
        <w:rPr>
          <w:sz w:val="18"/>
        </w:rPr>
        <w:t>trybucyjnej, wykorzystujących gaz ziemny, które są zgodne</w:t>
      </w:r>
      <w:r w:rsidR="00A33B9F" w:rsidRPr="00A33B9F">
        <w:rPr>
          <w:sz w:val="18"/>
        </w:rPr>
        <w:t xml:space="preserve"> z war</w:t>
      </w:r>
      <w:r w:rsidRPr="00A33B9F">
        <w:rPr>
          <w:sz w:val="18"/>
        </w:rPr>
        <w:t>unkami określonymi</w:t>
      </w:r>
      <w:r w:rsidR="00A33B9F" w:rsidRPr="00A33B9F">
        <w:rPr>
          <w:sz w:val="18"/>
        </w:rPr>
        <w:t xml:space="preserve"> w zał</w:t>
      </w:r>
      <w:r w:rsidRPr="00A33B9F">
        <w:rPr>
          <w:sz w:val="18"/>
        </w:rPr>
        <w:t>ączniku III do wytycznych technicznych dotyczących stosowania zasady „nie czyń poważnych szkód” (2021/C 58/01).</w:t>
      </w:r>
    </w:p>
  </w:footnote>
  <w:footnote w:id="9">
    <w:p w14:paraId="769306E1" w14:textId="37E28F3E" w:rsidR="005A529A" w:rsidRPr="00A33B9F" w:rsidRDefault="005A529A" w:rsidP="00141808">
      <w:pPr>
        <w:pStyle w:val="FootnoteText"/>
        <w:ind w:left="0" w:firstLine="0"/>
        <w:rPr>
          <w:sz w:val="18"/>
          <w:szCs w:val="18"/>
        </w:rPr>
      </w:pPr>
      <w:r w:rsidRPr="00A33B9F">
        <w:rPr>
          <w:rStyle w:val="FootnoteReference"/>
          <w:sz w:val="18"/>
          <w:szCs w:val="18"/>
        </w:rPr>
        <w:footnoteRef/>
      </w:r>
      <w:r w:rsidRPr="00A33B9F">
        <w:rPr>
          <w:sz w:val="18"/>
        </w:rPr>
        <w:t xml:space="preserve"> Jeżeli</w:t>
      </w:r>
      <w:r w:rsidR="00A33B9F" w:rsidRPr="00A33B9F">
        <w:rPr>
          <w:sz w:val="18"/>
        </w:rPr>
        <w:t xml:space="preserve"> w ram</w:t>
      </w:r>
      <w:r w:rsidRPr="00A33B9F">
        <w:rPr>
          <w:sz w:val="18"/>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sz w:val="18"/>
        </w:rPr>
        <w:t xml:space="preserve"> w zak</w:t>
      </w:r>
      <w:r w:rsidRPr="00A33B9F">
        <w:rPr>
          <w:sz w:val="18"/>
        </w:rPr>
        <w:t>res unijnego systemu handlu uprawnieniami do emisji, zgodnie</w:t>
      </w:r>
      <w:r w:rsidR="00A33B9F" w:rsidRPr="00A33B9F">
        <w:rPr>
          <w:sz w:val="18"/>
        </w:rPr>
        <w:t xml:space="preserve"> z roz</w:t>
      </w:r>
      <w:r w:rsidRPr="00A33B9F">
        <w:rPr>
          <w:sz w:val="18"/>
        </w:rPr>
        <w:t>porządzeniem wykonawczym Komisji (UE) 2021/447.</w:t>
      </w:r>
    </w:p>
  </w:footnote>
  <w:footnote w:id="10">
    <w:p w14:paraId="59DB1D0F" w14:textId="0A178F79" w:rsidR="005A529A" w:rsidRPr="00A33B9F" w:rsidRDefault="005A529A" w:rsidP="00141808">
      <w:pPr>
        <w:pStyle w:val="FootnoteText"/>
        <w:ind w:left="0" w:firstLine="0"/>
        <w:rPr>
          <w:sz w:val="18"/>
          <w:szCs w:val="18"/>
        </w:rPr>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zak</w:t>
      </w:r>
      <w:r w:rsidRPr="00A33B9F">
        <w:rPr>
          <w:sz w:val="18"/>
        </w:rPr>
        <w:t>ładach zajmujących się wyłącznie przetwarzaniem odpadów niebezpiecznych nienadających się do recyklingu ani nie ma zastosowania do istniejących zakładów,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wychwytywanie gazów spalinowych do składowania lub wykorzystania lub odzyskiwania materiałów</w:t>
      </w:r>
      <w:r w:rsidR="00A33B9F" w:rsidRPr="00A33B9F">
        <w:rPr>
          <w:sz w:val="18"/>
        </w:rPr>
        <w:t xml:space="preserve"> z pop</w:t>
      </w:r>
      <w:r w:rsidRPr="00A33B9F">
        <w:rPr>
          <w:sz w:val="18"/>
        </w:rPr>
        <w:t>iołów powstałych</w:t>
      </w:r>
      <w:r w:rsidR="00A33B9F" w:rsidRPr="00A33B9F">
        <w:rPr>
          <w:sz w:val="18"/>
        </w:rPr>
        <w:t xml:space="preserve"> w wyn</w:t>
      </w:r>
      <w:r w:rsidRPr="00A33B9F">
        <w:rPr>
          <w:sz w:val="18"/>
        </w:rPr>
        <w:t>iku spalania,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11">
    <w:p w14:paraId="2E46A04B" w14:textId="78CC7B8C" w:rsidR="005A529A" w:rsidRPr="00A33B9F" w:rsidRDefault="005A529A" w:rsidP="00141808">
      <w:pPr>
        <w:spacing w:after="240" w:line="240" w:lineRule="auto"/>
        <w:jc w:val="both"/>
        <w:rPr>
          <w:rFonts w:ascii="Times New Roman" w:eastAsia="Times New Roman" w:hAnsi="Times New Roman" w:cs="Times New Roman"/>
          <w:sz w:val="18"/>
          <w:szCs w:val="18"/>
        </w:rPr>
      </w:pPr>
      <w:r w:rsidRPr="00A33B9F">
        <w:rPr>
          <w:rStyle w:val="FootnoteReference"/>
          <w:rFonts w:ascii="Times New Roman" w:hAnsi="Times New Roman" w:cs="Times New Roman"/>
          <w:sz w:val="18"/>
          <w:szCs w:val="18"/>
        </w:rPr>
        <w:footnoteRef/>
      </w:r>
      <w:r w:rsidRPr="00A33B9F">
        <w:rPr>
          <w:rFonts w:ascii="Times New Roman" w:hAnsi="Times New Roman"/>
          <w:sz w:val="18"/>
        </w:rPr>
        <w:t xml:space="preserve"> Wspomniane wyłączenie nie ma zastosowania do czynności dokonywanych</w:t>
      </w:r>
      <w:r w:rsidR="00A33B9F" w:rsidRPr="00A33B9F">
        <w:rPr>
          <w:rFonts w:ascii="Times New Roman" w:hAnsi="Times New Roman"/>
          <w:sz w:val="18"/>
        </w:rPr>
        <w:t xml:space="preserve"> w ram</w:t>
      </w:r>
      <w:r w:rsidRPr="00A33B9F">
        <w:rPr>
          <w:rFonts w:ascii="Times New Roman" w:hAnsi="Times New Roman"/>
          <w:sz w:val="18"/>
        </w:rPr>
        <w:t>ach tego działania</w:t>
      </w:r>
      <w:r w:rsidR="00A33B9F" w:rsidRPr="00A33B9F">
        <w:rPr>
          <w:rFonts w:ascii="Times New Roman" w:hAnsi="Times New Roman"/>
          <w:sz w:val="18"/>
        </w:rPr>
        <w:t xml:space="preserve"> w ist</w:t>
      </w:r>
      <w:r w:rsidRPr="00A33B9F">
        <w:rPr>
          <w:rFonts w:ascii="Times New Roman" w:hAnsi="Times New Roman"/>
          <w:sz w:val="18"/>
        </w:rPr>
        <w:t>niejących zakładach mechaniczno-biologicznego przetwarzania odpadów,</w:t>
      </w:r>
      <w:r w:rsidR="00A33B9F" w:rsidRPr="00A33B9F">
        <w:rPr>
          <w:rFonts w:ascii="Times New Roman" w:hAnsi="Times New Roman"/>
          <w:sz w:val="18"/>
        </w:rPr>
        <w:t xml:space="preserve"> w prz</w:t>
      </w:r>
      <w:r w:rsidRPr="00A33B9F">
        <w:rPr>
          <w:rFonts w:ascii="Times New Roman" w:hAnsi="Times New Roman"/>
          <w:sz w:val="18"/>
        </w:rPr>
        <w:t>ypadku gdy czynności dokonywane</w:t>
      </w:r>
      <w:r w:rsidR="00A33B9F" w:rsidRPr="00A33B9F">
        <w:rPr>
          <w:rFonts w:ascii="Times New Roman" w:hAnsi="Times New Roman"/>
          <w:sz w:val="18"/>
        </w:rPr>
        <w:t xml:space="preserve"> w ram</w:t>
      </w:r>
      <w:r w:rsidRPr="00A33B9F">
        <w:rPr>
          <w:rFonts w:ascii="Times New Roman" w:hAnsi="Times New Roman"/>
          <w:sz w:val="18"/>
        </w:rPr>
        <w:t>ach tego działania mają na celu zwiększenie efektywności energetycznej lub dostosowanie do procesów recyklingu odpadów posegregowanych</w:t>
      </w:r>
      <w:r w:rsidR="00A33B9F" w:rsidRPr="00A33B9F">
        <w:rPr>
          <w:rFonts w:ascii="Times New Roman" w:hAnsi="Times New Roman"/>
          <w:sz w:val="18"/>
        </w:rPr>
        <w:t xml:space="preserve"> w cel</w:t>
      </w:r>
      <w:r w:rsidRPr="00A33B9F">
        <w:rPr>
          <w:rFonts w:ascii="Times New Roman" w:hAnsi="Times New Roman"/>
          <w:sz w:val="18"/>
        </w:rPr>
        <w:t>u kompostowania bioodpadów</w:t>
      </w:r>
      <w:r w:rsidR="00A33B9F" w:rsidRPr="00A33B9F">
        <w:rPr>
          <w:rFonts w:ascii="Times New Roman" w:hAnsi="Times New Roman"/>
          <w:sz w:val="18"/>
        </w:rPr>
        <w:t xml:space="preserve"> i fer</w:t>
      </w:r>
      <w:r w:rsidRPr="00A33B9F">
        <w:rPr>
          <w:rFonts w:ascii="Times New Roman" w:hAnsi="Times New Roman"/>
          <w:sz w:val="18"/>
        </w:rPr>
        <w:t>mentacji beztlenowej bioodpadów, pod warunkiem że takie czynności dokonywane</w:t>
      </w:r>
      <w:r w:rsidR="00A33B9F" w:rsidRPr="00A33B9F">
        <w:rPr>
          <w:rFonts w:ascii="Times New Roman" w:hAnsi="Times New Roman"/>
          <w:sz w:val="18"/>
        </w:rPr>
        <w:t xml:space="preserve"> w ram</w:t>
      </w:r>
      <w:r w:rsidRPr="00A33B9F">
        <w:rPr>
          <w:rFonts w:ascii="Times New Roman" w:hAnsi="Times New Roman"/>
          <w:sz w:val="18"/>
        </w:rPr>
        <w:t>ach tego działania nie prowadzą do wzrostu mocy przerobowych zakładów</w:t>
      </w:r>
      <w:r w:rsidR="00A33B9F" w:rsidRPr="00A33B9F">
        <w:rPr>
          <w:rFonts w:ascii="Times New Roman" w:hAnsi="Times New Roman"/>
          <w:sz w:val="18"/>
        </w:rPr>
        <w:t xml:space="preserve"> w zak</w:t>
      </w:r>
      <w:r w:rsidRPr="00A33B9F">
        <w:rPr>
          <w:rFonts w:ascii="Times New Roman" w:hAnsi="Times New Roman"/>
          <w:sz w:val="18"/>
        </w:rPr>
        <w:t>resie przetwarzania odpadów ani do wydłużenia okresu eksploatacji zakładów;</w:t>
      </w:r>
      <w:r w:rsidR="00A33B9F" w:rsidRPr="00A33B9F">
        <w:rPr>
          <w:rFonts w:ascii="Times New Roman" w:hAnsi="Times New Roman"/>
          <w:sz w:val="18"/>
        </w:rPr>
        <w:t xml:space="preserve"> w odn</w:t>
      </w:r>
      <w:r w:rsidRPr="00A33B9F">
        <w:rPr>
          <w:rFonts w:ascii="Times New Roman" w:hAnsi="Times New Roman"/>
          <w:sz w:val="18"/>
        </w:rPr>
        <w:t>iesieniu do których przedstawiono dowody na poziomie zakładu.</w:t>
      </w:r>
    </w:p>
  </w:footnote>
  <w:footnote w:id="12">
    <w:p w14:paraId="2C87428C" w14:textId="165A2890" w:rsidR="0059052E" w:rsidRPr="00A33B9F" w:rsidRDefault="0059052E" w:rsidP="004F42F9">
      <w:pPr>
        <w:pStyle w:val="FootnoteText"/>
        <w:ind w:left="0" w:firstLine="0"/>
      </w:pPr>
      <w:r w:rsidRPr="00A33B9F">
        <w:rPr>
          <w:rStyle w:val="FootnoteReference"/>
        </w:rPr>
        <w:footnoteRef/>
      </w:r>
      <w:r w:rsidRPr="00A33B9F">
        <w:t xml:space="preserve"> Z wyjątkiem a) aktywów</w:t>
      </w:r>
      <w:r w:rsidR="00A33B9F" w:rsidRPr="00A33B9F">
        <w:t xml:space="preserve"> i dzi</w:t>
      </w:r>
      <w:r w:rsidRPr="00A33B9F">
        <w:t>ałań związanych</w:t>
      </w:r>
      <w:r w:rsidR="00A33B9F" w:rsidRPr="00A33B9F">
        <w:t xml:space="preserve"> z wyt</w:t>
      </w:r>
      <w:r w:rsidRPr="00A33B9F">
        <w:t>warzaniem energii elektrycznej lub ciepła, jak również powiązanej infrastruktury przesyłowej</w:t>
      </w:r>
      <w:r w:rsidR="00A33B9F" w:rsidRPr="00A33B9F">
        <w:t xml:space="preserve"> i dys</w:t>
      </w:r>
      <w:r w:rsidRPr="00A33B9F">
        <w:t>trybucyjnej, wykorzystujących gaz ziemny, które są zgodne</w:t>
      </w:r>
      <w:r w:rsidR="00A33B9F" w:rsidRPr="00A33B9F">
        <w:t xml:space="preserve"> z war</w:t>
      </w:r>
      <w:r w:rsidRPr="00A33B9F">
        <w:t>unkami określonymi</w:t>
      </w:r>
      <w:r w:rsidR="00A33B9F" w:rsidRPr="00A33B9F">
        <w:t xml:space="preserve"> w zał</w:t>
      </w:r>
      <w:r w:rsidRPr="00A33B9F">
        <w:t>ączniku III do wytycznych technicznych dotyczących stosowania zasady „nie czyń poważnych szkód” (</w:t>
      </w:r>
      <w:r w:rsidRPr="00A33B9F">
        <w:rPr>
          <w:rStyle w:val="normaltextrun"/>
        </w:rPr>
        <w:t>C(2023) 6454 final</w:t>
      </w:r>
      <w:r w:rsidRPr="00A33B9F">
        <w:t>) oraz b) działań</w:t>
      </w:r>
      <w:r w:rsidR="00A33B9F" w:rsidRPr="00A33B9F">
        <w:t xml:space="preserve"> i akt</w:t>
      </w:r>
      <w:r w:rsidRPr="00A33B9F">
        <w:t>ywów przewidzianych</w:t>
      </w:r>
      <w:r w:rsidR="00A33B9F" w:rsidRPr="00A33B9F">
        <w:t xml:space="preserve"> w ppk</w:t>
      </w:r>
      <w:r w:rsidRPr="00A33B9F">
        <w:t>t (ii),</w:t>
      </w:r>
      <w:r w:rsidR="00A33B9F" w:rsidRPr="00A33B9F">
        <w:t xml:space="preserve"> w prz</w:t>
      </w:r>
      <w:r w:rsidRPr="00A33B9F">
        <w:t>ypadku których stosowanie paliw kopalnych jest tymczasowe</w:t>
      </w:r>
      <w:r w:rsidR="00A33B9F" w:rsidRPr="00A33B9F">
        <w:t xml:space="preserve"> i tec</w:t>
      </w:r>
      <w:r w:rsidRPr="00A33B9F">
        <w:t>hnicznie nieuniknione do celów terminowego przejścia na działalność bez udziału paliw kopalnych.</w:t>
      </w:r>
    </w:p>
  </w:footnote>
  <w:footnote w:id="13">
    <w:p w14:paraId="7580DC86" w14:textId="30B7E9EA" w:rsidR="0059052E" w:rsidRPr="00A33B9F" w:rsidRDefault="0059052E" w:rsidP="004F42F9">
      <w:pPr>
        <w:pStyle w:val="FootnoteText"/>
        <w:ind w:left="0" w:firstLine="0"/>
      </w:pPr>
      <w:r w:rsidRPr="00A33B9F">
        <w:rPr>
          <w:rStyle w:val="FootnoteReference"/>
        </w:rPr>
        <w:footnoteRef/>
      </w:r>
      <w:r w:rsidRPr="00A33B9F">
        <w:t xml:space="preserve"> </w:t>
      </w:r>
      <w:r w:rsidRPr="00A33B9F">
        <w:rPr>
          <w:rStyle w:val="normaltextrun"/>
          <w:shd w:val="clear" w:color="auto" w:fill="FFFFFF"/>
        </w:rPr>
        <w:t>Jeżeli</w:t>
      </w:r>
      <w:r w:rsidR="00A33B9F" w:rsidRPr="00A33B9F">
        <w:rPr>
          <w:rStyle w:val="normaltextrun"/>
          <w:shd w:val="clear" w:color="auto" w:fill="FFFFFF"/>
        </w:rPr>
        <w:t xml:space="preserve"> w ram</w:t>
      </w:r>
      <w:r w:rsidRPr="00A33B9F">
        <w:rPr>
          <w:rStyle w:val="normaltextrun"/>
          <w:shd w:val="clear" w:color="auto" w:fill="FFFFFF"/>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rStyle w:val="normaltextrun"/>
          <w:shd w:val="clear" w:color="auto" w:fill="FFFFFF"/>
        </w:rPr>
        <w:t xml:space="preserve"> w zak</w:t>
      </w:r>
      <w:r w:rsidRPr="00A33B9F">
        <w:rPr>
          <w:rStyle w:val="normaltextrun"/>
          <w:shd w:val="clear" w:color="auto" w:fill="FFFFFF"/>
        </w:rPr>
        <w:t>res systemu handlu uprawnieniami do emisji, zgodnie</w:t>
      </w:r>
      <w:r w:rsidR="00A33B9F" w:rsidRPr="00A33B9F">
        <w:rPr>
          <w:rStyle w:val="normaltextrun"/>
          <w:shd w:val="clear" w:color="auto" w:fill="FFFFFF"/>
        </w:rPr>
        <w:t xml:space="preserve"> z roz</w:t>
      </w:r>
      <w:r w:rsidRPr="00A33B9F">
        <w:rPr>
          <w:rStyle w:val="normaltextrun"/>
          <w:shd w:val="clear" w:color="auto" w:fill="FFFFFF"/>
        </w:rPr>
        <w:t>porządzeniem wykonawczym Komisji (UE) 2021/447. </w:t>
      </w:r>
      <w:r w:rsidRPr="00A33B9F">
        <w:rPr>
          <w:rStyle w:val="eop"/>
          <w:shd w:val="clear" w:color="auto" w:fill="FFFFFF"/>
        </w:rPr>
        <w:t xml:space="preserve"> </w:t>
      </w:r>
    </w:p>
  </w:footnote>
  <w:footnote w:id="14">
    <w:p w14:paraId="0DB83764" w14:textId="4F687D5D" w:rsidR="0025216E" w:rsidRPr="00A33B9F" w:rsidRDefault="0025216E" w:rsidP="004F42F9">
      <w:pPr>
        <w:pStyle w:val="FootnoteText"/>
        <w:ind w:left="0" w:firstLine="0"/>
        <w:rPr>
          <w:shd w:val="clear" w:color="auto" w:fill="FFFFFF"/>
        </w:rPr>
      </w:pPr>
      <w:r w:rsidRPr="00A33B9F">
        <w:rPr>
          <w:rStyle w:val="FootnoteReference"/>
        </w:rPr>
        <w:footnoteRef/>
      </w:r>
      <w:r w:rsidR="00C3621A" w:rsidRPr="00A33B9F">
        <w:t xml:space="preserve"> </w:t>
      </w:r>
      <w:r w:rsidRPr="00A33B9F">
        <w:rPr>
          <w:rStyle w:val="normaltextrun"/>
          <w:shd w:val="clear" w:color="auto" w:fill="FFFFFF"/>
        </w:rPr>
        <w:t>Wspomniane wyłączenie nie ma zastosowania do czynności dokonywanych</w:t>
      </w:r>
      <w:r w:rsidR="00A33B9F" w:rsidRPr="00A33B9F">
        <w:rPr>
          <w:rStyle w:val="normaltextrun"/>
          <w:shd w:val="clear" w:color="auto" w:fill="FFFFFF"/>
        </w:rPr>
        <w:t xml:space="preserve"> w ram</w:t>
      </w:r>
      <w:r w:rsidRPr="00A33B9F">
        <w:rPr>
          <w:rStyle w:val="normaltextrun"/>
          <w:shd w:val="clear" w:color="auto" w:fill="FFFFFF"/>
        </w:rPr>
        <w:t>ach tego działania</w:t>
      </w:r>
      <w:r w:rsidR="00A33B9F" w:rsidRPr="00A33B9F">
        <w:rPr>
          <w:rStyle w:val="normaltextrun"/>
          <w:shd w:val="clear" w:color="auto" w:fill="FFFFFF"/>
        </w:rPr>
        <w:t xml:space="preserve"> w zak</w:t>
      </w:r>
      <w:r w:rsidRPr="00A33B9F">
        <w:rPr>
          <w:rStyle w:val="normaltextrun"/>
          <w:shd w:val="clear" w:color="auto" w:fill="FFFFFF"/>
        </w:rPr>
        <w:t>ładach zajmujących się wyłącznie przetwarzaniem odpadów niebezpiecznych nienadających się do recyklingu ani nie ma zastosowania do istniejących zakładów,</w:t>
      </w:r>
      <w:r w:rsidR="00A33B9F" w:rsidRPr="00A33B9F">
        <w:rPr>
          <w:rStyle w:val="normaltextrun"/>
          <w:shd w:val="clear" w:color="auto" w:fill="FFFFFF"/>
        </w:rPr>
        <w:t xml:space="preserve"> w prz</w:t>
      </w:r>
      <w:r w:rsidRPr="00A33B9F">
        <w:rPr>
          <w:rStyle w:val="normaltextrun"/>
          <w:shd w:val="clear" w:color="auto" w:fill="FFFFFF"/>
        </w:rPr>
        <w:t>ypadku gdy czynności dokonywane</w:t>
      </w:r>
      <w:r w:rsidR="00A33B9F" w:rsidRPr="00A33B9F">
        <w:rPr>
          <w:rStyle w:val="normaltextrun"/>
          <w:shd w:val="clear" w:color="auto" w:fill="FFFFFF"/>
        </w:rPr>
        <w:t xml:space="preserve"> w ram</w:t>
      </w:r>
      <w:r w:rsidRPr="00A33B9F">
        <w:rPr>
          <w:rStyle w:val="normaltextrun"/>
          <w:shd w:val="clear" w:color="auto" w:fill="FFFFFF"/>
        </w:rPr>
        <w:t>ach tego działania mają na celu zwiększenie efektywności energetycznej, wychwytywanie gazów spalinowych do składowania lub wykorzystania lub odzyskiwania materiałów</w:t>
      </w:r>
      <w:r w:rsidR="00A33B9F" w:rsidRPr="00A33B9F">
        <w:rPr>
          <w:rStyle w:val="normaltextrun"/>
          <w:shd w:val="clear" w:color="auto" w:fill="FFFFFF"/>
        </w:rPr>
        <w:t xml:space="preserve"> z pop</w:t>
      </w:r>
      <w:r w:rsidRPr="00A33B9F">
        <w:rPr>
          <w:rStyle w:val="normaltextrun"/>
          <w:shd w:val="clear" w:color="auto" w:fill="FFFFFF"/>
        </w:rPr>
        <w:t>iołów powstałych</w:t>
      </w:r>
      <w:r w:rsidR="00A33B9F" w:rsidRPr="00A33B9F">
        <w:rPr>
          <w:rStyle w:val="normaltextrun"/>
          <w:shd w:val="clear" w:color="auto" w:fill="FFFFFF"/>
        </w:rPr>
        <w:t xml:space="preserve"> w wyn</w:t>
      </w:r>
      <w:r w:rsidRPr="00A33B9F">
        <w:rPr>
          <w:rStyle w:val="normaltextrun"/>
          <w:shd w:val="clear" w:color="auto" w:fill="FFFFFF"/>
        </w:rPr>
        <w:t>iku spalania, pod warunkiem że takie czynności dokonywane</w:t>
      </w:r>
      <w:r w:rsidR="00A33B9F" w:rsidRPr="00A33B9F">
        <w:rPr>
          <w:rStyle w:val="normaltextrun"/>
          <w:shd w:val="clear" w:color="auto" w:fill="FFFFFF"/>
        </w:rPr>
        <w:t xml:space="preserve"> w ram</w:t>
      </w:r>
      <w:r w:rsidRPr="00A33B9F">
        <w:rPr>
          <w:rStyle w:val="normaltextrun"/>
          <w:shd w:val="clear" w:color="auto" w:fill="FFFFFF"/>
        </w:rPr>
        <w:t>ach tego działania nie prowadzą do wzrostu mocy przerobowych zakładów</w:t>
      </w:r>
      <w:r w:rsidR="00A33B9F" w:rsidRPr="00A33B9F">
        <w:rPr>
          <w:rStyle w:val="normaltextrun"/>
          <w:shd w:val="clear" w:color="auto" w:fill="FFFFFF"/>
        </w:rPr>
        <w:t xml:space="preserve"> w zak</w:t>
      </w:r>
      <w:r w:rsidRPr="00A33B9F">
        <w:rPr>
          <w:rStyle w:val="normaltextrun"/>
          <w:shd w:val="clear" w:color="auto" w:fill="FFFFFF"/>
        </w:rPr>
        <w:t>resie przetwarzania odpadów ani do wydłużenia okresu eksploatacji zakładów;</w:t>
      </w:r>
      <w:r w:rsidR="00A33B9F" w:rsidRPr="00A33B9F">
        <w:rPr>
          <w:rStyle w:val="normaltextrun"/>
          <w:shd w:val="clear" w:color="auto" w:fill="FFFFFF"/>
        </w:rPr>
        <w:t xml:space="preserve"> w odn</w:t>
      </w:r>
      <w:r w:rsidRPr="00A33B9F">
        <w:rPr>
          <w:rStyle w:val="normaltextrun"/>
          <w:shd w:val="clear" w:color="auto" w:fill="FFFFFF"/>
        </w:rPr>
        <w:t>iesieniu do których przedstawiono dowody na poziomie zakładu. </w:t>
      </w:r>
      <w:r w:rsidRPr="00A33B9F">
        <w:rPr>
          <w:rStyle w:val="eop"/>
          <w:shd w:val="clear" w:color="auto" w:fill="FFFFFF"/>
        </w:rPr>
        <w:t xml:space="preserve"> </w:t>
      </w:r>
    </w:p>
  </w:footnote>
  <w:footnote w:id="15">
    <w:p w14:paraId="78D8F22F" w14:textId="32CC5FEB" w:rsidR="0025216E" w:rsidRPr="00A33B9F" w:rsidRDefault="0025216E" w:rsidP="004F42F9">
      <w:pPr>
        <w:pStyle w:val="FootnoteText"/>
        <w:ind w:left="0" w:firstLine="0"/>
      </w:pPr>
      <w:r w:rsidRPr="00A33B9F">
        <w:rPr>
          <w:rStyle w:val="FootnoteReference"/>
        </w:rPr>
        <w:footnoteRef/>
      </w:r>
      <w:r w:rsidRPr="00A33B9F">
        <w:t xml:space="preserve"> </w:t>
      </w:r>
      <w:r w:rsidRPr="00A33B9F">
        <w:rPr>
          <w:rStyle w:val="normaltextrun"/>
          <w:shd w:val="clear" w:color="auto" w:fill="FFFFFF"/>
        </w:rPr>
        <w:t>Wspomniane wyłączenie nie ma zastosowania do czynności dokonywanych</w:t>
      </w:r>
      <w:r w:rsidR="00A33B9F" w:rsidRPr="00A33B9F">
        <w:rPr>
          <w:rStyle w:val="normaltextrun"/>
          <w:shd w:val="clear" w:color="auto" w:fill="FFFFFF"/>
        </w:rPr>
        <w:t xml:space="preserve"> w ram</w:t>
      </w:r>
      <w:r w:rsidRPr="00A33B9F">
        <w:rPr>
          <w:rStyle w:val="normaltextrun"/>
          <w:shd w:val="clear" w:color="auto" w:fill="FFFFFF"/>
        </w:rPr>
        <w:t>ach tego działania</w:t>
      </w:r>
      <w:r w:rsidR="00A33B9F" w:rsidRPr="00A33B9F">
        <w:rPr>
          <w:rStyle w:val="normaltextrun"/>
          <w:shd w:val="clear" w:color="auto" w:fill="FFFFFF"/>
        </w:rPr>
        <w:t xml:space="preserve"> w ist</w:t>
      </w:r>
      <w:r w:rsidRPr="00A33B9F">
        <w:rPr>
          <w:rStyle w:val="normaltextrun"/>
          <w:shd w:val="clear" w:color="auto" w:fill="FFFFFF"/>
        </w:rPr>
        <w:t>niejących zakładach mechaniczno-biologicznego przetwarzania odpadów,</w:t>
      </w:r>
      <w:r w:rsidR="00A33B9F" w:rsidRPr="00A33B9F">
        <w:rPr>
          <w:rStyle w:val="normaltextrun"/>
          <w:shd w:val="clear" w:color="auto" w:fill="FFFFFF"/>
        </w:rPr>
        <w:t xml:space="preserve"> w prz</w:t>
      </w:r>
      <w:r w:rsidRPr="00A33B9F">
        <w:rPr>
          <w:rStyle w:val="normaltextrun"/>
          <w:shd w:val="clear" w:color="auto" w:fill="FFFFFF"/>
        </w:rPr>
        <w:t>ypadku gdy czynności dokonywane</w:t>
      </w:r>
      <w:r w:rsidR="00A33B9F" w:rsidRPr="00A33B9F">
        <w:rPr>
          <w:rStyle w:val="normaltextrun"/>
          <w:shd w:val="clear" w:color="auto" w:fill="FFFFFF"/>
        </w:rPr>
        <w:t xml:space="preserve"> w ram</w:t>
      </w:r>
      <w:r w:rsidRPr="00A33B9F">
        <w:rPr>
          <w:rStyle w:val="normaltextrun"/>
          <w:shd w:val="clear" w:color="auto" w:fill="FFFFFF"/>
        </w:rPr>
        <w:t>ach tego działania mają na celu zwiększenie efektywności energetycznej lub dostosowanie do procesów recyklingu odpadów posegregowanych</w:t>
      </w:r>
      <w:r w:rsidR="00A33B9F" w:rsidRPr="00A33B9F">
        <w:rPr>
          <w:rStyle w:val="normaltextrun"/>
          <w:shd w:val="clear" w:color="auto" w:fill="FFFFFF"/>
        </w:rPr>
        <w:t xml:space="preserve"> w cel</w:t>
      </w:r>
      <w:r w:rsidRPr="00A33B9F">
        <w:rPr>
          <w:rStyle w:val="normaltextrun"/>
          <w:shd w:val="clear" w:color="auto" w:fill="FFFFFF"/>
        </w:rPr>
        <w:t>u kompostowania bioodpadów</w:t>
      </w:r>
      <w:r w:rsidR="00A33B9F" w:rsidRPr="00A33B9F">
        <w:rPr>
          <w:rStyle w:val="normaltextrun"/>
          <w:shd w:val="clear" w:color="auto" w:fill="FFFFFF"/>
        </w:rPr>
        <w:t xml:space="preserve"> i fer</w:t>
      </w:r>
      <w:r w:rsidRPr="00A33B9F">
        <w:rPr>
          <w:rStyle w:val="normaltextrun"/>
          <w:shd w:val="clear" w:color="auto" w:fill="FFFFFF"/>
        </w:rPr>
        <w:t>mentacji beztlenowej bioodpadów, pod warunkiem że takie czynności dokonywane</w:t>
      </w:r>
      <w:r w:rsidR="00A33B9F" w:rsidRPr="00A33B9F">
        <w:rPr>
          <w:rStyle w:val="normaltextrun"/>
          <w:shd w:val="clear" w:color="auto" w:fill="FFFFFF"/>
        </w:rPr>
        <w:t xml:space="preserve"> w ram</w:t>
      </w:r>
      <w:r w:rsidRPr="00A33B9F">
        <w:rPr>
          <w:rStyle w:val="normaltextrun"/>
          <w:shd w:val="clear" w:color="auto" w:fill="FFFFFF"/>
        </w:rPr>
        <w:t>ach tego działania nie prowadzą do wzrostu mocy przerobowych zakładów</w:t>
      </w:r>
      <w:r w:rsidR="00A33B9F" w:rsidRPr="00A33B9F">
        <w:rPr>
          <w:rStyle w:val="normaltextrun"/>
          <w:shd w:val="clear" w:color="auto" w:fill="FFFFFF"/>
        </w:rPr>
        <w:t xml:space="preserve"> w zak</w:t>
      </w:r>
      <w:r w:rsidRPr="00A33B9F">
        <w:rPr>
          <w:rStyle w:val="normaltextrun"/>
          <w:shd w:val="clear" w:color="auto" w:fill="FFFFFF"/>
        </w:rPr>
        <w:t>resie przetwarzania odpadów ani do wydłużenia okresu eksploatacji zakładów;</w:t>
      </w:r>
      <w:r w:rsidR="00A33B9F" w:rsidRPr="00A33B9F">
        <w:rPr>
          <w:rStyle w:val="normaltextrun"/>
          <w:shd w:val="clear" w:color="auto" w:fill="FFFFFF"/>
        </w:rPr>
        <w:t xml:space="preserve"> w odn</w:t>
      </w:r>
      <w:r w:rsidRPr="00A33B9F">
        <w:rPr>
          <w:rStyle w:val="normaltextrun"/>
          <w:shd w:val="clear" w:color="auto" w:fill="FFFFFF"/>
        </w:rPr>
        <w:t>iesieniu do których przedstawiono dowody na poziomie zakładu. </w:t>
      </w:r>
      <w:r w:rsidRPr="00A33B9F">
        <w:rPr>
          <w:rStyle w:val="eop"/>
          <w:shd w:val="clear" w:color="auto" w:fill="FFFFFF"/>
        </w:rPr>
        <w:t xml:space="preserve"> </w:t>
      </w:r>
    </w:p>
  </w:footnote>
  <w:footnote w:id="16">
    <w:p w14:paraId="143A90CC" w14:textId="62C22F18" w:rsidR="005A529A" w:rsidRPr="00A33B9F" w:rsidRDefault="005A529A" w:rsidP="00B5107C">
      <w:pPr>
        <w:pBdr>
          <w:top w:val="nil"/>
          <w:left w:val="nil"/>
          <w:bottom w:val="nil"/>
          <w:right w:val="nil"/>
          <w:between w:val="nil"/>
        </w:pBdr>
        <w:spacing w:after="120" w:line="257" w:lineRule="auto"/>
        <w:jc w:val="both"/>
        <w:rPr>
          <w:rFonts w:ascii="Times New Roman" w:eastAsia="Times New Roman" w:hAnsi="Times New Roman" w:cs="Times New Roman"/>
          <w:sz w:val="18"/>
          <w:szCs w:val="18"/>
        </w:rPr>
      </w:pPr>
      <w:r w:rsidRPr="00A33B9F">
        <w:rPr>
          <w:rStyle w:val="FootnoteReference"/>
          <w:rFonts w:ascii="Times New Roman" w:hAnsi="Times New Roman" w:cs="Times New Roman"/>
          <w:sz w:val="18"/>
          <w:szCs w:val="18"/>
        </w:rPr>
        <w:footnoteRef/>
      </w:r>
      <w:r w:rsidRPr="00A33B9F">
        <w:rPr>
          <w:rFonts w:ascii="Times New Roman" w:hAnsi="Times New Roman"/>
          <w:sz w:val="18"/>
        </w:rPr>
        <w:t xml:space="preserve"> Z wyjątkiem projektów</w:t>
      </w:r>
      <w:r w:rsidR="00A33B9F" w:rsidRPr="00A33B9F">
        <w:rPr>
          <w:rFonts w:ascii="Times New Roman" w:hAnsi="Times New Roman"/>
          <w:sz w:val="18"/>
        </w:rPr>
        <w:t xml:space="preserve"> w ram</w:t>
      </w:r>
      <w:r w:rsidRPr="00A33B9F">
        <w:rPr>
          <w:rFonts w:ascii="Times New Roman" w:hAnsi="Times New Roman"/>
          <w:sz w:val="18"/>
        </w:rPr>
        <w:t>ach tego działania dotyczących wytwarzania energii elektrycznej lub ciepła, jak również powiązanej infrastruktury przesyłowej</w:t>
      </w:r>
      <w:r w:rsidR="00A33B9F" w:rsidRPr="00A33B9F">
        <w:rPr>
          <w:rFonts w:ascii="Times New Roman" w:hAnsi="Times New Roman"/>
          <w:sz w:val="18"/>
        </w:rPr>
        <w:t xml:space="preserve"> i dys</w:t>
      </w:r>
      <w:r w:rsidRPr="00A33B9F">
        <w:rPr>
          <w:rFonts w:ascii="Times New Roman" w:hAnsi="Times New Roman"/>
          <w:sz w:val="18"/>
        </w:rPr>
        <w:t>trybucyjnej, wykorzystujących gaz ziemny, które są zgodne</w:t>
      </w:r>
      <w:r w:rsidR="00A33B9F" w:rsidRPr="00A33B9F">
        <w:rPr>
          <w:rFonts w:ascii="Times New Roman" w:hAnsi="Times New Roman"/>
          <w:sz w:val="18"/>
        </w:rPr>
        <w:t xml:space="preserve"> z war</w:t>
      </w:r>
      <w:r w:rsidRPr="00A33B9F">
        <w:rPr>
          <w:rFonts w:ascii="Times New Roman" w:hAnsi="Times New Roman"/>
          <w:sz w:val="18"/>
        </w:rPr>
        <w:t>unkami określonymi</w:t>
      </w:r>
      <w:r w:rsidR="00A33B9F" w:rsidRPr="00A33B9F">
        <w:rPr>
          <w:rFonts w:ascii="Times New Roman" w:hAnsi="Times New Roman"/>
          <w:sz w:val="18"/>
        </w:rPr>
        <w:t xml:space="preserve"> w zał</w:t>
      </w:r>
      <w:r w:rsidRPr="00A33B9F">
        <w:rPr>
          <w:rFonts w:ascii="Times New Roman" w:hAnsi="Times New Roman"/>
          <w:sz w:val="18"/>
        </w:rPr>
        <w:t>ączniku III do wytycznych technicznych dotyczących stosowania zasady „nie czyń poważnych szkód” (2021/C 58/01).</w:t>
      </w:r>
    </w:p>
  </w:footnote>
  <w:footnote w:id="17">
    <w:p w14:paraId="2D3A97D4" w14:textId="5A3D0DC8"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Jeżeli</w:t>
      </w:r>
      <w:r w:rsidR="00A33B9F" w:rsidRPr="00A33B9F">
        <w:rPr>
          <w:sz w:val="18"/>
        </w:rPr>
        <w:t xml:space="preserve"> w ram</w:t>
      </w:r>
      <w:r w:rsidRPr="00A33B9F">
        <w:rPr>
          <w:sz w:val="18"/>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sz w:val="18"/>
        </w:rPr>
        <w:t xml:space="preserve"> w zak</w:t>
      </w:r>
      <w:r w:rsidRPr="00A33B9F">
        <w:rPr>
          <w:sz w:val="18"/>
        </w:rPr>
        <w:t>res unijnego systemu handlu uprawnieniami do emisji, zgodnie</w:t>
      </w:r>
      <w:r w:rsidR="00A33B9F" w:rsidRPr="00A33B9F">
        <w:rPr>
          <w:sz w:val="18"/>
        </w:rPr>
        <w:t xml:space="preserve"> z roz</w:t>
      </w:r>
      <w:r w:rsidRPr="00A33B9F">
        <w:rPr>
          <w:sz w:val="18"/>
        </w:rPr>
        <w:t>porządzeniem wykonawczym Komisji (UE) 2021/447.</w:t>
      </w:r>
    </w:p>
  </w:footnote>
  <w:footnote w:id="18">
    <w:p w14:paraId="0458E323" w14:textId="656BC4AA"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zak</w:t>
      </w:r>
      <w:r w:rsidRPr="00A33B9F">
        <w:rPr>
          <w:sz w:val="18"/>
        </w:rPr>
        <w:t>ładach zajmujących się wyłącznie przetwarzaniem odpadów niebezpiecznych nienadających się do recyklingu ani nie ma zastosowania do istniejących zakładów,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wychwytywanie gazów spalinowych do składowania lub wykorzystania lub odzyskiwania materiałów</w:t>
      </w:r>
      <w:r w:rsidR="00A33B9F" w:rsidRPr="00A33B9F">
        <w:rPr>
          <w:sz w:val="18"/>
        </w:rPr>
        <w:t xml:space="preserve"> z pop</w:t>
      </w:r>
      <w:r w:rsidRPr="00A33B9F">
        <w:rPr>
          <w:sz w:val="18"/>
        </w:rPr>
        <w:t>iołów powstałych</w:t>
      </w:r>
      <w:r w:rsidR="00A33B9F" w:rsidRPr="00A33B9F">
        <w:rPr>
          <w:sz w:val="18"/>
        </w:rPr>
        <w:t xml:space="preserve"> w wyn</w:t>
      </w:r>
      <w:r w:rsidRPr="00A33B9F">
        <w:rPr>
          <w:sz w:val="18"/>
        </w:rPr>
        <w:t>iku spalania,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19">
    <w:p w14:paraId="0CA2247E" w14:textId="04AB04F2" w:rsidR="005A529A" w:rsidRPr="00A33B9F" w:rsidRDefault="005A529A" w:rsidP="00272682">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A33B9F">
        <w:rPr>
          <w:rStyle w:val="FootnoteReference"/>
          <w:rFonts w:ascii="Times New Roman" w:hAnsi="Times New Roman" w:cs="Times New Roman"/>
          <w:sz w:val="18"/>
          <w:szCs w:val="18"/>
        </w:rPr>
        <w:footnoteRef/>
      </w:r>
      <w:r w:rsidRPr="00A33B9F">
        <w:rPr>
          <w:rFonts w:ascii="Times New Roman" w:hAnsi="Times New Roman"/>
          <w:sz w:val="18"/>
        </w:rPr>
        <w:t xml:space="preserve"> Wspomniane wyłączenie nie ma zastosowania do czynności dokonywanych</w:t>
      </w:r>
      <w:r w:rsidR="00A33B9F" w:rsidRPr="00A33B9F">
        <w:rPr>
          <w:rFonts w:ascii="Times New Roman" w:hAnsi="Times New Roman"/>
          <w:sz w:val="18"/>
        </w:rPr>
        <w:t xml:space="preserve"> w ram</w:t>
      </w:r>
      <w:r w:rsidRPr="00A33B9F">
        <w:rPr>
          <w:rFonts w:ascii="Times New Roman" w:hAnsi="Times New Roman"/>
          <w:sz w:val="18"/>
        </w:rPr>
        <w:t>ach tego działania</w:t>
      </w:r>
      <w:r w:rsidR="00A33B9F" w:rsidRPr="00A33B9F">
        <w:rPr>
          <w:rFonts w:ascii="Times New Roman" w:hAnsi="Times New Roman"/>
          <w:sz w:val="18"/>
        </w:rPr>
        <w:t xml:space="preserve"> w ist</w:t>
      </w:r>
      <w:r w:rsidRPr="00A33B9F">
        <w:rPr>
          <w:rFonts w:ascii="Times New Roman" w:hAnsi="Times New Roman"/>
          <w:sz w:val="18"/>
        </w:rPr>
        <w:t>niejących zakładach mechaniczno-biologicznego przetwarzania odpadów,</w:t>
      </w:r>
      <w:r w:rsidR="00A33B9F" w:rsidRPr="00A33B9F">
        <w:rPr>
          <w:rFonts w:ascii="Times New Roman" w:hAnsi="Times New Roman"/>
          <w:sz w:val="18"/>
        </w:rPr>
        <w:t xml:space="preserve"> w prz</w:t>
      </w:r>
      <w:r w:rsidRPr="00A33B9F">
        <w:rPr>
          <w:rFonts w:ascii="Times New Roman" w:hAnsi="Times New Roman"/>
          <w:sz w:val="18"/>
        </w:rPr>
        <w:t>ypadku gdy czynności dokonywane</w:t>
      </w:r>
      <w:r w:rsidR="00A33B9F" w:rsidRPr="00A33B9F">
        <w:rPr>
          <w:rFonts w:ascii="Times New Roman" w:hAnsi="Times New Roman"/>
          <w:sz w:val="18"/>
        </w:rPr>
        <w:t xml:space="preserve"> w ram</w:t>
      </w:r>
      <w:r w:rsidRPr="00A33B9F">
        <w:rPr>
          <w:rFonts w:ascii="Times New Roman" w:hAnsi="Times New Roman"/>
          <w:sz w:val="18"/>
        </w:rPr>
        <w:t>ach tego działania mają na celu zwiększenie efektywności energetycznej lub dostosowanie do procesów recyklingu odpadów posegregowanych</w:t>
      </w:r>
      <w:r w:rsidR="00A33B9F" w:rsidRPr="00A33B9F">
        <w:rPr>
          <w:rFonts w:ascii="Times New Roman" w:hAnsi="Times New Roman"/>
          <w:sz w:val="18"/>
        </w:rPr>
        <w:t xml:space="preserve"> w cel</w:t>
      </w:r>
      <w:r w:rsidRPr="00A33B9F">
        <w:rPr>
          <w:rFonts w:ascii="Times New Roman" w:hAnsi="Times New Roman"/>
          <w:sz w:val="18"/>
        </w:rPr>
        <w:t>u kompostowania bioodpadów</w:t>
      </w:r>
      <w:r w:rsidR="00A33B9F" w:rsidRPr="00A33B9F">
        <w:rPr>
          <w:rFonts w:ascii="Times New Roman" w:hAnsi="Times New Roman"/>
          <w:sz w:val="18"/>
        </w:rPr>
        <w:t xml:space="preserve"> i fer</w:t>
      </w:r>
      <w:r w:rsidRPr="00A33B9F">
        <w:rPr>
          <w:rFonts w:ascii="Times New Roman" w:hAnsi="Times New Roman"/>
          <w:sz w:val="18"/>
        </w:rPr>
        <w:t>mentacji beztlenowej bioodpadów, pod warunkiem że takie czynności dokonywane</w:t>
      </w:r>
      <w:r w:rsidR="00A33B9F" w:rsidRPr="00A33B9F">
        <w:rPr>
          <w:rFonts w:ascii="Times New Roman" w:hAnsi="Times New Roman"/>
          <w:sz w:val="18"/>
        </w:rPr>
        <w:t xml:space="preserve"> w ram</w:t>
      </w:r>
      <w:r w:rsidRPr="00A33B9F">
        <w:rPr>
          <w:rFonts w:ascii="Times New Roman" w:hAnsi="Times New Roman"/>
          <w:sz w:val="18"/>
        </w:rPr>
        <w:t>ach tego działania nie prowadzą do wzrostu mocy przerobowych zakładów</w:t>
      </w:r>
      <w:r w:rsidR="00A33B9F" w:rsidRPr="00A33B9F">
        <w:rPr>
          <w:rFonts w:ascii="Times New Roman" w:hAnsi="Times New Roman"/>
          <w:sz w:val="18"/>
        </w:rPr>
        <w:t xml:space="preserve"> w zak</w:t>
      </w:r>
      <w:r w:rsidRPr="00A33B9F">
        <w:rPr>
          <w:rFonts w:ascii="Times New Roman" w:hAnsi="Times New Roman"/>
          <w:sz w:val="18"/>
        </w:rPr>
        <w:t>resie przetwarzania odpadów ani do wydłużenia okresu eksploatacji zakładów;</w:t>
      </w:r>
      <w:r w:rsidR="00A33B9F" w:rsidRPr="00A33B9F">
        <w:rPr>
          <w:rFonts w:ascii="Times New Roman" w:hAnsi="Times New Roman"/>
          <w:sz w:val="18"/>
        </w:rPr>
        <w:t xml:space="preserve"> w odn</w:t>
      </w:r>
      <w:r w:rsidRPr="00A33B9F">
        <w:rPr>
          <w:rFonts w:ascii="Times New Roman" w:hAnsi="Times New Roman"/>
          <w:sz w:val="18"/>
        </w:rPr>
        <w:t>iesieniu do których przedstawiono dowody na poziomie zakładu.</w:t>
      </w:r>
    </w:p>
  </w:footnote>
  <w:footnote w:id="20">
    <w:p w14:paraId="17F6034B" w14:textId="69190CA5"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Z wyjątkiem projektów</w:t>
      </w:r>
      <w:r w:rsidR="00A33B9F" w:rsidRPr="00A33B9F">
        <w:rPr>
          <w:sz w:val="18"/>
        </w:rPr>
        <w:t xml:space="preserve"> w ram</w:t>
      </w:r>
      <w:r w:rsidRPr="00A33B9F">
        <w:rPr>
          <w:sz w:val="18"/>
        </w:rPr>
        <w:t>ach tego działania dotyczących wytwarzania energii elektrycznej lub ciepła, jak również powiązanej infrastruktury przesyłowej</w:t>
      </w:r>
      <w:r w:rsidR="00A33B9F" w:rsidRPr="00A33B9F">
        <w:rPr>
          <w:sz w:val="18"/>
        </w:rPr>
        <w:t xml:space="preserve"> i dys</w:t>
      </w:r>
      <w:r w:rsidRPr="00A33B9F">
        <w:rPr>
          <w:sz w:val="18"/>
        </w:rPr>
        <w:t>trybucyjnej, wykorzystujących gaz ziemny, które są zgodne</w:t>
      </w:r>
      <w:r w:rsidR="00A33B9F" w:rsidRPr="00A33B9F">
        <w:rPr>
          <w:sz w:val="18"/>
        </w:rPr>
        <w:t xml:space="preserve"> z war</w:t>
      </w:r>
      <w:r w:rsidRPr="00A33B9F">
        <w:rPr>
          <w:sz w:val="18"/>
        </w:rPr>
        <w:t>unkami określonymi</w:t>
      </w:r>
      <w:r w:rsidR="00A33B9F" w:rsidRPr="00A33B9F">
        <w:rPr>
          <w:sz w:val="18"/>
        </w:rPr>
        <w:t xml:space="preserve"> w zał</w:t>
      </w:r>
      <w:r w:rsidRPr="00A33B9F">
        <w:rPr>
          <w:sz w:val="18"/>
        </w:rPr>
        <w:t>ączniku III do wytycznych technicznych dotyczących stosowania zasady „nie czyń poważnych szkód” (2021/C 58/01).</w:t>
      </w:r>
    </w:p>
  </w:footnote>
  <w:footnote w:id="21">
    <w:p w14:paraId="1291BE33" w14:textId="3D24B6C5"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Jeżeli</w:t>
      </w:r>
      <w:r w:rsidR="00A33B9F" w:rsidRPr="00A33B9F">
        <w:rPr>
          <w:sz w:val="18"/>
        </w:rPr>
        <w:t xml:space="preserve"> w ram</w:t>
      </w:r>
      <w:r w:rsidRPr="00A33B9F">
        <w:rPr>
          <w:sz w:val="18"/>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sz w:val="18"/>
        </w:rPr>
        <w:t xml:space="preserve"> w zak</w:t>
      </w:r>
      <w:r w:rsidRPr="00A33B9F">
        <w:rPr>
          <w:sz w:val="18"/>
        </w:rPr>
        <w:t>res unijnego systemu handlu uprawnieniami do emisji, zgodnie</w:t>
      </w:r>
      <w:r w:rsidR="00A33B9F" w:rsidRPr="00A33B9F">
        <w:rPr>
          <w:sz w:val="18"/>
        </w:rPr>
        <w:t xml:space="preserve"> z roz</w:t>
      </w:r>
      <w:r w:rsidRPr="00A33B9F">
        <w:rPr>
          <w:sz w:val="18"/>
        </w:rPr>
        <w:t>porządzeniem wykonawczym Komisji (UE) 2021/447.</w:t>
      </w:r>
    </w:p>
  </w:footnote>
  <w:footnote w:id="22">
    <w:p w14:paraId="7BB9DAC5" w14:textId="581DFA40"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zak</w:t>
      </w:r>
      <w:r w:rsidRPr="00A33B9F">
        <w:rPr>
          <w:sz w:val="18"/>
        </w:rPr>
        <w:t>ładach zajmujących się wyłącznie przetwarzaniem odpadów niebezpiecznych nienadających się do recyklingu ani nie ma zastosowania do istniejących zakładów,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wychwytywanie gazów spalinowych do składowania lub wykorzystania lub odzyskiwania materiałów</w:t>
      </w:r>
      <w:r w:rsidR="00A33B9F" w:rsidRPr="00A33B9F">
        <w:rPr>
          <w:sz w:val="18"/>
        </w:rPr>
        <w:t xml:space="preserve"> z pop</w:t>
      </w:r>
      <w:r w:rsidRPr="00A33B9F">
        <w:rPr>
          <w:sz w:val="18"/>
        </w:rPr>
        <w:t>iołów powstałych</w:t>
      </w:r>
      <w:r w:rsidR="00A33B9F" w:rsidRPr="00A33B9F">
        <w:rPr>
          <w:sz w:val="18"/>
        </w:rPr>
        <w:t xml:space="preserve"> w wyn</w:t>
      </w:r>
      <w:r w:rsidRPr="00A33B9F">
        <w:rPr>
          <w:sz w:val="18"/>
        </w:rPr>
        <w:t>iku spalania,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23">
    <w:p w14:paraId="132774F8" w14:textId="3049CE6B"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ist</w:t>
      </w:r>
      <w:r w:rsidRPr="00A33B9F">
        <w:rPr>
          <w:sz w:val="18"/>
        </w:rPr>
        <w:t>niejących zakładach mechaniczno-biologicznego przetwarzania odpadów,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lub dostosowanie do procesów recyklingu odpadów posegregowanych</w:t>
      </w:r>
      <w:r w:rsidR="00A33B9F" w:rsidRPr="00A33B9F">
        <w:rPr>
          <w:sz w:val="18"/>
        </w:rPr>
        <w:t xml:space="preserve"> w cel</w:t>
      </w:r>
      <w:r w:rsidRPr="00A33B9F">
        <w:rPr>
          <w:sz w:val="18"/>
        </w:rPr>
        <w:t>u kompostowania bioodpadów</w:t>
      </w:r>
      <w:r w:rsidR="00A33B9F" w:rsidRPr="00A33B9F">
        <w:rPr>
          <w:sz w:val="18"/>
        </w:rPr>
        <w:t xml:space="preserve"> i fer</w:t>
      </w:r>
      <w:r w:rsidRPr="00A33B9F">
        <w:rPr>
          <w:sz w:val="18"/>
        </w:rPr>
        <w:t>mentacji beztlenowej bioodpadów,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24">
    <w:p w14:paraId="5B6F72E2" w14:textId="4F9DDEAD"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t xml:space="preserve"> </w:t>
      </w:r>
      <w:r w:rsidRPr="00A33B9F">
        <w:rPr>
          <w:sz w:val="18"/>
        </w:rPr>
        <w:t>Z wyjątkiem projektów</w:t>
      </w:r>
      <w:r w:rsidR="00A33B9F" w:rsidRPr="00A33B9F">
        <w:rPr>
          <w:sz w:val="18"/>
        </w:rPr>
        <w:t xml:space="preserve"> w ram</w:t>
      </w:r>
      <w:r w:rsidRPr="00A33B9F">
        <w:rPr>
          <w:sz w:val="18"/>
        </w:rPr>
        <w:t>ach tego działania dotyczących wytwarzania energii elektrycznej lub ciepła, jak również powiązanej infrastruktury przesyłowej</w:t>
      </w:r>
      <w:r w:rsidR="00A33B9F" w:rsidRPr="00A33B9F">
        <w:rPr>
          <w:sz w:val="18"/>
        </w:rPr>
        <w:t xml:space="preserve"> i dys</w:t>
      </w:r>
      <w:r w:rsidRPr="00A33B9F">
        <w:rPr>
          <w:sz w:val="18"/>
        </w:rPr>
        <w:t>trybucyjnej, wykorzystujących gaz ziemny, które są zgodne</w:t>
      </w:r>
      <w:r w:rsidR="00A33B9F" w:rsidRPr="00A33B9F">
        <w:rPr>
          <w:sz w:val="18"/>
        </w:rPr>
        <w:t xml:space="preserve"> z war</w:t>
      </w:r>
      <w:r w:rsidRPr="00A33B9F">
        <w:rPr>
          <w:sz w:val="18"/>
        </w:rPr>
        <w:t>unkami określonymi</w:t>
      </w:r>
      <w:r w:rsidR="00A33B9F" w:rsidRPr="00A33B9F">
        <w:rPr>
          <w:sz w:val="18"/>
        </w:rPr>
        <w:t xml:space="preserve"> w zał</w:t>
      </w:r>
      <w:r w:rsidRPr="00A33B9F">
        <w:rPr>
          <w:sz w:val="18"/>
        </w:rPr>
        <w:t xml:space="preserve">ączniku III do wytycznych technicznych dotyczących stosowania zasady „nie czyń poważnych szkód” </w:t>
      </w:r>
      <w:r w:rsidRPr="00A33B9F">
        <w:rPr>
          <w:rStyle w:val="normaltextrun"/>
          <w:sz w:val="18"/>
        </w:rPr>
        <w:t>C(2023) 6454 final)</w:t>
      </w:r>
      <w:r w:rsidRPr="00A33B9F">
        <w:rPr>
          <w:sz w:val="18"/>
        </w:rPr>
        <w:t>.</w:t>
      </w:r>
    </w:p>
  </w:footnote>
  <w:footnote w:id="25">
    <w:p w14:paraId="43B9F8DB" w14:textId="42E9495C"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Jeżeli</w:t>
      </w:r>
      <w:r w:rsidR="00A33B9F" w:rsidRPr="00A33B9F">
        <w:rPr>
          <w:sz w:val="18"/>
        </w:rPr>
        <w:t xml:space="preserve"> w ram</w:t>
      </w:r>
      <w:r w:rsidRPr="00A33B9F">
        <w:rPr>
          <w:sz w:val="18"/>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sz w:val="18"/>
        </w:rPr>
        <w:t xml:space="preserve"> w zak</w:t>
      </w:r>
      <w:r w:rsidRPr="00A33B9F">
        <w:rPr>
          <w:sz w:val="18"/>
        </w:rPr>
        <w:t>res unijnego systemu handlu uprawnieniami do emisji, zgodnie</w:t>
      </w:r>
      <w:r w:rsidR="00A33B9F" w:rsidRPr="00A33B9F">
        <w:rPr>
          <w:sz w:val="18"/>
        </w:rPr>
        <w:t xml:space="preserve"> z roz</w:t>
      </w:r>
      <w:r w:rsidRPr="00A33B9F">
        <w:rPr>
          <w:sz w:val="18"/>
        </w:rPr>
        <w:t>porządzeniem wykonawczym Komisji (UE) 2021/447.</w:t>
      </w:r>
    </w:p>
  </w:footnote>
  <w:footnote w:id="26">
    <w:p w14:paraId="06673560" w14:textId="100B9C61" w:rsidR="005A529A" w:rsidRPr="00A33B9F" w:rsidRDefault="005A529A" w:rsidP="00272682">
      <w:pPr>
        <w:pStyle w:val="FootnoteText"/>
        <w:ind w:left="0" w:firstLine="0"/>
        <w:rPr>
          <w:sz w:val="18"/>
          <w:szCs w:val="18"/>
        </w:rPr>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zak</w:t>
      </w:r>
      <w:r w:rsidRPr="00A33B9F">
        <w:rPr>
          <w:sz w:val="18"/>
        </w:rPr>
        <w:t>ładach zajmujących się wyłącznie przetwarzaniem odpadów niebezpiecznych nienadających się do recyklingu ani nie ma zastosowania do istniejących zakładów,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wychwytywanie gazów spalinowych do składowania lub wykorzystania lub odzyskiwania materiałów</w:t>
      </w:r>
      <w:r w:rsidR="00A33B9F" w:rsidRPr="00A33B9F">
        <w:rPr>
          <w:sz w:val="18"/>
        </w:rPr>
        <w:t xml:space="preserve"> z pop</w:t>
      </w:r>
      <w:r w:rsidRPr="00A33B9F">
        <w:rPr>
          <w:sz w:val="18"/>
        </w:rPr>
        <w:t>iołów powstałych</w:t>
      </w:r>
      <w:r w:rsidR="00A33B9F" w:rsidRPr="00A33B9F">
        <w:rPr>
          <w:sz w:val="18"/>
        </w:rPr>
        <w:t xml:space="preserve"> w wyn</w:t>
      </w:r>
      <w:r w:rsidRPr="00A33B9F">
        <w:rPr>
          <w:sz w:val="18"/>
        </w:rPr>
        <w:t>iku spalania,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27">
    <w:p w14:paraId="4F991F2B" w14:textId="42BF18D1" w:rsidR="005A529A" w:rsidRPr="00A33B9F" w:rsidRDefault="005A529A" w:rsidP="00272682">
      <w:pPr>
        <w:pStyle w:val="FootnoteText"/>
        <w:ind w:left="0" w:firstLine="0"/>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ist</w:t>
      </w:r>
      <w:r w:rsidRPr="00A33B9F">
        <w:rPr>
          <w:sz w:val="18"/>
        </w:rPr>
        <w:t>niejących zakładach mechaniczno-biologicznego przetwarzania odpadów,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lub dostosowanie do procesów recyklingu odpadów posegregowanych</w:t>
      </w:r>
      <w:r w:rsidR="00A33B9F" w:rsidRPr="00A33B9F">
        <w:rPr>
          <w:sz w:val="18"/>
        </w:rPr>
        <w:t xml:space="preserve"> w cel</w:t>
      </w:r>
      <w:r w:rsidRPr="00A33B9F">
        <w:rPr>
          <w:sz w:val="18"/>
        </w:rPr>
        <w:t>u kompostowania bioodpadów</w:t>
      </w:r>
      <w:r w:rsidR="00A33B9F" w:rsidRPr="00A33B9F">
        <w:rPr>
          <w:sz w:val="18"/>
        </w:rPr>
        <w:t xml:space="preserve"> i fer</w:t>
      </w:r>
      <w:r w:rsidRPr="00A33B9F">
        <w:rPr>
          <w:sz w:val="18"/>
        </w:rPr>
        <w:t>mentacji beztlenowej bioodpadów,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28">
    <w:p w14:paraId="08D2E802" w14:textId="72AAE0E8" w:rsidR="005A529A" w:rsidRPr="00A33B9F" w:rsidRDefault="005A529A" w:rsidP="257B341F">
      <w:pPr>
        <w:jc w:val="both"/>
        <w:rPr>
          <w:rFonts w:ascii="Times New Roman" w:hAnsi="Times New Roman"/>
          <w:sz w:val="18"/>
          <w:szCs w:val="18"/>
        </w:rPr>
      </w:pPr>
      <w:r w:rsidRPr="00A33B9F">
        <w:rPr>
          <w:rStyle w:val="FootnoteReference"/>
          <w:rFonts w:ascii="Times New Roman" w:hAnsi="Times New Roman" w:cs="Times New Roman"/>
          <w:sz w:val="18"/>
          <w:szCs w:val="18"/>
        </w:rPr>
        <w:footnoteRef/>
      </w:r>
      <w:r w:rsidRPr="00A33B9F">
        <w:rPr>
          <w:rFonts w:ascii="Times New Roman" w:hAnsi="Times New Roman"/>
          <w:sz w:val="18"/>
        </w:rPr>
        <w:t xml:space="preserve"> W szczególności</w:t>
      </w:r>
      <w:r w:rsidR="00A33B9F" w:rsidRPr="00A33B9F">
        <w:rPr>
          <w:rFonts w:ascii="Times New Roman" w:hAnsi="Times New Roman"/>
          <w:sz w:val="18"/>
        </w:rPr>
        <w:t xml:space="preserve"> w ram</w:t>
      </w:r>
      <w:r w:rsidRPr="00A33B9F">
        <w:rPr>
          <w:rFonts w:ascii="Times New Roman" w:hAnsi="Times New Roman"/>
          <w:sz w:val="18"/>
        </w:rPr>
        <w:t>ach działania operatorów odpowiedzialnych za roboty budowlane zobowiązano do zapewnienia, aby co najmniej 70</w:t>
      </w:r>
      <w:r w:rsidR="00A33B9F" w:rsidRPr="00A33B9F">
        <w:rPr>
          <w:rFonts w:ascii="Times New Roman" w:hAnsi="Times New Roman"/>
          <w:sz w:val="18"/>
        </w:rPr>
        <w:t> </w:t>
      </w:r>
      <w:r w:rsidRPr="00A33B9F">
        <w:rPr>
          <w:rFonts w:ascii="Times New Roman" w:hAnsi="Times New Roman"/>
          <w:sz w:val="18"/>
        </w:rPr>
        <w:t>% (wagowo) innych niż niebezpieczne odpadów</w:t>
      </w:r>
      <w:r w:rsidR="00A33B9F" w:rsidRPr="00A33B9F">
        <w:rPr>
          <w:rFonts w:ascii="Times New Roman" w:hAnsi="Times New Roman"/>
          <w:sz w:val="18"/>
        </w:rPr>
        <w:t xml:space="preserve"> z bud</w:t>
      </w:r>
      <w:r w:rsidRPr="00A33B9F">
        <w:rPr>
          <w:rFonts w:ascii="Times New Roman" w:hAnsi="Times New Roman"/>
          <w:sz w:val="18"/>
        </w:rPr>
        <w:t>owy</w:t>
      </w:r>
      <w:r w:rsidR="00A33B9F" w:rsidRPr="00A33B9F">
        <w:rPr>
          <w:rFonts w:ascii="Times New Roman" w:hAnsi="Times New Roman"/>
          <w:sz w:val="18"/>
        </w:rPr>
        <w:t xml:space="preserve"> i roz</w:t>
      </w:r>
      <w:r w:rsidRPr="00A33B9F">
        <w:rPr>
          <w:rFonts w:ascii="Times New Roman" w:hAnsi="Times New Roman"/>
          <w:sz w:val="18"/>
        </w:rPr>
        <w:t>biórki (poza naturalnie występującymi materiałami,</w:t>
      </w:r>
      <w:r w:rsidR="00A33B9F" w:rsidRPr="00A33B9F">
        <w:rPr>
          <w:rFonts w:ascii="Times New Roman" w:hAnsi="Times New Roman"/>
          <w:sz w:val="18"/>
        </w:rPr>
        <w:t xml:space="preserve"> o któ</w:t>
      </w:r>
      <w:r w:rsidRPr="00A33B9F">
        <w:rPr>
          <w:rFonts w:ascii="Times New Roman" w:hAnsi="Times New Roman"/>
          <w:sz w:val="18"/>
        </w:rPr>
        <w:t>rych mowa</w:t>
      </w:r>
      <w:r w:rsidR="00A33B9F" w:rsidRPr="00A33B9F">
        <w:rPr>
          <w:rFonts w:ascii="Times New Roman" w:hAnsi="Times New Roman"/>
          <w:sz w:val="18"/>
        </w:rPr>
        <w:t xml:space="preserve"> w kat</w:t>
      </w:r>
      <w:r w:rsidRPr="00A33B9F">
        <w:rPr>
          <w:rFonts w:ascii="Times New Roman" w:hAnsi="Times New Roman"/>
          <w:sz w:val="18"/>
        </w:rPr>
        <w:t>egorii 17 05 04</w:t>
      </w:r>
      <w:r w:rsidR="00A33B9F" w:rsidRPr="00A33B9F">
        <w:rPr>
          <w:rFonts w:ascii="Times New Roman" w:hAnsi="Times New Roman"/>
          <w:sz w:val="18"/>
        </w:rPr>
        <w:t xml:space="preserve"> w eur</w:t>
      </w:r>
      <w:r w:rsidRPr="00A33B9F">
        <w:rPr>
          <w:rFonts w:ascii="Times New Roman" w:hAnsi="Times New Roman"/>
          <w:sz w:val="18"/>
        </w:rPr>
        <w:t>opejskim wykazie odpadów ustanowionych decyzją 2000/532/WE</w:t>
      </w:r>
      <w:r w:rsidR="00A33B9F" w:rsidRPr="00A33B9F">
        <w:rPr>
          <w:rFonts w:ascii="Times New Roman" w:hAnsi="Times New Roman"/>
          <w:sz w:val="18"/>
        </w:rPr>
        <w:t xml:space="preserve"> z dni</w:t>
      </w:r>
      <w:r w:rsidRPr="00A33B9F">
        <w:rPr>
          <w:rFonts w:ascii="Times New Roman" w:hAnsi="Times New Roman"/>
          <w:sz w:val="18"/>
        </w:rPr>
        <w:t>a 3 maja 2000</w:t>
      </w:r>
      <w:r w:rsidR="00A33B9F" w:rsidRPr="00A33B9F">
        <w:rPr>
          <w:rFonts w:ascii="Times New Roman" w:hAnsi="Times New Roman"/>
          <w:sz w:val="18"/>
        </w:rPr>
        <w:t> </w:t>
      </w:r>
      <w:r w:rsidRPr="00A33B9F">
        <w:rPr>
          <w:rFonts w:ascii="Times New Roman" w:hAnsi="Times New Roman"/>
          <w:sz w:val="18"/>
        </w:rPr>
        <w:t>r. zastępującą decyzję 94/3/WE ustanawiającą wykaz odpadów zgodnie</w:t>
      </w:r>
      <w:r w:rsidR="00A33B9F" w:rsidRPr="00A33B9F">
        <w:rPr>
          <w:rFonts w:ascii="Times New Roman" w:hAnsi="Times New Roman"/>
          <w:sz w:val="18"/>
        </w:rPr>
        <w:t xml:space="preserve"> z art</w:t>
      </w:r>
      <w:r w:rsidRPr="00A33B9F">
        <w:rPr>
          <w:rFonts w:ascii="Times New Roman" w:hAnsi="Times New Roman"/>
          <w:sz w:val="18"/>
        </w:rPr>
        <w:t>.</w:t>
      </w:r>
      <w:r w:rsidR="00A33B9F" w:rsidRPr="00A33B9F">
        <w:rPr>
          <w:rFonts w:ascii="Times New Roman" w:hAnsi="Times New Roman"/>
          <w:sz w:val="18"/>
        </w:rPr>
        <w:t> </w:t>
      </w:r>
      <w:r w:rsidRPr="00A33B9F">
        <w:rPr>
          <w:rFonts w:ascii="Times New Roman" w:hAnsi="Times New Roman"/>
          <w:sz w:val="18"/>
        </w:rPr>
        <w:t>1 lit.</w:t>
      </w:r>
      <w:r w:rsidR="00A33B9F" w:rsidRPr="00A33B9F">
        <w:rPr>
          <w:rFonts w:ascii="Times New Roman" w:hAnsi="Times New Roman"/>
          <w:sz w:val="18"/>
        </w:rPr>
        <w:t> </w:t>
      </w:r>
      <w:r w:rsidRPr="00A33B9F">
        <w:rPr>
          <w:rFonts w:ascii="Times New Roman" w:hAnsi="Times New Roman"/>
          <w:sz w:val="18"/>
        </w:rPr>
        <w:t>a) dyrektywy Rady 75/442/EWG</w:t>
      </w:r>
      <w:r w:rsidR="00A33B9F" w:rsidRPr="00A33B9F">
        <w:rPr>
          <w:rFonts w:ascii="Times New Roman" w:hAnsi="Times New Roman"/>
          <w:sz w:val="18"/>
        </w:rPr>
        <w:t xml:space="preserve"> w spr</w:t>
      </w:r>
      <w:r w:rsidRPr="00A33B9F">
        <w:rPr>
          <w:rFonts w:ascii="Times New Roman" w:hAnsi="Times New Roman"/>
          <w:sz w:val="18"/>
        </w:rPr>
        <w:t>awie odpadów oraz decyzję Rady 94/904/WE ustanawiającą wykaz odpadów niebezpiecznych zgodnie</w:t>
      </w:r>
      <w:r w:rsidR="00A33B9F" w:rsidRPr="00A33B9F">
        <w:rPr>
          <w:rFonts w:ascii="Times New Roman" w:hAnsi="Times New Roman"/>
          <w:sz w:val="18"/>
        </w:rPr>
        <w:t xml:space="preserve"> z art</w:t>
      </w:r>
      <w:r w:rsidRPr="00A33B9F">
        <w:rPr>
          <w:rFonts w:ascii="Times New Roman" w:hAnsi="Times New Roman"/>
          <w:sz w:val="18"/>
        </w:rPr>
        <w:t>.</w:t>
      </w:r>
      <w:r w:rsidR="00A33B9F" w:rsidRPr="00A33B9F">
        <w:rPr>
          <w:rFonts w:ascii="Times New Roman" w:hAnsi="Times New Roman"/>
          <w:sz w:val="18"/>
        </w:rPr>
        <w:t> </w:t>
      </w:r>
      <w:r w:rsidRPr="00A33B9F">
        <w:rPr>
          <w:rFonts w:ascii="Times New Roman" w:hAnsi="Times New Roman"/>
          <w:sz w:val="18"/>
        </w:rPr>
        <w:t>1 ust.</w:t>
      </w:r>
      <w:r w:rsidR="00A33B9F" w:rsidRPr="00A33B9F">
        <w:rPr>
          <w:rFonts w:ascii="Times New Roman" w:hAnsi="Times New Roman"/>
          <w:sz w:val="18"/>
        </w:rPr>
        <w:t> </w:t>
      </w:r>
      <w:r w:rsidRPr="00A33B9F">
        <w:rPr>
          <w:rFonts w:ascii="Times New Roman" w:hAnsi="Times New Roman"/>
          <w:sz w:val="18"/>
        </w:rPr>
        <w:t>4 dyrektywy Rady 91/689/EWG</w:t>
      </w:r>
      <w:r w:rsidR="00A33B9F" w:rsidRPr="00A33B9F">
        <w:rPr>
          <w:rFonts w:ascii="Times New Roman" w:hAnsi="Times New Roman"/>
          <w:sz w:val="18"/>
        </w:rPr>
        <w:t xml:space="preserve"> w spr</w:t>
      </w:r>
      <w:r w:rsidRPr="00A33B9F">
        <w:rPr>
          <w:rFonts w:ascii="Times New Roman" w:hAnsi="Times New Roman"/>
          <w:sz w:val="18"/>
        </w:rPr>
        <w:t>awie odpadów niebezpiecznych (notyfikowaną jako dokument nr C(2000) 1147) powstałych na placu budowy nadawało się do ponownego użycia, recyklingu</w:t>
      </w:r>
      <w:r w:rsidR="00A33B9F" w:rsidRPr="00A33B9F">
        <w:rPr>
          <w:rFonts w:ascii="Times New Roman" w:hAnsi="Times New Roman"/>
          <w:sz w:val="18"/>
        </w:rPr>
        <w:t xml:space="preserve"> i pod</w:t>
      </w:r>
      <w:r w:rsidRPr="00A33B9F">
        <w:rPr>
          <w:rFonts w:ascii="Times New Roman" w:hAnsi="Times New Roman"/>
          <w:sz w:val="18"/>
        </w:rPr>
        <w:t>dania innej metodzie odzysku materiałów, uwzględniając operacje wypełniania wyrobisk przy wykorzystaniu odpadów zamiast innych materiałów zgodnie</w:t>
      </w:r>
      <w:r w:rsidR="00A33B9F" w:rsidRPr="00A33B9F">
        <w:rPr>
          <w:rFonts w:ascii="Times New Roman" w:hAnsi="Times New Roman"/>
          <w:sz w:val="18"/>
        </w:rPr>
        <w:t xml:space="preserve"> z hie</w:t>
      </w:r>
      <w:r w:rsidRPr="00A33B9F">
        <w:rPr>
          <w:rFonts w:ascii="Times New Roman" w:hAnsi="Times New Roman"/>
          <w:sz w:val="18"/>
        </w:rPr>
        <w:t>rarchią postępowania</w:t>
      </w:r>
      <w:r w:rsidR="00A33B9F" w:rsidRPr="00A33B9F">
        <w:rPr>
          <w:rFonts w:ascii="Times New Roman" w:hAnsi="Times New Roman"/>
          <w:sz w:val="18"/>
        </w:rPr>
        <w:t xml:space="preserve"> z odp</w:t>
      </w:r>
      <w:r w:rsidRPr="00A33B9F">
        <w:rPr>
          <w:rFonts w:ascii="Times New Roman" w:hAnsi="Times New Roman"/>
          <w:sz w:val="18"/>
        </w:rPr>
        <w:t>adami oraz unijnym protokołem</w:t>
      </w:r>
      <w:r w:rsidR="00A33B9F" w:rsidRPr="00A33B9F">
        <w:rPr>
          <w:rFonts w:ascii="Times New Roman" w:hAnsi="Times New Roman"/>
          <w:sz w:val="18"/>
        </w:rPr>
        <w:t xml:space="preserve"> w spr</w:t>
      </w:r>
      <w:r w:rsidRPr="00A33B9F">
        <w:rPr>
          <w:rFonts w:ascii="Times New Roman" w:hAnsi="Times New Roman"/>
          <w:sz w:val="18"/>
        </w:rPr>
        <w:t>awie gospodarowania odpadami</w:t>
      </w:r>
      <w:r w:rsidR="00A33B9F" w:rsidRPr="00A33B9F">
        <w:rPr>
          <w:rFonts w:ascii="Times New Roman" w:hAnsi="Times New Roman"/>
          <w:sz w:val="18"/>
        </w:rPr>
        <w:t xml:space="preserve"> z bud</w:t>
      </w:r>
      <w:r w:rsidRPr="00A33B9F">
        <w:rPr>
          <w:rFonts w:ascii="Times New Roman" w:hAnsi="Times New Roman"/>
          <w:sz w:val="18"/>
        </w:rPr>
        <w:t>owy</w:t>
      </w:r>
      <w:r w:rsidR="00A33B9F" w:rsidRPr="00A33B9F">
        <w:rPr>
          <w:rFonts w:ascii="Times New Roman" w:hAnsi="Times New Roman"/>
          <w:sz w:val="18"/>
        </w:rPr>
        <w:t xml:space="preserve"> i roz</w:t>
      </w:r>
      <w:r w:rsidRPr="00A33B9F">
        <w:rPr>
          <w:rFonts w:ascii="Times New Roman" w:hAnsi="Times New Roman"/>
          <w:sz w:val="18"/>
        </w:rPr>
        <w:t>biórki.</w:t>
      </w:r>
    </w:p>
    <w:p w14:paraId="478D7399" w14:textId="77777777" w:rsidR="005A529A" w:rsidRPr="00A33B9F" w:rsidRDefault="005A529A" w:rsidP="004F42F9">
      <w:pPr>
        <w:pStyle w:val="FootnoteText"/>
        <w:ind w:left="0" w:firstLine="0"/>
      </w:pPr>
    </w:p>
  </w:footnote>
  <w:footnote w:id="29">
    <w:p w14:paraId="05CDFC2D" w14:textId="451783C2" w:rsidR="6FFEBDC3" w:rsidRPr="00A33B9F" w:rsidRDefault="6FFEBDC3" w:rsidP="65B7BA9A">
      <w:pPr>
        <w:jc w:val="both"/>
        <w:rPr>
          <w:rFonts w:ascii="Times New Roman" w:eastAsia="Times New Roman" w:hAnsi="Times New Roman" w:cs="Times New Roman"/>
          <w:sz w:val="20"/>
          <w:szCs w:val="20"/>
        </w:rPr>
      </w:pPr>
      <w:r w:rsidRPr="00A33B9F">
        <w:rPr>
          <w:rStyle w:val="FootnoteReference"/>
        </w:rPr>
        <w:footnoteRef/>
      </w:r>
      <w:r w:rsidRPr="00A33B9F">
        <w:rPr>
          <w:rFonts w:ascii="Times New Roman" w:hAnsi="Times New Roman"/>
          <w:sz w:val="18"/>
        </w:rPr>
        <w:t xml:space="preserve"> Z wyjątkiem a) aktywów</w:t>
      </w:r>
      <w:r w:rsidR="00A33B9F" w:rsidRPr="00A33B9F">
        <w:rPr>
          <w:rFonts w:ascii="Times New Roman" w:hAnsi="Times New Roman"/>
          <w:sz w:val="18"/>
        </w:rPr>
        <w:t xml:space="preserve"> i dzi</w:t>
      </w:r>
      <w:r w:rsidRPr="00A33B9F">
        <w:rPr>
          <w:rFonts w:ascii="Times New Roman" w:hAnsi="Times New Roman"/>
          <w:sz w:val="18"/>
        </w:rPr>
        <w:t>ałań związanych</w:t>
      </w:r>
      <w:r w:rsidR="00A33B9F" w:rsidRPr="00A33B9F">
        <w:rPr>
          <w:rFonts w:ascii="Times New Roman" w:hAnsi="Times New Roman"/>
          <w:sz w:val="18"/>
        </w:rPr>
        <w:t xml:space="preserve"> z wyt</w:t>
      </w:r>
      <w:r w:rsidRPr="00A33B9F">
        <w:rPr>
          <w:rFonts w:ascii="Times New Roman" w:hAnsi="Times New Roman"/>
          <w:sz w:val="18"/>
        </w:rPr>
        <w:t>warzaniem energii elektrycznej lub ciepła, jak również powiązanej infrastruktury przesyłowej</w:t>
      </w:r>
      <w:r w:rsidR="00A33B9F" w:rsidRPr="00A33B9F">
        <w:rPr>
          <w:rFonts w:ascii="Times New Roman" w:hAnsi="Times New Roman"/>
          <w:sz w:val="18"/>
        </w:rPr>
        <w:t xml:space="preserve"> i dys</w:t>
      </w:r>
      <w:r w:rsidRPr="00A33B9F">
        <w:rPr>
          <w:rFonts w:ascii="Times New Roman" w:hAnsi="Times New Roman"/>
          <w:sz w:val="18"/>
        </w:rPr>
        <w:t>trybucyjnej, wykorzystujących gaz ziemny, które są zgodne</w:t>
      </w:r>
      <w:r w:rsidR="00A33B9F" w:rsidRPr="00A33B9F">
        <w:rPr>
          <w:rFonts w:ascii="Times New Roman" w:hAnsi="Times New Roman"/>
          <w:sz w:val="18"/>
        </w:rPr>
        <w:t xml:space="preserve"> z war</w:t>
      </w:r>
      <w:r w:rsidRPr="00A33B9F">
        <w:rPr>
          <w:rFonts w:ascii="Times New Roman" w:hAnsi="Times New Roman"/>
          <w:sz w:val="18"/>
        </w:rPr>
        <w:t>unkami określonymi</w:t>
      </w:r>
      <w:r w:rsidR="00A33B9F" w:rsidRPr="00A33B9F">
        <w:rPr>
          <w:rFonts w:ascii="Times New Roman" w:hAnsi="Times New Roman"/>
          <w:sz w:val="18"/>
        </w:rPr>
        <w:t xml:space="preserve"> w zał</w:t>
      </w:r>
      <w:r w:rsidRPr="00A33B9F">
        <w:rPr>
          <w:rFonts w:ascii="Times New Roman" w:hAnsi="Times New Roman"/>
          <w:sz w:val="18"/>
        </w:rPr>
        <w:t>ączniku III do wytycznych technicznych dotyczących stosowania zasady „nie czyń poważnych szkód” (2021/C 58/01) oraz b) działań</w:t>
      </w:r>
      <w:r w:rsidR="00A33B9F" w:rsidRPr="00A33B9F">
        <w:rPr>
          <w:rFonts w:ascii="Times New Roman" w:hAnsi="Times New Roman"/>
          <w:sz w:val="18"/>
        </w:rPr>
        <w:t xml:space="preserve"> i akt</w:t>
      </w:r>
      <w:r w:rsidRPr="00A33B9F">
        <w:rPr>
          <w:rFonts w:ascii="Times New Roman" w:hAnsi="Times New Roman"/>
          <w:sz w:val="18"/>
        </w:rPr>
        <w:t>ywów przewidzianych</w:t>
      </w:r>
      <w:r w:rsidR="00A33B9F" w:rsidRPr="00A33B9F">
        <w:rPr>
          <w:rFonts w:ascii="Times New Roman" w:hAnsi="Times New Roman"/>
          <w:sz w:val="18"/>
        </w:rPr>
        <w:t xml:space="preserve"> w ppk</w:t>
      </w:r>
      <w:r w:rsidRPr="00A33B9F">
        <w:rPr>
          <w:rFonts w:ascii="Times New Roman" w:hAnsi="Times New Roman"/>
          <w:sz w:val="18"/>
        </w:rPr>
        <w:t>t (ii),</w:t>
      </w:r>
      <w:r w:rsidR="00A33B9F" w:rsidRPr="00A33B9F">
        <w:rPr>
          <w:rFonts w:ascii="Times New Roman" w:hAnsi="Times New Roman"/>
          <w:sz w:val="18"/>
        </w:rPr>
        <w:t xml:space="preserve"> w prz</w:t>
      </w:r>
      <w:r w:rsidRPr="00A33B9F">
        <w:rPr>
          <w:rFonts w:ascii="Times New Roman" w:hAnsi="Times New Roman"/>
          <w:sz w:val="18"/>
        </w:rPr>
        <w:t>ypadku których stosowanie paliw kopalnych jest tymczasowe</w:t>
      </w:r>
      <w:r w:rsidR="00A33B9F" w:rsidRPr="00A33B9F">
        <w:rPr>
          <w:rFonts w:ascii="Times New Roman" w:hAnsi="Times New Roman"/>
          <w:sz w:val="18"/>
        </w:rPr>
        <w:t xml:space="preserve"> i tec</w:t>
      </w:r>
      <w:r w:rsidRPr="00A33B9F">
        <w:rPr>
          <w:rFonts w:ascii="Times New Roman" w:hAnsi="Times New Roman"/>
          <w:sz w:val="18"/>
        </w:rPr>
        <w:t>hnicznie nieuniknione do celów terminowego przejścia na działalność bez udziału paliw kopalnych.</w:t>
      </w:r>
    </w:p>
    <w:p w14:paraId="05951833" w14:textId="30900626" w:rsidR="6FFEBDC3" w:rsidRPr="00A33B9F" w:rsidRDefault="6FFEBDC3" w:rsidP="65B7BA9A">
      <w:pPr>
        <w:pStyle w:val="FootnoteText"/>
      </w:pPr>
      <w:r w:rsidRPr="00A33B9F">
        <w:t xml:space="preserve"> </w:t>
      </w:r>
    </w:p>
  </w:footnote>
  <w:footnote w:id="30">
    <w:p w14:paraId="5C9AD744" w14:textId="4825F5A0" w:rsidR="1E4B02B3" w:rsidRPr="00A33B9F" w:rsidRDefault="1E4B02B3" w:rsidP="002B5741">
      <w:pPr>
        <w:pStyle w:val="FootnoteText"/>
        <w:ind w:left="0" w:firstLine="0"/>
      </w:pPr>
      <w:r w:rsidRPr="00A33B9F">
        <w:rPr>
          <w:rStyle w:val="FootnoteReference"/>
        </w:rPr>
        <w:footnoteRef/>
      </w:r>
      <w:r w:rsidRPr="00A33B9F">
        <w:rPr>
          <w:sz w:val="18"/>
        </w:rPr>
        <w:t xml:space="preserve"> Jeżeli</w:t>
      </w:r>
      <w:r w:rsidR="00A33B9F" w:rsidRPr="00A33B9F">
        <w:rPr>
          <w:sz w:val="18"/>
        </w:rPr>
        <w:t xml:space="preserve"> w ram</w:t>
      </w:r>
      <w:r w:rsidRPr="00A33B9F">
        <w:rPr>
          <w:sz w:val="18"/>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sz w:val="18"/>
        </w:rPr>
        <w:t xml:space="preserve"> w zak</w:t>
      </w:r>
      <w:r w:rsidRPr="00A33B9F">
        <w:rPr>
          <w:sz w:val="18"/>
        </w:rPr>
        <w:t>res systemu handlu uprawnieniami do emisji, zgodnie</w:t>
      </w:r>
      <w:r w:rsidR="00A33B9F" w:rsidRPr="00A33B9F">
        <w:rPr>
          <w:sz w:val="18"/>
        </w:rPr>
        <w:t xml:space="preserve"> z roz</w:t>
      </w:r>
      <w:r w:rsidRPr="00A33B9F">
        <w:rPr>
          <w:sz w:val="18"/>
        </w:rPr>
        <w:t>porządzeniem wykonawczym Komisji (UE) 2021/447.</w:t>
      </w:r>
      <w:r w:rsidR="00C3621A" w:rsidRPr="00A33B9F">
        <w:rPr>
          <w:rFonts w:ascii="Calibri" w:hAnsi="Calibri"/>
          <w:sz w:val="22"/>
        </w:rPr>
        <w:t xml:space="preserve"> </w:t>
      </w:r>
    </w:p>
  </w:footnote>
  <w:footnote w:id="31">
    <w:p w14:paraId="52DE97BC" w14:textId="7D536118" w:rsidR="005A529A" w:rsidRPr="00A33B9F" w:rsidRDefault="005A529A" w:rsidP="002E2DB9">
      <w:pPr>
        <w:pStyle w:val="FootnoteText"/>
        <w:ind w:left="0" w:firstLine="0"/>
        <w:rPr>
          <w:sz w:val="18"/>
          <w:szCs w:val="18"/>
        </w:rPr>
      </w:pPr>
      <w:r w:rsidRPr="00A33B9F">
        <w:rPr>
          <w:rStyle w:val="FootnoteReference"/>
          <w:sz w:val="18"/>
          <w:szCs w:val="18"/>
        </w:rPr>
        <w:footnoteRef/>
      </w:r>
      <w:r w:rsidRPr="00A33B9F">
        <w:rPr>
          <w:sz w:val="18"/>
        </w:rPr>
        <w:t xml:space="preserve"> Z wyjątkiem projektów</w:t>
      </w:r>
      <w:r w:rsidR="00A33B9F" w:rsidRPr="00A33B9F">
        <w:rPr>
          <w:sz w:val="18"/>
        </w:rPr>
        <w:t xml:space="preserve"> w ram</w:t>
      </w:r>
      <w:r w:rsidRPr="00A33B9F">
        <w:rPr>
          <w:sz w:val="18"/>
        </w:rPr>
        <w:t>ach tego działania dotyczących wytwarzania energii elektrycznej lub ciepła, jak również powiązanej infrastruktury przesyłowej</w:t>
      </w:r>
      <w:r w:rsidR="00A33B9F" w:rsidRPr="00A33B9F">
        <w:rPr>
          <w:sz w:val="18"/>
        </w:rPr>
        <w:t xml:space="preserve"> i dys</w:t>
      </w:r>
      <w:r w:rsidRPr="00A33B9F">
        <w:rPr>
          <w:sz w:val="18"/>
        </w:rPr>
        <w:t>trybucyjnej, wykorzystujących gaz ziemny, które są zgodne</w:t>
      </w:r>
      <w:r w:rsidR="00A33B9F" w:rsidRPr="00A33B9F">
        <w:rPr>
          <w:sz w:val="18"/>
        </w:rPr>
        <w:t xml:space="preserve"> z war</w:t>
      </w:r>
      <w:r w:rsidRPr="00A33B9F">
        <w:rPr>
          <w:sz w:val="18"/>
        </w:rPr>
        <w:t>unkami określonymi</w:t>
      </w:r>
      <w:r w:rsidR="00A33B9F" w:rsidRPr="00A33B9F">
        <w:rPr>
          <w:sz w:val="18"/>
        </w:rPr>
        <w:t xml:space="preserve"> w zał</w:t>
      </w:r>
      <w:r w:rsidRPr="00A33B9F">
        <w:rPr>
          <w:sz w:val="18"/>
        </w:rPr>
        <w:t>ączniku III do wytycznych technicznych dotyczących stosowania zasady „nie czyń poważnych szkód” (2021/C 58/01).</w:t>
      </w:r>
    </w:p>
  </w:footnote>
  <w:footnote w:id="32">
    <w:p w14:paraId="3DCE1FC5" w14:textId="6845294A" w:rsidR="005A529A" w:rsidRPr="00A33B9F" w:rsidRDefault="005A529A" w:rsidP="002E2DB9">
      <w:pPr>
        <w:pStyle w:val="FootnoteText"/>
        <w:ind w:left="0" w:firstLine="0"/>
        <w:rPr>
          <w:sz w:val="18"/>
          <w:szCs w:val="18"/>
        </w:rPr>
      </w:pPr>
      <w:r w:rsidRPr="00A33B9F">
        <w:rPr>
          <w:rStyle w:val="FootnoteReference"/>
          <w:sz w:val="18"/>
          <w:szCs w:val="18"/>
        </w:rPr>
        <w:footnoteRef/>
      </w:r>
      <w:r w:rsidRPr="00A33B9F">
        <w:rPr>
          <w:sz w:val="18"/>
        </w:rPr>
        <w:t xml:space="preserve"> Jeżeli</w:t>
      </w:r>
      <w:r w:rsidR="00A33B9F" w:rsidRPr="00A33B9F">
        <w:rPr>
          <w:sz w:val="18"/>
        </w:rPr>
        <w:t xml:space="preserve"> w ram</w:t>
      </w:r>
      <w:r w:rsidRPr="00A33B9F">
        <w:rPr>
          <w:sz w:val="18"/>
        </w:rPr>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rPr>
          <w:sz w:val="18"/>
        </w:rPr>
        <w:t xml:space="preserve"> w zak</w:t>
      </w:r>
      <w:r w:rsidRPr="00A33B9F">
        <w:rPr>
          <w:sz w:val="18"/>
        </w:rPr>
        <w:t>res unijnego systemu handlu uprawnieniami do emisji, zgodnie</w:t>
      </w:r>
      <w:r w:rsidR="00A33B9F" w:rsidRPr="00A33B9F">
        <w:rPr>
          <w:sz w:val="18"/>
        </w:rPr>
        <w:t xml:space="preserve"> z roz</w:t>
      </w:r>
      <w:r w:rsidRPr="00A33B9F">
        <w:rPr>
          <w:sz w:val="18"/>
        </w:rPr>
        <w:t>porządzeniem wykonawczym Komisji (UE) 2021/447.</w:t>
      </w:r>
    </w:p>
  </w:footnote>
  <w:footnote w:id="33">
    <w:p w14:paraId="1808029A" w14:textId="6B4077C8" w:rsidR="005A529A" w:rsidRPr="00A33B9F" w:rsidRDefault="005A529A" w:rsidP="002E2DB9">
      <w:pPr>
        <w:pStyle w:val="FootnoteText"/>
        <w:ind w:left="0" w:firstLine="0"/>
        <w:rPr>
          <w:sz w:val="18"/>
          <w:szCs w:val="18"/>
        </w:rPr>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zak</w:t>
      </w:r>
      <w:r w:rsidRPr="00A33B9F">
        <w:rPr>
          <w:sz w:val="18"/>
        </w:rPr>
        <w:t>ładach zajmujących się wyłącznie przetwarzaniem odpadów niebezpiecznych nienadających się do recyklingu ani nie ma zastosowania do istniejących zakładów,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wychwytywanie gazów spalinowych do składowania lub wykorzystania lub odzyskiwania materiałów</w:t>
      </w:r>
      <w:r w:rsidR="00A33B9F" w:rsidRPr="00A33B9F">
        <w:rPr>
          <w:sz w:val="18"/>
        </w:rPr>
        <w:t xml:space="preserve"> z pop</w:t>
      </w:r>
      <w:r w:rsidRPr="00A33B9F">
        <w:rPr>
          <w:sz w:val="18"/>
        </w:rPr>
        <w:t>iołów powstałych</w:t>
      </w:r>
      <w:r w:rsidR="00A33B9F" w:rsidRPr="00A33B9F">
        <w:rPr>
          <w:sz w:val="18"/>
        </w:rPr>
        <w:t xml:space="preserve"> w wyn</w:t>
      </w:r>
      <w:r w:rsidRPr="00A33B9F">
        <w:rPr>
          <w:sz w:val="18"/>
        </w:rPr>
        <w:t>iku spalania,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34">
    <w:p w14:paraId="24283C8D" w14:textId="6D4600E5" w:rsidR="005A529A" w:rsidRPr="00A33B9F" w:rsidRDefault="005A529A" w:rsidP="002E2DB9">
      <w:pPr>
        <w:pStyle w:val="FootnoteText"/>
        <w:ind w:left="0" w:firstLine="0"/>
      </w:pPr>
      <w:r w:rsidRPr="00A33B9F">
        <w:rPr>
          <w:rStyle w:val="FootnoteReference"/>
          <w:sz w:val="18"/>
          <w:szCs w:val="18"/>
        </w:rPr>
        <w:footnoteRef/>
      </w:r>
      <w:r w:rsidRPr="00A33B9F">
        <w:rPr>
          <w:sz w:val="18"/>
        </w:rPr>
        <w:t xml:space="preserve"> Wspomniane wyłączenie nie ma zastosowania do czynności dokonywanych</w:t>
      </w:r>
      <w:r w:rsidR="00A33B9F" w:rsidRPr="00A33B9F">
        <w:rPr>
          <w:sz w:val="18"/>
        </w:rPr>
        <w:t xml:space="preserve"> w ram</w:t>
      </w:r>
      <w:r w:rsidRPr="00A33B9F">
        <w:rPr>
          <w:sz w:val="18"/>
        </w:rPr>
        <w:t>ach tego działania</w:t>
      </w:r>
      <w:r w:rsidR="00A33B9F" w:rsidRPr="00A33B9F">
        <w:rPr>
          <w:sz w:val="18"/>
        </w:rPr>
        <w:t xml:space="preserve"> w ist</w:t>
      </w:r>
      <w:r w:rsidRPr="00A33B9F">
        <w:rPr>
          <w:sz w:val="18"/>
        </w:rPr>
        <w:t>niejących zakładach mechaniczno-biologicznego przetwarzania odpadów,</w:t>
      </w:r>
      <w:r w:rsidR="00A33B9F" w:rsidRPr="00A33B9F">
        <w:rPr>
          <w:sz w:val="18"/>
        </w:rPr>
        <w:t xml:space="preserve"> w prz</w:t>
      </w:r>
      <w:r w:rsidRPr="00A33B9F">
        <w:rPr>
          <w:sz w:val="18"/>
        </w:rPr>
        <w:t>ypadku gdy czynności dokonywane</w:t>
      </w:r>
      <w:r w:rsidR="00A33B9F" w:rsidRPr="00A33B9F">
        <w:rPr>
          <w:sz w:val="18"/>
        </w:rPr>
        <w:t xml:space="preserve"> w ram</w:t>
      </w:r>
      <w:r w:rsidRPr="00A33B9F">
        <w:rPr>
          <w:sz w:val="18"/>
        </w:rPr>
        <w:t>ach tego działania mają na celu zwiększenie efektywności energetycznej lub dostosowanie do procesów recyklingu odpadów posegregowanych</w:t>
      </w:r>
      <w:r w:rsidR="00A33B9F" w:rsidRPr="00A33B9F">
        <w:rPr>
          <w:sz w:val="18"/>
        </w:rPr>
        <w:t xml:space="preserve"> w cel</w:t>
      </w:r>
      <w:r w:rsidRPr="00A33B9F">
        <w:rPr>
          <w:sz w:val="18"/>
        </w:rPr>
        <w:t>u kompostowania bioodpadów</w:t>
      </w:r>
      <w:r w:rsidR="00A33B9F" w:rsidRPr="00A33B9F">
        <w:rPr>
          <w:sz w:val="18"/>
        </w:rPr>
        <w:t xml:space="preserve"> i fer</w:t>
      </w:r>
      <w:r w:rsidRPr="00A33B9F">
        <w:rPr>
          <w:sz w:val="18"/>
        </w:rPr>
        <w:t>mentacji beztlenowej bioodpadów, pod warunkiem że takie czynności dokonywane</w:t>
      </w:r>
      <w:r w:rsidR="00A33B9F" w:rsidRPr="00A33B9F">
        <w:rPr>
          <w:sz w:val="18"/>
        </w:rPr>
        <w:t xml:space="preserve"> w ram</w:t>
      </w:r>
      <w:r w:rsidRPr="00A33B9F">
        <w:rPr>
          <w:sz w:val="18"/>
        </w:rPr>
        <w:t>ach tego działania nie prowadzą do wzrostu mocy przerobowych zakładów</w:t>
      </w:r>
      <w:r w:rsidR="00A33B9F" w:rsidRPr="00A33B9F">
        <w:rPr>
          <w:sz w:val="18"/>
        </w:rPr>
        <w:t xml:space="preserve"> w zak</w:t>
      </w:r>
      <w:r w:rsidRPr="00A33B9F">
        <w:rPr>
          <w:sz w:val="18"/>
        </w:rPr>
        <w:t>resie przetwarzania odpadów ani do wydłużenia okresu eksploatacji zakładów;</w:t>
      </w:r>
      <w:r w:rsidR="00A33B9F" w:rsidRPr="00A33B9F">
        <w:rPr>
          <w:sz w:val="18"/>
        </w:rPr>
        <w:t xml:space="preserve"> w odn</w:t>
      </w:r>
      <w:r w:rsidRPr="00A33B9F">
        <w:rPr>
          <w:sz w:val="18"/>
        </w:rPr>
        <w:t>iesieniu do których przedstawiono dowody na poziomie zakładu.</w:t>
      </w:r>
    </w:p>
  </w:footnote>
  <w:footnote w:id="35">
    <w:p w14:paraId="2B65465D" w14:textId="4A71704F" w:rsidR="00E06C79" w:rsidRPr="00A33B9F" w:rsidRDefault="00E06C79" w:rsidP="004F42F9">
      <w:pPr>
        <w:pStyle w:val="FootnoteText"/>
        <w:ind w:left="0" w:firstLine="0"/>
      </w:pPr>
      <w:r w:rsidRPr="00A33B9F">
        <w:rPr>
          <w:rStyle w:val="FootnoteReference"/>
        </w:rPr>
        <w:footnoteRef/>
      </w:r>
      <w:r w:rsidRPr="00A33B9F">
        <w:t xml:space="preserve"> Z wyjątkiem a) aktywów</w:t>
      </w:r>
      <w:r w:rsidR="00A33B9F" w:rsidRPr="00A33B9F">
        <w:t xml:space="preserve"> i dzi</w:t>
      </w:r>
      <w:r w:rsidRPr="00A33B9F">
        <w:t>ałań związanych</w:t>
      </w:r>
      <w:r w:rsidR="00A33B9F" w:rsidRPr="00A33B9F">
        <w:t xml:space="preserve"> z wyt</w:t>
      </w:r>
      <w:r w:rsidRPr="00A33B9F">
        <w:t>warzaniem energii elektrycznej lub ciepła, jak również powiązanej infrastruktury przesyłowej</w:t>
      </w:r>
      <w:r w:rsidR="00A33B9F" w:rsidRPr="00A33B9F">
        <w:t xml:space="preserve"> i dys</w:t>
      </w:r>
      <w:r w:rsidRPr="00A33B9F">
        <w:t>trybucyjnej, wykorzystujących gaz ziemny, które są zgodne</w:t>
      </w:r>
      <w:r w:rsidR="00A33B9F" w:rsidRPr="00A33B9F">
        <w:t xml:space="preserve"> z war</w:t>
      </w:r>
      <w:r w:rsidRPr="00A33B9F">
        <w:t>unkami określonymi</w:t>
      </w:r>
      <w:r w:rsidR="00A33B9F" w:rsidRPr="00A33B9F">
        <w:t xml:space="preserve"> w zał</w:t>
      </w:r>
      <w:r w:rsidRPr="00A33B9F">
        <w:t>ączniku III do wytycznych technicznych dotyczących stosowania zasady „nie czyń poważnych szkód” (C(2023) 6454 final) oraz b) działań</w:t>
      </w:r>
      <w:r w:rsidR="00A33B9F" w:rsidRPr="00A33B9F">
        <w:t xml:space="preserve"> i akt</w:t>
      </w:r>
      <w:r w:rsidRPr="00A33B9F">
        <w:t>ywów przewidzianych</w:t>
      </w:r>
      <w:r w:rsidR="00A33B9F" w:rsidRPr="00A33B9F">
        <w:t xml:space="preserve"> w ppk</w:t>
      </w:r>
      <w:r w:rsidRPr="00A33B9F">
        <w:t>t (ii),</w:t>
      </w:r>
      <w:r w:rsidR="00A33B9F" w:rsidRPr="00A33B9F">
        <w:t xml:space="preserve"> w prz</w:t>
      </w:r>
      <w:r w:rsidRPr="00A33B9F">
        <w:t>ypadku których stosowanie paliw kopalnych jest tymczasowe</w:t>
      </w:r>
      <w:r w:rsidR="00A33B9F" w:rsidRPr="00A33B9F">
        <w:t xml:space="preserve"> i tec</w:t>
      </w:r>
      <w:r w:rsidRPr="00A33B9F">
        <w:t>hnicznie nieuniknione do celów terminowego przejścia na działalność bez udziału paliw kopalnych.</w:t>
      </w:r>
    </w:p>
  </w:footnote>
  <w:footnote w:id="36">
    <w:p w14:paraId="6749160E" w14:textId="1FE052F3" w:rsidR="00E06C79" w:rsidRPr="00A33B9F" w:rsidRDefault="00E06C79" w:rsidP="004F42F9">
      <w:pPr>
        <w:pStyle w:val="FootnoteText"/>
        <w:ind w:left="0" w:firstLine="0"/>
      </w:pPr>
      <w:r w:rsidRPr="00A33B9F">
        <w:rPr>
          <w:rStyle w:val="FootnoteReference"/>
        </w:rPr>
        <w:footnoteRef/>
      </w:r>
      <w:r w:rsidRPr="00A33B9F">
        <w:t xml:space="preserve"> Jeżeli</w:t>
      </w:r>
      <w:r w:rsidR="00A33B9F" w:rsidRPr="00A33B9F">
        <w:t xml:space="preserve"> w ram</w:t>
      </w:r>
      <w:r w:rsidRPr="00A33B9F">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t xml:space="preserve"> w zak</w:t>
      </w:r>
      <w:r w:rsidRPr="00A33B9F">
        <w:t>res systemu handlu uprawnieniami do emisji, zgodnie</w:t>
      </w:r>
      <w:r w:rsidR="00A33B9F" w:rsidRPr="00A33B9F">
        <w:t xml:space="preserve"> z roz</w:t>
      </w:r>
      <w:r w:rsidRPr="00A33B9F">
        <w:t>porządzeniem wykonawczym Komisji (UE) 2021/447.</w:t>
      </w:r>
    </w:p>
  </w:footnote>
  <w:footnote w:id="37">
    <w:p w14:paraId="79E000BB" w14:textId="47322DD4" w:rsidR="00E06C79" w:rsidRPr="00A33B9F" w:rsidRDefault="00E06C79" w:rsidP="004F42F9">
      <w:pPr>
        <w:pStyle w:val="FootnoteText"/>
        <w:ind w:left="0" w:firstLine="0"/>
      </w:pPr>
      <w:r w:rsidRPr="00A33B9F">
        <w:rPr>
          <w:rStyle w:val="FootnoteReference"/>
        </w:rPr>
        <w:footnoteRef/>
      </w:r>
      <w:r w:rsidRPr="00A33B9F">
        <w:t xml:space="preserve"> Wspomniane wyłączenie nie ma zastosowania do czynności dokonywanych</w:t>
      </w:r>
      <w:r w:rsidR="00A33B9F" w:rsidRPr="00A33B9F">
        <w:t xml:space="preserve"> w ram</w:t>
      </w:r>
      <w:r w:rsidRPr="00A33B9F">
        <w:t>ach tego działania</w:t>
      </w:r>
      <w:r w:rsidR="00A33B9F" w:rsidRPr="00A33B9F">
        <w:t xml:space="preserve"> w zak</w:t>
      </w:r>
      <w:r w:rsidRPr="00A33B9F">
        <w:t>ładach zajmujących się wyłącznie przetwarzaniem odpadów niebezpiecznych nienadających się do recyklingu ani nie ma zastosowania do istniejących zakładów,</w:t>
      </w:r>
      <w:r w:rsidR="00A33B9F" w:rsidRPr="00A33B9F">
        <w:t xml:space="preserve"> w prz</w:t>
      </w:r>
      <w:r w:rsidRPr="00A33B9F">
        <w:t>ypadku gdy czynności dokonywane</w:t>
      </w:r>
      <w:r w:rsidR="00A33B9F" w:rsidRPr="00A33B9F">
        <w:t xml:space="preserve"> w ram</w:t>
      </w:r>
      <w:r w:rsidRPr="00A33B9F">
        <w:t>ach tego działania mają na celu zwiększenie efektywności energetycznej, wychwytywanie gazów spalinowych do składowania lub wykorzystania lub odzyskiwania materiałów</w:t>
      </w:r>
      <w:r w:rsidR="00A33B9F" w:rsidRPr="00A33B9F">
        <w:t xml:space="preserve"> z pop</w:t>
      </w:r>
      <w:r w:rsidRPr="00A33B9F">
        <w:t>iołów powstałych</w:t>
      </w:r>
      <w:r w:rsidR="00A33B9F" w:rsidRPr="00A33B9F">
        <w:t xml:space="preserve"> w wyn</w:t>
      </w:r>
      <w:r w:rsidRPr="00A33B9F">
        <w:t>iku spalania, pod warunkiem że takie czynności dokonywane</w:t>
      </w:r>
      <w:r w:rsidR="00A33B9F" w:rsidRPr="00A33B9F">
        <w:t xml:space="preserve"> w ram</w:t>
      </w:r>
      <w:r w:rsidRPr="00A33B9F">
        <w:t>ach tego działania nie prowadzą do wzrostu mocy przerobowych zakładów</w:t>
      </w:r>
      <w:r w:rsidR="00A33B9F" w:rsidRPr="00A33B9F">
        <w:t xml:space="preserve"> w zak</w:t>
      </w:r>
      <w:r w:rsidRPr="00A33B9F">
        <w:t>resie przetwarzania odpadów ani do wydłużenia okresu eksploatacji zakładów;</w:t>
      </w:r>
      <w:r w:rsidR="00A33B9F" w:rsidRPr="00A33B9F">
        <w:t xml:space="preserve"> w odn</w:t>
      </w:r>
      <w:r w:rsidRPr="00A33B9F">
        <w:t>iesieniu do których przedstawiono dowody na poziomie zakładu. </w:t>
      </w:r>
    </w:p>
  </w:footnote>
  <w:footnote w:id="38">
    <w:p w14:paraId="21890A7C" w14:textId="394038C0" w:rsidR="00E06C79" w:rsidRPr="00A33B9F" w:rsidRDefault="00E06C79" w:rsidP="00541DD5">
      <w:pPr>
        <w:pStyle w:val="FootnoteText"/>
        <w:ind w:left="0" w:firstLine="0"/>
      </w:pPr>
      <w:r w:rsidRPr="00A33B9F">
        <w:rPr>
          <w:rStyle w:val="FootnoteReference"/>
        </w:rPr>
        <w:footnoteRef/>
      </w:r>
      <w:r w:rsidRPr="00A33B9F">
        <w:t xml:space="preserve"> Wspomniane wyłączenie nie ma zastosowania do czynności dokonywanych</w:t>
      </w:r>
      <w:r w:rsidR="00A33B9F" w:rsidRPr="00A33B9F">
        <w:t xml:space="preserve"> w ram</w:t>
      </w:r>
      <w:r w:rsidRPr="00A33B9F">
        <w:t>ach tego działania</w:t>
      </w:r>
      <w:r w:rsidR="00A33B9F" w:rsidRPr="00A33B9F">
        <w:t xml:space="preserve"> w ist</w:t>
      </w:r>
      <w:r w:rsidRPr="00A33B9F">
        <w:t>niejących zakładach mechaniczno-biologicznego przetwarzania odpadów,</w:t>
      </w:r>
      <w:r w:rsidR="00A33B9F" w:rsidRPr="00A33B9F">
        <w:t xml:space="preserve"> w prz</w:t>
      </w:r>
      <w:r w:rsidRPr="00A33B9F">
        <w:t>ypadku gdy czynności dokonywane</w:t>
      </w:r>
      <w:r w:rsidR="00A33B9F" w:rsidRPr="00A33B9F">
        <w:t xml:space="preserve"> w ram</w:t>
      </w:r>
      <w:r w:rsidRPr="00A33B9F">
        <w:t>ach tego działania mają na celu zwiększenie efektywności energetycznej lub dostosowanie do procesów recyklingu odpadów posegregowanych</w:t>
      </w:r>
      <w:r w:rsidR="00A33B9F" w:rsidRPr="00A33B9F">
        <w:t xml:space="preserve"> w cel</w:t>
      </w:r>
      <w:r w:rsidRPr="00A33B9F">
        <w:t>u kompostowania bioodpadów</w:t>
      </w:r>
      <w:r w:rsidR="00A33B9F" w:rsidRPr="00A33B9F">
        <w:t xml:space="preserve"> i fer</w:t>
      </w:r>
      <w:r w:rsidRPr="00A33B9F">
        <w:t>mentacji beztlenowej bioodpadów, pod warunkiem że takie czynności dokonywane</w:t>
      </w:r>
      <w:r w:rsidR="00A33B9F" w:rsidRPr="00A33B9F">
        <w:t xml:space="preserve"> w ram</w:t>
      </w:r>
      <w:r w:rsidRPr="00A33B9F">
        <w:t>ach tego działania nie prowadzą do wzrostu mocy przerobowych zakładów</w:t>
      </w:r>
      <w:r w:rsidR="00A33B9F" w:rsidRPr="00A33B9F">
        <w:t xml:space="preserve"> w zak</w:t>
      </w:r>
      <w:r w:rsidRPr="00A33B9F">
        <w:t>resie przetwarzania odpadów ani do wydłużenia okresu eksploatacji zakładów;</w:t>
      </w:r>
      <w:r w:rsidR="00A33B9F" w:rsidRPr="00A33B9F">
        <w:t xml:space="preserve"> w odn</w:t>
      </w:r>
      <w:r w:rsidRPr="00A33B9F">
        <w:t>iesieniu do których przedstawiono dowody na poziomie zakładu. </w:t>
      </w:r>
    </w:p>
  </w:footnote>
  <w:footnote w:id="39">
    <w:p w14:paraId="4B1E387A" w14:textId="6B069C63" w:rsidR="6C8092A5" w:rsidRPr="00A33B9F" w:rsidRDefault="6C8092A5" w:rsidP="00541DD5">
      <w:pPr>
        <w:pStyle w:val="FootnoteText"/>
        <w:ind w:left="0" w:firstLine="0"/>
      </w:pPr>
      <w:r w:rsidRPr="00A33B9F">
        <w:rPr>
          <w:rStyle w:val="FootnoteReference"/>
        </w:rPr>
        <w:footnoteRef/>
      </w:r>
      <w:r w:rsidRPr="00A33B9F">
        <w:t xml:space="preserve"> Beneficjenci końcowi stowarzyszeni</w:t>
      </w:r>
      <w:r w:rsidR="00A33B9F" w:rsidRPr="00A33B9F">
        <w:t xml:space="preserve"> z kon</w:t>
      </w:r>
      <w:r w:rsidRPr="00A33B9F">
        <w:t>kretnymi projektami są zobowiązani do przedstawienia uzasadnienia wybranego obszaru interwencji</w:t>
      </w:r>
      <w:r w:rsidR="00A33B9F" w:rsidRPr="00A33B9F">
        <w:t xml:space="preserve"> w odn</w:t>
      </w:r>
      <w:r w:rsidRPr="00A33B9F">
        <w:t>iesieniu do każdego wspieranego projektu, wraz</w:t>
      </w:r>
      <w:r w:rsidR="00A33B9F" w:rsidRPr="00A33B9F">
        <w:t xml:space="preserve"> z opi</w:t>
      </w:r>
      <w:r w:rsidRPr="00A33B9F">
        <w:t>sem projektu, do celów obliczenia wkładu na rzecz klimatu. Partner wykonawczy jest również zobowiązany do przedstawienia państwu członkowskiemu półrocznego sprawozdania</w:t>
      </w:r>
      <w:r w:rsidR="00A33B9F" w:rsidRPr="00A33B9F">
        <w:t xml:space="preserve"> z rea</w:t>
      </w:r>
      <w:r w:rsidRPr="00A33B9F">
        <w:t>lizacji każdego projektu/działania.</w:t>
      </w:r>
    </w:p>
    <w:p w14:paraId="0D5173A8" w14:textId="433815FE" w:rsidR="6C8092A5" w:rsidRPr="00A33B9F" w:rsidRDefault="6C8092A5" w:rsidP="40E69326">
      <w:pPr>
        <w:pStyle w:val="FootnoteText"/>
      </w:pPr>
    </w:p>
  </w:footnote>
  <w:footnote w:id="40">
    <w:p w14:paraId="2163F6F7" w14:textId="174A18A4" w:rsidR="00E06C79" w:rsidRPr="00A33B9F" w:rsidRDefault="00E06C79" w:rsidP="004F42F9">
      <w:pPr>
        <w:pStyle w:val="FootnoteText"/>
        <w:ind w:left="0" w:firstLine="0"/>
      </w:pPr>
      <w:r w:rsidRPr="00A33B9F">
        <w:rPr>
          <w:rStyle w:val="FootnoteReference"/>
        </w:rPr>
        <w:footnoteRef/>
      </w:r>
      <w:r w:rsidRPr="00A33B9F">
        <w:t xml:space="preserve"> Z wyjątkiem a) aktywów</w:t>
      </w:r>
      <w:r w:rsidR="00A33B9F" w:rsidRPr="00A33B9F">
        <w:t xml:space="preserve"> i dzi</w:t>
      </w:r>
      <w:r w:rsidRPr="00A33B9F">
        <w:t>ałań związanych</w:t>
      </w:r>
      <w:r w:rsidR="00A33B9F" w:rsidRPr="00A33B9F">
        <w:t xml:space="preserve"> z wyt</w:t>
      </w:r>
      <w:r w:rsidRPr="00A33B9F">
        <w:t>warzaniem energii elektrycznej lub ciepła, jak również powiązanej infrastruktury przesyłowej</w:t>
      </w:r>
      <w:r w:rsidR="00A33B9F" w:rsidRPr="00A33B9F">
        <w:t xml:space="preserve"> i dys</w:t>
      </w:r>
      <w:r w:rsidRPr="00A33B9F">
        <w:t>trybucyjnej, wykorzystujących gaz ziemny, które są zgodne</w:t>
      </w:r>
      <w:r w:rsidR="00A33B9F" w:rsidRPr="00A33B9F">
        <w:t xml:space="preserve"> z war</w:t>
      </w:r>
      <w:r w:rsidRPr="00A33B9F">
        <w:t>unkami określonymi</w:t>
      </w:r>
      <w:r w:rsidR="00A33B9F" w:rsidRPr="00A33B9F">
        <w:t xml:space="preserve"> w zał</w:t>
      </w:r>
      <w:r w:rsidRPr="00A33B9F">
        <w:t>ączniku III do wytycznych technicznych dotyczących stosowania zasady „nie czyń poważnych szkód” (C(2023) 6454 final) oraz b) działań</w:t>
      </w:r>
      <w:r w:rsidR="00A33B9F" w:rsidRPr="00A33B9F">
        <w:t xml:space="preserve"> i akt</w:t>
      </w:r>
      <w:r w:rsidRPr="00A33B9F">
        <w:t>ywów przewidzianych</w:t>
      </w:r>
      <w:r w:rsidR="00A33B9F" w:rsidRPr="00A33B9F">
        <w:t xml:space="preserve"> w ppk</w:t>
      </w:r>
      <w:r w:rsidRPr="00A33B9F">
        <w:t>t (ii),</w:t>
      </w:r>
      <w:r w:rsidR="00A33B9F" w:rsidRPr="00A33B9F">
        <w:t xml:space="preserve"> w prz</w:t>
      </w:r>
      <w:r w:rsidRPr="00A33B9F">
        <w:t>ypadku których stosowanie paliw kopalnych jest tymczasowe</w:t>
      </w:r>
      <w:r w:rsidR="00A33B9F" w:rsidRPr="00A33B9F">
        <w:t xml:space="preserve"> i tec</w:t>
      </w:r>
      <w:r w:rsidRPr="00A33B9F">
        <w:t>hnicznie nieuniknione do celów terminowego przejścia na działalność bez udziału paliw kopalnych.</w:t>
      </w:r>
    </w:p>
  </w:footnote>
  <w:footnote w:id="41">
    <w:p w14:paraId="130612E3" w14:textId="2BE45D72" w:rsidR="00E06C79" w:rsidRPr="00A33B9F" w:rsidRDefault="00E06C79" w:rsidP="004F42F9">
      <w:pPr>
        <w:pStyle w:val="FootnoteText"/>
        <w:ind w:left="0" w:firstLine="0"/>
      </w:pPr>
      <w:r w:rsidRPr="00A33B9F">
        <w:rPr>
          <w:rStyle w:val="FootnoteReference"/>
        </w:rPr>
        <w:footnoteRef/>
      </w:r>
      <w:r w:rsidRPr="00A33B9F">
        <w:t xml:space="preserve"> Jeżeli</w:t>
      </w:r>
      <w:r w:rsidR="00A33B9F" w:rsidRPr="00A33B9F">
        <w:t xml:space="preserve"> w ram</w:t>
      </w:r>
      <w:r w:rsidRPr="00A33B9F">
        <w:t>ach działania objętego wsparciem prognozowane emisje gazów cieplarnianych nie są znacząco niższe od odpowiednich wskaźników emisyjności, należy wyjaśnić powody, dla których nie jest to możliwe. Wskaźniki emisyjności określone jako podstawa przydziału bezpłatnych uprawnień do emisji dla działań wchodzących</w:t>
      </w:r>
      <w:r w:rsidR="00A33B9F" w:rsidRPr="00A33B9F">
        <w:t xml:space="preserve"> w zak</w:t>
      </w:r>
      <w:r w:rsidRPr="00A33B9F">
        <w:t>res systemu handlu uprawnieniami do emisji, zgodnie</w:t>
      </w:r>
      <w:r w:rsidR="00A33B9F" w:rsidRPr="00A33B9F">
        <w:t xml:space="preserve"> z roz</w:t>
      </w:r>
      <w:r w:rsidRPr="00A33B9F">
        <w:t>porządzeniem wykonawczym Komisji (UE) 2021/447.</w:t>
      </w:r>
    </w:p>
  </w:footnote>
  <w:footnote w:id="42">
    <w:p w14:paraId="6B0F47EF" w14:textId="37067060" w:rsidR="00E06C79" w:rsidRPr="00A33B9F" w:rsidRDefault="00E06C79" w:rsidP="004F42F9">
      <w:pPr>
        <w:pStyle w:val="FootnoteText"/>
        <w:ind w:left="0" w:firstLine="0"/>
      </w:pPr>
      <w:r w:rsidRPr="00A33B9F">
        <w:rPr>
          <w:rStyle w:val="FootnoteReference"/>
        </w:rPr>
        <w:footnoteRef/>
      </w:r>
      <w:r w:rsidRPr="00A33B9F">
        <w:t xml:space="preserve"> Wspomniane wyłączenie nie ma zastosowania do czynności dokonywanych</w:t>
      </w:r>
      <w:r w:rsidR="00A33B9F" w:rsidRPr="00A33B9F">
        <w:t xml:space="preserve"> w ram</w:t>
      </w:r>
      <w:r w:rsidRPr="00A33B9F">
        <w:t>ach tego działania</w:t>
      </w:r>
      <w:r w:rsidR="00A33B9F" w:rsidRPr="00A33B9F">
        <w:t xml:space="preserve"> w zak</w:t>
      </w:r>
      <w:r w:rsidRPr="00A33B9F">
        <w:t>ładach zajmujących się wyłącznie przetwarzaniem odpadów niebezpiecznych nienadających się do recyklingu ani nie ma zastosowania do istniejących zakładów,</w:t>
      </w:r>
      <w:r w:rsidR="00A33B9F" w:rsidRPr="00A33B9F">
        <w:t xml:space="preserve"> w prz</w:t>
      </w:r>
      <w:r w:rsidRPr="00A33B9F">
        <w:t>ypadku gdy czynności dokonywane</w:t>
      </w:r>
      <w:r w:rsidR="00A33B9F" w:rsidRPr="00A33B9F">
        <w:t xml:space="preserve"> w ram</w:t>
      </w:r>
      <w:r w:rsidRPr="00A33B9F">
        <w:t>ach tego działania mają na celu zwiększenie efektywności energetycznej, wychwytywanie gazów spalinowych do składowania lub wykorzystania lub odzyskiwania materiałów</w:t>
      </w:r>
      <w:r w:rsidR="00A33B9F" w:rsidRPr="00A33B9F">
        <w:t xml:space="preserve"> z pop</w:t>
      </w:r>
      <w:r w:rsidRPr="00A33B9F">
        <w:t>iołów powstałych</w:t>
      </w:r>
      <w:r w:rsidR="00A33B9F" w:rsidRPr="00A33B9F">
        <w:t xml:space="preserve"> w wyn</w:t>
      </w:r>
      <w:r w:rsidRPr="00A33B9F">
        <w:t>iku spalania, pod warunkiem że takie czynności dokonywane</w:t>
      </w:r>
      <w:r w:rsidR="00A33B9F" w:rsidRPr="00A33B9F">
        <w:t xml:space="preserve"> w ram</w:t>
      </w:r>
      <w:r w:rsidRPr="00A33B9F">
        <w:t>ach tego działania nie prowadzą do wzrostu mocy przerobowych zakładów</w:t>
      </w:r>
      <w:r w:rsidR="00A33B9F" w:rsidRPr="00A33B9F">
        <w:t xml:space="preserve"> w zak</w:t>
      </w:r>
      <w:r w:rsidRPr="00A33B9F">
        <w:t>resie przetwarzania odpadów ani do wydłużenia okresu eksploatacji zakładów;</w:t>
      </w:r>
      <w:r w:rsidR="00A33B9F" w:rsidRPr="00A33B9F">
        <w:t xml:space="preserve"> w odn</w:t>
      </w:r>
      <w:r w:rsidRPr="00A33B9F">
        <w:t>iesieniu do których przedstawiono dowody na poziomie zakładu. </w:t>
      </w:r>
    </w:p>
  </w:footnote>
  <w:footnote w:id="43">
    <w:p w14:paraId="444781E0" w14:textId="292AD2C9" w:rsidR="00E06C79" w:rsidRPr="00A33B9F" w:rsidRDefault="00E06C79" w:rsidP="004F42F9">
      <w:pPr>
        <w:pStyle w:val="FootnoteText"/>
        <w:ind w:left="0" w:firstLine="0"/>
      </w:pPr>
      <w:r w:rsidRPr="00A33B9F">
        <w:rPr>
          <w:rStyle w:val="FootnoteReference"/>
        </w:rPr>
        <w:footnoteRef/>
      </w:r>
      <w:r w:rsidRPr="00A33B9F">
        <w:t xml:space="preserve"> Wspomniane wyłączenie nie ma zastosowania do czynności dokonywanych</w:t>
      </w:r>
      <w:r w:rsidR="00A33B9F" w:rsidRPr="00A33B9F">
        <w:t xml:space="preserve"> w ram</w:t>
      </w:r>
      <w:r w:rsidRPr="00A33B9F">
        <w:t>ach tego działania</w:t>
      </w:r>
      <w:r w:rsidR="00A33B9F" w:rsidRPr="00A33B9F">
        <w:t xml:space="preserve"> w ist</w:t>
      </w:r>
      <w:r w:rsidRPr="00A33B9F">
        <w:t>niejących zakładach mechaniczno-biologicznego przetwarzania odpadów,</w:t>
      </w:r>
      <w:r w:rsidR="00A33B9F" w:rsidRPr="00A33B9F">
        <w:t xml:space="preserve"> w prz</w:t>
      </w:r>
      <w:r w:rsidRPr="00A33B9F">
        <w:t>ypadku gdy czynności dokonywane</w:t>
      </w:r>
      <w:r w:rsidR="00A33B9F" w:rsidRPr="00A33B9F">
        <w:t xml:space="preserve"> w ram</w:t>
      </w:r>
      <w:r w:rsidRPr="00A33B9F">
        <w:t>ach tego działania mają na celu zwiększenie efektywności energetycznej lub dostosowanie do procesów recyklingu odpadów posegregowanych</w:t>
      </w:r>
      <w:r w:rsidR="00A33B9F" w:rsidRPr="00A33B9F">
        <w:t xml:space="preserve"> w cel</w:t>
      </w:r>
      <w:r w:rsidRPr="00A33B9F">
        <w:t>u kompostowania bioodpadów</w:t>
      </w:r>
      <w:r w:rsidR="00A33B9F" w:rsidRPr="00A33B9F">
        <w:t xml:space="preserve"> i fer</w:t>
      </w:r>
      <w:r w:rsidRPr="00A33B9F">
        <w:t>mentacji beztlenowej bioodpadów, pod warunkiem że takie czynności dokonywane</w:t>
      </w:r>
      <w:r w:rsidR="00A33B9F" w:rsidRPr="00A33B9F">
        <w:t xml:space="preserve"> w ram</w:t>
      </w:r>
      <w:r w:rsidRPr="00A33B9F">
        <w:t>ach tego działania nie prowadzą do wzrostu mocy przerobowych zakładów</w:t>
      </w:r>
      <w:r w:rsidR="00A33B9F" w:rsidRPr="00A33B9F">
        <w:t xml:space="preserve"> w zak</w:t>
      </w:r>
      <w:r w:rsidRPr="00A33B9F">
        <w:t>resie przetwarzania odpadów ani do wydłużenia okresu eksploatacji zakładów;</w:t>
      </w:r>
      <w:r w:rsidR="00A33B9F" w:rsidRPr="00A33B9F">
        <w:t xml:space="preserve"> w odn</w:t>
      </w:r>
      <w:r w:rsidRPr="00A33B9F">
        <w:t>iesieniu do których przedstawiono dowody na poziomie zakładu. </w:t>
      </w:r>
    </w:p>
  </w:footnote>
  <w:footnote w:id="44">
    <w:p w14:paraId="1F490F25" w14:textId="564A31DF" w:rsidR="001C6B25" w:rsidRPr="00A33B9F" w:rsidRDefault="001C6B25" w:rsidP="001C6B25">
      <w:pPr>
        <w:pStyle w:val="NormalWeb"/>
        <w:spacing w:before="0" w:beforeAutospacing="0" w:after="0" w:afterAutospacing="0"/>
        <w:rPr>
          <w:rFonts w:ascii="Calibri" w:hAnsi="Calibri" w:cs="Calibri"/>
          <w:sz w:val="22"/>
          <w:szCs w:val="22"/>
        </w:rPr>
      </w:pPr>
      <w:r w:rsidRPr="00A33B9F">
        <w:rPr>
          <w:rStyle w:val="FootnoteReference"/>
        </w:rPr>
        <w:footnoteRef/>
      </w:r>
      <w:r w:rsidRPr="00A33B9F">
        <w:t xml:space="preserve"> </w:t>
      </w:r>
      <w:r w:rsidRPr="00A33B9F">
        <w:rPr>
          <w:sz w:val="20"/>
        </w:rPr>
        <w:t>Beneficjenci końcowi stowarzyszeni</w:t>
      </w:r>
      <w:r w:rsidR="00A33B9F" w:rsidRPr="00A33B9F">
        <w:rPr>
          <w:sz w:val="20"/>
        </w:rPr>
        <w:t xml:space="preserve"> z kon</w:t>
      </w:r>
      <w:r w:rsidRPr="00A33B9F">
        <w:rPr>
          <w:sz w:val="20"/>
        </w:rPr>
        <w:t>kretnymi projektami są zobowiązani do przedstawienia uzasadnienia wybranego obszaru interwencji</w:t>
      </w:r>
      <w:r w:rsidR="00A33B9F" w:rsidRPr="00A33B9F">
        <w:rPr>
          <w:sz w:val="20"/>
        </w:rPr>
        <w:t xml:space="preserve"> w odn</w:t>
      </w:r>
      <w:r w:rsidRPr="00A33B9F">
        <w:rPr>
          <w:sz w:val="20"/>
        </w:rPr>
        <w:t>iesieniu do każdego wspieranego projektu, wraz</w:t>
      </w:r>
      <w:r w:rsidR="00A33B9F" w:rsidRPr="00A33B9F">
        <w:rPr>
          <w:sz w:val="20"/>
        </w:rPr>
        <w:t xml:space="preserve"> z opi</w:t>
      </w:r>
      <w:r w:rsidRPr="00A33B9F">
        <w:rPr>
          <w:sz w:val="20"/>
        </w:rPr>
        <w:t>sem projektu, do celów obliczenia wkładu na rzecz klimatu. Partner wykonawczy jest również zobowiązany do przedstawienia państwu członkowskiemu półrocznego sprawozdania</w:t>
      </w:r>
      <w:r w:rsidR="00A33B9F" w:rsidRPr="00A33B9F">
        <w:rPr>
          <w:sz w:val="20"/>
        </w:rPr>
        <w:t xml:space="preserve"> z rea</w:t>
      </w:r>
      <w:r w:rsidRPr="00A33B9F">
        <w:rPr>
          <w:sz w:val="20"/>
        </w:rPr>
        <w:t>lizacji każdego projektu/działania.</w:t>
      </w:r>
    </w:p>
    <w:p w14:paraId="00D37130" w14:textId="50D6BF7A" w:rsidR="001C6B25" w:rsidRPr="00A33B9F" w:rsidRDefault="001C6B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C57A5" w14:textId="77777777" w:rsidR="00092C82" w:rsidRPr="00092C82" w:rsidRDefault="00092C82" w:rsidP="00092C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F74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AA850"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77AF"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6D68"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F2F0"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D6E9"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0FBB"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E25A"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7D48"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B8F9"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3686B" w14:textId="77777777" w:rsidR="00092C82" w:rsidRPr="00092C82" w:rsidRDefault="00092C82" w:rsidP="00092C82">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A9836" w14:textId="77777777" w:rsidR="005A529A" w:rsidRDefault="005A529A">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szCs w:val="24"/>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E008" w14:textId="77777777" w:rsidR="005A529A" w:rsidRDefault="005A529A">
    <w:pPr>
      <w:pStyle w:val="Normal0"/>
      <w:pBdr>
        <w:top w:val="nil"/>
        <w:left w:val="nil"/>
        <w:bottom w:val="nil"/>
        <w:right w:val="nil"/>
        <w:between w:val="nil"/>
      </w:pBdr>
      <w:tabs>
        <w:tab w:val="center" w:pos="7285"/>
        <w:tab w:val="right" w:pos="14003"/>
      </w:tabs>
      <w:spacing w:after="120" w:line="240" w:lineRule="auto"/>
      <w:jc w:val="both"/>
      <w:rPr>
        <w:rFonts w:ascii="Times New Roman" w:eastAsia="Times New Roman" w:hAnsi="Times New Roman" w:cs="Times New Roman"/>
        <w:color w:val="000000"/>
        <w:sz w:val="24"/>
        <w:szCs w:val="24"/>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7A2C"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9FC03"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D501"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E7A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F0C5E"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20FA"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30A4"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4D195"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046A6" w14:textId="77777777" w:rsidR="00092C82" w:rsidRPr="00092C82" w:rsidRDefault="00092C82" w:rsidP="00092C82">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A92C"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2A83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860B"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8331"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6C40E"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35555"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9C6E"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94B9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943C"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7778"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B2522"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0334"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4CCB"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0CB3"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60B8"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B938B"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AE01"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98D5"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6FC12"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610E"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7069"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424A"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70F0"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8F8C"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39D"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B4B9"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F948"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6D91"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069A"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D364"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08E0"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2EC1" w14:textId="77777777" w:rsidR="005A529A" w:rsidRDefault="005A529A">
    <w:pPr>
      <w:pStyle w:val="Header"/>
      <w:jc w:val="center"/>
    </w:pPr>
  </w:p>
  <w:p w14:paraId="6A2BC471"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5B1E"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829D"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6F4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60CB"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CEB4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63EA2"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BE5E"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46EB"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AFED"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2C48"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47D9"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E47F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8EE9"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3F1C"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C26A"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539F"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A8924"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A375"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F524"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CC66"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D072"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0B50"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7F98F"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B1DD"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2113"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AD6D"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440C"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06B7"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9D71"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02EAC"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0DDD3" w14:textId="77777777" w:rsidR="00234C48" w:rsidRDefault="00234C48">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17ED" w14:textId="77777777" w:rsidR="00D8141F" w:rsidRDefault="00D8141F">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7C629" w14:textId="77777777" w:rsidR="00D8141F" w:rsidRDefault="00D8141F">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60E1"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96D1" w14:textId="77777777" w:rsidR="00D8141F" w:rsidRDefault="00D8141F">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882F"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C937"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CBDA" w14:textId="77777777" w:rsidR="005A529A" w:rsidRDefault="005A529A">
    <w:pPr>
      <w:pStyle w:val="Normal0"/>
      <w:pBdr>
        <w:top w:val="nil"/>
        <w:left w:val="nil"/>
        <w:bottom w:val="nil"/>
        <w:right w:val="nil"/>
        <w:between w:val="nil"/>
      </w:pBdr>
      <w:tabs>
        <w:tab w:val="center" w:pos="4535"/>
        <w:tab w:val="right" w:pos="9071"/>
      </w:tabs>
      <w:spacing w:after="120" w:line="240" w:lineRule="auto"/>
      <w:jc w:val="both"/>
      <w:rPr>
        <w:rFonts w:ascii="Times New Roman" w:eastAsia="Times New Roman" w:hAnsi="Times New Roman" w:cs="Times New Roman"/>
        <w:color w:val="000000"/>
        <w:sz w:val="24"/>
        <w:szCs w:val="24"/>
      </w:rPr>
    </w:pPr>
  </w:p>
</w:hdr>
</file>

<file path=word/intelligence.xml><?xml version="1.0" encoding="utf-8"?>
<int:Intelligence xmlns:int="http://schemas.microsoft.com/office/intelligence/2019/intelligence">
  <int:IntelligenceSettings/>
  <int:Manifest>
    <int:WordHash hashCode="4ilNJA7VQe2W4v" id="saK5d4xp"/>
    <int:ParagraphRange paragraphId="730702701" textId="1384402202" start="72" length="5" invalidationStart="72" invalidationLength="5" id="pegID2jZ"/>
  </int:Manifest>
  <int:Observations>
    <int:Content id="saK5d4xp">
      <int:Rejection type="LegacyProofing"/>
    </int:Content>
    <int:Content id="pegID2j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61"/>
    <w:lvl w:ilvl="0">
      <w:start w:val="1"/>
      <w:numFmt w:val="bullet"/>
      <w:lvlText w:val="-"/>
      <w:lvlJc w:val="left"/>
      <w:pPr>
        <w:tabs>
          <w:tab w:val="num" w:pos="0"/>
        </w:tabs>
        <w:ind w:left="720" w:hanging="360"/>
      </w:pPr>
      <w:rPr>
        <w:rFonts w:ascii="Courier New" w:hAnsi="Courier New" w:cs="Courier New"/>
      </w:rPr>
    </w:lvl>
  </w:abstractNum>
  <w:abstractNum w:abstractNumId="1" w15:restartNumberingAfterBreak="0">
    <w:nsid w:val="0011A0E7"/>
    <w:multiLevelType w:val="hybridMultilevel"/>
    <w:tmpl w:val="FFFFFFFF"/>
    <w:lvl w:ilvl="0" w:tplc="1F7298FE">
      <w:start w:val="1"/>
      <w:numFmt w:val="decimal"/>
      <w:lvlText w:val="%1."/>
      <w:lvlJc w:val="left"/>
      <w:pPr>
        <w:ind w:left="720" w:hanging="360"/>
      </w:pPr>
    </w:lvl>
    <w:lvl w:ilvl="1" w:tplc="BA6E96B0">
      <w:start w:val="1"/>
      <w:numFmt w:val="lowerLetter"/>
      <w:lvlText w:val="%2."/>
      <w:lvlJc w:val="left"/>
      <w:pPr>
        <w:ind w:left="1440" w:hanging="360"/>
      </w:pPr>
    </w:lvl>
    <w:lvl w:ilvl="2" w:tplc="8944768C">
      <w:start w:val="1"/>
      <w:numFmt w:val="lowerRoman"/>
      <w:lvlText w:val="%3."/>
      <w:lvlJc w:val="right"/>
      <w:pPr>
        <w:ind w:left="2160" w:hanging="180"/>
      </w:pPr>
    </w:lvl>
    <w:lvl w:ilvl="3" w:tplc="3EA827DC">
      <w:start w:val="1"/>
      <w:numFmt w:val="decimal"/>
      <w:lvlText w:val="%4."/>
      <w:lvlJc w:val="left"/>
      <w:pPr>
        <w:ind w:left="2880" w:hanging="360"/>
      </w:pPr>
    </w:lvl>
    <w:lvl w:ilvl="4" w:tplc="A5C2AC48">
      <w:start w:val="1"/>
      <w:numFmt w:val="lowerLetter"/>
      <w:lvlText w:val="%5."/>
      <w:lvlJc w:val="left"/>
      <w:pPr>
        <w:ind w:left="3600" w:hanging="360"/>
      </w:pPr>
    </w:lvl>
    <w:lvl w:ilvl="5" w:tplc="CD4EB3EE">
      <w:start w:val="1"/>
      <w:numFmt w:val="lowerRoman"/>
      <w:lvlText w:val="%6."/>
      <w:lvlJc w:val="right"/>
      <w:pPr>
        <w:ind w:left="4320" w:hanging="180"/>
      </w:pPr>
    </w:lvl>
    <w:lvl w:ilvl="6" w:tplc="201414D2">
      <w:start w:val="1"/>
      <w:numFmt w:val="decimal"/>
      <w:lvlText w:val="%7."/>
      <w:lvlJc w:val="left"/>
      <w:pPr>
        <w:ind w:left="5040" w:hanging="360"/>
      </w:pPr>
    </w:lvl>
    <w:lvl w:ilvl="7" w:tplc="1F4AD862">
      <w:start w:val="1"/>
      <w:numFmt w:val="lowerLetter"/>
      <w:lvlText w:val="%8."/>
      <w:lvlJc w:val="left"/>
      <w:pPr>
        <w:ind w:left="5760" w:hanging="360"/>
      </w:pPr>
    </w:lvl>
    <w:lvl w:ilvl="8" w:tplc="DF462B7A">
      <w:start w:val="1"/>
      <w:numFmt w:val="lowerRoman"/>
      <w:lvlText w:val="%9."/>
      <w:lvlJc w:val="right"/>
      <w:pPr>
        <w:ind w:left="6480" w:hanging="180"/>
      </w:pPr>
    </w:lvl>
  </w:abstractNum>
  <w:abstractNum w:abstractNumId="2" w15:restartNumberingAfterBreak="0">
    <w:nsid w:val="02A53DE3"/>
    <w:multiLevelType w:val="hybridMultilevel"/>
    <w:tmpl w:val="FFFFFFFF"/>
    <w:lvl w:ilvl="0" w:tplc="B3EA97AA">
      <w:start w:val="1"/>
      <w:numFmt w:val="bullet"/>
      <w:lvlText w:val="·"/>
      <w:lvlJc w:val="left"/>
      <w:pPr>
        <w:ind w:left="720" w:hanging="360"/>
      </w:pPr>
      <w:rPr>
        <w:rFonts w:ascii="Symbol" w:hAnsi="Symbol" w:hint="default"/>
      </w:rPr>
    </w:lvl>
    <w:lvl w:ilvl="1" w:tplc="D57C8124">
      <w:start w:val="1"/>
      <w:numFmt w:val="bullet"/>
      <w:lvlText w:val="o"/>
      <w:lvlJc w:val="left"/>
      <w:pPr>
        <w:ind w:left="1440" w:hanging="360"/>
      </w:pPr>
      <w:rPr>
        <w:rFonts w:ascii="Courier New" w:hAnsi="Courier New" w:hint="default"/>
      </w:rPr>
    </w:lvl>
    <w:lvl w:ilvl="2" w:tplc="E12ABCCA">
      <w:start w:val="1"/>
      <w:numFmt w:val="bullet"/>
      <w:lvlText w:val=""/>
      <w:lvlJc w:val="left"/>
      <w:pPr>
        <w:ind w:left="2160" w:hanging="360"/>
      </w:pPr>
      <w:rPr>
        <w:rFonts w:ascii="Wingdings" w:hAnsi="Wingdings" w:hint="default"/>
      </w:rPr>
    </w:lvl>
    <w:lvl w:ilvl="3" w:tplc="11CC149A">
      <w:start w:val="1"/>
      <w:numFmt w:val="bullet"/>
      <w:lvlText w:val=""/>
      <w:lvlJc w:val="left"/>
      <w:pPr>
        <w:ind w:left="2880" w:hanging="360"/>
      </w:pPr>
      <w:rPr>
        <w:rFonts w:ascii="Symbol" w:hAnsi="Symbol" w:hint="default"/>
      </w:rPr>
    </w:lvl>
    <w:lvl w:ilvl="4" w:tplc="D9EE140C">
      <w:start w:val="1"/>
      <w:numFmt w:val="bullet"/>
      <w:lvlText w:val="o"/>
      <w:lvlJc w:val="left"/>
      <w:pPr>
        <w:ind w:left="3600" w:hanging="360"/>
      </w:pPr>
      <w:rPr>
        <w:rFonts w:ascii="Courier New" w:hAnsi="Courier New" w:hint="default"/>
      </w:rPr>
    </w:lvl>
    <w:lvl w:ilvl="5" w:tplc="64C09290">
      <w:start w:val="1"/>
      <w:numFmt w:val="bullet"/>
      <w:lvlText w:val=""/>
      <w:lvlJc w:val="left"/>
      <w:pPr>
        <w:ind w:left="4320" w:hanging="360"/>
      </w:pPr>
      <w:rPr>
        <w:rFonts w:ascii="Wingdings" w:hAnsi="Wingdings" w:hint="default"/>
      </w:rPr>
    </w:lvl>
    <w:lvl w:ilvl="6" w:tplc="41FCBCEC">
      <w:start w:val="1"/>
      <w:numFmt w:val="bullet"/>
      <w:lvlText w:val=""/>
      <w:lvlJc w:val="left"/>
      <w:pPr>
        <w:ind w:left="5040" w:hanging="360"/>
      </w:pPr>
      <w:rPr>
        <w:rFonts w:ascii="Symbol" w:hAnsi="Symbol" w:hint="default"/>
      </w:rPr>
    </w:lvl>
    <w:lvl w:ilvl="7" w:tplc="4C944430">
      <w:start w:val="1"/>
      <w:numFmt w:val="bullet"/>
      <w:lvlText w:val="o"/>
      <w:lvlJc w:val="left"/>
      <w:pPr>
        <w:ind w:left="5760" w:hanging="360"/>
      </w:pPr>
      <w:rPr>
        <w:rFonts w:ascii="Courier New" w:hAnsi="Courier New" w:hint="default"/>
      </w:rPr>
    </w:lvl>
    <w:lvl w:ilvl="8" w:tplc="3DD6C814">
      <w:start w:val="1"/>
      <w:numFmt w:val="bullet"/>
      <w:lvlText w:val=""/>
      <w:lvlJc w:val="left"/>
      <w:pPr>
        <w:ind w:left="6480" w:hanging="360"/>
      </w:pPr>
      <w:rPr>
        <w:rFonts w:ascii="Wingdings" w:hAnsi="Wingdings" w:hint="default"/>
      </w:rPr>
    </w:lvl>
  </w:abstractNum>
  <w:abstractNum w:abstractNumId="3" w15:restartNumberingAfterBreak="0">
    <w:nsid w:val="033C4423"/>
    <w:multiLevelType w:val="hybridMultilevel"/>
    <w:tmpl w:val="66D09DAA"/>
    <w:lvl w:ilvl="0" w:tplc="0D667F2A">
      <w:start w:val="1"/>
      <w:numFmt w:val="bullet"/>
      <w:lvlText w:val="-"/>
      <w:lvlJc w:val="left"/>
      <w:pPr>
        <w:ind w:left="720" w:hanging="360"/>
      </w:pPr>
      <w:rPr>
        <w:rFonts w:ascii="Calibri" w:hAnsi="Calibri" w:hint="default"/>
      </w:rPr>
    </w:lvl>
    <w:lvl w:ilvl="1" w:tplc="F29C1300">
      <w:start w:val="1"/>
      <w:numFmt w:val="bullet"/>
      <w:lvlText w:val="o"/>
      <w:lvlJc w:val="left"/>
      <w:pPr>
        <w:ind w:left="1440" w:hanging="360"/>
      </w:pPr>
      <w:rPr>
        <w:rFonts w:ascii="Courier New" w:hAnsi="Courier New" w:hint="default"/>
      </w:rPr>
    </w:lvl>
    <w:lvl w:ilvl="2" w:tplc="43CA055C">
      <w:start w:val="1"/>
      <w:numFmt w:val="bullet"/>
      <w:lvlText w:val=""/>
      <w:lvlJc w:val="left"/>
      <w:pPr>
        <w:ind w:left="2160" w:hanging="360"/>
      </w:pPr>
      <w:rPr>
        <w:rFonts w:ascii="Wingdings" w:hAnsi="Wingdings" w:hint="default"/>
      </w:rPr>
    </w:lvl>
    <w:lvl w:ilvl="3" w:tplc="10EEDF28">
      <w:start w:val="1"/>
      <w:numFmt w:val="bullet"/>
      <w:lvlText w:val=""/>
      <w:lvlJc w:val="left"/>
      <w:pPr>
        <w:ind w:left="2880" w:hanging="360"/>
      </w:pPr>
      <w:rPr>
        <w:rFonts w:ascii="Symbol" w:hAnsi="Symbol" w:hint="default"/>
      </w:rPr>
    </w:lvl>
    <w:lvl w:ilvl="4" w:tplc="BAC21754">
      <w:start w:val="1"/>
      <w:numFmt w:val="bullet"/>
      <w:lvlText w:val="o"/>
      <w:lvlJc w:val="left"/>
      <w:pPr>
        <w:ind w:left="3600" w:hanging="360"/>
      </w:pPr>
      <w:rPr>
        <w:rFonts w:ascii="Courier New" w:hAnsi="Courier New" w:hint="default"/>
      </w:rPr>
    </w:lvl>
    <w:lvl w:ilvl="5" w:tplc="46D6E1A4">
      <w:start w:val="1"/>
      <w:numFmt w:val="bullet"/>
      <w:lvlText w:val=""/>
      <w:lvlJc w:val="left"/>
      <w:pPr>
        <w:ind w:left="4320" w:hanging="360"/>
      </w:pPr>
      <w:rPr>
        <w:rFonts w:ascii="Wingdings" w:hAnsi="Wingdings" w:hint="default"/>
      </w:rPr>
    </w:lvl>
    <w:lvl w:ilvl="6" w:tplc="E0D613A0">
      <w:start w:val="1"/>
      <w:numFmt w:val="bullet"/>
      <w:lvlText w:val=""/>
      <w:lvlJc w:val="left"/>
      <w:pPr>
        <w:ind w:left="5040" w:hanging="360"/>
      </w:pPr>
      <w:rPr>
        <w:rFonts w:ascii="Symbol" w:hAnsi="Symbol" w:hint="default"/>
      </w:rPr>
    </w:lvl>
    <w:lvl w:ilvl="7" w:tplc="43846AF4">
      <w:start w:val="1"/>
      <w:numFmt w:val="bullet"/>
      <w:lvlText w:val="o"/>
      <w:lvlJc w:val="left"/>
      <w:pPr>
        <w:ind w:left="5760" w:hanging="360"/>
      </w:pPr>
      <w:rPr>
        <w:rFonts w:ascii="Courier New" w:hAnsi="Courier New" w:hint="default"/>
      </w:rPr>
    </w:lvl>
    <w:lvl w:ilvl="8" w:tplc="6B7A8322">
      <w:start w:val="1"/>
      <w:numFmt w:val="bullet"/>
      <w:lvlText w:val=""/>
      <w:lvlJc w:val="left"/>
      <w:pPr>
        <w:ind w:left="6480" w:hanging="360"/>
      </w:pPr>
      <w:rPr>
        <w:rFonts w:ascii="Wingdings" w:hAnsi="Wingdings" w:hint="default"/>
      </w:rPr>
    </w:lvl>
  </w:abstractNum>
  <w:abstractNum w:abstractNumId="4" w15:restartNumberingAfterBreak="0">
    <w:nsid w:val="04EF7EEA"/>
    <w:multiLevelType w:val="multilevel"/>
    <w:tmpl w:val="3A264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C4504"/>
    <w:multiLevelType w:val="hybridMultilevel"/>
    <w:tmpl w:val="EC5AFF7C"/>
    <w:lvl w:ilvl="0" w:tplc="FFFFFFFF">
      <w:start w:val="1"/>
      <w:numFmt w:val="lowerRoman"/>
      <w:lvlText w:val="%1."/>
      <w:lvlJc w:val="right"/>
      <w:pPr>
        <w:ind w:left="1080" w:hanging="360"/>
      </w:pPr>
    </w:lvl>
    <w:lvl w:ilvl="1" w:tplc="295E3E3A" w:tentative="1">
      <w:start w:val="1"/>
      <w:numFmt w:val="lowerLetter"/>
      <w:lvlText w:val="%2."/>
      <w:lvlJc w:val="left"/>
      <w:pPr>
        <w:ind w:left="1800" w:hanging="360"/>
      </w:pPr>
    </w:lvl>
    <w:lvl w:ilvl="2" w:tplc="9D1E29DC" w:tentative="1">
      <w:start w:val="1"/>
      <w:numFmt w:val="lowerRoman"/>
      <w:lvlText w:val="%3."/>
      <w:lvlJc w:val="right"/>
      <w:pPr>
        <w:ind w:left="2520" w:hanging="180"/>
      </w:pPr>
    </w:lvl>
    <w:lvl w:ilvl="3" w:tplc="69928E92" w:tentative="1">
      <w:start w:val="1"/>
      <w:numFmt w:val="decimal"/>
      <w:lvlText w:val="%4."/>
      <w:lvlJc w:val="left"/>
      <w:pPr>
        <w:ind w:left="3240" w:hanging="360"/>
      </w:pPr>
    </w:lvl>
    <w:lvl w:ilvl="4" w:tplc="11705C1E" w:tentative="1">
      <w:start w:val="1"/>
      <w:numFmt w:val="lowerLetter"/>
      <w:lvlText w:val="%5."/>
      <w:lvlJc w:val="left"/>
      <w:pPr>
        <w:ind w:left="3960" w:hanging="360"/>
      </w:pPr>
    </w:lvl>
    <w:lvl w:ilvl="5" w:tplc="734C9A96" w:tentative="1">
      <w:start w:val="1"/>
      <w:numFmt w:val="lowerRoman"/>
      <w:lvlText w:val="%6."/>
      <w:lvlJc w:val="right"/>
      <w:pPr>
        <w:ind w:left="4680" w:hanging="180"/>
      </w:pPr>
    </w:lvl>
    <w:lvl w:ilvl="6" w:tplc="066A8F06" w:tentative="1">
      <w:start w:val="1"/>
      <w:numFmt w:val="decimal"/>
      <w:lvlText w:val="%7."/>
      <w:lvlJc w:val="left"/>
      <w:pPr>
        <w:ind w:left="5400" w:hanging="360"/>
      </w:pPr>
    </w:lvl>
    <w:lvl w:ilvl="7" w:tplc="744A9E3E" w:tentative="1">
      <w:start w:val="1"/>
      <w:numFmt w:val="lowerLetter"/>
      <w:lvlText w:val="%8."/>
      <w:lvlJc w:val="left"/>
      <w:pPr>
        <w:ind w:left="6120" w:hanging="360"/>
      </w:pPr>
    </w:lvl>
    <w:lvl w:ilvl="8" w:tplc="5344A8E2" w:tentative="1">
      <w:start w:val="1"/>
      <w:numFmt w:val="lowerRoman"/>
      <w:lvlText w:val="%9."/>
      <w:lvlJc w:val="right"/>
      <w:pPr>
        <w:ind w:left="6840" w:hanging="180"/>
      </w:pPr>
    </w:lvl>
  </w:abstractNum>
  <w:abstractNum w:abstractNumId="6" w15:restartNumberingAfterBreak="0">
    <w:nsid w:val="07D47ABD"/>
    <w:multiLevelType w:val="multilevel"/>
    <w:tmpl w:val="07D27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1B6DF8"/>
    <w:multiLevelType w:val="hybridMultilevel"/>
    <w:tmpl w:val="5240D0E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580A0E"/>
    <w:multiLevelType w:val="multilevel"/>
    <w:tmpl w:val="F7D096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001E19"/>
    <w:multiLevelType w:val="hybridMultilevel"/>
    <w:tmpl w:val="E8967B14"/>
    <w:lvl w:ilvl="0" w:tplc="4B1E2BD8">
      <w:start w:val="1"/>
      <w:numFmt w:val="lowerRoman"/>
      <w:lvlText w:val="(%1)"/>
      <w:lvlJc w:val="left"/>
      <w:pPr>
        <w:ind w:left="720" w:hanging="360"/>
      </w:pPr>
      <w:rPr>
        <w:rFonts w:ascii="Times New Roman" w:hAnsi="Times New Roman" w:cs="Times New Roman" w:hint="default"/>
        <w:sz w:val="18"/>
        <w:szCs w:val="18"/>
      </w:rPr>
    </w:lvl>
    <w:lvl w:ilvl="1" w:tplc="82A09472">
      <w:start w:val="1"/>
      <w:numFmt w:val="lowerLetter"/>
      <w:lvlText w:val="%2."/>
      <w:lvlJc w:val="left"/>
      <w:pPr>
        <w:ind w:left="1440" w:hanging="360"/>
      </w:pPr>
    </w:lvl>
    <w:lvl w:ilvl="2" w:tplc="4D92282A">
      <w:start w:val="1"/>
      <w:numFmt w:val="lowerRoman"/>
      <w:lvlText w:val="%3."/>
      <w:lvlJc w:val="right"/>
      <w:pPr>
        <w:ind w:left="2160" w:hanging="180"/>
      </w:pPr>
    </w:lvl>
    <w:lvl w:ilvl="3" w:tplc="556EC066">
      <w:start w:val="1"/>
      <w:numFmt w:val="decimal"/>
      <w:lvlText w:val="%4."/>
      <w:lvlJc w:val="left"/>
      <w:pPr>
        <w:ind w:left="2880" w:hanging="360"/>
      </w:pPr>
    </w:lvl>
    <w:lvl w:ilvl="4" w:tplc="7E90E59C">
      <w:start w:val="1"/>
      <w:numFmt w:val="lowerLetter"/>
      <w:lvlText w:val="%5."/>
      <w:lvlJc w:val="left"/>
      <w:pPr>
        <w:ind w:left="3600" w:hanging="360"/>
      </w:pPr>
    </w:lvl>
    <w:lvl w:ilvl="5" w:tplc="3C40CA58">
      <w:start w:val="1"/>
      <w:numFmt w:val="lowerRoman"/>
      <w:lvlText w:val="%6."/>
      <w:lvlJc w:val="right"/>
      <w:pPr>
        <w:ind w:left="4320" w:hanging="180"/>
      </w:pPr>
    </w:lvl>
    <w:lvl w:ilvl="6" w:tplc="333AA69A">
      <w:start w:val="1"/>
      <w:numFmt w:val="decimal"/>
      <w:lvlText w:val="%7."/>
      <w:lvlJc w:val="left"/>
      <w:pPr>
        <w:ind w:left="5040" w:hanging="360"/>
      </w:pPr>
    </w:lvl>
    <w:lvl w:ilvl="7" w:tplc="0890C31A">
      <w:start w:val="1"/>
      <w:numFmt w:val="lowerLetter"/>
      <w:lvlText w:val="%8."/>
      <w:lvlJc w:val="left"/>
      <w:pPr>
        <w:ind w:left="5760" w:hanging="360"/>
      </w:pPr>
    </w:lvl>
    <w:lvl w:ilvl="8" w:tplc="453C807C">
      <w:start w:val="1"/>
      <w:numFmt w:val="lowerRoman"/>
      <w:lvlText w:val="%9."/>
      <w:lvlJc w:val="right"/>
      <w:pPr>
        <w:ind w:left="6480" w:hanging="180"/>
      </w:pPr>
    </w:lvl>
  </w:abstractNum>
  <w:abstractNum w:abstractNumId="10" w15:restartNumberingAfterBreak="0">
    <w:nsid w:val="0D59386A"/>
    <w:multiLevelType w:val="hybridMultilevel"/>
    <w:tmpl w:val="4560FED6"/>
    <w:lvl w:ilvl="0" w:tplc="0D64FD42">
      <w:start w:val="1"/>
      <w:numFmt w:val="decimal"/>
      <w:lvlText w:val="G%1L"/>
      <w:lvlJc w:val="left"/>
      <w:pPr>
        <w:ind w:left="360" w:hanging="360"/>
      </w:pPr>
      <w:rPr>
        <w:rFonts w:hint="default"/>
        <w:color w:val="auto"/>
        <w:sz w:val="18"/>
        <w:szCs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05F3D22"/>
    <w:multiLevelType w:val="hybridMultilevel"/>
    <w:tmpl w:val="FEEE7EEA"/>
    <w:lvl w:ilvl="0" w:tplc="AB964F36">
      <w:start w:val="1"/>
      <w:numFmt w:val="decimal"/>
      <w:lvlText w:val="%1."/>
      <w:lvlJc w:val="left"/>
      <w:pPr>
        <w:tabs>
          <w:tab w:val="num" w:pos="720"/>
        </w:tabs>
        <w:ind w:left="1080" w:hanging="360"/>
      </w:pPr>
    </w:lvl>
    <w:lvl w:ilvl="1" w:tplc="59B6FF6E" w:tentative="1">
      <w:start w:val="1"/>
      <w:numFmt w:val="decimal"/>
      <w:lvlText w:val="%2."/>
      <w:lvlJc w:val="left"/>
      <w:pPr>
        <w:tabs>
          <w:tab w:val="num" w:pos="1440"/>
        </w:tabs>
        <w:ind w:left="1800" w:hanging="360"/>
      </w:pPr>
    </w:lvl>
    <w:lvl w:ilvl="2" w:tplc="A296FC40" w:tentative="1">
      <w:start w:val="1"/>
      <w:numFmt w:val="decimal"/>
      <w:lvlText w:val="%3."/>
      <w:lvlJc w:val="left"/>
      <w:pPr>
        <w:tabs>
          <w:tab w:val="num" w:pos="2160"/>
        </w:tabs>
        <w:ind w:left="2520" w:hanging="360"/>
      </w:pPr>
    </w:lvl>
    <w:lvl w:ilvl="3" w:tplc="A66E7ABA" w:tentative="1">
      <w:start w:val="1"/>
      <w:numFmt w:val="decimal"/>
      <w:lvlText w:val="%4."/>
      <w:lvlJc w:val="left"/>
      <w:pPr>
        <w:tabs>
          <w:tab w:val="num" w:pos="2880"/>
        </w:tabs>
        <w:ind w:left="3240" w:hanging="360"/>
      </w:pPr>
    </w:lvl>
    <w:lvl w:ilvl="4" w:tplc="CC1AAAB4" w:tentative="1">
      <w:start w:val="1"/>
      <w:numFmt w:val="decimal"/>
      <w:lvlText w:val="%5."/>
      <w:lvlJc w:val="left"/>
      <w:pPr>
        <w:tabs>
          <w:tab w:val="num" w:pos="3600"/>
        </w:tabs>
        <w:ind w:left="3960" w:hanging="360"/>
      </w:pPr>
    </w:lvl>
    <w:lvl w:ilvl="5" w:tplc="3C7CBDE0" w:tentative="1">
      <w:start w:val="1"/>
      <w:numFmt w:val="decimal"/>
      <w:lvlText w:val="%6."/>
      <w:lvlJc w:val="left"/>
      <w:pPr>
        <w:tabs>
          <w:tab w:val="num" w:pos="4320"/>
        </w:tabs>
        <w:ind w:left="4680" w:hanging="360"/>
      </w:pPr>
    </w:lvl>
    <w:lvl w:ilvl="6" w:tplc="D340CB32" w:tentative="1">
      <w:start w:val="1"/>
      <w:numFmt w:val="decimal"/>
      <w:lvlText w:val="%7."/>
      <w:lvlJc w:val="left"/>
      <w:pPr>
        <w:tabs>
          <w:tab w:val="num" w:pos="5040"/>
        </w:tabs>
        <w:ind w:left="5400" w:hanging="360"/>
      </w:pPr>
    </w:lvl>
    <w:lvl w:ilvl="7" w:tplc="C1EE44DA" w:tentative="1">
      <w:start w:val="1"/>
      <w:numFmt w:val="decimal"/>
      <w:lvlText w:val="%8."/>
      <w:lvlJc w:val="left"/>
      <w:pPr>
        <w:tabs>
          <w:tab w:val="num" w:pos="5760"/>
        </w:tabs>
        <w:ind w:left="6120" w:hanging="360"/>
      </w:pPr>
    </w:lvl>
    <w:lvl w:ilvl="8" w:tplc="D5861BD8" w:tentative="1">
      <w:start w:val="1"/>
      <w:numFmt w:val="decimal"/>
      <w:lvlText w:val="%9."/>
      <w:lvlJc w:val="left"/>
      <w:pPr>
        <w:tabs>
          <w:tab w:val="num" w:pos="6480"/>
        </w:tabs>
        <w:ind w:left="6840" w:hanging="360"/>
      </w:pPr>
    </w:lvl>
  </w:abstractNum>
  <w:abstractNum w:abstractNumId="12" w15:restartNumberingAfterBreak="0">
    <w:nsid w:val="115E07D0"/>
    <w:multiLevelType w:val="multilevel"/>
    <w:tmpl w:val="AAECC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071F51"/>
    <w:multiLevelType w:val="hybridMultilevel"/>
    <w:tmpl w:val="173EF248"/>
    <w:lvl w:ilvl="0" w:tplc="7F5675B6">
      <w:start w:val="1"/>
      <w:numFmt w:val="lowerRoman"/>
      <w:lvlText w:val="%1."/>
      <w:lvlJc w:val="right"/>
      <w:pPr>
        <w:ind w:left="720" w:hanging="360"/>
      </w:pPr>
      <w:rPr>
        <w:rFonts w:hint="default"/>
      </w:rPr>
    </w:lvl>
    <w:lvl w:ilvl="1" w:tplc="40BA8482">
      <w:start w:val="1"/>
      <w:numFmt w:val="bullet"/>
      <w:lvlText w:val="o"/>
      <w:lvlJc w:val="left"/>
      <w:pPr>
        <w:ind w:left="1440" w:hanging="360"/>
      </w:pPr>
      <w:rPr>
        <w:rFonts w:ascii="Courier New" w:hAnsi="Courier New" w:hint="default"/>
      </w:rPr>
    </w:lvl>
    <w:lvl w:ilvl="2" w:tplc="0D9090EC">
      <w:start w:val="1"/>
      <w:numFmt w:val="bullet"/>
      <w:lvlText w:val=""/>
      <w:lvlJc w:val="left"/>
      <w:pPr>
        <w:ind w:left="2160" w:hanging="360"/>
      </w:pPr>
      <w:rPr>
        <w:rFonts w:ascii="Wingdings" w:hAnsi="Wingdings" w:hint="default"/>
      </w:rPr>
    </w:lvl>
    <w:lvl w:ilvl="3" w:tplc="2D0EDF68">
      <w:start w:val="1"/>
      <w:numFmt w:val="bullet"/>
      <w:lvlText w:val=""/>
      <w:lvlJc w:val="left"/>
      <w:pPr>
        <w:ind w:left="2880" w:hanging="360"/>
      </w:pPr>
      <w:rPr>
        <w:rFonts w:ascii="Symbol" w:hAnsi="Symbol" w:hint="default"/>
      </w:rPr>
    </w:lvl>
    <w:lvl w:ilvl="4" w:tplc="191C98C0">
      <w:start w:val="1"/>
      <w:numFmt w:val="bullet"/>
      <w:lvlText w:val="o"/>
      <w:lvlJc w:val="left"/>
      <w:pPr>
        <w:ind w:left="3600" w:hanging="360"/>
      </w:pPr>
      <w:rPr>
        <w:rFonts w:ascii="Courier New" w:hAnsi="Courier New" w:hint="default"/>
      </w:rPr>
    </w:lvl>
    <w:lvl w:ilvl="5" w:tplc="68A60C68">
      <w:start w:val="1"/>
      <w:numFmt w:val="bullet"/>
      <w:lvlText w:val=""/>
      <w:lvlJc w:val="left"/>
      <w:pPr>
        <w:ind w:left="4320" w:hanging="360"/>
      </w:pPr>
      <w:rPr>
        <w:rFonts w:ascii="Wingdings" w:hAnsi="Wingdings" w:hint="default"/>
      </w:rPr>
    </w:lvl>
    <w:lvl w:ilvl="6" w:tplc="489E2F40">
      <w:start w:val="1"/>
      <w:numFmt w:val="bullet"/>
      <w:lvlText w:val=""/>
      <w:lvlJc w:val="left"/>
      <w:pPr>
        <w:ind w:left="5040" w:hanging="360"/>
      </w:pPr>
      <w:rPr>
        <w:rFonts w:ascii="Symbol" w:hAnsi="Symbol" w:hint="default"/>
      </w:rPr>
    </w:lvl>
    <w:lvl w:ilvl="7" w:tplc="1AE87734">
      <w:start w:val="1"/>
      <w:numFmt w:val="bullet"/>
      <w:lvlText w:val="o"/>
      <w:lvlJc w:val="left"/>
      <w:pPr>
        <w:ind w:left="5760" w:hanging="360"/>
      </w:pPr>
      <w:rPr>
        <w:rFonts w:ascii="Courier New" w:hAnsi="Courier New" w:hint="default"/>
      </w:rPr>
    </w:lvl>
    <w:lvl w:ilvl="8" w:tplc="6E96DDEA">
      <w:start w:val="1"/>
      <w:numFmt w:val="bullet"/>
      <w:lvlText w:val=""/>
      <w:lvlJc w:val="left"/>
      <w:pPr>
        <w:ind w:left="6480" w:hanging="360"/>
      </w:pPr>
      <w:rPr>
        <w:rFonts w:ascii="Wingdings" w:hAnsi="Wingdings" w:hint="default"/>
      </w:rPr>
    </w:lvl>
  </w:abstractNum>
  <w:abstractNum w:abstractNumId="14" w15:restartNumberingAfterBreak="0">
    <w:nsid w:val="137B1763"/>
    <w:multiLevelType w:val="hybridMultilevel"/>
    <w:tmpl w:val="E5D6002A"/>
    <w:lvl w:ilvl="0" w:tplc="8B70BADE">
      <w:start w:val="1"/>
      <w:numFmt w:val="bullet"/>
      <w:lvlText w:val="-"/>
      <w:lvlJc w:val="left"/>
      <w:pPr>
        <w:ind w:left="360" w:hanging="360"/>
      </w:pPr>
      <w:rPr>
        <w:rFonts w:ascii="Calibri" w:hAnsi="Calibri" w:hint="default"/>
      </w:rPr>
    </w:lvl>
    <w:lvl w:ilvl="1" w:tplc="692E835A">
      <w:start w:val="1"/>
      <w:numFmt w:val="bullet"/>
      <w:lvlText w:val="o"/>
      <w:lvlJc w:val="left"/>
      <w:pPr>
        <w:ind w:left="1080" w:hanging="360"/>
      </w:pPr>
      <w:rPr>
        <w:rFonts w:ascii="Courier New" w:hAnsi="Courier New" w:hint="default"/>
      </w:rPr>
    </w:lvl>
    <w:lvl w:ilvl="2" w:tplc="B0D0AD06">
      <w:start w:val="1"/>
      <w:numFmt w:val="bullet"/>
      <w:lvlText w:val=""/>
      <w:lvlJc w:val="left"/>
      <w:pPr>
        <w:ind w:left="1800" w:hanging="360"/>
      </w:pPr>
      <w:rPr>
        <w:rFonts w:ascii="Wingdings" w:hAnsi="Wingdings" w:hint="default"/>
      </w:rPr>
    </w:lvl>
    <w:lvl w:ilvl="3" w:tplc="3538EF68">
      <w:start w:val="1"/>
      <w:numFmt w:val="bullet"/>
      <w:lvlText w:val=""/>
      <w:lvlJc w:val="left"/>
      <w:pPr>
        <w:ind w:left="2520" w:hanging="360"/>
      </w:pPr>
      <w:rPr>
        <w:rFonts w:ascii="Symbol" w:hAnsi="Symbol" w:hint="default"/>
      </w:rPr>
    </w:lvl>
    <w:lvl w:ilvl="4" w:tplc="1B04C702">
      <w:start w:val="1"/>
      <w:numFmt w:val="bullet"/>
      <w:lvlText w:val="o"/>
      <w:lvlJc w:val="left"/>
      <w:pPr>
        <w:ind w:left="3240" w:hanging="360"/>
      </w:pPr>
      <w:rPr>
        <w:rFonts w:ascii="Courier New" w:hAnsi="Courier New" w:hint="default"/>
      </w:rPr>
    </w:lvl>
    <w:lvl w:ilvl="5" w:tplc="2340BCEC">
      <w:start w:val="1"/>
      <w:numFmt w:val="bullet"/>
      <w:lvlText w:val=""/>
      <w:lvlJc w:val="left"/>
      <w:pPr>
        <w:ind w:left="3960" w:hanging="360"/>
      </w:pPr>
      <w:rPr>
        <w:rFonts w:ascii="Wingdings" w:hAnsi="Wingdings" w:hint="default"/>
      </w:rPr>
    </w:lvl>
    <w:lvl w:ilvl="6" w:tplc="3A8C7412">
      <w:start w:val="1"/>
      <w:numFmt w:val="bullet"/>
      <w:lvlText w:val=""/>
      <w:lvlJc w:val="left"/>
      <w:pPr>
        <w:ind w:left="4680" w:hanging="360"/>
      </w:pPr>
      <w:rPr>
        <w:rFonts w:ascii="Symbol" w:hAnsi="Symbol" w:hint="default"/>
      </w:rPr>
    </w:lvl>
    <w:lvl w:ilvl="7" w:tplc="3AC877DC">
      <w:start w:val="1"/>
      <w:numFmt w:val="bullet"/>
      <w:lvlText w:val="o"/>
      <w:lvlJc w:val="left"/>
      <w:pPr>
        <w:ind w:left="5400" w:hanging="360"/>
      </w:pPr>
      <w:rPr>
        <w:rFonts w:ascii="Courier New" w:hAnsi="Courier New" w:hint="default"/>
      </w:rPr>
    </w:lvl>
    <w:lvl w:ilvl="8" w:tplc="B7442772">
      <w:start w:val="1"/>
      <w:numFmt w:val="bullet"/>
      <w:lvlText w:val=""/>
      <w:lvlJc w:val="left"/>
      <w:pPr>
        <w:ind w:left="6120" w:hanging="360"/>
      </w:pPr>
      <w:rPr>
        <w:rFonts w:ascii="Wingdings" w:hAnsi="Wingdings" w:hint="default"/>
      </w:rPr>
    </w:lvl>
  </w:abstractNum>
  <w:abstractNum w:abstractNumId="15" w15:restartNumberingAfterBreak="0">
    <w:nsid w:val="14094407"/>
    <w:multiLevelType w:val="hybridMultilevel"/>
    <w:tmpl w:val="034CDBE4"/>
    <w:lvl w:ilvl="0" w:tplc="04150017">
      <w:start w:val="1"/>
      <w:numFmt w:val="lowerLetter"/>
      <w:lvlText w:val="%1)"/>
      <w:lvlJc w:val="left"/>
      <w:pPr>
        <w:ind w:left="720" w:hanging="360"/>
      </w:pPr>
    </w:lvl>
    <w:lvl w:ilvl="1" w:tplc="74681310">
      <w:start w:val="1"/>
      <w:numFmt w:val="lowerRoman"/>
      <w:lvlText w:val="(%2)"/>
      <w:lvlJc w:val="right"/>
      <w:pPr>
        <w:ind w:left="1440" w:hanging="360"/>
      </w:p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420B5E6"/>
    <w:multiLevelType w:val="hybridMultilevel"/>
    <w:tmpl w:val="FFFFFFFF"/>
    <w:lvl w:ilvl="0" w:tplc="B38ED670">
      <w:start w:val="4"/>
      <w:numFmt w:val="decimal"/>
      <w:lvlText w:val="%1."/>
      <w:lvlJc w:val="left"/>
      <w:pPr>
        <w:ind w:left="720" w:hanging="360"/>
      </w:pPr>
    </w:lvl>
    <w:lvl w:ilvl="1" w:tplc="445879D8">
      <w:start w:val="1"/>
      <w:numFmt w:val="lowerLetter"/>
      <w:lvlText w:val="%2."/>
      <w:lvlJc w:val="left"/>
      <w:pPr>
        <w:ind w:left="1440" w:hanging="360"/>
      </w:pPr>
    </w:lvl>
    <w:lvl w:ilvl="2" w:tplc="C9F2DA28">
      <w:start w:val="1"/>
      <w:numFmt w:val="lowerRoman"/>
      <w:lvlText w:val="%3."/>
      <w:lvlJc w:val="right"/>
      <w:pPr>
        <w:ind w:left="2160" w:hanging="180"/>
      </w:pPr>
    </w:lvl>
    <w:lvl w:ilvl="3" w:tplc="B248064C">
      <w:start w:val="1"/>
      <w:numFmt w:val="decimal"/>
      <w:lvlText w:val="%4."/>
      <w:lvlJc w:val="left"/>
      <w:pPr>
        <w:ind w:left="2880" w:hanging="360"/>
      </w:pPr>
    </w:lvl>
    <w:lvl w:ilvl="4" w:tplc="CFBE2D68">
      <w:start w:val="1"/>
      <w:numFmt w:val="lowerLetter"/>
      <w:lvlText w:val="%5."/>
      <w:lvlJc w:val="left"/>
      <w:pPr>
        <w:ind w:left="3600" w:hanging="360"/>
      </w:pPr>
    </w:lvl>
    <w:lvl w:ilvl="5" w:tplc="5C34BB08">
      <w:start w:val="1"/>
      <w:numFmt w:val="lowerRoman"/>
      <w:lvlText w:val="%6."/>
      <w:lvlJc w:val="right"/>
      <w:pPr>
        <w:ind w:left="4320" w:hanging="180"/>
      </w:pPr>
    </w:lvl>
    <w:lvl w:ilvl="6" w:tplc="D18EBA30">
      <w:start w:val="1"/>
      <w:numFmt w:val="decimal"/>
      <w:lvlText w:val="%7."/>
      <w:lvlJc w:val="left"/>
      <w:pPr>
        <w:ind w:left="5040" w:hanging="360"/>
      </w:pPr>
    </w:lvl>
    <w:lvl w:ilvl="7" w:tplc="494435E8">
      <w:start w:val="1"/>
      <w:numFmt w:val="lowerLetter"/>
      <w:lvlText w:val="%8."/>
      <w:lvlJc w:val="left"/>
      <w:pPr>
        <w:ind w:left="5760" w:hanging="360"/>
      </w:pPr>
    </w:lvl>
    <w:lvl w:ilvl="8" w:tplc="94A633B6">
      <w:start w:val="1"/>
      <w:numFmt w:val="lowerRoman"/>
      <w:lvlText w:val="%9."/>
      <w:lvlJc w:val="right"/>
      <w:pPr>
        <w:ind w:left="6480" w:hanging="180"/>
      </w:pPr>
    </w:lvl>
  </w:abstractNum>
  <w:abstractNum w:abstractNumId="17" w15:restartNumberingAfterBreak="0">
    <w:nsid w:val="146C3835"/>
    <w:multiLevelType w:val="hybridMultilevel"/>
    <w:tmpl w:val="0E2C0404"/>
    <w:lvl w:ilvl="0" w:tplc="1809000F">
      <w:start w:val="1"/>
      <w:numFmt w:val="decimal"/>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8" w15:restartNumberingAfterBreak="0">
    <w:nsid w:val="160A11F0"/>
    <w:multiLevelType w:val="hybridMultilevel"/>
    <w:tmpl w:val="FFFFFFFF"/>
    <w:lvl w:ilvl="0" w:tplc="45AEA0A2">
      <w:start w:val="1"/>
      <w:numFmt w:val="decimal"/>
      <w:lvlText w:val="%1."/>
      <w:lvlJc w:val="left"/>
      <w:pPr>
        <w:ind w:left="720" w:hanging="360"/>
      </w:pPr>
    </w:lvl>
    <w:lvl w:ilvl="1" w:tplc="ED84897C">
      <w:start w:val="1"/>
      <w:numFmt w:val="lowerLetter"/>
      <w:lvlText w:val="%2."/>
      <w:lvlJc w:val="left"/>
      <w:pPr>
        <w:ind w:left="1440" w:hanging="360"/>
      </w:pPr>
    </w:lvl>
    <w:lvl w:ilvl="2" w:tplc="E29C0F22">
      <w:start w:val="1"/>
      <w:numFmt w:val="lowerRoman"/>
      <w:lvlText w:val="%3."/>
      <w:lvlJc w:val="right"/>
      <w:pPr>
        <w:ind w:left="2160" w:hanging="180"/>
      </w:pPr>
    </w:lvl>
    <w:lvl w:ilvl="3" w:tplc="F036F99E">
      <w:start w:val="1"/>
      <w:numFmt w:val="decimal"/>
      <w:lvlText w:val="%4."/>
      <w:lvlJc w:val="left"/>
      <w:pPr>
        <w:ind w:left="2880" w:hanging="360"/>
      </w:pPr>
    </w:lvl>
    <w:lvl w:ilvl="4" w:tplc="B7E8C496">
      <w:start w:val="1"/>
      <w:numFmt w:val="lowerLetter"/>
      <w:lvlText w:val="%5."/>
      <w:lvlJc w:val="left"/>
      <w:pPr>
        <w:ind w:left="3600" w:hanging="360"/>
      </w:pPr>
    </w:lvl>
    <w:lvl w:ilvl="5" w:tplc="2F842710">
      <w:start w:val="1"/>
      <w:numFmt w:val="lowerRoman"/>
      <w:lvlText w:val="%6."/>
      <w:lvlJc w:val="right"/>
      <w:pPr>
        <w:ind w:left="4320" w:hanging="180"/>
      </w:pPr>
    </w:lvl>
    <w:lvl w:ilvl="6" w:tplc="0F9E5E0E">
      <w:start w:val="1"/>
      <w:numFmt w:val="decimal"/>
      <w:lvlText w:val="%7."/>
      <w:lvlJc w:val="left"/>
      <w:pPr>
        <w:ind w:left="5040" w:hanging="360"/>
      </w:pPr>
    </w:lvl>
    <w:lvl w:ilvl="7" w:tplc="D1A8C2D6">
      <w:start w:val="1"/>
      <w:numFmt w:val="lowerLetter"/>
      <w:lvlText w:val="%8."/>
      <w:lvlJc w:val="left"/>
      <w:pPr>
        <w:ind w:left="5760" w:hanging="360"/>
      </w:pPr>
    </w:lvl>
    <w:lvl w:ilvl="8" w:tplc="FD707E12">
      <w:start w:val="1"/>
      <w:numFmt w:val="lowerRoman"/>
      <w:lvlText w:val="%9."/>
      <w:lvlJc w:val="right"/>
      <w:pPr>
        <w:ind w:left="6480" w:hanging="180"/>
      </w:pPr>
    </w:lvl>
  </w:abstractNum>
  <w:abstractNum w:abstractNumId="19" w15:restartNumberingAfterBreak="0">
    <w:nsid w:val="18A074CE"/>
    <w:multiLevelType w:val="hybridMultilevel"/>
    <w:tmpl w:val="E2B0274E"/>
    <w:lvl w:ilvl="0" w:tplc="FFFFFFFF">
      <w:start w:val="1"/>
      <w:numFmt w:val="decimal"/>
      <w:lvlText w:val="%1."/>
      <w:lvlJc w:val="left"/>
      <w:pPr>
        <w:ind w:left="360" w:hanging="360"/>
      </w:pPr>
    </w:lvl>
    <w:lvl w:ilvl="1" w:tplc="18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A68008B"/>
    <w:multiLevelType w:val="hybridMultilevel"/>
    <w:tmpl w:val="FFFFFFFF"/>
    <w:lvl w:ilvl="0" w:tplc="B22837D2">
      <w:numFmt w:val="none"/>
      <w:lvlText w:val=""/>
      <w:lvlJc w:val="left"/>
      <w:pPr>
        <w:tabs>
          <w:tab w:val="num" w:pos="360"/>
        </w:tabs>
      </w:pPr>
    </w:lvl>
    <w:lvl w:ilvl="1" w:tplc="BC50F048">
      <w:start w:val="1"/>
      <w:numFmt w:val="lowerLetter"/>
      <w:lvlText w:val="%2."/>
      <w:lvlJc w:val="left"/>
      <w:pPr>
        <w:ind w:left="1440" w:hanging="360"/>
      </w:pPr>
    </w:lvl>
    <w:lvl w:ilvl="2" w:tplc="A9A823DC">
      <w:start w:val="1"/>
      <w:numFmt w:val="lowerRoman"/>
      <w:lvlText w:val="%3."/>
      <w:lvlJc w:val="right"/>
      <w:pPr>
        <w:ind w:left="2160" w:hanging="180"/>
      </w:pPr>
    </w:lvl>
    <w:lvl w:ilvl="3" w:tplc="2CA88C6C">
      <w:start w:val="1"/>
      <w:numFmt w:val="decimal"/>
      <w:lvlText w:val="%4."/>
      <w:lvlJc w:val="left"/>
      <w:pPr>
        <w:ind w:left="2880" w:hanging="360"/>
      </w:pPr>
    </w:lvl>
    <w:lvl w:ilvl="4" w:tplc="9342EE66">
      <w:start w:val="1"/>
      <w:numFmt w:val="lowerLetter"/>
      <w:lvlText w:val="%5."/>
      <w:lvlJc w:val="left"/>
      <w:pPr>
        <w:ind w:left="3600" w:hanging="360"/>
      </w:pPr>
    </w:lvl>
    <w:lvl w:ilvl="5" w:tplc="546ACBFA">
      <w:start w:val="1"/>
      <w:numFmt w:val="lowerRoman"/>
      <w:lvlText w:val="%6."/>
      <w:lvlJc w:val="right"/>
      <w:pPr>
        <w:ind w:left="4320" w:hanging="180"/>
      </w:pPr>
    </w:lvl>
    <w:lvl w:ilvl="6" w:tplc="C1382952">
      <w:start w:val="1"/>
      <w:numFmt w:val="decimal"/>
      <w:lvlText w:val="%7."/>
      <w:lvlJc w:val="left"/>
      <w:pPr>
        <w:ind w:left="5040" w:hanging="360"/>
      </w:pPr>
    </w:lvl>
    <w:lvl w:ilvl="7" w:tplc="9F22804C">
      <w:start w:val="1"/>
      <w:numFmt w:val="lowerLetter"/>
      <w:lvlText w:val="%8."/>
      <w:lvlJc w:val="left"/>
      <w:pPr>
        <w:ind w:left="5760" w:hanging="360"/>
      </w:pPr>
    </w:lvl>
    <w:lvl w:ilvl="8" w:tplc="4F5AB154">
      <w:start w:val="1"/>
      <w:numFmt w:val="lowerRoman"/>
      <w:lvlText w:val="%9."/>
      <w:lvlJc w:val="right"/>
      <w:pPr>
        <w:ind w:left="6480" w:hanging="180"/>
      </w:pPr>
    </w:lvl>
  </w:abstractNum>
  <w:abstractNum w:abstractNumId="21" w15:restartNumberingAfterBreak="0">
    <w:nsid w:val="1ACA7B60"/>
    <w:multiLevelType w:val="hybridMultilevel"/>
    <w:tmpl w:val="FFFFFFFF"/>
    <w:lvl w:ilvl="0" w:tplc="41E67784">
      <w:start w:val="1"/>
      <w:numFmt w:val="decimal"/>
      <w:lvlText w:val="%1."/>
      <w:lvlJc w:val="left"/>
      <w:pPr>
        <w:ind w:left="720" w:hanging="360"/>
      </w:pPr>
    </w:lvl>
    <w:lvl w:ilvl="1" w:tplc="94FAA13E">
      <w:start w:val="1"/>
      <w:numFmt w:val="lowerLetter"/>
      <w:lvlText w:val="%2."/>
      <w:lvlJc w:val="left"/>
      <w:pPr>
        <w:ind w:left="1440" w:hanging="360"/>
      </w:pPr>
    </w:lvl>
    <w:lvl w:ilvl="2" w:tplc="3E103F3C">
      <w:start w:val="1"/>
      <w:numFmt w:val="lowerRoman"/>
      <w:lvlText w:val="%3."/>
      <w:lvlJc w:val="right"/>
      <w:pPr>
        <w:ind w:left="2160" w:hanging="180"/>
      </w:pPr>
    </w:lvl>
    <w:lvl w:ilvl="3" w:tplc="68E4911A">
      <w:start w:val="1"/>
      <w:numFmt w:val="decimal"/>
      <w:lvlText w:val="%4."/>
      <w:lvlJc w:val="left"/>
      <w:pPr>
        <w:ind w:left="2880" w:hanging="360"/>
      </w:pPr>
    </w:lvl>
    <w:lvl w:ilvl="4" w:tplc="07BADBBC">
      <w:start w:val="1"/>
      <w:numFmt w:val="lowerLetter"/>
      <w:lvlText w:val="%5."/>
      <w:lvlJc w:val="left"/>
      <w:pPr>
        <w:ind w:left="3600" w:hanging="360"/>
      </w:pPr>
    </w:lvl>
    <w:lvl w:ilvl="5" w:tplc="7A56A578">
      <w:start w:val="1"/>
      <w:numFmt w:val="lowerRoman"/>
      <w:lvlText w:val="%6."/>
      <w:lvlJc w:val="right"/>
      <w:pPr>
        <w:ind w:left="4320" w:hanging="180"/>
      </w:pPr>
    </w:lvl>
    <w:lvl w:ilvl="6" w:tplc="90BAC436">
      <w:start w:val="1"/>
      <w:numFmt w:val="decimal"/>
      <w:lvlText w:val="%7."/>
      <w:lvlJc w:val="left"/>
      <w:pPr>
        <w:ind w:left="5040" w:hanging="360"/>
      </w:pPr>
    </w:lvl>
    <w:lvl w:ilvl="7" w:tplc="039A9494">
      <w:start w:val="1"/>
      <w:numFmt w:val="lowerLetter"/>
      <w:lvlText w:val="%8."/>
      <w:lvlJc w:val="left"/>
      <w:pPr>
        <w:ind w:left="5760" w:hanging="360"/>
      </w:pPr>
    </w:lvl>
    <w:lvl w:ilvl="8" w:tplc="5A3AD7AE">
      <w:start w:val="1"/>
      <w:numFmt w:val="lowerRoman"/>
      <w:lvlText w:val="%9."/>
      <w:lvlJc w:val="right"/>
      <w:pPr>
        <w:ind w:left="6480" w:hanging="180"/>
      </w:pPr>
    </w:lvl>
  </w:abstractNum>
  <w:abstractNum w:abstractNumId="22" w15:restartNumberingAfterBreak="0">
    <w:nsid w:val="1B8E4A9A"/>
    <w:multiLevelType w:val="hybridMultilevel"/>
    <w:tmpl w:val="79E020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C5224EC"/>
    <w:multiLevelType w:val="hybridMultilevel"/>
    <w:tmpl w:val="584AA3BA"/>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1E671D94"/>
    <w:multiLevelType w:val="multilevel"/>
    <w:tmpl w:val="D3F2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79AC8F"/>
    <w:multiLevelType w:val="multilevel"/>
    <w:tmpl w:val="3F3090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8F7704"/>
    <w:multiLevelType w:val="hybridMultilevel"/>
    <w:tmpl w:val="2CB21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154502D"/>
    <w:multiLevelType w:val="hybridMultilevel"/>
    <w:tmpl w:val="FFFFFFFF"/>
    <w:lvl w:ilvl="0" w:tplc="C800492A">
      <w:start w:val="1"/>
      <w:numFmt w:val="decimal"/>
      <w:lvlText w:val="%1."/>
      <w:lvlJc w:val="left"/>
      <w:pPr>
        <w:ind w:left="720" w:hanging="360"/>
      </w:pPr>
    </w:lvl>
    <w:lvl w:ilvl="1" w:tplc="40A44422">
      <w:start w:val="1"/>
      <w:numFmt w:val="lowerLetter"/>
      <w:lvlText w:val="%2."/>
      <w:lvlJc w:val="left"/>
      <w:pPr>
        <w:ind w:left="1440" w:hanging="360"/>
      </w:pPr>
    </w:lvl>
    <w:lvl w:ilvl="2" w:tplc="28A4A696">
      <w:start w:val="1"/>
      <w:numFmt w:val="lowerRoman"/>
      <w:lvlText w:val="%3."/>
      <w:lvlJc w:val="right"/>
      <w:pPr>
        <w:ind w:left="2160" w:hanging="180"/>
      </w:pPr>
    </w:lvl>
    <w:lvl w:ilvl="3" w:tplc="449C9166">
      <w:start w:val="1"/>
      <w:numFmt w:val="decimal"/>
      <w:lvlText w:val="%4."/>
      <w:lvlJc w:val="left"/>
      <w:pPr>
        <w:ind w:left="2880" w:hanging="360"/>
      </w:pPr>
    </w:lvl>
    <w:lvl w:ilvl="4" w:tplc="8E46A25C">
      <w:start w:val="1"/>
      <w:numFmt w:val="lowerLetter"/>
      <w:lvlText w:val="%5."/>
      <w:lvlJc w:val="left"/>
      <w:pPr>
        <w:ind w:left="3600" w:hanging="360"/>
      </w:pPr>
    </w:lvl>
    <w:lvl w:ilvl="5" w:tplc="36B05696">
      <w:start w:val="1"/>
      <w:numFmt w:val="lowerRoman"/>
      <w:lvlText w:val="%6."/>
      <w:lvlJc w:val="right"/>
      <w:pPr>
        <w:ind w:left="4320" w:hanging="180"/>
      </w:pPr>
    </w:lvl>
    <w:lvl w:ilvl="6" w:tplc="1262A5E4">
      <w:start w:val="1"/>
      <w:numFmt w:val="decimal"/>
      <w:lvlText w:val="%7."/>
      <w:lvlJc w:val="left"/>
      <w:pPr>
        <w:ind w:left="5040" w:hanging="360"/>
      </w:pPr>
    </w:lvl>
    <w:lvl w:ilvl="7" w:tplc="C3CAC93C">
      <w:start w:val="1"/>
      <w:numFmt w:val="lowerLetter"/>
      <w:lvlText w:val="%8."/>
      <w:lvlJc w:val="left"/>
      <w:pPr>
        <w:ind w:left="5760" w:hanging="360"/>
      </w:pPr>
    </w:lvl>
    <w:lvl w:ilvl="8" w:tplc="7EC48E1C">
      <w:start w:val="1"/>
      <w:numFmt w:val="lowerRoman"/>
      <w:lvlText w:val="%9."/>
      <w:lvlJc w:val="right"/>
      <w:pPr>
        <w:ind w:left="6480" w:hanging="180"/>
      </w:pPr>
    </w:lvl>
  </w:abstractNum>
  <w:abstractNum w:abstractNumId="28" w15:restartNumberingAfterBreak="0">
    <w:nsid w:val="22FDA745"/>
    <w:multiLevelType w:val="hybridMultilevel"/>
    <w:tmpl w:val="FFFFFFFF"/>
    <w:lvl w:ilvl="0" w:tplc="3514CEC0">
      <w:start w:val="2"/>
      <w:numFmt w:val="decimal"/>
      <w:lvlText w:val="%1."/>
      <w:lvlJc w:val="left"/>
      <w:pPr>
        <w:ind w:left="720" w:hanging="360"/>
      </w:pPr>
    </w:lvl>
    <w:lvl w:ilvl="1" w:tplc="143A6948">
      <w:start w:val="1"/>
      <w:numFmt w:val="lowerLetter"/>
      <w:lvlText w:val="%2."/>
      <w:lvlJc w:val="left"/>
      <w:pPr>
        <w:ind w:left="1440" w:hanging="360"/>
      </w:pPr>
    </w:lvl>
    <w:lvl w:ilvl="2" w:tplc="7E34F308">
      <w:start w:val="1"/>
      <w:numFmt w:val="lowerRoman"/>
      <w:lvlText w:val="%3."/>
      <w:lvlJc w:val="right"/>
      <w:pPr>
        <w:ind w:left="2160" w:hanging="180"/>
      </w:pPr>
    </w:lvl>
    <w:lvl w:ilvl="3" w:tplc="42F2D3A8">
      <w:start w:val="1"/>
      <w:numFmt w:val="decimal"/>
      <w:lvlText w:val="%4."/>
      <w:lvlJc w:val="left"/>
      <w:pPr>
        <w:ind w:left="2880" w:hanging="360"/>
      </w:pPr>
    </w:lvl>
    <w:lvl w:ilvl="4" w:tplc="78BC2000">
      <w:start w:val="1"/>
      <w:numFmt w:val="lowerLetter"/>
      <w:lvlText w:val="%5."/>
      <w:lvlJc w:val="left"/>
      <w:pPr>
        <w:ind w:left="3600" w:hanging="360"/>
      </w:pPr>
    </w:lvl>
    <w:lvl w:ilvl="5" w:tplc="FAA2B4A4">
      <w:start w:val="1"/>
      <w:numFmt w:val="lowerRoman"/>
      <w:lvlText w:val="%6."/>
      <w:lvlJc w:val="right"/>
      <w:pPr>
        <w:ind w:left="4320" w:hanging="180"/>
      </w:pPr>
    </w:lvl>
    <w:lvl w:ilvl="6" w:tplc="76448BC8">
      <w:start w:val="1"/>
      <w:numFmt w:val="decimal"/>
      <w:lvlText w:val="%7."/>
      <w:lvlJc w:val="left"/>
      <w:pPr>
        <w:ind w:left="5040" w:hanging="360"/>
      </w:pPr>
    </w:lvl>
    <w:lvl w:ilvl="7" w:tplc="EAA427CC">
      <w:start w:val="1"/>
      <w:numFmt w:val="lowerLetter"/>
      <w:lvlText w:val="%8."/>
      <w:lvlJc w:val="left"/>
      <w:pPr>
        <w:ind w:left="5760" w:hanging="360"/>
      </w:pPr>
    </w:lvl>
    <w:lvl w:ilvl="8" w:tplc="21F061FA">
      <w:start w:val="1"/>
      <w:numFmt w:val="lowerRoman"/>
      <w:lvlText w:val="%9."/>
      <w:lvlJc w:val="right"/>
      <w:pPr>
        <w:ind w:left="6480" w:hanging="180"/>
      </w:pPr>
    </w:lvl>
  </w:abstractNum>
  <w:abstractNum w:abstractNumId="29" w15:restartNumberingAfterBreak="0">
    <w:nsid w:val="24DCCC8B"/>
    <w:multiLevelType w:val="hybridMultilevel"/>
    <w:tmpl w:val="FFFFFFFF"/>
    <w:lvl w:ilvl="0" w:tplc="25FCA4D0">
      <w:start w:val="1"/>
      <w:numFmt w:val="decimal"/>
      <w:lvlText w:val="%1."/>
      <w:lvlJc w:val="left"/>
      <w:pPr>
        <w:ind w:left="720" w:hanging="360"/>
      </w:pPr>
    </w:lvl>
    <w:lvl w:ilvl="1" w:tplc="56848104">
      <w:start w:val="1"/>
      <w:numFmt w:val="lowerLetter"/>
      <w:lvlText w:val="%2."/>
      <w:lvlJc w:val="left"/>
      <w:pPr>
        <w:ind w:left="1440" w:hanging="360"/>
      </w:pPr>
    </w:lvl>
    <w:lvl w:ilvl="2" w:tplc="FAFE9DAC">
      <w:start w:val="1"/>
      <w:numFmt w:val="lowerRoman"/>
      <w:lvlText w:val="%3."/>
      <w:lvlJc w:val="right"/>
      <w:pPr>
        <w:ind w:left="2160" w:hanging="180"/>
      </w:pPr>
    </w:lvl>
    <w:lvl w:ilvl="3" w:tplc="785E388E">
      <w:start w:val="1"/>
      <w:numFmt w:val="decimal"/>
      <w:lvlText w:val="%4."/>
      <w:lvlJc w:val="left"/>
      <w:pPr>
        <w:ind w:left="2880" w:hanging="360"/>
      </w:pPr>
    </w:lvl>
    <w:lvl w:ilvl="4" w:tplc="1A34BE40">
      <w:start w:val="1"/>
      <w:numFmt w:val="lowerLetter"/>
      <w:lvlText w:val="%5."/>
      <w:lvlJc w:val="left"/>
      <w:pPr>
        <w:ind w:left="3600" w:hanging="360"/>
      </w:pPr>
    </w:lvl>
    <w:lvl w:ilvl="5" w:tplc="2EB678C6">
      <w:start w:val="1"/>
      <w:numFmt w:val="lowerRoman"/>
      <w:lvlText w:val="%6."/>
      <w:lvlJc w:val="right"/>
      <w:pPr>
        <w:ind w:left="4320" w:hanging="180"/>
      </w:pPr>
    </w:lvl>
    <w:lvl w:ilvl="6" w:tplc="D8E0BD54">
      <w:start w:val="1"/>
      <w:numFmt w:val="decimal"/>
      <w:lvlText w:val="%7."/>
      <w:lvlJc w:val="left"/>
      <w:pPr>
        <w:ind w:left="5040" w:hanging="360"/>
      </w:pPr>
    </w:lvl>
    <w:lvl w:ilvl="7" w:tplc="BE624ED8">
      <w:start w:val="1"/>
      <w:numFmt w:val="lowerLetter"/>
      <w:lvlText w:val="%8."/>
      <w:lvlJc w:val="left"/>
      <w:pPr>
        <w:ind w:left="5760" w:hanging="360"/>
      </w:pPr>
    </w:lvl>
    <w:lvl w:ilvl="8" w:tplc="34622584">
      <w:start w:val="1"/>
      <w:numFmt w:val="lowerRoman"/>
      <w:lvlText w:val="%9."/>
      <w:lvlJc w:val="right"/>
      <w:pPr>
        <w:ind w:left="6480" w:hanging="180"/>
      </w:pPr>
    </w:lvl>
  </w:abstractNum>
  <w:abstractNum w:abstractNumId="30" w15:restartNumberingAfterBreak="0">
    <w:nsid w:val="25E6BA66"/>
    <w:multiLevelType w:val="hybridMultilevel"/>
    <w:tmpl w:val="FFFFFFFF"/>
    <w:lvl w:ilvl="0" w:tplc="A2C4B1F4">
      <w:start w:val="3"/>
      <w:numFmt w:val="decimal"/>
      <w:lvlText w:val="%1."/>
      <w:lvlJc w:val="left"/>
      <w:pPr>
        <w:ind w:left="720" w:hanging="360"/>
      </w:pPr>
    </w:lvl>
    <w:lvl w:ilvl="1" w:tplc="78EEB1C0">
      <w:start w:val="1"/>
      <w:numFmt w:val="lowerLetter"/>
      <w:lvlText w:val="%2."/>
      <w:lvlJc w:val="left"/>
      <w:pPr>
        <w:ind w:left="1440" w:hanging="360"/>
      </w:pPr>
    </w:lvl>
    <w:lvl w:ilvl="2" w:tplc="A798E748">
      <w:start w:val="1"/>
      <w:numFmt w:val="lowerRoman"/>
      <w:lvlText w:val="%3."/>
      <w:lvlJc w:val="right"/>
      <w:pPr>
        <w:ind w:left="2160" w:hanging="180"/>
      </w:pPr>
    </w:lvl>
    <w:lvl w:ilvl="3" w:tplc="7570D2E0">
      <w:start w:val="1"/>
      <w:numFmt w:val="decimal"/>
      <w:lvlText w:val="%4."/>
      <w:lvlJc w:val="left"/>
      <w:pPr>
        <w:ind w:left="2880" w:hanging="360"/>
      </w:pPr>
    </w:lvl>
    <w:lvl w:ilvl="4" w:tplc="898658D2">
      <w:start w:val="1"/>
      <w:numFmt w:val="lowerLetter"/>
      <w:lvlText w:val="%5."/>
      <w:lvlJc w:val="left"/>
      <w:pPr>
        <w:ind w:left="3600" w:hanging="360"/>
      </w:pPr>
    </w:lvl>
    <w:lvl w:ilvl="5" w:tplc="EF52BDAC">
      <w:start w:val="1"/>
      <w:numFmt w:val="lowerRoman"/>
      <w:lvlText w:val="%6."/>
      <w:lvlJc w:val="right"/>
      <w:pPr>
        <w:ind w:left="4320" w:hanging="180"/>
      </w:pPr>
    </w:lvl>
    <w:lvl w:ilvl="6" w:tplc="127A42B2">
      <w:start w:val="1"/>
      <w:numFmt w:val="decimal"/>
      <w:lvlText w:val="%7."/>
      <w:lvlJc w:val="left"/>
      <w:pPr>
        <w:ind w:left="5040" w:hanging="360"/>
      </w:pPr>
    </w:lvl>
    <w:lvl w:ilvl="7" w:tplc="F9DAC080">
      <w:start w:val="1"/>
      <w:numFmt w:val="lowerLetter"/>
      <w:lvlText w:val="%8."/>
      <w:lvlJc w:val="left"/>
      <w:pPr>
        <w:ind w:left="5760" w:hanging="360"/>
      </w:pPr>
    </w:lvl>
    <w:lvl w:ilvl="8" w:tplc="7876C39E">
      <w:start w:val="1"/>
      <w:numFmt w:val="lowerRoman"/>
      <w:lvlText w:val="%9."/>
      <w:lvlJc w:val="right"/>
      <w:pPr>
        <w:ind w:left="6480" w:hanging="180"/>
      </w:pPr>
    </w:lvl>
  </w:abstractNum>
  <w:abstractNum w:abstractNumId="31" w15:restartNumberingAfterBreak="0">
    <w:nsid w:val="25E91717"/>
    <w:multiLevelType w:val="hybridMultilevel"/>
    <w:tmpl w:val="93C20A86"/>
    <w:lvl w:ilvl="0" w:tplc="0CCC55D8">
      <w:start w:val="14"/>
      <w:numFmt w:val="bullet"/>
      <w:lvlText w:val="-"/>
      <w:lvlJc w:val="left"/>
      <w:pPr>
        <w:ind w:left="720" w:hanging="360"/>
      </w:pPr>
      <w:rPr>
        <w:rFonts w:ascii="Times New Roman" w:eastAsia="Times New Roman" w:hAnsi="Times New Roman" w:cs="Times New Roman" w:hint="default"/>
        <w:color w:val="0061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26722EC3"/>
    <w:multiLevelType w:val="hybridMultilevel"/>
    <w:tmpl w:val="8FEA9D1E"/>
    <w:lvl w:ilvl="0" w:tplc="18090019">
      <w:start w:val="1"/>
      <w:numFmt w:val="lowerLetter"/>
      <w:lvlText w:val="%1."/>
      <w:lvlJc w:val="left"/>
      <w:pPr>
        <w:tabs>
          <w:tab w:val="num" w:pos="-720"/>
        </w:tabs>
      </w:pPr>
    </w:lvl>
    <w:lvl w:ilvl="1" w:tplc="18090019">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33" w15:restartNumberingAfterBreak="0">
    <w:nsid w:val="2717F8B3"/>
    <w:multiLevelType w:val="hybridMultilevel"/>
    <w:tmpl w:val="FFFFFFFF"/>
    <w:lvl w:ilvl="0" w:tplc="3CE21F8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7FC4182">
      <w:start w:val="1"/>
      <w:numFmt w:val="bullet"/>
      <w:lvlText w:val=""/>
      <w:lvlJc w:val="left"/>
      <w:pPr>
        <w:ind w:left="2160" w:hanging="360"/>
      </w:pPr>
      <w:rPr>
        <w:rFonts w:ascii="Wingdings" w:hAnsi="Wingdings" w:hint="default"/>
      </w:rPr>
    </w:lvl>
    <w:lvl w:ilvl="3" w:tplc="A39E9170">
      <w:start w:val="1"/>
      <w:numFmt w:val="bullet"/>
      <w:lvlText w:val=""/>
      <w:lvlJc w:val="left"/>
      <w:pPr>
        <w:ind w:left="2880" w:hanging="360"/>
      </w:pPr>
      <w:rPr>
        <w:rFonts w:ascii="Symbol" w:hAnsi="Symbol" w:hint="default"/>
      </w:rPr>
    </w:lvl>
    <w:lvl w:ilvl="4" w:tplc="0B68F3DC">
      <w:start w:val="1"/>
      <w:numFmt w:val="bullet"/>
      <w:lvlText w:val="o"/>
      <w:lvlJc w:val="left"/>
      <w:pPr>
        <w:ind w:left="3600" w:hanging="360"/>
      </w:pPr>
      <w:rPr>
        <w:rFonts w:ascii="Courier New" w:hAnsi="Courier New" w:hint="default"/>
      </w:rPr>
    </w:lvl>
    <w:lvl w:ilvl="5" w:tplc="C088C644">
      <w:start w:val="1"/>
      <w:numFmt w:val="bullet"/>
      <w:lvlText w:val=""/>
      <w:lvlJc w:val="left"/>
      <w:pPr>
        <w:ind w:left="4320" w:hanging="360"/>
      </w:pPr>
      <w:rPr>
        <w:rFonts w:ascii="Wingdings" w:hAnsi="Wingdings" w:hint="default"/>
      </w:rPr>
    </w:lvl>
    <w:lvl w:ilvl="6" w:tplc="98125394">
      <w:start w:val="1"/>
      <w:numFmt w:val="bullet"/>
      <w:lvlText w:val=""/>
      <w:lvlJc w:val="left"/>
      <w:pPr>
        <w:ind w:left="5040" w:hanging="360"/>
      </w:pPr>
      <w:rPr>
        <w:rFonts w:ascii="Symbol" w:hAnsi="Symbol" w:hint="default"/>
      </w:rPr>
    </w:lvl>
    <w:lvl w:ilvl="7" w:tplc="EC7621B0">
      <w:start w:val="1"/>
      <w:numFmt w:val="bullet"/>
      <w:lvlText w:val="o"/>
      <w:lvlJc w:val="left"/>
      <w:pPr>
        <w:ind w:left="5760" w:hanging="360"/>
      </w:pPr>
      <w:rPr>
        <w:rFonts w:ascii="Courier New" w:hAnsi="Courier New" w:hint="default"/>
      </w:rPr>
    </w:lvl>
    <w:lvl w:ilvl="8" w:tplc="DC96E638">
      <w:start w:val="1"/>
      <w:numFmt w:val="bullet"/>
      <w:lvlText w:val=""/>
      <w:lvlJc w:val="left"/>
      <w:pPr>
        <w:ind w:left="6480" w:hanging="360"/>
      </w:pPr>
      <w:rPr>
        <w:rFonts w:ascii="Wingdings" w:hAnsi="Wingdings" w:hint="default"/>
      </w:rPr>
    </w:lvl>
  </w:abstractNum>
  <w:abstractNum w:abstractNumId="34" w15:restartNumberingAfterBreak="0">
    <w:nsid w:val="2A8944C7"/>
    <w:multiLevelType w:val="hybridMultilevel"/>
    <w:tmpl w:val="FFFFFFFF"/>
    <w:lvl w:ilvl="0" w:tplc="1B3AF638">
      <w:start w:val="1"/>
      <w:numFmt w:val="decimal"/>
      <w:lvlText w:val="%1."/>
      <w:lvlJc w:val="left"/>
      <w:pPr>
        <w:ind w:left="720" w:hanging="360"/>
      </w:pPr>
    </w:lvl>
    <w:lvl w:ilvl="1" w:tplc="79ECF196">
      <w:start w:val="1"/>
      <w:numFmt w:val="lowerLetter"/>
      <w:lvlText w:val="%2."/>
      <w:lvlJc w:val="left"/>
      <w:pPr>
        <w:ind w:left="1440" w:hanging="360"/>
      </w:pPr>
    </w:lvl>
    <w:lvl w:ilvl="2" w:tplc="CA76AA98">
      <w:start w:val="1"/>
      <w:numFmt w:val="lowerRoman"/>
      <w:lvlText w:val="%3."/>
      <w:lvlJc w:val="right"/>
      <w:pPr>
        <w:ind w:left="2160" w:hanging="180"/>
      </w:pPr>
    </w:lvl>
    <w:lvl w:ilvl="3" w:tplc="38347F72">
      <w:start w:val="1"/>
      <w:numFmt w:val="decimal"/>
      <w:lvlText w:val="%4."/>
      <w:lvlJc w:val="left"/>
      <w:pPr>
        <w:ind w:left="2880" w:hanging="360"/>
      </w:pPr>
    </w:lvl>
    <w:lvl w:ilvl="4" w:tplc="987EC848">
      <w:start w:val="1"/>
      <w:numFmt w:val="lowerLetter"/>
      <w:lvlText w:val="%5."/>
      <w:lvlJc w:val="left"/>
      <w:pPr>
        <w:ind w:left="3600" w:hanging="360"/>
      </w:pPr>
    </w:lvl>
    <w:lvl w:ilvl="5" w:tplc="F5742620">
      <w:start w:val="1"/>
      <w:numFmt w:val="lowerRoman"/>
      <w:lvlText w:val="%6."/>
      <w:lvlJc w:val="right"/>
      <w:pPr>
        <w:ind w:left="4320" w:hanging="180"/>
      </w:pPr>
    </w:lvl>
    <w:lvl w:ilvl="6" w:tplc="F6C22234">
      <w:start w:val="1"/>
      <w:numFmt w:val="decimal"/>
      <w:lvlText w:val="%7."/>
      <w:lvlJc w:val="left"/>
      <w:pPr>
        <w:ind w:left="5040" w:hanging="360"/>
      </w:pPr>
    </w:lvl>
    <w:lvl w:ilvl="7" w:tplc="A8684E5A">
      <w:start w:val="1"/>
      <w:numFmt w:val="lowerLetter"/>
      <w:lvlText w:val="%8."/>
      <w:lvlJc w:val="left"/>
      <w:pPr>
        <w:ind w:left="5760" w:hanging="360"/>
      </w:pPr>
    </w:lvl>
    <w:lvl w:ilvl="8" w:tplc="533A5038">
      <w:start w:val="1"/>
      <w:numFmt w:val="lowerRoman"/>
      <w:lvlText w:val="%9."/>
      <w:lvlJc w:val="right"/>
      <w:pPr>
        <w:ind w:left="6480" w:hanging="180"/>
      </w:pPr>
    </w:lvl>
  </w:abstractNum>
  <w:abstractNum w:abstractNumId="35" w15:restartNumberingAfterBreak="0">
    <w:nsid w:val="2AB4E98F"/>
    <w:multiLevelType w:val="hybridMultilevel"/>
    <w:tmpl w:val="FFFFFFFF"/>
    <w:lvl w:ilvl="0" w:tplc="B094D426">
      <w:start w:val="2"/>
      <w:numFmt w:val="decimal"/>
      <w:lvlText w:val="%1."/>
      <w:lvlJc w:val="left"/>
      <w:pPr>
        <w:ind w:left="720" w:hanging="360"/>
      </w:pPr>
    </w:lvl>
    <w:lvl w:ilvl="1" w:tplc="482C51B2">
      <w:start w:val="1"/>
      <w:numFmt w:val="lowerLetter"/>
      <w:lvlText w:val="%2."/>
      <w:lvlJc w:val="left"/>
      <w:pPr>
        <w:ind w:left="1440" w:hanging="360"/>
      </w:pPr>
    </w:lvl>
    <w:lvl w:ilvl="2" w:tplc="8358315A">
      <w:start w:val="1"/>
      <w:numFmt w:val="lowerRoman"/>
      <w:lvlText w:val="%3."/>
      <w:lvlJc w:val="right"/>
      <w:pPr>
        <w:ind w:left="2160" w:hanging="180"/>
      </w:pPr>
    </w:lvl>
    <w:lvl w:ilvl="3" w:tplc="96188666">
      <w:start w:val="1"/>
      <w:numFmt w:val="decimal"/>
      <w:lvlText w:val="%4."/>
      <w:lvlJc w:val="left"/>
      <w:pPr>
        <w:ind w:left="2880" w:hanging="360"/>
      </w:pPr>
    </w:lvl>
    <w:lvl w:ilvl="4" w:tplc="762E4FDA">
      <w:start w:val="1"/>
      <w:numFmt w:val="lowerLetter"/>
      <w:lvlText w:val="%5."/>
      <w:lvlJc w:val="left"/>
      <w:pPr>
        <w:ind w:left="3600" w:hanging="360"/>
      </w:pPr>
    </w:lvl>
    <w:lvl w:ilvl="5" w:tplc="ECA2C3F2">
      <w:start w:val="1"/>
      <w:numFmt w:val="lowerRoman"/>
      <w:lvlText w:val="%6."/>
      <w:lvlJc w:val="right"/>
      <w:pPr>
        <w:ind w:left="4320" w:hanging="180"/>
      </w:pPr>
    </w:lvl>
    <w:lvl w:ilvl="6" w:tplc="8D0221EE">
      <w:start w:val="1"/>
      <w:numFmt w:val="decimal"/>
      <w:lvlText w:val="%7."/>
      <w:lvlJc w:val="left"/>
      <w:pPr>
        <w:ind w:left="5040" w:hanging="360"/>
      </w:pPr>
    </w:lvl>
    <w:lvl w:ilvl="7" w:tplc="E8E8C4C8">
      <w:start w:val="1"/>
      <w:numFmt w:val="lowerLetter"/>
      <w:lvlText w:val="%8."/>
      <w:lvlJc w:val="left"/>
      <w:pPr>
        <w:ind w:left="5760" w:hanging="360"/>
      </w:pPr>
    </w:lvl>
    <w:lvl w:ilvl="8" w:tplc="B218E198">
      <w:start w:val="1"/>
      <w:numFmt w:val="lowerRoman"/>
      <w:lvlText w:val="%9."/>
      <w:lvlJc w:val="right"/>
      <w:pPr>
        <w:ind w:left="6480" w:hanging="180"/>
      </w:pPr>
    </w:lvl>
  </w:abstractNum>
  <w:abstractNum w:abstractNumId="3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D512611"/>
    <w:multiLevelType w:val="multilevel"/>
    <w:tmpl w:val="05EC8D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D1DE59"/>
    <w:multiLevelType w:val="hybridMultilevel"/>
    <w:tmpl w:val="FFFFFFFF"/>
    <w:lvl w:ilvl="0" w:tplc="7E2007A6">
      <w:start w:val="3"/>
      <w:numFmt w:val="decimal"/>
      <w:lvlText w:val="%1."/>
      <w:lvlJc w:val="left"/>
      <w:pPr>
        <w:ind w:left="720" w:hanging="360"/>
      </w:pPr>
    </w:lvl>
    <w:lvl w:ilvl="1" w:tplc="AE8CCE68">
      <w:start w:val="1"/>
      <w:numFmt w:val="lowerLetter"/>
      <w:lvlText w:val="%2."/>
      <w:lvlJc w:val="left"/>
      <w:pPr>
        <w:ind w:left="1440" w:hanging="360"/>
      </w:pPr>
    </w:lvl>
    <w:lvl w:ilvl="2" w:tplc="0E2E3C24">
      <w:start w:val="1"/>
      <w:numFmt w:val="lowerRoman"/>
      <w:lvlText w:val="%3."/>
      <w:lvlJc w:val="right"/>
      <w:pPr>
        <w:ind w:left="2160" w:hanging="180"/>
      </w:pPr>
    </w:lvl>
    <w:lvl w:ilvl="3" w:tplc="960AA612">
      <w:start w:val="1"/>
      <w:numFmt w:val="decimal"/>
      <w:lvlText w:val="%4."/>
      <w:lvlJc w:val="left"/>
      <w:pPr>
        <w:ind w:left="2880" w:hanging="360"/>
      </w:pPr>
    </w:lvl>
    <w:lvl w:ilvl="4" w:tplc="9822C7E8">
      <w:start w:val="1"/>
      <w:numFmt w:val="lowerLetter"/>
      <w:lvlText w:val="%5."/>
      <w:lvlJc w:val="left"/>
      <w:pPr>
        <w:ind w:left="3600" w:hanging="360"/>
      </w:pPr>
    </w:lvl>
    <w:lvl w:ilvl="5" w:tplc="8DDEEADC">
      <w:start w:val="1"/>
      <w:numFmt w:val="lowerRoman"/>
      <w:lvlText w:val="%6."/>
      <w:lvlJc w:val="right"/>
      <w:pPr>
        <w:ind w:left="4320" w:hanging="180"/>
      </w:pPr>
    </w:lvl>
    <w:lvl w:ilvl="6" w:tplc="BD109CAE">
      <w:start w:val="1"/>
      <w:numFmt w:val="decimal"/>
      <w:lvlText w:val="%7."/>
      <w:lvlJc w:val="left"/>
      <w:pPr>
        <w:ind w:left="5040" w:hanging="360"/>
      </w:pPr>
    </w:lvl>
    <w:lvl w:ilvl="7" w:tplc="54D86F70">
      <w:start w:val="1"/>
      <w:numFmt w:val="lowerLetter"/>
      <w:lvlText w:val="%8."/>
      <w:lvlJc w:val="left"/>
      <w:pPr>
        <w:ind w:left="5760" w:hanging="360"/>
      </w:pPr>
    </w:lvl>
    <w:lvl w:ilvl="8" w:tplc="B6822F9E">
      <w:start w:val="1"/>
      <w:numFmt w:val="lowerRoman"/>
      <w:lvlText w:val="%9."/>
      <w:lvlJc w:val="right"/>
      <w:pPr>
        <w:ind w:left="6480" w:hanging="180"/>
      </w:pPr>
    </w:lvl>
  </w:abstractNum>
  <w:abstractNum w:abstractNumId="39" w15:restartNumberingAfterBreak="0">
    <w:nsid w:val="2FCA161B"/>
    <w:multiLevelType w:val="hybridMultilevel"/>
    <w:tmpl w:val="639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C15CB1"/>
    <w:multiLevelType w:val="hybridMultilevel"/>
    <w:tmpl w:val="FFFFFFFF"/>
    <w:lvl w:ilvl="0" w:tplc="D1228AEC">
      <w:start w:val="3"/>
      <w:numFmt w:val="decimal"/>
      <w:lvlText w:val="%1."/>
      <w:lvlJc w:val="left"/>
      <w:pPr>
        <w:ind w:left="720" w:hanging="360"/>
      </w:pPr>
    </w:lvl>
    <w:lvl w:ilvl="1" w:tplc="04B88124">
      <w:start w:val="1"/>
      <w:numFmt w:val="lowerLetter"/>
      <w:lvlText w:val="%2."/>
      <w:lvlJc w:val="left"/>
      <w:pPr>
        <w:ind w:left="1440" w:hanging="360"/>
      </w:pPr>
    </w:lvl>
    <w:lvl w:ilvl="2" w:tplc="AE30DBA8">
      <w:start w:val="1"/>
      <w:numFmt w:val="lowerRoman"/>
      <w:lvlText w:val="%3."/>
      <w:lvlJc w:val="right"/>
      <w:pPr>
        <w:ind w:left="2160" w:hanging="180"/>
      </w:pPr>
    </w:lvl>
    <w:lvl w:ilvl="3" w:tplc="520051FE">
      <w:start w:val="1"/>
      <w:numFmt w:val="decimal"/>
      <w:lvlText w:val="%4."/>
      <w:lvlJc w:val="left"/>
      <w:pPr>
        <w:ind w:left="2880" w:hanging="360"/>
      </w:pPr>
    </w:lvl>
    <w:lvl w:ilvl="4" w:tplc="E9AAA23C">
      <w:start w:val="1"/>
      <w:numFmt w:val="lowerLetter"/>
      <w:lvlText w:val="%5."/>
      <w:lvlJc w:val="left"/>
      <w:pPr>
        <w:ind w:left="3600" w:hanging="360"/>
      </w:pPr>
    </w:lvl>
    <w:lvl w:ilvl="5" w:tplc="5EE4C308">
      <w:start w:val="1"/>
      <w:numFmt w:val="lowerRoman"/>
      <w:lvlText w:val="%6."/>
      <w:lvlJc w:val="right"/>
      <w:pPr>
        <w:ind w:left="4320" w:hanging="180"/>
      </w:pPr>
    </w:lvl>
    <w:lvl w:ilvl="6" w:tplc="BC14D6E2">
      <w:start w:val="1"/>
      <w:numFmt w:val="decimal"/>
      <w:lvlText w:val="%7."/>
      <w:lvlJc w:val="left"/>
      <w:pPr>
        <w:ind w:left="5040" w:hanging="360"/>
      </w:pPr>
    </w:lvl>
    <w:lvl w:ilvl="7" w:tplc="515A76B2">
      <w:start w:val="1"/>
      <w:numFmt w:val="lowerLetter"/>
      <w:lvlText w:val="%8."/>
      <w:lvlJc w:val="left"/>
      <w:pPr>
        <w:ind w:left="5760" w:hanging="360"/>
      </w:pPr>
    </w:lvl>
    <w:lvl w:ilvl="8" w:tplc="272404A0">
      <w:start w:val="1"/>
      <w:numFmt w:val="lowerRoman"/>
      <w:lvlText w:val="%9."/>
      <w:lvlJc w:val="right"/>
      <w:pPr>
        <w:ind w:left="6480" w:hanging="180"/>
      </w:pPr>
    </w:lvl>
  </w:abstractNum>
  <w:abstractNum w:abstractNumId="41" w15:restartNumberingAfterBreak="0">
    <w:nsid w:val="333C4F3E"/>
    <w:multiLevelType w:val="hybridMultilevel"/>
    <w:tmpl w:val="9E800630"/>
    <w:lvl w:ilvl="0" w:tplc="1809000F">
      <w:start w:val="1"/>
      <w:numFmt w:val="decimal"/>
      <w:lvlText w:val="%1."/>
      <w:lvlJc w:val="left"/>
      <w:pPr>
        <w:ind w:left="1185" w:hanging="360"/>
      </w:pPr>
    </w:lvl>
    <w:lvl w:ilvl="1" w:tplc="18090019" w:tentative="1">
      <w:start w:val="1"/>
      <w:numFmt w:val="lowerLetter"/>
      <w:lvlText w:val="%2."/>
      <w:lvlJc w:val="left"/>
      <w:pPr>
        <w:ind w:left="1905" w:hanging="360"/>
      </w:pPr>
    </w:lvl>
    <w:lvl w:ilvl="2" w:tplc="1809001B" w:tentative="1">
      <w:start w:val="1"/>
      <w:numFmt w:val="lowerRoman"/>
      <w:lvlText w:val="%3."/>
      <w:lvlJc w:val="right"/>
      <w:pPr>
        <w:ind w:left="2625" w:hanging="180"/>
      </w:pPr>
    </w:lvl>
    <w:lvl w:ilvl="3" w:tplc="1809000F" w:tentative="1">
      <w:start w:val="1"/>
      <w:numFmt w:val="decimal"/>
      <w:lvlText w:val="%4."/>
      <w:lvlJc w:val="left"/>
      <w:pPr>
        <w:ind w:left="3345" w:hanging="360"/>
      </w:pPr>
    </w:lvl>
    <w:lvl w:ilvl="4" w:tplc="18090019" w:tentative="1">
      <w:start w:val="1"/>
      <w:numFmt w:val="lowerLetter"/>
      <w:lvlText w:val="%5."/>
      <w:lvlJc w:val="left"/>
      <w:pPr>
        <w:ind w:left="4065" w:hanging="360"/>
      </w:pPr>
    </w:lvl>
    <w:lvl w:ilvl="5" w:tplc="1809001B" w:tentative="1">
      <w:start w:val="1"/>
      <w:numFmt w:val="lowerRoman"/>
      <w:lvlText w:val="%6."/>
      <w:lvlJc w:val="right"/>
      <w:pPr>
        <w:ind w:left="4785" w:hanging="180"/>
      </w:pPr>
    </w:lvl>
    <w:lvl w:ilvl="6" w:tplc="1809000F" w:tentative="1">
      <w:start w:val="1"/>
      <w:numFmt w:val="decimal"/>
      <w:lvlText w:val="%7."/>
      <w:lvlJc w:val="left"/>
      <w:pPr>
        <w:ind w:left="5505" w:hanging="360"/>
      </w:pPr>
    </w:lvl>
    <w:lvl w:ilvl="7" w:tplc="18090019" w:tentative="1">
      <w:start w:val="1"/>
      <w:numFmt w:val="lowerLetter"/>
      <w:lvlText w:val="%8."/>
      <w:lvlJc w:val="left"/>
      <w:pPr>
        <w:ind w:left="6225" w:hanging="360"/>
      </w:pPr>
    </w:lvl>
    <w:lvl w:ilvl="8" w:tplc="1809001B" w:tentative="1">
      <w:start w:val="1"/>
      <w:numFmt w:val="lowerRoman"/>
      <w:lvlText w:val="%9."/>
      <w:lvlJc w:val="right"/>
      <w:pPr>
        <w:ind w:left="6945" w:hanging="180"/>
      </w:pPr>
    </w:lvl>
  </w:abstractNum>
  <w:abstractNum w:abstractNumId="42" w15:restartNumberingAfterBreak="0">
    <w:nsid w:val="385F5A14"/>
    <w:multiLevelType w:val="multilevel"/>
    <w:tmpl w:val="12824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5803D6"/>
    <w:multiLevelType w:val="multilevel"/>
    <w:tmpl w:val="D2B865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7F4B78"/>
    <w:multiLevelType w:val="hybridMultilevel"/>
    <w:tmpl w:val="B546E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3AB0328D"/>
    <w:multiLevelType w:val="multilevel"/>
    <w:tmpl w:val="08F28E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ACBCB22"/>
    <w:multiLevelType w:val="hybridMultilevel"/>
    <w:tmpl w:val="FFFFFFFF"/>
    <w:lvl w:ilvl="0" w:tplc="25662F5A">
      <w:start w:val="1"/>
      <w:numFmt w:val="bullet"/>
      <w:lvlText w:val="·"/>
      <w:lvlJc w:val="left"/>
      <w:pPr>
        <w:ind w:left="720" w:hanging="360"/>
      </w:pPr>
      <w:rPr>
        <w:rFonts w:ascii="Symbol" w:hAnsi="Symbol" w:hint="default"/>
      </w:rPr>
    </w:lvl>
    <w:lvl w:ilvl="1" w:tplc="F1AE26D4">
      <w:start w:val="1"/>
      <w:numFmt w:val="bullet"/>
      <w:lvlText w:val="o"/>
      <w:lvlJc w:val="left"/>
      <w:pPr>
        <w:ind w:left="1440" w:hanging="360"/>
      </w:pPr>
      <w:rPr>
        <w:rFonts w:ascii="Courier New" w:hAnsi="Courier New" w:hint="default"/>
      </w:rPr>
    </w:lvl>
    <w:lvl w:ilvl="2" w:tplc="F04E7FD4">
      <w:start w:val="1"/>
      <w:numFmt w:val="bullet"/>
      <w:lvlText w:val=""/>
      <w:lvlJc w:val="left"/>
      <w:pPr>
        <w:ind w:left="2160" w:hanging="360"/>
      </w:pPr>
      <w:rPr>
        <w:rFonts w:ascii="Wingdings" w:hAnsi="Wingdings" w:hint="default"/>
      </w:rPr>
    </w:lvl>
    <w:lvl w:ilvl="3" w:tplc="631E0C92">
      <w:start w:val="1"/>
      <w:numFmt w:val="bullet"/>
      <w:lvlText w:val=""/>
      <w:lvlJc w:val="left"/>
      <w:pPr>
        <w:ind w:left="2880" w:hanging="360"/>
      </w:pPr>
      <w:rPr>
        <w:rFonts w:ascii="Symbol" w:hAnsi="Symbol" w:hint="default"/>
      </w:rPr>
    </w:lvl>
    <w:lvl w:ilvl="4" w:tplc="95A458A8">
      <w:start w:val="1"/>
      <w:numFmt w:val="bullet"/>
      <w:lvlText w:val="o"/>
      <w:lvlJc w:val="left"/>
      <w:pPr>
        <w:ind w:left="3600" w:hanging="360"/>
      </w:pPr>
      <w:rPr>
        <w:rFonts w:ascii="Courier New" w:hAnsi="Courier New" w:hint="default"/>
      </w:rPr>
    </w:lvl>
    <w:lvl w:ilvl="5" w:tplc="9FAC3B16">
      <w:start w:val="1"/>
      <w:numFmt w:val="bullet"/>
      <w:lvlText w:val=""/>
      <w:lvlJc w:val="left"/>
      <w:pPr>
        <w:ind w:left="4320" w:hanging="360"/>
      </w:pPr>
      <w:rPr>
        <w:rFonts w:ascii="Wingdings" w:hAnsi="Wingdings" w:hint="default"/>
      </w:rPr>
    </w:lvl>
    <w:lvl w:ilvl="6" w:tplc="4B7097A8">
      <w:start w:val="1"/>
      <w:numFmt w:val="bullet"/>
      <w:lvlText w:val=""/>
      <w:lvlJc w:val="left"/>
      <w:pPr>
        <w:ind w:left="5040" w:hanging="360"/>
      </w:pPr>
      <w:rPr>
        <w:rFonts w:ascii="Symbol" w:hAnsi="Symbol" w:hint="default"/>
      </w:rPr>
    </w:lvl>
    <w:lvl w:ilvl="7" w:tplc="ABF090D6">
      <w:start w:val="1"/>
      <w:numFmt w:val="bullet"/>
      <w:lvlText w:val="o"/>
      <w:lvlJc w:val="left"/>
      <w:pPr>
        <w:ind w:left="5760" w:hanging="360"/>
      </w:pPr>
      <w:rPr>
        <w:rFonts w:ascii="Courier New" w:hAnsi="Courier New" w:hint="default"/>
      </w:rPr>
    </w:lvl>
    <w:lvl w:ilvl="8" w:tplc="F468D182">
      <w:start w:val="1"/>
      <w:numFmt w:val="bullet"/>
      <w:lvlText w:val=""/>
      <w:lvlJc w:val="left"/>
      <w:pPr>
        <w:ind w:left="6480" w:hanging="360"/>
      </w:pPr>
      <w:rPr>
        <w:rFonts w:ascii="Wingdings" w:hAnsi="Wingdings" w:hint="default"/>
      </w:rPr>
    </w:lvl>
  </w:abstractNum>
  <w:abstractNum w:abstractNumId="47" w15:restartNumberingAfterBreak="0">
    <w:nsid w:val="3C15D685"/>
    <w:multiLevelType w:val="hybridMultilevel"/>
    <w:tmpl w:val="FFFFFFFF"/>
    <w:lvl w:ilvl="0" w:tplc="4E12A05A">
      <w:start w:val="1"/>
      <w:numFmt w:val="decimal"/>
      <w:lvlText w:val="%1."/>
      <w:lvlJc w:val="left"/>
      <w:pPr>
        <w:ind w:left="720" w:hanging="360"/>
      </w:pPr>
    </w:lvl>
    <w:lvl w:ilvl="1" w:tplc="377285D2">
      <w:start w:val="1"/>
      <w:numFmt w:val="lowerLetter"/>
      <w:lvlText w:val="%2."/>
      <w:lvlJc w:val="left"/>
      <w:pPr>
        <w:ind w:left="1440" w:hanging="360"/>
      </w:pPr>
    </w:lvl>
    <w:lvl w:ilvl="2" w:tplc="645A4820">
      <w:start w:val="1"/>
      <w:numFmt w:val="lowerRoman"/>
      <w:lvlText w:val="%3."/>
      <w:lvlJc w:val="right"/>
      <w:pPr>
        <w:ind w:left="2160" w:hanging="180"/>
      </w:pPr>
    </w:lvl>
    <w:lvl w:ilvl="3" w:tplc="74F68F80">
      <w:start w:val="1"/>
      <w:numFmt w:val="decimal"/>
      <w:lvlText w:val="%4."/>
      <w:lvlJc w:val="left"/>
      <w:pPr>
        <w:ind w:left="2880" w:hanging="360"/>
      </w:pPr>
    </w:lvl>
    <w:lvl w:ilvl="4" w:tplc="9E605F4A">
      <w:start w:val="1"/>
      <w:numFmt w:val="lowerLetter"/>
      <w:lvlText w:val="%5."/>
      <w:lvlJc w:val="left"/>
      <w:pPr>
        <w:ind w:left="3600" w:hanging="360"/>
      </w:pPr>
    </w:lvl>
    <w:lvl w:ilvl="5" w:tplc="1EFAA74C">
      <w:start w:val="1"/>
      <w:numFmt w:val="lowerRoman"/>
      <w:lvlText w:val="%6."/>
      <w:lvlJc w:val="right"/>
      <w:pPr>
        <w:ind w:left="4320" w:hanging="180"/>
      </w:pPr>
    </w:lvl>
    <w:lvl w:ilvl="6" w:tplc="7D8AA86A">
      <w:start w:val="1"/>
      <w:numFmt w:val="decimal"/>
      <w:lvlText w:val="%7."/>
      <w:lvlJc w:val="left"/>
      <w:pPr>
        <w:ind w:left="5040" w:hanging="360"/>
      </w:pPr>
    </w:lvl>
    <w:lvl w:ilvl="7" w:tplc="9744832E">
      <w:start w:val="1"/>
      <w:numFmt w:val="lowerLetter"/>
      <w:lvlText w:val="%8."/>
      <w:lvlJc w:val="left"/>
      <w:pPr>
        <w:ind w:left="5760" w:hanging="360"/>
      </w:pPr>
    </w:lvl>
    <w:lvl w:ilvl="8" w:tplc="1966D97C">
      <w:start w:val="1"/>
      <w:numFmt w:val="lowerRoman"/>
      <w:lvlText w:val="%9."/>
      <w:lvlJc w:val="right"/>
      <w:pPr>
        <w:ind w:left="6480" w:hanging="180"/>
      </w:pPr>
    </w:lvl>
  </w:abstractNum>
  <w:abstractNum w:abstractNumId="48" w15:restartNumberingAfterBreak="0">
    <w:nsid w:val="3DDAD5C8"/>
    <w:multiLevelType w:val="hybridMultilevel"/>
    <w:tmpl w:val="FFFFFFFF"/>
    <w:lvl w:ilvl="0" w:tplc="78248E60">
      <w:start w:val="1"/>
      <w:numFmt w:val="decimal"/>
      <w:lvlText w:val="%1."/>
      <w:lvlJc w:val="left"/>
      <w:pPr>
        <w:ind w:left="720" w:hanging="360"/>
      </w:pPr>
    </w:lvl>
    <w:lvl w:ilvl="1" w:tplc="5DD63862">
      <w:start w:val="1"/>
      <w:numFmt w:val="lowerLetter"/>
      <w:lvlText w:val="%2."/>
      <w:lvlJc w:val="left"/>
      <w:pPr>
        <w:ind w:left="1440" w:hanging="360"/>
      </w:pPr>
    </w:lvl>
    <w:lvl w:ilvl="2" w:tplc="56E63AF6">
      <w:start w:val="1"/>
      <w:numFmt w:val="lowerRoman"/>
      <w:lvlText w:val="%3."/>
      <w:lvlJc w:val="right"/>
      <w:pPr>
        <w:ind w:left="2160" w:hanging="180"/>
      </w:pPr>
    </w:lvl>
    <w:lvl w:ilvl="3" w:tplc="41C69D88">
      <w:start w:val="1"/>
      <w:numFmt w:val="decimal"/>
      <w:lvlText w:val="%4."/>
      <w:lvlJc w:val="left"/>
      <w:pPr>
        <w:ind w:left="2880" w:hanging="360"/>
      </w:pPr>
    </w:lvl>
    <w:lvl w:ilvl="4" w:tplc="01FC9A7C">
      <w:start w:val="1"/>
      <w:numFmt w:val="lowerLetter"/>
      <w:lvlText w:val="%5."/>
      <w:lvlJc w:val="left"/>
      <w:pPr>
        <w:ind w:left="3600" w:hanging="360"/>
      </w:pPr>
    </w:lvl>
    <w:lvl w:ilvl="5" w:tplc="1A9C1796">
      <w:start w:val="1"/>
      <w:numFmt w:val="lowerRoman"/>
      <w:lvlText w:val="%6."/>
      <w:lvlJc w:val="right"/>
      <w:pPr>
        <w:ind w:left="4320" w:hanging="180"/>
      </w:pPr>
    </w:lvl>
    <w:lvl w:ilvl="6" w:tplc="27C8890E">
      <w:start w:val="1"/>
      <w:numFmt w:val="decimal"/>
      <w:lvlText w:val="%7."/>
      <w:lvlJc w:val="left"/>
      <w:pPr>
        <w:ind w:left="5040" w:hanging="360"/>
      </w:pPr>
    </w:lvl>
    <w:lvl w:ilvl="7" w:tplc="802EDE88">
      <w:start w:val="1"/>
      <w:numFmt w:val="lowerLetter"/>
      <w:lvlText w:val="%8."/>
      <w:lvlJc w:val="left"/>
      <w:pPr>
        <w:ind w:left="5760" w:hanging="360"/>
      </w:pPr>
    </w:lvl>
    <w:lvl w:ilvl="8" w:tplc="BC8E391C">
      <w:start w:val="1"/>
      <w:numFmt w:val="lowerRoman"/>
      <w:lvlText w:val="%9."/>
      <w:lvlJc w:val="right"/>
      <w:pPr>
        <w:ind w:left="6480" w:hanging="180"/>
      </w:pPr>
    </w:lvl>
  </w:abstractNum>
  <w:abstractNum w:abstractNumId="49" w15:restartNumberingAfterBreak="0">
    <w:nsid w:val="3EFDD1AC"/>
    <w:multiLevelType w:val="hybridMultilevel"/>
    <w:tmpl w:val="FFFFFFFF"/>
    <w:lvl w:ilvl="0" w:tplc="26084B2A">
      <w:numFmt w:val="decimal"/>
      <w:lvlText w:val="%1."/>
      <w:lvlJc w:val="left"/>
      <w:pPr>
        <w:ind w:left="720" w:hanging="360"/>
      </w:pPr>
    </w:lvl>
    <w:lvl w:ilvl="1" w:tplc="15CCA296">
      <w:start w:val="1"/>
      <w:numFmt w:val="lowerLetter"/>
      <w:lvlText w:val="%2."/>
      <w:lvlJc w:val="left"/>
      <w:pPr>
        <w:ind w:left="1440" w:hanging="360"/>
      </w:pPr>
    </w:lvl>
    <w:lvl w:ilvl="2" w:tplc="DE026E02">
      <w:start w:val="1"/>
      <w:numFmt w:val="lowerRoman"/>
      <w:lvlText w:val="%3."/>
      <w:lvlJc w:val="right"/>
      <w:pPr>
        <w:ind w:left="2160" w:hanging="180"/>
      </w:pPr>
    </w:lvl>
    <w:lvl w:ilvl="3" w:tplc="A7341F92">
      <w:start w:val="1"/>
      <w:numFmt w:val="decimal"/>
      <w:lvlText w:val="%4."/>
      <w:lvlJc w:val="left"/>
      <w:pPr>
        <w:ind w:left="2880" w:hanging="360"/>
      </w:pPr>
    </w:lvl>
    <w:lvl w:ilvl="4" w:tplc="A7342900">
      <w:start w:val="1"/>
      <w:numFmt w:val="lowerLetter"/>
      <w:lvlText w:val="%5."/>
      <w:lvlJc w:val="left"/>
      <w:pPr>
        <w:ind w:left="3600" w:hanging="360"/>
      </w:pPr>
    </w:lvl>
    <w:lvl w:ilvl="5" w:tplc="5B0063BC">
      <w:start w:val="1"/>
      <w:numFmt w:val="lowerRoman"/>
      <w:lvlText w:val="%6."/>
      <w:lvlJc w:val="right"/>
      <w:pPr>
        <w:ind w:left="4320" w:hanging="180"/>
      </w:pPr>
    </w:lvl>
    <w:lvl w:ilvl="6" w:tplc="A6BAA676">
      <w:start w:val="1"/>
      <w:numFmt w:val="decimal"/>
      <w:lvlText w:val="%7."/>
      <w:lvlJc w:val="left"/>
      <w:pPr>
        <w:ind w:left="5040" w:hanging="360"/>
      </w:pPr>
    </w:lvl>
    <w:lvl w:ilvl="7" w:tplc="7C844760">
      <w:start w:val="1"/>
      <w:numFmt w:val="lowerLetter"/>
      <w:lvlText w:val="%8."/>
      <w:lvlJc w:val="left"/>
      <w:pPr>
        <w:ind w:left="5760" w:hanging="360"/>
      </w:pPr>
    </w:lvl>
    <w:lvl w:ilvl="8" w:tplc="C1101D26">
      <w:start w:val="1"/>
      <w:numFmt w:val="lowerRoman"/>
      <w:lvlText w:val="%9."/>
      <w:lvlJc w:val="right"/>
      <w:pPr>
        <w:ind w:left="6480" w:hanging="180"/>
      </w:pPr>
    </w:lvl>
  </w:abstractNum>
  <w:abstractNum w:abstractNumId="50" w15:restartNumberingAfterBreak="0">
    <w:nsid w:val="3F0849DB"/>
    <w:multiLevelType w:val="hybridMultilevel"/>
    <w:tmpl w:val="41C21E80"/>
    <w:lvl w:ilvl="0" w:tplc="6C3476EA">
      <w:start w:val="1"/>
      <w:numFmt w:val="bullet"/>
      <w:lvlText w:val=""/>
      <w:lvlJc w:val="left"/>
      <w:pPr>
        <w:ind w:left="720" w:hanging="360"/>
      </w:pPr>
      <w:rPr>
        <w:rFonts w:ascii="Symbol" w:hAnsi="Symbol" w:hint="default"/>
      </w:rPr>
    </w:lvl>
    <w:lvl w:ilvl="1" w:tplc="6C600D02">
      <w:start w:val="1"/>
      <w:numFmt w:val="bullet"/>
      <w:lvlText w:val="o"/>
      <w:lvlJc w:val="left"/>
      <w:pPr>
        <w:ind w:left="1440" w:hanging="360"/>
      </w:pPr>
      <w:rPr>
        <w:rFonts w:ascii="Courier New" w:hAnsi="Courier New" w:hint="default"/>
      </w:rPr>
    </w:lvl>
    <w:lvl w:ilvl="2" w:tplc="71621E68">
      <w:start w:val="1"/>
      <w:numFmt w:val="bullet"/>
      <w:lvlText w:val=""/>
      <w:lvlJc w:val="left"/>
      <w:pPr>
        <w:ind w:left="2160" w:hanging="360"/>
      </w:pPr>
      <w:rPr>
        <w:rFonts w:ascii="Wingdings" w:hAnsi="Wingdings" w:hint="default"/>
      </w:rPr>
    </w:lvl>
    <w:lvl w:ilvl="3" w:tplc="DC98442A">
      <w:start w:val="1"/>
      <w:numFmt w:val="bullet"/>
      <w:lvlText w:val=""/>
      <w:lvlJc w:val="left"/>
      <w:pPr>
        <w:ind w:left="2880" w:hanging="360"/>
      </w:pPr>
      <w:rPr>
        <w:rFonts w:ascii="Symbol" w:hAnsi="Symbol" w:hint="default"/>
      </w:rPr>
    </w:lvl>
    <w:lvl w:ilvl="4" w:tplc="7C8A2134">
      <w:start w:val="1"/>
      <w:numFmt w:val="bullet"/>
      <w:lvlText w:val="o"/>
      <w:lvlJc w:val="left"/>
      <w:pPr>
        <w:ind w:left="3600" w:hanging="360"/>
      </w:pPr>
      <w:rPr>
        <w:rFonts w:ascii="Courier New" w:hAnsi="Courier New" w:hint="default"/>
      </w:rPr>
    </w:lvl>
    <w:lvl w:ilvl="5" w:tplc="483EF78C">
      <w:start w:val="1"/>
      <w:numFmt w:val="bullet"/>
      <w:lvlText w:val=""/>
      <w:lvlJc w:val="left"/>
      <w:pPr>
        <w:ind w:left="4320" w:hanging="360"/>
      </w:pPr>
      <w:rPr>
        <w:rFonts w:ascii="Wingdings" w:hAnsi="Wingdings" w:hint="default"/>
      </w:rPr>
    </w:lvl>
    <w:lvl w:ilvl="6" w:tplc="7084FADC">
      <w:start w:val="1"/>
      <w:numFmt w:val="bullet"/>
      <w:lvlText w:val=""/>
      <w:lvlJc w:val="left"/>
      <w:pPr>
        <w:ind w:left="5040" w:hanging="360"/>
      </w:pPr>
      <w:rPr>
        <w:rFonts w:ascii="Symbol" w:hAnsi="Symbol" w:hint="default"/>
      </w:rPr>
    </w:lvl>
    <w:lvl w:ilvl="7" w:tplc="6D2CABF0">
      <w:start w:val="1"/>
      <w:numFmt w:val="bullet"/>
      <w:lvlText w:val="o"/>
      <w:lvlJc w:val="left"/>
      <w:pPr>
        <w:ind w:left="5760" w:hanging="360"/>
      </w:pPr>
      <w:rPr>
        <w:rFonts w:ascii="Courier New" w:hAnsi="Courier New" w:hint="default"/>
      </w:rPr>
    </w:lvl>
    <w:lvl w:ilvl="8" w:tplc="8A58FCAE">
      <w:start w:val="1"/>
      <w:numFmt w:val="bullet"/>
      <w:lvlText w:val=""/>
      <w:lvlJc w:val="left"/>
      <w:pPr>
        <w:ind w:left="6480" w:hanging="360"/>
      </w:pPr>
      <w:rPr>
        <w:rFonts w:ascii="Wingdings" w:hAnsi="Wingdings" w:hint="default"/>
      </w:rPr>
    </w:lvl>
  </w:abstractNum>
  <w:abstractNum w:abstractNumId="51" w15:restartNumberingAfterBreak="0">
    <w:nsid w:val="409721F0"/>
    <w:multiLevelType w:val="multilevel"/>
    <w:tmpl w:val="52B204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30771B4"/>
    <w:multiLevelType w:val="multilevel"/>
    <w:tmpl w:val="5A90B7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7E436C2"/>
    <w:multiLevelType w:val="hybridMultilevel"/>
    <w:tmpl w:val="BFE07E52"/>
    <w:lvl w:ilvl="0" w:tplc="0D78FDEA">
      <w:start w:val="1"/>
      <w:numFmt w:val="decimal"/>
      <w:lvlText w:val="%1."/>
      <w:lvlJc w:val="left"/>
      <w:pPr>
        <w:tabs>
          <w:tab w:val="num" w:pos="720"/>
        </w:tabs>
        <w:ind w:left="720" w:hanging="360"/>
      </w:pPr>
    </w:lvl>
    <w:lvl w:ilvl="1" w:tplc="B8ECEF24" w:tentative="1">
      <w:start w:val="1"/>
      <w:numFmt w:val="decimal"/>
      <w:lvlText w:val="%2."/>
      <w:lvlJc w:val="left"/>
      <w:pPr>
        <w:tabs>
          <w:tab w:val="num" w:pos="1440"/>
        </w:tabs>
        <w:ind w:left="1440" w:hanging="360"/>
      </w:pPr>
    </w:lvl>
    <w:lvl w:ilvl="2" w:tplc="D0527798" w:tentative="1">
      <w:start w:val="1"/>
      <w:numFmt w:val="decimal"/>
      <w:lvlText w:val="%3."/>
      <w:lvlJc w:val="left"/>
      <w:pPr>
        <w:tabs>
          <w:tab w:val="num" w:pos="2160"/>
        </w:tabs>
        <w:ind w:left="2160" w:hanging="360"/>
      </w:pPr>
    </w:lvl>
    <w:lvl w:ilvl="3" w:tplc="6E287A68" w:tentative="1">
      <w:start w:val="1"/>
      <w:numFmt w:val="decimal"/>
      <w:lvlText w:val="%4."/>
      <w:lvlJc w:val="left"/>
      <w:pPr>
        <w:tabs>
          <w:tab w:val="num" w:pos="2880"/>
        </w:tabs>
        <w:ind w:left="2880" w:hanging="360"/>
      </w:pPr>
    </w:lvl>
    <w:lvl w:ilvl="4" w:tplc="73003B3C" w:tentative="1">
      <w:start w:val="1"/>
      <w:numFmt w:val="decimal"/>
      <w:lvlText w:val="%5."/>
      <w:lvlJc w:val="left"/>
      <w:pPr>
        <w:tabs>
          <w:tab w:val="num" w:pos="3600"/>
        </w:tabs>
        <w:ind w:left="3600" w:hanging="360"/>
      </w:pPr>
    </w:lvl>
    <w:lvl w:ilvl="5" w:tplc="BF5E0610" w:tentative="1">
      <w:start w:val="1"/>
      <w:numFmt w:val="decimal"/>
      <w:lvlText w:val="%6."/>
      <w:lvlJc w:val="left"/>
      <w:pPr>
        <w:tabs>
          <w:tab w:val="num" w:pos="4320"/>
        </w:tabs>
        <w:ind w:left="4320" w:hanging="360"/>
      </w:pPr>
    </w:lvl>
    <w:lvl w:ilvl="6" w:tplc="04104CE2" w:tentative="1">
      <w:start w:val="1"/>
      <w:numFmt w:val="decimal"/>
      <w:lvlText w:val="%7."/>
      <w:lvlJc w:val="left"/>
      <w:pPr>
        <w:tabs>
          <w:tab w:val="num" w:pos="5040"/>
        </w:tabs>
        <w:ind w:left="5040" w:hanging="360"/>
      </w:pPr>
    </w:lvl>
    <w:lvl w:ilvl="7" w:tplc="FF74C1AC" w:tentative="1">
      <w:start w:val="1"/>
      <w:numFmt w:val="decimal"/>
      <w:lvlText w:val="%8."/>
      <w:lvlJc w:val="left"/>
      <w:pPr>
        <w:tabs>
          <w:tab w:val="num" w:pos="5760"/>
        </w:tabs>
        <w:ind w:left="5760" w:hanging="360"/>
      </w:pPr>
    </w:lvl>
    <w:lvl w:ilvl="8" w:tplc="9920C9F6" w:tentative="1">
      <w:start w:val="1"/>
      <w:numFmt w:val="decimal"/>
      <w:lvlText w:val="%9."/>
      <w:lvlJc w:val="left"/>
      <w:pPr>
        <w:tabs>
          <w:tab w:val="num" w:pos="6480"/>
        </w:tabs>
        <w:ind w:left="6480" w:hanging="360"/>
      </w:pPr>
    </w:lvl>
  </w:abstractNum>
  <w:abstractNum w:abstractNumId="54" w15:restartNumberingAfterBreak="0">
    <w:nsid w:val="49295F29"/>
    <w:multiLevelType w:val="hybridMultilevel"/>
    <w:tmpl w:val="FFFFFFFF"/>
    <w:lvl w:ilvl="0" w:tplc="C08AFEE2">
      <w:start w:val="1"/>
      <w:numFmt w:val="bullet"/>
      <w:lvlText w:val=""/>
      <w:lvlJc w:val="left"/>
      <w:pPr>
        <w:ind w:left="720" w:hanging="360"/>
      </w:pPr>
      <w:rPr>
        <w:rFonts w:ascii="Symbol" w:hAnsi="Symbol" w:hint="default"/>
      </w:rPr>
    </w:lvl>
    <w:lvl w:ilvl="1" w:tplc="B0229AFA">
      <w:start w:val="1"/>
      <w:numFmt w:val="bullet"/>
      <w:lvlText w:val="o"/>
      <w:lvlJc w:val="left"/>
      <w:pPr>
        <w:ind w:left="1440" w:hanging="360"/>
      </w:pPr>
      <w:rPr>
        <w:rFonts w:ascii="Courier New" w:hAnsi="Courier New" w:hint="default"/>
      </w:rPr>
    </w:lvl>
    <w:lvl w:ilvl="2" w:tplc="F9BE9F6C">
      <w:start w:val="1"/>
      <w:numFmt w:val="bullet"/>
      <w:lvlText w:val=""/>
      <w:lvlJc w:val="left"/>
      <w:pPr>
        <w:ind w:left="2160" w:hanging="360"/>
      </w:pPr>
      <w:rPr>
        <w:rFonts w:ascii="Wingdings" w:hAnsi="Wingdings" w:hint="default"/>
      </w:rPr>
    </w:lvl>
    <w:lvl w:ilvl="3" w:tplc="634CFA78">
      <w:start w:val="1"/>
      <w:numFmt w:val="bullet"/>
      <w:lvlText w:val=""/>
      <w:lvlJc w:val="left"/>
      <w:pPr>
        <w:ind w:left="2880" w:hanging="360"/>
      </w:pPr>
      <w:rPr>
        <w:rFonts w:ascii="Symbol" w:hAnsi="Symbol" w:hint="default"/>
      </w:rPr>
    </w:lvl>
    <w:lvl w:ilvl="4" w:tplc="6EDED2D0">
      <w:start w:val="1"/>
      <w:numFmt w:val="bullet"/>
      <w:lvlText w:val="o"/>
      <w:lvlJc w:val="left"/>
      <w:pPr>
        <w:ind w:left="3600" w:hanging="360"/>
      </w:pPr>
      <w:rPr>
        <w:rFonts w:ascii="Courier New" w:hAnsi="Courier New" w:hint="default"/>
      </w:rPr>
    </w:lvl>
    <w:lvl w:ilvl="5" w:tplc="07FC9EF2">
      <w:start w:val="1"/>
      <w:numFmt w:val="bullet"/>
      <w:lvlText w:val=""/>
      <w:lvlJc w:val="left"/>
      <w:pPr>
        <w:ind w:left="4320" w:hanging="360"/>
      </w:pPr>
      <w:rPr>
        <w:rFonts w:ascii="Wingdings" w:hAnsi="Wingdings" w:hint="default"/>
      </w:rPr>
    </w:lvl>
    <w:lvl w:ilvl="6" w:tplc="314ECD0E">
      <w:start w:val="1"/>
      <w:numFmt w:val="bullet"/>
      <w:lvlText w:val=""/>
      <w:lvlJc w:val="left"/>
      <w:pPr>
        <w:ind w:left="5040" w:hanging="360"/>
      </w:pPr>
      <w:rPr>
        <w:rFonts w:ascii="Symbol" w:hAnsi="Symbol" w:hint="default"/>
      </w:rPr>
    </w:lvl>
    <w:lvl w:ilvl="7" w:tplc="0F8E14A6">
      <w:start w:val="1"/>
      <w:numFmt w:val="bullet"/>
      <w:lvlText w:val="o"/>
      <w:lvlJc w:val="left"/>
      <w:pPr>
        <w:ind w:left="5760" w:hanging="360"/>
      </w:pPr>
      <w:rPr>
        <w:rFonts w:ascii="Courier New" w:hAnsi="Courier New" w:hint="default"/>
      </w:rPr>
    </w:lvl>
    <w:lvl w:ilvl="8" w:tplc="7DD25582">
      <w:start w:val="1"/>
      <w:numFmt w:val="bullet"/>
      <w:lvlText w:val=""/>
      <w:lvlJc w:val="left"/>
      <w:pPr>
        <w:ind w:left="6480" w:hanging="360"/>
      </w:pPr>
      <w:rPr>
        <w:rFonts w:ascii="Wingdings" w:hAnsi="Wingdings" w:hint="default"/>
      </w:rPr>
    </w:lvl>
  </w:abstractNum>
  <w:abstractNum w:abstractNumId="55" w15:restartNumberingAfterBreak="0">
    <w:nsid w:val="497F54CD"/>
    <w:multiLevelType w:val="hybridMultilevel"/>
    <w:tmpl w:val="034CDBE4"/>
    <w:lvl w:ilvl="0" w:tplc="04150017">
      <w:start w:val="1"/>
      <w:numFmt w:val="lowerLetter"/>
      <w:lvlText w:val="%1)"/>
      <w:lvlJc w:val="left"/>
      <w:pPr>
        <w:ind w:left="720" w:hanging="360"/>
      </w:pPr>
      <w:rPr>
        <w:rFonts w:hint="default"/>
      </w:rPr>
    </w:lvl>
    <w:lvl w:ilvl="1" w:tplc="74681310">
      <w:start w:val="1"/>
      <w:numFmt w:val="lowerRoman"/>
      <w:lvlText w:val="(%2)"/>
      <w:lvlJc w:val="righ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A8D2A34"/>
    <w:multiLevelType w:val="hybridMultilevel"/>
    <w:tmpl w:val="FFFFFFFF"/>
    <w:lvl w:ilvl="0" w:tplc="1ABE2A80">
      <w:start w:val="1"/>
      <w:numFmt w:val="decimal"/>
      <w:lvlText w:val="%1."/>
      <w:lvlJc w:val="left"/>
      <w:pPr>
        <w:ind w:left="720" w:hanging="360"/>
      </w:pPr>
    </w:lvl>
    <w:lvl w:ilvl="1" w:tplc="E4B6C4EA">
      <w:start w:val="1"/>
      <w:numFmt w:val="lowerLetter"/>
      <w:lvlText w:val="%2."/>
      <w:lvlJc w:val="left"/>
      <w:pPr>
        <w:ind w:left="1440" w:hanging="360"/>
      </w:pPr>
    </w:lvl>
    <w:lvl w:ilvl="2" w:tplc="EA567504">
      <w:start w:val="1"/>
      <w:numFmt w:val="lowerRoman"/>
      <w:lvlText w:val="%3."/>
      <w:lvlJc w:val="right"/>
      <w:pPr>
        <w:ind w:left="2160" w:hanging="180"/>
      </w:pPr>
    </w:lvl>
    <w:lvl w:ilvl="3" w:tplc="B822A79A">
      <w:start w:val="1"/>
      <w:numFmt w:val="decimal"/>
      <w:lvlText w:val="%4."/>
      <w:lvlJc w:val="left"/>
      <w:pPr>
        <w:ind w:left="2880" w:hanging="360"/>
      </w:pPr>
    </w:lvl>
    <w:lvl w:ilvl="4" w:tplc="3ED2663A">
      <w:start w:val="1"/>
      <w:numFmt w:val="lowerLetter"/>
      <w:lvlText w:val="%5."/>
      <w:lvlJc w:val="left"/>
      <w:pPr>
        <w:ind w:left="3600" w:hanging="360"/>
      </w:pPr>
    </w:lvl>
    <w:lvl w:ilvl="5" w:tplc="4EC652BC">
      <w:start w:val="1"/>
      <w:numFmt w:val="lowerRoman"/>
      <w:lvlText w:val="%6."/>
      <w:lvlJc w:val="right"/>
      <w:pPr>
        <w:ind w:left="4320" w:hanging="180"/>
      </w:pPr>
    </w:lvl>
    <w:lvl w:ilvl="6" w:tplc="58449C18">
      <w:start w:val="1"/>
      <w:numFmt w:val="decimal"/>
      <w:lvlText w:val="%7."/>
      <w:lvlJc w:val="left"/>
      <w:pPr>
        <w:ind w:left="5040" w:hanging="360"/>
      </w:pPr>
    </w:lvl>
    <w:lvl w:ilvl="7" w:tplc="EF72B2A6">
      <w:start w:val="1"/>
      <w:numFmt w:val="lowerLetter"/>
      <w:lvlText w:val="%8."/>
      <w:lvlJc w:val="left"/>
      <w:pPr>
        <w:ind w:left="5760" w:hanging="360"/>
      </w:pPr>
    </w:lvl>
    <w:lvl w:ilvl="8" w:tplc="16840BB8">
      <w:start w:val="1"/>
      <w:numFmt w:val="lowerRoman"/>
      <w:lvlText w:val="%9."/>
      <w:lvlJc w:val="right"/>
      <w:pPr>
        <w:ind w:left="6480" w:hanging="180"/>
      </w:pPr>
    </w:lvl>
  </w:abstractNum>
  <w:abstractNum w:abstractNumId="57" w15:restartNumberingAfterBreak="0">
    <w:nsid w:val="4B37F4ED"/>
    <w:multiLevelType w:val="hybridMultilevel"/>
    <w:tmpl w:val="FFFFFFFF"/>
    <w:lvl w:ilvl="0" w:tplc="CADCEFDE">
      <w:start w:val="1"/>
      <w:numFmt w:val="decimal"/>
      <w:lvlText w:val="%1."/>
      <w:lvlJc w:val="left"/>
      <w:pPr>
        <w:ind w:left="720" w:hanging="360"/>
      </w:pPr>
    </w:lvl>
    <w:lvl w:ilvl="1" w:tplc="B3C6607E">
      <w:start w:val="1"/>
      <w:numFmt w:val="lowerLetter"/>
      <w:lvlText w:val="%2."/>
      <w:lvlJc w:val="left"/>
      <w:pPr>
        <w:ind w:left="1440" w:hanging="360"/>
      </w:pPr>
    </w:lvl>
    <w:lvl w:ilvl="2" w:tplc="205AA01C">
      <w:start w:val="1"/>
      <w:numFmt w:val="lowerRoman"/>
      <w:lvlText w:val="%3."/>
      <w:lvlJc w:val="right"/>
      <w:pPr>
        <w:ind w:left="2160" w:hanging="180"/>
      </w:pPr>
    </w:lvl>
    <w:lvl w:ilvl="3" w:tplc="0450D6F0">
      <w:start w:val="1"/>
      <w:numFmt w:val="decimal"/>
      <w:lvlText w:val="%4."/>
      <w:lvlJc w:val="left"/>
      <w:pPr>
        <w:ind w:left="2880" w:hanging="360"/>
      </w:pPr>
    </w:lvl>
    <w:lvl w:ilvl="4" w:tplc="7442902E">
      <w:start w:val="1"/>
      <w:numFmt w:val="lowerLetter"/>
      <w:lvlText w:val="%5."/>
      <w:lvlJc w:val="left"/>
      <w:pPr>
        <w:ind w:left="3600" w:hanging="360"/>
      </w:pPr>
    </w:lvl>
    <w:lvl w:ilvl="5" w:tplc="D0EEC37A">
      <w:start w:val="1"/>
      <w:numFmt w:val="lowerRoman"/>
      <w:lvlText w:val="%6."/>
      <w:lvlJc w:val="right"/>
      <w:pPr>
        <w:ind w:left="4320" w:hanging="180"/>
      </w:pPr>
    </w:lvl>
    <w:lvl w:ilvl="6" w:tplc="ACB42AEC">
      <w:start w:val="1"/>
      <w:numFmt w:val="decimal"/>
      <w:lvlText w:val="%7."/>
      <w:lvlJc w:val="left"/>
      <w:pPr>
        <w:ind w:left="5040" w:hanging="360"/>
      </w:pPr>
    </w:lvl>
    <w:lvl w:ilvl="7" w:tplc="00261DB6">
      <w:start w:val="1"/>
      <w:numFmt w:val="lowerLetter"/>
      <w:lvlText w:val="%8."/>
      <w:lvlJc w:val="left"/>
      <w:pPr>
        <w:ind w:left="5760" w:hanging="360"/>
      </w:pPr>
    </w:lvl>
    <w:lvl w:ilvl="8" w:tplc="4194402E">
      <w:start w:val="1"/>
      <w:numFmt w:val="lowerRoman"/>
      <w:lvlText w:val="%9."/>
      <w:lvlJc w:val="right"/>
      <w:pPr>
        <w:ind w:left="6480" w:hanging="180"/>
      </w:pPr>
    </w:lvl>
  </w:abstractNum>
  <w:abstractNum w:abstractNumId="58" w15:restartNumberingAfterBreak="0">
    <w:nsid w:val="4BE97960"/>
    <w:multiLevelType w:val="hybridMultilevel"/>
    <w:tmpl w:val="6D724774"/>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59" w15:restartNumberingAfterBreak="0">
    <w:nsid w:val="4C247310"/>
    <w:multiLevelType w:val="hybridMultilevel"/>
    <w:tmpl w:val="FFFFFFFF"/>
    <w:lvl w:ilvl="0" w:tplc="471EB2AA">
      <w:start w:val="1"/>
      <w:numFmt w:val="decimal"/>
      <w:lvlText w:val="%1."/>
      <w:lvlJc w:val="left"/>
      <w:pPr>
        <w:ind w:left="720" w:hanging="360"/>
      </w:pPr>
    </w:lvl>
    <w:lvl w:ilvl="1" w:tplc="C5E6A66E">
      <w:start w:val="1"/>
      <w:numFmt w:val="lowerLetter"/>
      <w:lvlText w:val="%2."/>
      <w:lvlJc w:val="left"/>
      <w:pPr>
        <w:ind w:left="1440" w:hanging="360"/>
      </w:pPr>
    </w:lvl>
    <w:lvl w:ilvl="2" w:tplc="68B6866A">
      <w:start w:val="1"/>
      <w:numFmt w:val="lowerRoman"/>
      <w:lvlText w:val="%3."/>
      <w:lvlJc w:val="right"/>
      <w:pPr>
        <w:ind w:left="2160" w:hanging="180"/>
      </w:pPr>
    </w:lvl>
    <w:lvl w:ilvl="3" w:tplc="1682BF38">
      <w:start w:val="1"/>
      <w:numFmt w:val="decimal"/>
      <w:lvlText w:val="%4."/>
      <w:lvlJc w:val="left"/>
      <w:pPr>
        <w:ind w:left="2880" w:hanging="360"/>
      </w:pPr>
    </w:lvl>
    <w:lvl w:ilvl="4" w:tplc="40AA36EA">
      <w:start w:val="1"/>
      <w:numFmt w:val="lowerLetter"/>
      <w:lvlText w:val="%5."/>
      <w:lvlJc w:val="left"/>
      <w:pPr>
        <w:ind w:left="3600" w:hanging="360"/>
      </w:pPr>
    </w:lvl>
    <w:lvl w:ilvl="5" w:tplc="18F26D08">
      <w:start w:val="1"/>
      <w:numFmt w:val="lowerRoman"/>
      <w:lvlText w:val="%6."/>
      <w:lvlJc w:val="right"/>
      <w:pPr>
        <w:ind w:left="4320" w:hanging="180"/>
      </w:pPr>
    </w:lvl>
    <w:lvl w:ilvl="6" w:tplc="5CA20810">
      <w:start w:val="1"/>
      <w:numFmt w:val="decimal"/>
      <w:lvlText w:val="%7."/>
      <w:lvlJc w:val="left"/>
      <w:pPr>
        <w:ind w:left="5040" w:hanging="360"/>
      </w:pPr>
    </w:lvl>
    <w:lvl w:ilvl="7" w:tplc="D0087E46">
      <w:start w:val="1"/>
      <w:numFmt w:val="lowerLetter"/>
      <w:lvlText w:val="%8."/>
      <w:lvlJc w:val="left"/>
      <w:pPr>
        <w:ind w:left="5760" w:hanging="360"/>
      </w:pPr>
    </w:lvl>
    <w:lvl w:ilvl="8" w:tplc="A8E8508E">
      <w:start w:val="1"/>
      <w:numFmt w:val="lowerRoman"/>
      <w:lvlText w:val="%9."/>
      <w:lvlJc w:val="right"/>
      <w:pPr>
        <w:ind w:left="6480" w:hanging="180"/>
      </w:pPr>
    </w:lvl>
  </w:abstractNum>
  <w:abstractNum w:abstractNumId="60" w15:restartNumberingAfterBreak="0">
    <w:nsid w:val="4DE4AF62"/>
    <w:multiLevelType w:val="hybridMultilevel"/>
    <w:tmpl w:val="FFFFFFFF"/>
    <w:lvl w:ilvl="0" w:tplc="B81CB8E0">
      <w:start w:val="1"/>
      <w:numFmt w:val="upperRoman"/>
      <w:lvlText w:val="%1."/>
      <w:lvlJc w:val="left"/>
      <w:pPr>
        <w:ind w:left="720" w:hanging="360"/>
      </w:pPr>
    </w:lvl>
    <w:lvl w:ilvl="1" w:tplc="0444DD2A">
      <w:start w:val="1"/>
      <w:numFmt w:val="lowerLetter"/>
      <w:lvlText w:val="%2."/>
      <w:lvlJc w:val="left"/>
      <w:pPr>
        <w:ind w:left="1440" w:hanging="360"/>
      </w:pPr>
    </w:lvl>
    <w:lvl w:ilvl="2" w:tplc="3CFCE500">
      <w:start w:val="1"/>
      <w:numFmt w:val="lowerRoman"/>
      <w:lvlText w:val="%3."/>
      <w:lvlJc w:val="right"/>
      <w:pPr>
        <w:ind w:left="2160" w:hanging="180"/>
      </w:pPr>
    </w:lvl>
    <w:lvl w:ilvl="3" w:tplc="AF8655CC">
      <w:start w:val="1"/>
      <w:numFmt w:val="decimal"/>
      <w:lvlText w:val="%4."/>
      <w:lvlJc w:val="left"/>
      <w:pPr>
        <w:ind w:left="2880" w:hanging="360"/>
      </w:pPr>
    </w:lvl>
    <w:lvl w:ilvl="4" w:tplc="D452EF84">
      <w:start w:val="1"/>
      <w:numFmt w:val="lowerLetter"/>
      <w:lvlText w:val="%5."/>
      <w:lvlJc w:val="left"/>
      <w:pPr>
        <w:ind w:left="3600" w:hanging="360"/>
      </w:pPr>
    </w:lvl>
    <w:lvl w:ilvl="5" w:tplc="32D68CD2">
      <w:start w:val="1"/>
      <w:numFmt w:val="lowerRoman"/>
      <w:lvlText w:val="%6."/>
      <w:lvlJc w:val="right"/>
      <w:pPr>
        <w:ind w:left="4320" w:hanging="180"/>
      </w:pPr>
    </w:lvl>
    <w:lvl w:ilvl="6" w:tplc="EFECD75E">
      <w:start w:val="1"/>
      <w:numFmt w:val="decimal"/>
      <w:lvlText w:val="%7."/>
      <w:lvlJc w:val="left"/>
      <w:pPr>
        <w:ind w:left="5040" w:hanging="360"/>
      </w:pPr>
    </w:lvl>
    <w:lvl w:ilvl="7" w:tplc="E774E290">
      <w:start w:val="1"/>
      <w:numFmt w:val="lowerLetter"/>
      <w:lvlText w:val="%8."/>
      <w:lvlJc w:val="left"/>
      <w:pPr>
        <w:ind w:left="5760" w:hanging="360"/>
      </w:pPr>
    </w:lvl>
    <w:lvl w:ilvl="8" w:tplc="3B8A7C3A">
      <w:start w:val="1"/>
      <w:numFmt w:val="lowerRoman"/>
      <w:lvlText w:val="%9."/>
      <w:lvlJc w:val="right"/>
      <w:pPr>
        <w:ind w:left="6480" w:hanging="180"/>
      </w:pPr>
    </w:lvl>
  </w:abstractNum>
  <w:abstractNum w:abstractNumId="61" w15:restartNumberingAfterBreak="0">
    <w:nsid w:val="5234547A"/>
    <w:multiLevelType w:val="multilevel"/>
    <w:tmpl w:val="3014E3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692930"/>
    <w:multiLevelType w:val="hybridMultilevel"/>
    <w:tmpl w:val="2C563876"/>
    <w:lvl w:ilvl="0" w:tplc="F4AADCAE">
      <w:start w:val="1"/>
      <w:numFmt w:val="decimal"/>
      <w:lvlText w:val="G%1G"/>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53D557E7"/>
    <w:multiLevelType w:val="multilevel"/>
    <w:tmpl w:val="F8C08A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DE2701"/>
    <w:multiLevelType w:val="multilevel"/>
    <w:tmpl w:val="22B4A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A04EC1"/>
    <w:multiLevelType w:val="multilevel"/>
    <w:tmpl w:val="2EE6A8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236F01"/>
    <w:multiLevelType w:val="multilevel"/>
    <w:tmpl w:val="9658367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9277CE8"/>
    <w:multiLevelType w:val="hybridMultilevel"/>
    <w:tmpl w:val="1F160E50"/>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5A038084"/>
    <w:multiLevelType w:val="hybridMultilevel"/>
    <w:tmpl w:val="FFFFFFFF"/>
    <w:lvl w:ilvl="0" w:tplc="060EBDCE">
      <w:start w:val="1"/>
      <w:numFmt w:val="decimal"/>
      <w:lvlText w:val="%1."/>
      <w:lvlJc w:val="left"/>
      <w:pPr>
        <w:ind w:left="720" w:hanging="360"/>
      </w:pPr>
    </w:lvl>
    <w:lvl w:ilvl="1" w:tplc="433823E0">
      <w:start w:val="2"/>
      <w:numFmt w:val="lowerLetter"/>
      <w:lvlText w:val="%2."/>
      <w:lvlJc w:val="left"/>
      <w:pPr>
        <w:ind w:left="1440" w:hanging="360"/>
      </w:pPr>
    </w:lvl>
    <w:lvl w:ilvl="2" w:tplc="A2028DD4">
      <w:start w:val="1"/>
      <w:numFmt w:val="lowerRoman"/>
      <w:lvlText w:val="%3."/>
      <w:lvlJc w:val="right"/>
      <w:pPr>
        <w:ind w:left="2160" w:hanging="180"/>
      </w:pPr>
    </w:lvl>
    <w:lvl w:ilvl="3" w:tplc="7BC018D8">
      <w:start w:val="1"/>
      <w:numFmt w:val="decimal"/>
      <w:lvlText w:val="%4."/>
      <w:lvlJc w:val="left"/>
      <w:pPr>
        <w:ind w:left="2880" w:hanging="360"/>
      </w:pPr>
    </w:lvl>
    <w:lvl w:ilvl="4" w:tplc="71F67584">
      <w:start w:val="1"/>
      <w:numFmt w:val="lowerLetter"/>
      <w:lvlText w:val="%5."/>
      <w:lvlJc w:val="left"/>
      <w:pPr>
        <w:ind w:left="3600" w:hanging="360"/>
      </w:pPr>
    </w:lvl>
    <w:lvl w:ilvl="5" w:tplc="BF3032E0">
      <w:start w:val="1"/>
      <w:numFmt w:val="lowerRoman"/>
      <w:lvlText w:val="%6."/>
      <w:lvlJc w:val="right"/>
      <w:pPr>
        <w:ind w:left="4320" w:hanging="180"/>
      </w:pPr>
    </w:lvl>
    <w:lvl w:ilvl="6" w:tplc="4392CC02">
      <w:start w:val="1"/>
      <w:numFmt w:val="decimal"/>
      <w:lvlText w:val="%7."/>
      <w:lvlJc w:val="left"/>
      <w:pPr>
        <w:ind w:left="5040" w:hanging="360"/>
      </w:pPr>
    </w:lvl>
    <w:lvl w:ilvl="7" w:tplc="EAF65DB0">
      <w:start w:val="1"/>
      <w:numFmt w:val="lowerLetter"/>
      <w:lvlText w:val="%8."/>
      <w:lvlJc w:val="left"/>
      <w:pPr>
        <w:ind w:left="5760" w:hanging="360"/>
      </w:pPr>
    </w:lvl>
    <w:lvl w:ilvl="8" w:tplc="B852AE84">
      <w:start w:val="1"/>
      <w:numFmt w:val="lowerRoman"/>
      <w:lvlText w:val="%9."/>
      <w:lvlJc w:val="right"/>
      <w:pPr>
        <w:ind w:left="6480" w:hanging="180"/>
      </w:pPr>
    </w:lvl>
  </w:abstractNum>
  <w:abstractNum w:abstractNumId="69" w15:restartNumberingAfterBreak="0">
    <w:nsid w:val="5A3A94B9"/>
    <w:multiLevelType w:val="hybridMultilevel"/>
    <w:tmpl w:val="FFFFFFFF"/>
    <w:lvl w:ilvl="0" w:tplc="038EA86A">
      <w:start w:val="1"/>
      <w:numFmt w:val="decimal"/>
      <w:lvlText w:val="%1."/>
      <w:lvlJc w:val="left"/>
      <w:pPr>
        <w:ind w:left="720" w:hanging="360"/>
      </w:pPr>
    </w:lvl>
    <w:lvl w:ilvl="1" w:tplc="70C4A8C2">
      <w:start w:val="1"/>
      <w:numFmt w:val="lowerLetter"/>
      <w:lvlText w:val="%2."/>
      <w:lvlJc w:val="left"/>
      <w:pPr>
        <w:ind w:left="1440" w:hanging="360"/>
      </w:pPr>
    </w:lvl>
    <w:lvl w:ilvl="2" w:tplc="C3EA7256">
      <w:start w:val="1"/>
      <w:numFmt w:val="lowerRoman"/>
      <w:lvlText w:val="%3."/>
      <w:lvlJc w:val="right"/>
      <w:pPr>
        <w:ind w:left="2160" w:hanging="180"/>
      </w:pPr>
    </w:lvl>
    <w:lvl w:ilvl="3" w:tplc="A7B8EDD8">
      <w:start w:val="1"/>
      <w:numFmt w:val="decimal"/>
      <w:lvlText w:val="%4."/>
      <w:lvlJc w:val="left"/>
      <w:pPr>
        <w:ind w:left="2880" w:hanging="360"/>
      </w:pPr>
    </w:lvl>
    <w:lvl w:ilvl="4" w:tplc="FB28E32C">
      <w:start w:val="1"/>
      <w:numFmt w:val="lowerLetter"/>
      <w:lvlText w:val="%5."/>
      <w:lvlJc w:val="left"/>
      <w:pPr>
        <w:ind w:left="3600" w:hanging="360"/>
      </w:pPr>
    </w:lvl>
    <w:lvl w:ilvl="5" w:tplc="928ED428">
      <w:start w:val="1"/>
      <w:numFmt w:val="lowerRoman"/>
      <w:lvlText w:val="%6."/>
      <w:lvlJc w:val="right"/>
      <w:pPr>
        <w:ind w:left="4320" w:hanging="180"/>
      </w:pPr>
    </w:lvl>
    <w:lvl w:ilvl="6" w:tplc="A5D2F4E0">
      <w:start w:val="1"/>
      <w:numFmt w:val="decimal"/>
      <w:lvlText w:val="%7."/>
      <w:lvlJc w:val="left"/>
      <w:pPr>
        <w:ind w:left="5040" w:hanging="360"/>
      </w:pPr>
    </w:lvl>
    <w:lvl w:ilvl="7" w:tplc="F5E28142">
      <w:start w:val="1"/>
      <w:numFmt w:val="lowerLetter"/>
      <w:lvlText w:val="%8."/>
      <w:lvlJc w:val="left"/>
      <w:pPr>
        <w:ind w:left="5760" w:hanging="360"/>
      </w:pPr>
    </w:lvl>
    <w:lvl w:ilvl="8" w:tplc="364C5A36">
      <w:start w:val="1"/>
      <w:numFmt w:val="lowerRoman"/>
      <w:lvlText w:val="%9."/>
      <w:lvlJc w:val="right"/>
      <w:pPr>
        <w:ind w:left="6480" w:hanging="180"/>
      </w:pPr>
    </w:lvl>
  </w:abstractNum>
  <w:abstractNum w:abstractNumId="70" w15:restartNumberingAfterBreak="0">
    <w:nsid w:val="5D9D0A35"/>
    <w:multiLevelType w:val="hybridMultilevel"/>
    <w:tmpl w:val="990A9E9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1" w15:restartNumberingAfterBreak="0">
    <w:nsid w:val="5FBC7E41"/>
    <w:multiLevelType w:val="multilevel"/>
    <w:tmpl w:val="862A6096"/>
    <w:lvl w:ilvl="0">
      <w:start w:val="2"/>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094D788"/>
    <w:multiLevelType w:val="hybridMultilevel"/>
    <w:tmpl w:val="FFFFFFFF"/>
    <w:lvl w:ilvl="0" w:tplc="1E60B92A">
      <w:numFmt w:val="none"/>
      <w:lvlText w:val=""/>
      <w:lvlJc w:val="left"/>
      <w:pPr>
        <w:tabs>
          <w:tab w:val="num" w:pos="360"/>
        </w:tabs>
      </w:pPr>
    </w:lvl>
    <w:lvl w:ilvl="1" w:tplc="F9361AA0">
      <w:start w:val="1"/>
      <w:numFmt w:val="lowerLetter"/>
      <w:lvlText w:val="%2."/>
      <w:lvlJc w:val="left"/>
      <w:pPr>
        <w:ind w:left="1440" w:hanging="360"/>
      </w:pPr>
    </w:lvl>
    <w:lvl w:ilvl="2" w:tplc="AF249B5C">
      <w:start w:val="1"/>
      <w:numFmt w:val="lowerRoman"/>
      <w:lvlText w:val="%3."/>
      <w:lvlJc w:val="right"/>
      <w:pPr>
        <w:ind w:left="2160" w:hanging="180"/>
      </w:pPr>
    </w:lvl>
    <w:lvl w:ilvl="3" w:tplc="C83AEC6A">
      <w:start w:val="1"/>
      <w:numFmt w:val="decimal"/>
      <w:lvlText w:val="%4."/>
      <w:lvlJc w:val="left"/>
      <w:pPr>
        <w:ind w:left="2880" w:hanging="360"/>
      </w:pPr>
    </w:lvl>
    <w:lvl w:ilvl="4" w:tplc="317496BC">
      <w:start w:val="1"/>
      <w:numFmt w:val="lowerLetter"/>
      <w:lvlText w:val="%5."/>
      <w:lvlJc w:val="left"/>
      <w:pPr>
        <w:ind w:left="3600" w:hanging="360"/>
      </w:pPr>
    </w:lvl>
    <w:lvl w:ilvl="5" w:tplc="1B9460FC">
      <w:start w:val="1"/>
      <w:numFmt w:val="lowerRoman"/>
      <w:lvlText w:val="%6."/>
      <w:lvlJc w:val="right"/>
      <w:pPr>
        <w:ind w:left="4320" w:hanging="180"/>
      </w:pPr>
    </w:lvl>
    <w:lvl w:ilvl="6" w:tplc="3C4A6CDE">
      <w:start w:val="1"/>
      <w:numFmt w:val="decimal"/>
      <w:lvlText w:val="%7."/>
      <w:lvlJc w:val="left"/>
      <w:pPr>
        <w:ind w:left="5040" w:hanging="360"/>
      </w:pPr>
    </w:lvl>
    <w:lvl w:ilvl="7" w:tplc="1194BBAA">
      <w:start w:val="1"/>
      <w:numFmt w:val="lowerLetter"/>
      <w:lvlText w:val="%8."/>
      <w:lvlJc w:val="left"/>
      <w:pPr>
        <w:ind w:left="5760" w:hanging="360"/>
      </w:pPr>
    </w:lvl>
    <w:lvl w:ilvl="8" w:tplc="E056BD6E">
      <w:start w:val="1"/>
      <w:numFmt w:val="lowerRoman"/>
      <w:lvlText w:val="%9."/>
      <w:lvlJc w:val="right"/>
      <w:pPr>
        <w:ind w:left="6480" w:hanging="180"/>
      </w:pPr>
    </w:lvl>
  </w:abstractNum>
  <w:abstractNum w:abstractNumId="73" w15:restartNumberingAfterBreak="0">
    <w:nsid w:val="613AE64B"/>
    <w:multiLevelType w:val="hybridMultilevel"/>
    <w:tmpl w:val="FFFFFFFF"/>
    <w:lvl w:ilvl="0" w:tplc="9F201686">
      <w:start w:val="1"/>
      <w:numFmt w:val="decimal"/>
      <w:lvlText w:val="%1."/>
      <w:lvlJc w:val="left"/>
      <w:pPr>
        <w:ind w:left="720" w:hanging="360"/>
      </w:pPr>
    </w:lvl>
    <w:lvl w:ilvl="1" w:tplc="694AD870">
      <w:start w:val="3"/>
      <w:numFmt w:val="lowerLetter"/>
      <w:lvlText w:val="%2."/>
      <w:lvlJc w:val="left"/>
      <w:pPr>
        <w:ind w:left="1440" w:hanging="360"/>
      </w:pPr>
    </w:lvl>
    <w:lvl w:ilvl="2" w:tplc="D2325C8C">
      <w:start w:val="1"/>
      <w:numFmt w:val="lowerRoman"/>
      <w:lvlText w:val="%3."/>
      <w:lvlJc w:val="right"/>
      <w:pPr>
        <w:ind w:left="2160" w:hanging="180"/>
      </w:pPr>
    </w:lvl>
    <w:lvl w:ilvl="3" w:tplc="DDEEB6B2">
      <w:start w:val="1"/>
      <w:numFmt w:val="decimal"/>
      <w:lvlText w:val="%4."/>
      <w:lvlJc w:val="left"/>
      <w:pPr>
        <w:ind w:left="2880" w:hanging="360"/>
      </w:pPr>
    </w:lvl>
    <w:lvl w:ilvl="4" w:tplc="82187042">
      <w:start w:val="1"/>
      <w:numFmt w:val="lowerLetter"/>
      <w:lvlText w:val="%5."/>
      <w:lvlJc w:val="left"/>
      <w:pPr>
        <w:ind w:left="3600" w:hanging="360"/>
      </w:pPr>
    </w:lvl>
    <w:lvl w:ilvl="5" w:tplc="3634E24E">
      <w:start w:val="1"/>
      <w:numFmt w:val="lowerRoman"/>
      <w:lvlText w:val="%6."/>
      <w:lvlJc w:val="right"/>
      <w:pPr>
        <w:ind w:left="4320" w:hanging="180"/>
      </w:pPr>
    </w:lvl>
    <w:lvl w:ilvl="6" w:tplc="65F6002E">
      <w:start w:val="1"/>
      <w:numFmt w:val="decimal"/>
      <w:lvlText w:val="%7."/>
      <w:lvlJc w:val="left"/>
      <w:pPr>
        <w:ind w:left="5040" w:hanging="360"/>
      </w:pPr>
    </w:lvl>
    <w:lvl w:ilvl="7" w:tplc="5156C7DC">
      <w:start w:val="1"/>
      <w:numFmt w:val="lowerLetter"/>
      <w:lvlText w:val="%8."/>
      <w:lvlJc w:val="left"/>
      <w:pPr>
        <w:ind w:left="5760" w:hanging="360"/>
      </w:pPr>
    </w:lvl>
    <w:lvl w:ilvl="8" w:tplc="DC30B28E">
      <w:start w:val="1"/>
      <w:numFmt w:val="lowerRoman"/>
      <w:lvlText w:val="%9."/>
      <w:lvlJc w:val="right"/>
      <w:pPr>
        <w:ind w:left="6480" w:hanging="180"/>
      </w:pPr>
    </w:lvl>
  </w:abstractNum>
  <w:abstractNum w:abstractNumId="74" w15:restartNumberingAfterBreak="0">
    <w:nsid w:val="61BB42CC"/>
    <w:multiLevelType w:val="hybridMultilevel"/>
    <w:tmpl w:val="FFFFFFFF"/>
    <w:lvl w:ilvl="0" w:tplc="DFB81404">
      <w:start w:val="4"/>
      <w:numFmt w:val="decimal"/>
      <w:lvlText w:val="%1."/>
      <w:lvlJc w:val="left"/>
      <w:pPr>
        <w:ind w:left="720" w:hanging="360"/>
      </w:pPr>
    </w:lvl>
    <w:lvl w:ilvl="1" w:tplc="24342C82">
      <w:start w:val="1"/>
      <w:numFmt w:val="lowerLetter"/>
      <w:lvlText w:val="%2."/>
      <w:lvlJc w:val="left"/>
      <w:pPr>
        <w:ind w:left="1440" w:hanging="360"/>
      </w:pPr>
    </w:lvl>
    <w:lvl w:ilvl="2" w:tplc="D2BE77B8">
      <w:start w:val="1"/>
      <w:numFmt w:val="lowerRoman"/>
      <w:lvlText w:val="%3."/>
      <w:lvlJc w:val="right"/>
      <w:pPr>
        <w:ind w:left="2160" w:hanging="180"/>
      </w:pPr>
    </w:lvl>
    <w:lvl w:ilvl="3" w:tplc="61CC6CA8">
      <w:start w:val="1"/>
      <w:numFmt w:val="decimal"/>
      <w:lvlText w:val="%4."/>
      <w:lvlJc w:val="left"/>
      <w:pPr>
        <w:ind w:left="2880" w:hanging="360"/>
      </w:pPr>
    </w:lvl>
    <w:lvl w:ilvl="4" w:tplc="E47ADA80">
      <w:start w:val="1"/>
      <w:numFmt w:val="lowerLetter"/>
      <w:lvlText w:val="%5."/>
      <w:lvlJc w:val="left"/>
      <w:pPr>
        <w:ind w:left="3600" w:hanging="360"/>
      </w:pPr>
    </w:lvl>
    <w:lvl w:ilvl="5" w:tplc="FF7CCD6C">
      <w:start w:val="1"/>
      <w:numFmt w:val="lowerRoman"/>
      <w:lvlText w:val="%6."/>
      <w:lvlJc w:val="right"/>
      <w:pPr>
        <w:ind w:left="4320" w:hanging="180"/>
      </w:pPr>
    </w:lvl>
    <w:lvl w:ilvl="6" w:tplc="5016BB9E">
      <w:start w:val="1"/>
      <w:numFmt w:val="decimal"/>
      <w:lvlText w:val="%7."/>
      <w:lvlJc w:val="left"/>
      <w:pPr>
        <w:ind w:left="5040" w:hanging="360"/>
      </w:pPr>
    </w:lvl>
    <w:lvl w:ilvl="7" w:tplc="53E87A7E">
      <w:start w:val="1"/>
      <w:numFmt w:val="lowerLetter"/>
      <w:lvlText w:val="%8."/>
      <w:lvlJc w:val="left"/>
      <w:pPr>
        <w:ind w:left="5760" w:hanging="360"/>
      </w:pPr>
    </w:lvl>
    <w:lvl w:ilvl="8" w:tplc="DAC8C04A">
      <w:start w:val="1"/>
      <w:numFmt w:val="lowerRoman"/>
      <w:lvlText w:val="%9."/>
      <w:lvlJc w:val="right"/>
      <w:pPr>
        <w:ind w:left="6480" w:hanging="180"/>
      </w:pPr>
    </w:lvl>
  </w:abstractNum>
  <w:abstractNum w:abstractNumId="75" w15:restartNumberingAfterBreak="0">
    <w:nsid w:val="63016EA5"/>
    <w:multiLevelType w:val="multilevel"/>
    <w:tmpl w:val="05B438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35C4DAB"/>
    <w:multiLevelType w:val="hybridMultilevel"/>
    <w:tmpl w:val="FFFFFFFF"/>
    <w:lvl w:ilvl="0" w:tplc="06EAB0D6">
      <w:start w:val="1"/>
      <w:numFmt w:val="decimal"/>
      <w:lvlText w:val="%1."/>
      <w:lvlJc w:val="left"/>
      <w:pPr>
        <w:ind w:left="720" w:hanging="360"/>
      </w:pPr>
    </w:lvl>
    <w:lvl w:ilvl="1" w:tplc="9BCA3460">
      <w:start w:val="4"/>
      <w:numFmt w:val="lowerLetter"/>
      <w:lvlText w:val="%2."/>
      <w:lvlJc w:val="left"/>
      <w:pPr>
        <w:ind w:left="1440" w:hanging="360"/>
      </w:pPr>
    </w:lvl>
    <w:lvl w:ilvl="2" w:tplc="9F527892">
      <w:start w:val="1"/>
      <w:numFmt w:val="lowerRoman"/>
      <w:lvlText w:val="%3."/>
      <w:lvlJc w:val="right"/>
      <w:pPr>
        <w:ind w:left="2160" w:hanging="180"/>
      </w:pPr>
    </w:lvl>
    <w:lvl w:ilvl="3" w:tplc="D9B4583A">
      <w:start w:val="1"/>
      <w:numFmt w:val="decimal"/>
      <w:lvlText w:val="%4."/>
      <w:lvlJc w:val="left"/>
      <w:pPr>
        <w:ind w:left="2880" w:hanging="360"/>
      </w:pPr>
    </w:lvl>
    <w:lvl w:ilvl="4" w:tplc="22D0D854">
      <w:start w:val="1"/>
      <w:numFmt w:val="lowerLetter"/>
      <w:lvlText w:val="%5."/>
      <w:lvlJc w:val="left"/>
      <w:pPr>
        <w:ind w:left="3600" w:hanging="360"/>
      </w:pPr>
    </w:lvl>
    <w:lvl w:ilvl="5" w:tplc="A86252B6">
      <w:start w:val="1"/>
      <w:numFmt w:val="lowerRoman"/>
      <w:lvlText w:val="%6."/>
      <w:lvlJc w:val="right"/>
      <w:pPr>
        <w:ind w:left="4320" w:hanging="180"/>
      </w:pPr>
    </w:lvl>
    <w:lvl w:ilvl="6" w:tplc="9CF4E734">
      <w:start w:val="1"/>
      <w:numFmt w:val="decimal"/>
      <w:lvlText w:val="%7."/>
      <w:lvlJc w:val="left"/>
      <w:pPr>
        <w:ind w:left="5040" w:hanging="360"/>
      </w:pPr>
    </w:lvl>
    <w:lvl w:ilvl="7" w:tplc="7B4A46F2">
      <w:start w:val="1"/>
      <w:numFmt w:val="lowerLetter"/>
      <w:lvlText w:val="%8."/>
      <w:lvlJc w:val="left"/>
      <w:pPr>
        <w:ind w:left="5760" w:hanging="360"/>
      </w:pPr>
    </w:lvl>
    <w:lvl w:ilvl="8" w:tplc="0290B1B8">
      <w:start w:val="1"/>
      <w:numFmt w:val="lowerRoman"/>
      <w:lvlText w:val="%9."/>
      <w:lvlJc w:val="right"/>
      <w:pPr>
        <w:ind w:left="6480" w:hanging="180"/>
      </w:pPr>
    </w:lvl>
  </w:abstractNum>
  <w:abstractNum w:abstractNumId="77" w15:restartNumberingAfterBreak="0">
    <w:nsid w:val="648B1F44"/>
    <w:multiLevelType w:val="hybridMultilevel"/>
    <w:tmpl w:val="FFFFFFFF"/>
    <w:lvl w:ilvl="0" w:tplc="3D1A6E02">
      <w:start w:val="1"/>
      <w:numFmt w:val="decimal"/>
      <w:lvlText w:val="%1."/>
      <w:lvlJc w:val="left"/>
      <w:pPr>
        <w:ind w:left="720" w:hanging="360"/>
      </w:pPr>
    </w:lvl>
    <w:lvl w:ilvl="1" w:tplc="9CEC91D2">
      <w:start w:val="1"/>
      <w:numFmt w:val="lowerLetter"/>
      <w:lvlText w:val="%2."/>
      <w:lvlJc w:val="left"/>
      <w:pPr>
        <w:ind w:left="1440" w:hanging="360"/>
      </w:pPr>
    </w:lvl>
    <w:lvl w:ilvl="2" w:tplc="A1FA8E0A">
      <w:start w:val="1"/>
      <w:numFmt w:val="lowerRoman"/>
      <w:lvlText w:val="%3."/>
      <w:lvlJc w:val="right"/>
      <w:pPr>
        <w:ind w:left="2160" w:hanging="180"/>
      </w:pPr>
    </w:lvl>
    <w:lvl w:ilvl="3" w:tplc="97E819FE">
      <w:start w:val="1"/>
      <w:numFmt w:val="decimal"/>
      <w:lvlText w:val="%4."/>
      <w:lvlJc w:val="left"/>
      <w:pPr>
        <w:ind w:left="2880" w:hanging="360"/>
      </w:pPr>
    </w:lvl>
    <w:lvl w:ilvl="4" w:tplc="776253DC">
      <w:start w:val="1"/>
      <w:numFmt w:val="lowerLetter"/>
      <w:lvlText w:val="%5."/>
      <w:lvlJc w:val="left"/>
      <w:pPr>
        <w:ind w:left="3600" w:hanging="360"/>
      </w:pPr>
    </w:lvl>
    <w:lvl w:ilvl="5" w:tplc="B65C5598">
      <w:start w:val="1"/>
      <w:numFmt w:val="lowerRoman"/>
      <w:lvlText w:val="%6."/>
      <w:lvlJc w:val="right"/>
      <w:pPr>
        <w:ind w:left="4320" w:hanging="180"/>
      </w:pPr>
    </w:lvl>
    <w:lvl w:ilvl="6" w:tplc="FEFCA232">
      <w:start w:val="1"/>
      <w:numFmt w:val="decimal"/>
      <w:lvlText w:val="%7."/>
      <w:lvlJc w:val="left"/>
      <w:pPr>
        <w:ind w:left="5040" w:hanging="360"/>
      </w:pPr>
    </w:lvl>
    <w:lvl w:ilvl="7" w:tplc="DBB447EC">
      <w:start w:val="1"/>
      <w:numFmt w:val="lowerLetter"/>
      <w:lvlText w:val="%8."/>
      <w:lvlJc w:val="left"/>
      <w:pPr>
        <w:ind w:left="5760" w:hanging="360"/>
      </w:pPr>
    </w:lvl>
    <w:lvl w:ilvl="8" w:tplc="A82644B8">
      <w:start w:val="1"/>
      <w:numFmt w:val="lowerRoman"/>
      <w:lvlText w:val="%9."/>
      <w:lvlJc w:val="right"/>
      <w:pPr>
        <w:ind w:left="6480" w:hanging="180"/>
      </w:pPr>
    </w:lvl>
  </w:abstractNum>
  <w:abstractNum w:abstractNumId="78" w15:restartNumberingAfterBreak="0">
    <w:nsid w:val="67BF717E"/>
    <w:multiLevelType w:val="multilevel"/>
    <w:tmpl w:val="B4C2FF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88577CF"/>
    <w:multiLevelType w:val="hybridMultilevel"/>
    <w:tmpl w:val="F3A48936"/>
    <w:lvl w:ilvl="0" w:tplc="18090017">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68A24B5C"/>
    <w:multiLevelType w:val="hybridMultilevel"/>
    <w:tmpl w:val="26109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6AD210A6"/>
    <w:multiLevelType w:val="hybridMultilevel"/>
    <w:tmpl w:val="FFFFFFFF"/>
    <w:lvl w:ilvl="0" w:tplc="33EEBFFA">
      <w:start w:val="1"/>
      <w:numFmt w:val="decimal"/>
      <w:lvlText w:val="%1."/>
      <w:lvlJc w:val="left"/>
      <w:pPr>
        <w:ind w:left="720" w:hanging="360"/>
      </w:pPr>
    </w:lvl>
    <w:lvl w:ilvl="1" w:tplc="5D96A200">
      <w:start w:val="1"/>
      <w:numFmt w:val="lowerLetter"/>
      <w:lvlText w:val="%2."/>
      <w:lvlJc w:val="left"/>
      <w:pPr>
        <w:ind w:left="1440" w:hanging="360"/>
      </w:pPr>
    </w:lvl>
    <w:lvl w:ilvl="2" w:tplc="59B4B33C">
      <w:start w:val="1"/>
      <w:numFmt w:val="lowerRoman"/>
      <w:lvlText w:val="%3."/>
      <w:lvlJc w:val="right"/>
      <w:pPr>
        <w:ind w:left="2160" w:hanging="180"/>
      </w:pPr>
    </w:lvl>
    <w:lvl w:ilvl="3" w:tplc="8E16808A">
      <w:start w:val="1"/>
      <w:numFmt w:val="decimal"/>
      <w:lvlText w:val="%4."/>
      <w:lvlJc w:val="left"/>
      <w:pPr>
        <w:ind w:left="2880" w:hanging="360"/>
      </w:pPr>
    </w:lvl>
    <w:lvl w:ilvl="4" w:tplc="9D02FF38">
      <w:start w:val="1"/>
      <w:numFmt w:val="lowerLetter"/>
      <w:lvlText w:val="%5."/>
      <w:lvlJc w:val="left"/>
      <w:pPr>
        <w:ind w:left="3600" w:hanging="360"/>
      </w:pPr>
    </w:lvl>
    <w:lvl w:ilvl="5" w:tplc="CA245CD8">
      <w:start w:val="1"/>
      <w:numFmt w:val="lowerRoman"/>
      <w:lvlText w:val="%6."/>
      <w:lvlJc w:val="right"/>
      <w:pPr>
        <w:ind w:left="4320" w:hanging="180"/>
      </w:pPr>
    </w:lvl>
    <w:lvl w:ilvl="6" w:tplc="1E32CAE0">
      <w:start w:val="1"/>
      <w:numFmt w:val="decimal"/>
      <w:lvlText w:val="%7."/>
      <w:lvlJc w:val="left"/>
      <w:pPr>
        <w:ind w:left="5040" w:hanging="360"/>
      </w:pPr>
    </w:lvl>
    <w:lvl w:ilvl="7" w:tplc="A998A298">
      <w:start w:val="1"/>
      <w:numFmt w:val="lowerLetter"/>
      <w:lvlText w:val="%8."/>
      <w:lvlJc w:val="left"/>
      <w:pPr>
        <w:ind w:left="5760" w:hanging="360"/>
      </w:pPr>
    </w:lvl>
    <w:lvl w:ilvl="8" w:tplc="4628BDF2">
      <w:start w:val="1"/>
      <w:numFmt w:val="lowerRoman"/>
      <w:lvlText w:val="%9."/>
      <w:lvlJc w:val="right"/>
      <w:pPr>
        <w:ind w:left="6480" w:hanging="180"/>
      </w:pPr>
    </w:lvl>
  </w:abstractNum>
  <w:abstractNum w:abstractNumId="82" w15:restartNumberingAfterBreak="0">
    <w:nsid w:val="6CA14AC0"/>
    <w:multiLevelType w:val="hybridMultilevel"/>
    <w:tmpl w:val="FFFFFFFF"/>
    <w:lvl w:ilvl="0" w:tplc="121059FE">
      <w:start w:val="2"/>
      <w:numFmt w:val="decimal"/>
      <w:lvlText w:val="%1."/>
      <w:lvlJc w:val="left"/>
      <w:pPr>
        <w:ind w:left="720" w:hanging="360"/>
      </w:pPr>
    </w:lvl>
    <w:lvl w:ilvl="1" w:tplc="D86C2A6A">
      <w:start w:val="1"/>
      <w:numFmt w:val="lowerLetter"/>
      <w:lvlText w:val="%2."/>
      <w:lvlJc w:val="left"/>
      <w:pPr>
        <w:ind w:left="1440" w:hanging="360"/>
      </w:pPr>
    </w:lvl>
    <w:lvl w:ilvl="2" w:tplc="9A02E936">
      <w:start w:val="1"/>
      <w:numFmt w:val="lowerRoman"/>
      <w:lvlText w:val="%3."/>
      <w:lvlJc w:val="right"/>
      <w:pPr>
        <w:ind w:left="2160" w:hanging="180"/>
      </w:pPr>
    </w:lvl>
    <w:lvl w:ilvl="3" w:tplc="42B6B286">
      <w:start w:val="1"/>
      <w:numFmt w:val="decimal"/>
      <w:lvlText w:val="%4."/>
      <w:lvlJc w:val="left"/>
      <w:pPr>
        <w:ind w:left="2880" w:hanging="360"/>
      </w:pPr>
    </w:lvl>
    <w:lvl w:ilvl="4" w:tplc="449A2CCC">
      <w:start w:val="1"/>
      <w:numFmt w:val="lowerLetter"/>
      <w:lvlText w:val="%5."/>
      <w:lvlJc w:val="left"/>
      <w:pPr>
        <w:ind w:left="3600" w:hanging="360"/>
      </w:pPr>
    </w:lvl>
    <w:lvl w:ilvl="5" w:tplc="E61E8F42">
      <w:start w:val="1"/>
      <w:numFmt w:val="lowerRoman"/>
      <w:lvlText w:val="%6."/>
      <w:lvlJc w:val="right"/>
      <w:pPr>
        <w:ind w:left="4320" w:hanging="180"/>
      </w:pPr>
    </w:lvl>
    <w:lvl w:ilvl="6" w:tplc="6956A5B6">
      <w:start w:val="1"/>
      <w:numFmt w:val="decimal"/>
      <w:lvlText w:val="%7."/>
      <w:lvlJc w:val="left"/>
      <w:pPr>
        <w:ind w:left="5040" w:hanging="360"/>
      </w:pPr>
    </w:lvl>
    <w:lvl w:ilvl="7" w:tplc="A76EAC68">
      <w:start w:val="1"/>
      <w:numFmt w:val="lowerLetter"/>
      <w:lvlText w:val="%8."/>
      <w:lvlJc w:val="left"/>
      <w:pPr>
        <w:ind w:left="5760" w:hanging="360"/>
      </w:pPr>
    </w:lvl>
    <w:lvl w:ilvl="8" w:tplc="8FC034DE">
      <w:start w:val="1"/>
      <w:numFmt w:val="lowerRoman"/>
      <w:lvlText w:val="%9."/>
      <w:lvlJc w:val="right"/>
      <w:pPr>
        <w:ind w:left="6480" w:hanging="180"/>
      </w:pPr>
    </w:lvl>
  </w:abstractNum>
  <w:abstractNum w:abstractNumId="83" w15:restartNumberingAfterBreak="0">
    <w:nsid w:val="6CB80BA9"/>
    <w:multiLevelType w:val="multilevel"/>
    <w:tmpl w:val="E7E49D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EC000B6"/>
    <w:multiLevelType w:val="multilevel"/>
    <w:tmpl w:val="ED52FDE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ED3543E"/>
    <w:multiLevelType w:val="multilevel"/>
    <w:tmpl w:val="45C4C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5F7D13"/>
    <w:multiLevelType w:val="hybridMultilevel"/>
    <w:tmpl w:val="1DD849C8"/>
    <w:lvl w:ilvl="0" w:tplc="18090019">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7" w15:restartNumberingAfterBreak="0">
    <w:nsid w:val="74703A52"/>
    <w:multiLevelType w:val="multilevel"/>
    <w:tmpl w:val="404AB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4BC79F0"/>
    <w:multiLevelType w:val="hybridMultilevel"/>
    <w:tmpl w:val="FFFFFFFF"/>
    <w:lvl w:ilvl="0" w:tplc="58F29954">
      <w:start w:val="1"/>
      <w:numFmt w:val="decimal"/>
      <w:lvlText w:val="%1."/>
      <w:lvlJc w:val="left"/>
      <w:pPr>
        <w:ind w:left="720" w:hanging="360"/>
      </w:pPr>
    </w:lvl>
    <w:lvl w:ilvl="1" w:tplc="CF544774">
      <w:start w:val="5"/>
      <w:numFmt w:val="lowerLetter"/>
      <w:lvlText w:val="%2."/>
      <w:lvlJc w:val="left"/>
      <w:pPr>
        <w:ind w:left="1440" w:hanging="360"/>
      </w:pPr>
    </w:lvl>
    <w:lvl w:ilvl="2" w:tplc="8744C078">
      <w:start w:val="1"/>
      <w:numFmt w:val="lowerRoman"/>
      <w:lvlText w:val="%3."/>
      <w:lvlJc w:val="right"/>
      <w:pPr>
        <w:ind w:left="2160" w:hanging="180"/>
      </w:pPr>
    </w:lvl>
    <w:lvl w:ilvl="3" w:tplc="7090D764">
      <w:start w:val="1"/>
      <w:numFmt w:val="decimal"/>
      <w:lvlText w:val="%4."/>
      <w:lvlJc w:val="left"/>
      <w:pPr>
        <w:ind w:left="2880" w:hanging="360"/>
      </w:pPr>
    </w:lvl>
    <w:lvl w:ilvl="4" w:tplc="AA20F9FC">
      <w:start w:val="1"/>
      <w:numFmt w:val="lowerLetter"/>
      <w:lvlText w:val="%5."/>
      <w:lvlJc w:val="left"/>
      <w:pPr>
        <w:ind w:left="3600" w:hanging="360"/>
      </w:pPr>
    </w:lvl>
    <w:lvl w:ilvl="5" w:tplc="D4E4C6C4">
      <w:start w:val="1"/>
      <w:numFmt w:val="lowerRoman"/>
      <w:lvlText w:val="%6."/>
      <w:lvlJc w:val="right"/>
      <w:pPr>
        <w:ind w:left="4320" w:hanging="180"/>
      </w:pPr>
    </w:lvl>
    <w:lvl w:ilvl="6" w:tplc="CB2CCED0">
      <w:start w:val="1"/>
      <w:numFmt w:val="decimal"/>
      <w:lvlText w:val="%7."/>
      <w:lvlJc w:val="left"/>
      <w:pPr>
        <w:ind w:left="5040" w:hanging="360"/>
      </w:pPr>
    </w:lvl>
    <w:lvl w:ilvl="7" w:tplc="7736B968">
      <w:start w:val="1"/>
      <w:numFmt w:val="lowerLetter"/>
      <w:lvlText w:val="%8."/>
      <w:lvlJc w:val="left"/>
      <w:pPr>
        <w:ind w:left="5760" w:hanging="360"/>
      </w:pPr>
    </w:lvl>
    <w:lvl w:ilvl="8" w:tplc="58D8EB06">
      <w:start w:val="1"/>
      <w:numFmt w:val="lowerRoman"/>
      <w:lvlText w:val="%9."/>
      <w:lvlJc w:val="right"/>
      <w:pPr>
        <w:ind w:left="6480" w:hanging="180"/>
      </w:pPr>
    </w:lvl>
  </w:abstractNum>
  <w:abstractNum w:abstractNumId="89" w15:restartNumberingAfterBreak="0">
    <w:nsid w:val="74C4D9D9"/>
    <w:multiLevelType w:val="hybridMultilevel"/>
    <w:tmpl w:val="FFFFFFFF"/>
    <w:lvl w:ilvl="0" w:tplc="5942A3A2">
      <w:start w:val="1"/>
      <w:numFmt w:val="decimal"/>
      <w:lvlText w:val="%1."/>
      <w:lvlJc w:val="left"/>
      <w:pPr>
        <w:ind w:left="720" w:hanging="360"/>
      </w:pPr>
    </w:lvl>
    <w:lvl w:ilvl="1" w:tplc="1A4ADED6">
      <w:start w:val="1"/>
      <w:numFmt w:val="lowerLetter"/>
      <w:lvlText w:val="%2."/>
      <w:lvlJc w:val="left"/>
      <w:pPr>
        <w:ind w:left="1440" w:hanging="360"/>
      </w:pPr>
    </w:lvl>
    <w:lvl w:ilvl="2" w:tplc="40FA121E">
      <w:start w:val="1"/>
      <w:numFmt w:val="lowerRoman"/>
      <w:lvlText w:val="%3."/>
      <w:lvlJc w:val="right"/>
      <w:pPr>
        <w:ind w:left="2160" w:hanging="180"/>
      </w:pPr>
    </w:lvl>
    <w:lvl w:ilvl="3" w:tplc="4F20043C">
      <w:start w:val="1"/>
      <w:numFmt w:val="decimal"/>
      <w:lvlText w:val="%4."/>
      <w:lvlJc w:val="left"/>
      <w:pPr>
        <w:ind w:left="2880" w:hanging="360"/>
      </w:pPr>
    </w:lvl>
    <w:lvl w:ilvl="4" w:tplc="BAB0607C">
      <w:start w:val="1"/>
      <w:numFmt w:val="lowerLetter"/>
      <w:lvlText w:val="%5."/>
      <w:lvlJc w:val="left"/>
      <w:pPr>
        <w:ind w:left="3600" w:hanging="360"/>
      </w:pPr>
    </w:lvl>
    <w:lvl w:ilvl="5" w:tplc="F3F81A24">
      <w:start w:val="1"/>
      <w:numFmt w:val="lowerRoman"/>
      <w:lvlText w:val="%6."/>
      <w:lvlJc w:val="right"/>
      <w:pPr>
        <w:ind w:left="4320" w:hanging="180"/>
      </w:pPr>
    </w:lvl>
    <w:lvl w:ilvl="6" w:tplc="5BCACF98">
      <w:start w:val="1"/>
      <w:numFmt w:val="decimal"/>
      <w:lvlText w:val="%7."/>
      <w:lvlJc w:val="left"/>
      <w:pPr>
        <w:ind w:left="5040" w:hanging="360"/>
      </w:pPr>
    </w:lvl>
    <w:lvl w:ilvl="7" w:tplc="AA8C32EC">
      <w:start w:val="1"/>
      <w:numFmt w:val="lowerLetter"/>
      <w:lvlText w:val="%8."/>
      <w:lvlJc w:val="left"/>
      <w:pPr>
        <w:ind w:left="5760" w:hanging="360"/>
      </w:pPr>
    </w:lvl>
    <w:lvl w:ilvl="8" w:tplc="CF440310">
      <w:start w:val="1"/>
      <w:numFmt w:val="lowerRoman"/>
      <w:lvlText w:val="%9."/>
      <w:lvlJc w:val="right"/>
      <w:pPr>
        <w:ind w:left="6480" w:hanging="180"/>
      </w:pPr>
    </w:lvl>
  </w:abstractNum>
  <w:abstractNum w:abstractNumId="90" w15:restartNumberingAfterBreak="0">
    <w:nsid w:val="75B3E60E"/>
    <w:multiLevelType w:val="hybridMultilevel"/>
    <w:tmpl w:val="FFFFFFFF"/>
    <w:lvl w:ilvl="0" w:tplc="6EF2B5FA">
      <w:start w:val="1"/>
      <w:numFmt w:val="decimal"/>
      <w:lvlText w:val="%1."/>
      <w:lvlJc w:val="left"/>
      <w:pPr>
        <w:ind w:left="720" w:hanging="360"/>
      </w:pPr>
    </w:lvl>
    <w:lvl w:ilvl="1" w:tplc="FFFFFFFF">
      <w:start w:val="1"/>
      <w:numFmt w:val="lowerLetter"/>
      <w:lvlText w:val="%2."/>
      <w:lvlJc w:val="left"/>
      <w:pPr>
        <w:ind w:left="1440" w:hanging="360"/>
      </w:pPr>
    </w:lvl>
    <w:lvl w:ilvl="2" w:tplc="146E1900">
      <w:start w:val="1"/>
      <w:numFmt w:val="lowerRoman"/>
      <w:lvlText w:val="%3."/>
      <w:lvlJc w:val="right"/>
      <w:pPr>
        <w:ind w:left="2160" w:hanging="180"/>
      </w:pPr>
    </w:lvl>
    <w:lvl w:ilvl="3" w:tplc="8B5CF2D6">
      <w:start w:val="1"/>
      <w:numFmt w:val="decimal"/>
      <w:lvlText w:val="%4."/>
      <w:lvlJc w:val="left"/>
      <w:pPr>
        <w:ind w:left="2880" w:hanging="360"/>
      </w:pPr>
    </w:lvl>
    <w:lvl w:ilvl="4" w:tplc="96526FC0">
      <w:start w:val="1"/>
      <w:numFmt w:val="lowerLetter"/>
      <w:lvlText w:val="%5."/>
      <w:lvlJc w:val="left"/>
      <w:pPr>
        <w:ind w:left="3600" w:hanging="360"/>
      </w:pPr>
    </w:lvl>
    <w:lvl w:ilvl="5" w:tplc="BA4EC834">
      <w:start w:val="1"/>
      <w:numFmt w:val="lowerRoman"/>
      <w:lvlText w:val="%6."/>
      <w:lvlJc w:val="right"/>
      <w:pPr>
        <w:ind w:left="4320" w:hanging="180"/>
      </w:pPr>
    </w:lvl>
    <w:lvl w:ilvl="6" w:tplc="2408B162">
      <w:start w:val="1"/>
      <w:numFmt w:val="decimal"/>
      <w:lvlText w:val="%7."/>
      <w:lvlJc w:val="left"/>
      <w:pPr>
        <w:ind w:left="5040" w:hanging="360"/>
      </w:pPr>
    </w:lvl>
    <w:lvl w:ilvl="7" w:tplc="AE2AF1E2">
      <w:start w:val="1"/>
      <w:numFmt w:val="lowerLetter"/>
      <w:lvlText w:val="%8."/>
      <w:lvlJc w:val="left"/>
      <w:pPr>
        <w:ind w:left="5760" w:hanging="360"/>
      </w:pPr>
    </w:lvl>
    <w:lvl w:ilvl="8" w:tplc="EF3EADDE">
      <w:start w:val="1"/>
      <w:numFmt w:val="lowerRoman"/>
      <w:lvlText w:val="%9."/>
      <w:lvlJc w:val="right"/>
      <w:pPr>
        <w:ind w:left="6480" w:hanging="180"/>
      </w:pPr>
    </w:lvl>
  </w:abstractNum>
  <w:abstractNum w:abstractNumId="91" w15:restartNumberingAfterBreak="0">
    <w:nsid w:val="76D30F9A"/>
    <w:multiLevelType w:val="hybridMultilevel"/>
    <w:tmpl w:val="FFFFFFFF"/>
    <w:lvl w:ilvl="0" w:tplc="C5C6F9FE">
      <w:start w:val="1"/>
      <w:numFmt w:val="bullet"/>
      <w:lvlText w:val=""/>
      <w:lvlJc w:val="left"/>
      <w:pPr>
        <w:ind w:left="720" w:hanging="360"/>
      </w:pPr>
      <w:rPr>
        <w:rFonts w:ascii="Symbol" w:hAnsi="Symbol" w:hint="default"/>
      </w:rPr>
    </w:lvl>
    <w:lvl w:ilvl="1" w:tplc="1EFCF6E2">
      <w:start w:val="1"/>
      <w:numFmt w:val="bullet"/>
      <w:lvlText w:val=""/>
      <w:lvlJc w:val="left"/>
      <w:pPr>
        <w:ind w:left="1440" w:hanging="360"/>
      </w:pPr>
      <w:rPr>
        <w:rFonts w:ascii="Symbol" w:hAnsi="Symbol" w:hint="default"/>
      </w:rPr>
    </w:lvl>
    <w:lvl w:ilvl="2" w:tplc="FA66BF8A">
      <w:start w:val="1"/>
      <w:numFmt w:val="bullet"/>
      <w:lvlText w:val=""/>
      <w:lvlJc w:val="left"/>
      <w:pPr>
        <w:ind w:left="2160" w:hanging="360"/>
      </w:pPr>
      <w:rPr>
        <w:rFonts w:ascii="Wingdings" w:hAnsi="Wingdings" w:hint="default"/>
      </w:rPr>
    </w:lvl>
    <w:lvl w:ilvl="3" w:tplc="B8B0B8B0">
      <w:start w:val="1"/>
      <w:numFmt w:val="bullet"/>
      <w:lvlText w:val=""/>
      <w:lvlJc w:val="left"/>
      <w:pPr>
        <w:ind w:left="2880" w:hanging="360"/>
      </w:pPr>
      <w:rPr>
        <w:rFonts w:ascii="Symbol" w:hAnsi="Symbol" w:hint="default"/>
      </w:rPr>
    </w:lvl>
    <w:lvl w:ilvl="4" w:tplc="BD04F172">
      <w:start w:val="1"/>
      <w:numFmt w:val="bullet"/>
      <w:lvlText w:val="o"/>
      <w:lvlJc w:val="left"/>
      <w:pPr>
        <w:ind w:left="3600" w:hanging="360"/>
      </w:pPr>
      <w:rPr>
        <w:rFonts w:ascii="Courier New" w:hAnsi="Courier New" w:hint="default"/>
      </w:rPr>
    </w:lvl>
    <w:lvl w:ilvl="5" w:tplc="4FEEF374">
      <w:start w:val="1"/>
      <w:numFmt w:val="bullet"/>
      <w:lvlText w:val=""/>
      <w:lvlJc w:val="left"/>
      <w:pPr>
        <w:ind w:left="4320" w:hanging="360"/>
      </w:pPr>
      <w:rPr>
        <w:rFonts w:ascii="Wingdings" w:hAnsi="Wingdings" w:hint="default"/>
      </w:rPr>
    </w:lvl>
    <w:lvl w:ilvl="6" w:tplc="34FACFA4">
      <w:start w:val="1"/>
      <w:numFmt w:val="bullet"/>
      <w:lvlText w:val=""/>
      <w:lvlJc w:val="left"/>
      <w:pPr>
        <w:ind w:left="5040" w:hanging="360"/>
      </w:pPr>
      <w:rPr>
        <w:rFonts w:ascii="Symbol" w:hAnsi="Symbol" w:hint="default"/>
      </w:rPr>
    </w:lvl>
    <w:lvl w:ilvl="7" w:tplc="834EBA58">
      <w:start w:val="1"/>
      <w:numFmt w:val="bullet"/>
      <w:lvlText w:val="o"/>
      <w:lvlJc w:val="left"/>
      <w:pPr>
        <w:ind w:left="5760" w:hanging="360"/>
      </w:pPr>
      <w:rPr>
        <w:rFonts w:ascii="Courier New" w:hAnsi="Courier New" w:hint="default"/>
      </w:rPr>
    </w:lvl>
    <w:lvl w:ilvl="8" w:tplc="460A8394">
      <w:start w:val="1"/>
      <w:numFmt w:val="bullet"/>
      <w:lvlText w:val=""/>
      <w:lvlJc w:val="left"/>
      <w:pPr>
        <w:ind w:left="6480" w:hanging="360"/>
      </w:pPr>
      <w:rPr>
        <w:rFonts w:ascii="Wingdings" w:hAnsi="Wingdings" w:hint="default"/>
      </w:rPr>
    </w:lvl>
  </w:abstractNum>
  <w:abstractNum w:abstractNumId="92" w15:restartNumberingAfterBreak="0">
    <w:nsid w:val="76E614FF"/>
    <w:multiLevelType w:val="multilevel"/>
    <w:tmpl w:val="7B2232E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84D00E7"/>
    <w:multiLevelType w:val="hybridMultilevel"/>
    <w:tmpl w:val="D7CC33B6"/>
    <w:lvl w:ilvl="0" w:tplc="3F24D348">
      <w:start w:val="1"/>
      <w:numFmt w:val="decimal"/>
      <w:lvlText w:val="G%1G"/>
      <w:lvlJc w:val="left"/>
      <w:pPr>
        <w:ind w:left="360" w:hanging="360"/>
      </w:pPr>
      <w:rPr>
        <w:rFonts w:hint="default"/>
        <w:color w:val="auto"/>
        <w:sz w:val="18"/>
        <w:szCs w:val="1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4" w15:restartNumberingAfterBreak="0">
    <w:nsid w:val="7ADB4070"/>
    <w:multiLevelType w:val="hybridMultilevel"/>
    <w:tmpl w:val="FFFFFFFF"/>
    <w:lvl w:ilvl="0" w:tplc="9A66AB28">
      <w:start w:val="2"/>
      <w:numFmt w:val="decimal"/>
      <w:lvlText w:val="%1."/>
      <w:lvlJc w:val="left"/>
      <w:pPr>
        <w:ind w:left="720" w:hanging="360"/>
      </w:pPr>
    </w:lvl>
    <w:lvl w:ilvl="1" w:tplc="9D7AEA2E">
      <w:start w:val="1"/>
      <w:numFmt w:val="lowerLetter"/>
      <w:lvlText w:val="%2."/>
      <w:lvlJc w:val="left"/>
      <w:pPr>
        <w:ind w:left="1440" w:hanging="360"/>
      </w:pPr>
    </w:lvl>
    <w:lvl w:ilvl="2" w:tplc="9272CB40">
      <w:start w:val="1"/>
      <w:numFmt w:val="lowerRoman"/>
      <w:lvlText w:val="%3."/>
      <w:lvlJc w:val="right"/>
      <w:pPr>
        <w:ind w:left="2160" w:hanging="180"/>
      </w:pPr>
    </w:lvl>
    <w:lvl w:ilvl="3" w:tplc="0B2CF43E">
      <w:start w:val="1"/>
      <w:numFmt w:val="decimal"/>
      <w:lvlText w:val="%4."/>
      <w:lvlJc w:val="left"/>
      <w:pPr>
        <w:ind w:left="2880" w:hanging="360"/>
      </w:pPr>
    </w:lvl>
    <w:lvl w:ilvl="4" w:tplc="ACCA4CBA">
      <w:start w:val="1"/>
      <w:numFmt w:val="lowerLetter"/>
      <w:lvlText w:val="%5."/>
      <w:lvlJc w:val="left"/>
      <w:pPr>
        <w:ind w:left="3600" w:hanging="360"/>
      </w:pPr>
    </w:lvl>
    <w:lvl w:ilvl="5" w:tplc="0D92E04C">
      <w:start w:val="1"/>
      <w:numFmt w:val="lowerRoman"/>
      <w:lvlText w:val="%6."/>
      <w:lvlJc w:val="right"/>
      <w:pPr>
        <w:ind w:left="4320" w:hanging="180"/>
      </w:pPr>
    </w:lvl>
    <w:lvl w:ilvl="6" w:tplc="45C6098C">
      <w:start w:val="1"/>
      <w:numFmt w:val="decimal"/>
      <w:lvlText w:val="%7."/>
      <w:lvlJc w:val="left"/>
      <w:pPr>
        <w:ind w:left="5040" w:hanging="360"/>
      </w:pPr>
    </w:lvl>
    <w:lvl w:ilvl="7" w:tplc="849AAE6E">
      <w:start w:val="1"/>
      <w:numFmt w:val="lowerLetter"/>
      <w:lvlText w:val="%8."/>
      <w:lvlJc w:val="left"/>
      <w:pPr>
        <w:ind w:left="5760" w:hanging="360"/>
      </w:pPr>
    </w:lvl>
    <w:lvl w:ilvl="8" w:tplc="1D580012">
      <w:start w:val="1"/>
      <w:numFmt w:val="lowerRoman"/>
      <w:lvlText w:val="%9."/>
      <w:lvlJc w:val="right"/>
      <w:pPr>
        <w:ind w:left="6480" w:hanging="180"/>
      </w:pPr>
    </w:lvl>
  </w:abstractNum>
  <w:abstractNum w:abstractNumId="95" w15:restartNumberingAfterBreak="0">
    <w:nsid w:val="7BF2D7FF"/>
    <w:multiLevelType w:val="hybridMultilevel"/>
    <w:tmpl w:val="FFFFFFFF"/>
    <w:lvl w:ilvl="0" w:tplc="8326DE3E">
      <w:start w:val="2"/>
      <w:numFmt w:val="decimal"/>
      <w:lvlText w:val="%1."/>
      <w:lvlJc w:val="left"/>
      <w:pPr>
        <w:ind w:left="720" w:hanging="360"/>
      </w:pPr>
    </w:lvl>
    <w:lvl w:ilvl="1" w:tplc="70725BE4">
      <w:start w:val="1"/>
      <w:numFmt w:val="lowerLetter"/>
      <w:lvlText w:val="%2."/>
      <w:lvlJc w:val="left"/>
      <w:pPr>
        <w:ind w:left="1440" w:hanging="360"/>
      </w:pPr>
    </w:lvl>
    <w:lvl w:ilvl="2" w:tplc="D0FE608C">
      <w:start w:val="1"/>
      <w:numFmt w:val="lowerRoman"/>
      <w:lvlText w:val="%3."/>
      <w:lvlJc w:val="right"/>
      <w:pPr>
        <w:ind w:left="2160" w:hanging="180"/>
      </w:pPr>
    </w:lvl>
    <w:lvl w:ilvl="3" w:tplc="400C7086">
      <w:start w:val="1"/>
      <w:numFmt w:val="decimal"/>
      <w:lvlText w:val="%4."/>
      <w:lvlJc w:val="left"/>
      <w:pPr>
        <w:ind w:left="2880" w:hanging="360"/>
      </w:pPr>
    </w:lvl>
    <w:lvl w:ilvl="4" w:tplc="2AF2FA38">
      <w:start w:val="1"/>
      <w:numFmt w:val="lowerLetter"/>
      <w:lvlText w:val="%5."/>
      <w:lvlJc w:val="left"/>
      <w:pPr>
        <w:ind w:left="3600" w:hanging="360"/>
      </w:pPr>
    </w:lvl>
    <w:lvl w:ilvl="5" w:tplc="F8A0C1CA">
      <w:start w:val="1"/>
      <w:numFmt w:val="lowerRoman"/>
      <w:lvlText w:val="%6."/>
      <w:lvlJc w:val="right"/>
      <w:pPr>
        <w:ind w:left="4320" w:hanging="180"/>
      </w:pPr>
    </w:lvl>
    <w:lvl w:ilvl="6" w:tplc="093EF2D6">
      <w:start w:val="1"/>
      <w:numFmt w:val="decimal"/>
      <w:lvlText w:val="%7."/>
      <w:lvlJc w:val="left"/>
      <w:pPr>
        <w:ind w:left="5040" w:hanging="360"/>
      </w:pPr>
    </w:lvl>
    <w:lvl w:ilvl="7" w:tplc="BC56C81C">
      <w:start w:val="1"/>
      <w:numFmt w:val="lowerLetter"/>
      <w:lvlText w:val="%8."/>
      <w:lvlJc w:val="left"/>
      <w:pPr>
        <w:ind w:left="5760" w:hanging="360"/>
      </w:pPr>
    </w:lvl>
    <w:lvl w:ilvl="8" w:tplc="57083CA6">
      <w:start w:val="1"/>
      <w:numFmt w:val="lowerRoman"/>
      <w:lvlText w:val="%9."/>
      <w:lvlJc w:val="right"/>
      <w:pPr>
        <w:ind w:left="6480" w:hanging="180"/>
      </w:pPr>
    </w:lvl>
  </w:abstractNum>
  <w:abstractNum w:abstractNumId="96" w15:restartNumberingAfterBreak="0">
    <w:nsid w:val="7C5B11D7"/>
    <w:multiLevelType w:val="multilevel"/>
    <w:tmpl w:val="2642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CB5111C"/>
    <w:multiLevelType w:val="hybridMultilevel"/>
    <w:tmpl w:val="3B22E4F0"/>
    <w:lvl w:ilvl="0" w:tplc="6E24E63C">
      <w:start w:val="1"/>
      <w:numFmt w:val="decimal"/>
      <w:lvlText w:val="%1."/>
      <w:lvlJc w:val="left"/>
      <w:pPr>
        <w:ind w:left="720" w:hanging="360"/>
      </w:pPr>
    </w:lvl>
    <w:lvl w:ilvl="1" w:tplc="410499FC">
      <w:start w:val="1"/>
      <w:numFmt w:val="lowerLetter"/>
      <w:lvlText w:val="%2."/>
      <w:lvlJc w:val="left"/>
      <w:pPr>
        <w:ind w:left="1440" w:hanging="360"/>
      </w:pPr>
    </w:lvl>
    <w:lvl w:ilvl="2" w:tplc="F2122FBC">
      <w:start w:val="1"/>
      <w:numFmt w:val="lowerRoman"/>
      <w:lvlText w:val="%3."/>
      <w:lvlJc w:val="right"/>
      <w:pPr>
        <w:ind w:left="2160" w:hanging="180"/>
      </w:pPr>
    </w:lvl>
    <w:lvl w:ilvl="3" w:tplc="A5842E00">
      <w:start w:val="1"/>
      <w:numFmt w:val="decimal"/>
      <w:lvlText w:val="%4."/>
      <w:lvlJc w:val="left"/>
      <w:pPr>
        <w:ind w:left="2880" w:hanging="360"/>
      </w:pPr>
    </w:lvl>
    <w:lvl w:ilvl="4" w:tplc="15A83A82">
      <w:start w:val="1"/>
      <w:numFmt w:val="lowerLetter"/>
      <w:lvlText w:val="%5."/>
      <w:lvlJc w:val="left"/>
      <w:pPr>
        <w:ind w:left="3600" w:hanging="360"/>
      </w:pPr>
    </w:lvl>
    <w:lvl w:ilvl="5" w:tplc="DBEA3690">
      <w:start w:val="1"/>
      <w:numFmt w:val="lowerRoman"/>
      <w:lvlText w:val="%6."/>
      <w:lvlJc w:val="right"/>
      <w:pPr>
        <w:ind w:left="4320" w:hanging="180"/>
      </w:pPr>
    </w:lvl>
    <w:lvl w:ilvl="6" w:tplc="B4084B7A">
      <w:start w:val="1"/>
      <w:numFmt w:val="decimal"/>
      <w:lvlText w:val="%7."/>
      <w:lvlJc w:val="left"/>
      <w:pPr>
        <w:ind w:left="5040" w:hanging="360"/>
      </w:pPr>
    </w:lvl>
    <w:lvl w:ilvl="7" w:tplc="FF54D6A4">
      <w:start w:val="1"/>
      <w:numFmt w:val="lowerLetter"/>
      <w:lvlText w:val="%8."/>
      <w:lvlJc w:val="left"/>
      <w:pPr>
        <w:ind w:left="5760" w:hanging="360"/>
      </w:pPr>
    </w:lvl>
    <w:lvl w:ilvl="8" w:tplc="FE7C8D0A">
      <w:start w:val="1"/>
      <w:numFmt w:val="lowerRoman"/>
      <w:lvlText w:val="%9."/>
      <w:lvlJc w:val="right"/>
      <w:pPr>
        <w:ind w:left="6480" w:hanging="180"/>
      </w:pPr>
    </w:lvl>
  </w:abstractNum>
  <w:abstractNum w:abstractNumId="98" w15:restartNumberingAfterBreak="0">
    <w:nsid w:val="7D4E72F0"/>
    <w:multiLevelType w:val="hybridMultilevel"/>
    <w:tmpl w:val="447E1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7D9055A5"/>
    <w:multiLevelType w:val="hybridMultilevel"/>
    <w:tmpl w:val="CBA8716C"/>
    <w:lvl w:ilvl="0" w:tplc="982AF3B0">
      <w:start w:val="1"/>
      <w:numFmt w:val="lowerRoman"/>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0" w15:restartNumberingAfterBreak="0">
    <w:nsid w:val="7DAB9AEE"/>
    <w:multiLevelType w:val="hybridMultilevel"/>
    <w:tmpl w:val="FFFFFFFF"/>
    <w:lvl w:ilvl="0" w:tplc="9A4AAD40">
      <w:numFmt w:val="decimal"/>
      <w:lvlText w:val="%1."/>
      <w:lvlJc w:val="left"/>
      <w:pPr>
        <w:ind w:left="720" w:hanging="360"/>
      </w:pPr>
    </w:lvl>
    <w:lvl w:ilvl="1" w:tplc="099E400C">
      <w:start w:val="1"/>
      <w:numFmt w:val="lowerLetter"/>
      <w:lvlText w:val="%2."/>
      <w:lvlJc w:val="left"/>
      <w:pPr>
        <w:ind w:left="1440" w:hanging="360"/>
      </w:pPr>
    </w:lvl>
    <w:lvl w:ilvl="2" w:tplc="5C48CCB0">
      <w:start w:val="1"/>
      <w:numFmt w:val="lowerRoman"/>
      <w:lvlText w:val="%3."/>
      <w:lvlJc w:val="right"/>
      <w:pPr>
        <w:ind w:left="2160" w:hanging="180"/>
      </w:pPr>
    </w:lvl>
    <w:lvl w:ilvl="3" w:tplc="27569BB8">
      <w:start w:val="1"/>
      <w:numFmt w:val="decimal"/>
      <w:lvlText w:val="%4."/>
      <w:lvlJc w:val="left"/>
      <w:pPr>
        <w:ind w:left="2880" w:hanging="360"/>
      </w:pPr>
    </w:lvl>
    <w:lvl w:ilvl="4" w:tplc="55980A00">
      <w:start w:val="1"/>
      <w:numFmt w:val="lowerLetter"/>
      <w:lvlText w:val="%5."/>
      <w:lvlJc w:val="left"/>
      <w:pPr>
        <w:ind w:left="3600" w:hanging="360"/>
      </w:pPr>
    </w:lvl>
    <w:lvl w:ilvl="5" w:tplc="1590A9F6">
      <w:start w:val="1"/>
      <w:numFmt w:val="lowerRoman"/>
      <w:lvlText w:val="%6."/>
      <w:lvlJc w:val="right"/>
      <w:pPr>
        <w:ind w:left="4320" w:hanging="180"/>
      </w:pPr>
    </w:lvl>
    <w:lvl w:ilvl="6" w:tplc="EF6C848A">
      <w:start w:val="1"/>
      <w:numFmt w:val="decimal"/>
      <w:lvlText w:val="%7."/>
      <w:lvlJc w:val="left"/>
      <w:pPr>
        <w:ind w:left="5040" w:hanging="360"/>
      </w:pPr>
    </w:lvl>
    <w:lvl w:ilvl="7" w:tplc="432A2322">
      <w:start w:val="1"/>
      <w:numFmt w:val="lowerLetter"/>
      <w:lvlText w:val="%8."/>
      <w:lvlJc w:val="left"/>
      <w:pPr>
        <w:ind w:left="5760" w:hanging="360"/>
      </w:pPr>
    </w:lvl>
    <w:lvl w:ilvl="8" w:tplc="1752F490">
      <w:start w:val="1"/>
      <w:numFmt w:val="lowerRoman"/>
      <w:lvlText w:val="%9."/>
      <w:lvlJc w:val="right"/>
      <w:pPr>
        <w:ind w:left="6480" w:hanging="180"/>
      </w:pPr>
    </w:lvl>
  </w:abstractNum>
  <w:abstractNum w:abstractNumId="101" w15:restartNumberingAfterBreak="0">
    <w:nsid w:val="7FAA4BBA"/>
    <w:multiLevelType w:val="multilevel"/>
    <w:tmpl w:val="0F2676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0"/>
  </w:num>
  <w:num w:numId="2">
    <w:abstractNumId w:val="33"/>
  </w:num>
  <w:num w:numId="3">
    <w:abstractNumId w:val="9"/>
  </w:num>
  <w:num w:numId="4">
    <w:abstractNumId w:val="50"/>
  </w:num>
  <w:num w:numId="5">
    <w:abstractNumId w:val="3"/>
  </w:num>
  <w:num w:numId="6">
    <w:abstractNumId w:val="37"/>
  </w:num>
  <w:num w:numId="7">
    <w:abstractNumId w:val="92"/>
  </w:num>
  <w:num w:numId="8">
    <w:abstractNumId w:val="71"/>
  </w:num>
  <w:num w:numId="9">
    <w:abstractNumId w:val="51"/>
  </w:num>
  <w:num w:numId="10">
    <w:abstractNumId w:val="75"/>
  </w:num>
  <w:num w:numId="11">
    <w:abstractNumId w:val="61"/>
  </w:num>
  <w:num w:numId="12">
    <w:abstractNumId w:val="8"/>
  </w:num>
  <w:num w:numId="13">
    <w:abstractNumId w:val="6"/>
  </w:num>
  <w:num w:numId="14">
    <w:abstractNumId w:val="87"/>
  </w:num>
  <w:num w:numId="15">
    <w:abstractNumId w:val="84"/>
  </w:num>
  <w:num w:numId="16">
    <w:abstractNumId w:val="39"/>
  </w:num>
  <w:num w:numId="17">
    <w:abstractNumId w:val="7"/>
  </w:num>
  <w:num w:numId="18">
    <w:abstractNumId w:val="13"/>
  </w:num>
  <w:num w:numId="19">
    <w:abstractNumId w:val="44"/>
  </w:num>
  <w:num w:numId="20">
    <w:abstractNumId w:val="22"/>
  </w:num>
  <w:num w:numId="21">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4"/>
  </w:num>
  <w:num w:numId="24">
    <w:abstractNumId w:val="97"/>
  </w:num>
  <w:num w:numId="25">
    <w:abstractNumId w:val="99"/>
  </w:num>
  <w:num w:numId="26">
    <w:abstractNumId w:val="91"/>
  </w:num>
  <w:num w:numId="27">
    <w:abstractNumId w:val="31"/>
  </w:num>
  <w:num w:numId="28">
    <w:abstractNumId w:val="93"/>
  </w:num>
  <w:num w:numId="29">
    <w:abstractNumId w:val="79"/>
  </w:num>
  <w:num w:numId="30">
    <w:abstractNumId w:val="66"/>
  </w:num>
  <w:num w:numId="31">
    <w:abstractNumId w:val="45"/>
  </w:num>
  <w:num w:numId="32">
    <w:abstractNumId w:val="64"/>
  </w:num>
  <w:num w:numId="33">
    <w:abstractNumId w:val="42"/>
  </w:num>
  <w:num w:numId="34">
    <w:abstractNumId w:val="24"/>
  </w:num>
  <w:num w:numId="35">
    <w:abstractNumId w:val="65"/>
  </w:num>
  <w:num w:numId="36">
    <w:abstractNumId w:val="85"/>
  </w:num>
  <w:num w:numId="37">
    <w:abstractNumId w:val="43"/>
  </w:num>
  <w:num w:numId="38">
    <w:abstractNumId w:val="83"/>
  </w:num>
  <w:num w:numId="39">
    <w:abstractNumId w:val="96"/>
  </w:num>
  <w:num w:numId="40">
    <w:abstractNumId w:val="4"/>
  </w:num>
  <w:num w:numId="41">
    <w:abstractNumId w:val="70"/>
  </w:num>
  <w:num w:numId="42">
    <w:abstractNumId w:val="32"/>
  </w:num>
  <w:num w:numId="43">
    <w:abstractNumId w:val="53"/>
  </w:num>
  <w:num w:numId="44">
    <w:abstractNumId w:val="12"/>
  </w:num>
  <w:num w:numId="45">
    <w:abstractNumId w:val="11"/>
  </w:num>
  <w:num w:numId="46">
    <w:abstractNumId w:val="63"/>
  </w:num>
  <w:num w:numId="47">
    <w:abstractNumId w:val="86"/>
  </w:num>
  <w:num w:numId="48">
    <w:abstractNumId w:val="17"/>
  </w:num>
  <w:num w:numId="49">
    <w:abstractNumId w:val="80"/>
  </w:num>
  <w:num w:numId="50">
    <w:abstractNumId w:val="23"/>
  </w:num>
  <w:num w:numId="51">
    <w:abstractNumId w:val="5"/>
  </w:num>
  <w:num w:numId="52">
    <w:abstractNumId w:val="41"/>
  </w:num>
  <w:num w:numId="53">
    <w:abstractNumId w:val="54"/>
  </w:num>
  <w:num w:numId="54">
    <w:abstractNumId w:val="10"/>
  </w:num>
  <w:num w:numId="55">
    <w:abstractNumId w:val="36"/>
  </w:num>
  <w:num w:numId="56">
    <w:abstractNumId w:val="36"/>
  </w:num>
  <w:num w:numId="57">
    <w:abstractNumId w:val="36"/>
  </w:num>
  <w:num w:numId="58">
    <w:abstractNumId w:val="101"/>
  </w:num>
  <w:num w:numId="59">
    <w:abstractNumId w:val="78"/>
  </w:num>
  <w:num w:numId="60">
    <w:abstractNumId w:val="25"/>
  </w:num>
  <w:num w:numId="61">
    <w:abstractNumId w:val="52"/>
  </w:num>
  <w:num w:numId="62">
    <w:abstractNumId w:val="62"/>
  </w:num>
  <w:num w:numId="63">
    <w:abstractNumId w:val="100"/>
  </w:num>
  <w:num w:numId="64">
    <w:abstractNumId w:val="16"/>
  </w:num>
  <w:num w:numId="65">
    <w:abstractNumId w:val="30"/>
  </w:num>
  <w:num w:numId="66">
    <w:abstractNumId w:val="95"/>
  </w:num>
  <w:num w:numId="67">
    <w:abstractNumId w:val="1"/>
  </w:num>
  <w:num w:numId="68">
    <w:abstractNumId w:val="38"/>
  </w:num>
  <w:num w:numId="69">
    <w:abstractNumId w:val="35"/>
  </w:num>
  <w:num w:numId="70">
    <w:abstractNumId w:val="88"/>
  </w:num>
  <w:num w:numId="71">
    <w:abstractNumId w:val="76"/>
  </w:num>
  <w:num w:numId="72">
    <w:abstractNumId w:val="73"/>
  </w:num>
  <w:num w:numId="73">
    <w:abstractNumId w:val="68"/>
  </w:num>
  <w:num w:numId="74">
    <w:abstractNumId w:val="69"/>
  </w:num>
  <w:num w:numId="75">
    <w:abstractNumId w:val="77"/>
  </w:num>
  <w:num w:numId="76">
    <w:abstractNumId w:val="49"/>
  </w:num>
  <w:num w:numId="77">
    <w:abstractNumId w:val="2"/>
  </w:num>
  <w:num w:numId="78">
    <w:abstractNumId w:val="48"/>
  </w:num>
  <w:num w:numId="79">
    <w:abstractNumId w:val="81"/>
  </w:num>
  <w:num w:numId="80">
    <w:abstractNumId w:val="59"/>
  </w:num>
  <w:num w:numId="81">
    <w:abstractNumId w:val="26"/>
  </w:num>
  <w:num w:numId="82">
    <w:abstractNumId w:val="20"/>
  </w:num>
  <w:num w:numId="83">
    <w:abstractNumId w:val="72"/>
  </w:num>
  <w:num w:numId="84">
    <w:abstractNumId w:val="74"/>
  </w:num>
  <w:num w:numId="85">
    <w:abstractNumId w:val="40"/>
  </w:num>
  <w:num w:numId="86">
    <w:abstractNumId w:val="94"/>
  </w:num>
  <w:num w:numId="87">
    <w:abstractNumId w:val="89"/>
  </w:num>
  <w:num w:numId="88">
    <w:abstractNumId w:val="28"/>
  </w:num>
  <w:num w:numId="89">
    <w:abstractNumId w:val="29"/>
  </w:num>
  <w:num w:numId="90">
    <w:abstractNumId w:val="34"/>
  </w:num>
  <w:num w:numId="9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8"/>
  </w:num>
  <w:num w:numId="93">
    <w:abstractNumId w:val="60"/>
  </w:num>
  <w:num w:numId="94">
    <w:abstractNumId w:val="46"/>
  </w:num>
  <w:num w:numId="95">
    <w:abstractNumId w:val="82"/>
  </w:num>
  <w:num w:numId="96">
    <w:abstractNumId w:val="18"/>
  </w:num>
  <w:num w:numId="97">
    <w:abstractNumId w:val="67"/>
  </w:num>
  <w:num w:numId="98">
    <w:abstractNumId w:val="19"/>
  </w:num>
  <w:num w:numId="99">
    <w:abstractNumId w:val="56"/>
  </w:num>
  <w:num w:numId="100">
    <w:abstractNumId w:val="27"/>
  </w:num>
  <w:num w:numId="101">
    <w:abstractNumId w:val="47"/>
  </w:num>
  <w:num w:numId="102">
    <w:abstractNumId w:val="21"/>
  </w:num>
  <w:num w:numId="103">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pl-PL"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6.7&quot; technicalblockguid=&quot;520150629327876107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6-13&lt;/text&gt;_x000d__x000a_  &lt;/metadata&gt;_x000d__x000a_  &lt;metadata key=&quot;md_Prefix&quot;&gt;_x000d__x000a_    &lt;text&gt;&lt;/text&gt;_x000d__x000a_  &lt;/metadata&gt;_x000d__x000a_  &lt;metadata key=&quot;md_DocumentNumber&quot;&gt;_x000d__x000a_    &lt;text&gt;9728&lt;/text&gt;_x000d__x000a_  &lt;/metadata&gt;_x000d__x000a_  &lt;metadata key=&quot;md_YearDocumentNumber&quot;&gt;_x000d__x000a_    &lt;text&gt;2022&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534&lt;/text&gt;_x000d__x000a_      &lt;text&gt;CADREFIN 95&lt;/text&gt;_x000d__x000a_      &lt;text&gt;UEM 139&lt;/text&gt;_x000d__x000a_      &lt;text&gt;FIN 594&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181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Proposal for a Council Implementing Decision on the approval of the assessment of the recovery and resilience plan for Poland&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NNEX to the&amp;lt;Run xml:lang=&quot;fr-be&quot; xml:space=&quot;preserve&quot;&amp;gt; Proposal for a &amp;lt;/Run&amp;gt;Council Implementing Decision on the approval of the assessment of the recovery and resilience plan for &amp;lt;Run xml:lang=&quot;fr-be&quot;&amp;gt;Poland&amp;lt;/Run&amp;gt;&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GR/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ocuWriteMetaDataSource1" w:val="&lt;metadataset docuwriteversion=&quot;4.6.7&quot; technicalblockguid=&quot;5700739295070080227&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6-02&lt;/text&gt;_x000d__x000a_  &lt;/metadata&gt;_x000d__x000a_  &lt;metadata key=&quot;md_Prefix&quot;&gt;_x000d__x000a_    &lt;text&gt;&lt;/text&gt;_x000d__x000a_  &lt;/metadata&gt;_x000d__x000a_  &lt;metadata key=&quot;md_DocumentNumber&quot;&gt;_x000d__x000a_    &lt;text&gt;9725&lt;/text&gt;_x000d__x000a_  &lt;/metadata&gt;_x000d__x000a_  &lt;metadata key=&quot;md_YearDocumentNumber&quot;&gt;_x000d__x000a_    &lt;text&gt;2022&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532&lt;/text&gt;_x000d__x000a_      &lt;text&gt;UEM 138&lt;/text&gt;_x000d__x000a_      &lt;text&gt;FIN 593&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2/018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11&quot; text=&quot;General Secretariat of the Council&quot; /&gt;_x000d__x000a_    &lt;/basicdatatype&gt;_x000d__x000a_  &lt;/metadata&gt;_x000d__x000a_  &lt;metadata key=&quot;md_DateOfReceipt&quot;&gt;_x000d__x000a_    &lt;text&gt;2022-06-02&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2) 268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ES to the Proposal for a Council Implementing Decision on the approval of the assessment of the recovery and resilience plan for Poland&quot;&gt;&amp;lt;FlowDocument FontFamily=&quot;Segoe UI&quot; FontSize=&quot;12&quot; PagePadding=&quot;2,2,2,2&quot; AllowDrop=&quot;False&quot; xmlns=&quot;http://schemas.microsoft.com/winfx/2006/xaml/presentation&quot;&amp;gt;&amp;lt;Paragraph&amp;gt;ANNEXES to the Proposal for a Council Implementing Decision on the approval of the assessment of the recovery and resilience plan for Poland&amp;lt;/Paragraph&amp;gt;&amp;lt;/FlowDocument&amp;gt;&lt;/xaml&gt;_x000d__x000a_  &lt;/metadata&gt;_x000d__x000a_  &lt;metadata key=&quot;md_SubjectFootnote&quot; /&gt;_x000d__x000a_  &lt;metadata key=&quot;md_DG&quot;&gt;_x000d__x000a_    &lt;text&gt;ECOFIN 1A&lt;/text&gt;_x000d__x000a_  &lt;/metadata&gt;_x000d__x000a_  &lt;metadata key=&quot;md_Initials&quot;&gt;_x000d__x000a_    &lt;text&gt;JPS/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2&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ES_x000d__x000a_&lt;/text&gt;_x000d__x000a_  &lt;/metadata&gt;_x000d__x000a_  &lt;metadata key=&quot;md_SourceDocTitle&quot;&gt;_x000d__x000a_    &lt;text&gt;to the _x000d__x000a_Proposal for a Council Implementing Decision _x000d__x000a_on the approval of the assessment of the recovery and resilience plan for Poland&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 /&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do"/>
    <w:docVar w:name="LW_ANNEX_NBR_FIRST" w:val="1"/>
    <w:docVar w:name="LW_ANNEX_NBR_LAST" w:val="1"/>
    <w:docVar w:name="LW_ANNEX_UNIQUE" w:val="1"/>
    <w:docVar w:name="LW_CORRIGENDUM" w:val="&lt;UNUSED&gt;"/>
    <w:docVar w:name="LW_COVERPAGE_EXISTS" w:val="True"/>
    <w:docVar w:name="LW_COVERPAGE_GUID" w:val="D5A23765-5D84-4CFD-A24F-11B746021A70"/>
    <w:docVar w:name="LW_COVERPAGE_TYPE" w:val="1"/>
    <w:docVar w:name="LW_CROSSREFERENCE" w:val="{SWD(2023) 381 final}"/>
    <w:docVar w:name="LW_DocType" w:val="NORMAL"/>
    <w:docVar w:name="LW_EMISSION" w:val="21.11.2023"/>
    <w:docVar w:name="LW_EMISSION_ISODATE" w:val="2023-11-21"/>
    <w:docVar w:name="LW_EMISSION_LOCATION" w:val="BRX"/>
    <w:docVar w:name="LW_EMISSION_PREFIX" w:val="Bruksela, dnia "/>
    <w:docVar w:name="LW_EMISSION_SUFFIX" w:val=" r."/>
    <w:docVar w:name="LW_ID_DOCTYPE_NONLW" w:val="CP-036"/>
    <w:docVar w:name="LW_LANGUE" w:val="PL"/>
    <w:docVar w:name="LW_LEVEL_OF_SENSITIVITY" w:val="Standard treatment"/>
    <w:docVar w:name="LW_NOM.INST" w:val="KOMISJA EUROPEJSKA"/>
    <w:docVar w:name="LW_NOM.INST_JOINTDOC" w:val="&lt;EMPTY&gt;"/>
    <w:docVar w:name="LW_OBJETACTEPRINCIPAL.CP" w:val="zmieniającej decyzję wykonawczą (UE) (ST 9728/22 INIT; ST/9728/22 ADD 1) z dnia 17 czerwca 2022 r. w sprawie zatwierdzenia oceny planu odbudowy i zwiększania odporności Polski"/>
    <w:docVar w:name="LW_PART_NBR" w:val="1"/>
    <w:docVar w:name="LW_PART_NBR_TOTAL" w:val="1"/>
    <w:docVar w:name="LW_REF.INST.NEW" w:val="COM"/>
    <w:docVar w:name="LW_REF.INST.NEW_ADOPTED" w:val="final"/>
    <w:docVar w:name="LW_REF.INST.NEW_TEXT" w:val="(2023) 7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ZAŁĄCZNIK_x000b_"/>
    <w:docVar w:name="LW_TYPEACTEPRINCIPAL.CP" w:val="wniosku dotyczącego decyzji wykonawczej Rady"/>
    <w:docVar w:name="LwApiVersions" w:val="LW4CoDe 1.23.2.0; LW 8.0, Build 20211117"/>
  </w:docVars>
  <w:rsids>
    <w:rsidRoot w:val="007C4506"/>
    <w:rsid w:val="00000050"/>
    <w:rsid w:val="0000013A"/>
    <w:rsid w:val="00000356"/>
    <w:rsid w:val="00000460"/>
    <w:rsid w:val="00000581"/>
    <w:rsid w:val="00000651"/>
    <w:rsid w:val="00000754"/>
    <w:rsid w:val="000007F1"/>
    <w:rsid w:val="00000894"/>
    <w:rsid w:val="00000A51"/>
    <w:rsid w:val="00000E93"/>
    <w:rsid w:val="00000F13"/>
    <w:rsid w:val="00000F64"/>
    <w:rsid w:val="000016D4"/>
    <w:rsid w:val="00001A3D"/>
    <w:rsid w:val="00001AAE"/>
    <w:rsid w:val="00001B4B"/>
    <w:rsid w:val="00001BC3"/>
    <w:rsid w:val="00001CB5"/>
    <w:rsid w:val="0000201A"/>
    <w:rsid w:val="000023A6"/>
    <w:rsid w:val="000024A0"/>
    <w:rsid w:val="000026CE"/>
    <w:rsid w:val="0000278E"/>
    <w:rsid w:val="0000281A"/>
    <w:rsid w:val="0000289E"/>
    <w:rsid w:val="000028DC"/>
    <w:rsid w:val="00002A94"/>
    <w:rsid w:val="000031D1"/>
    <w:rsid w:val="000033CD"/>
    <w:rsid w:val="00003831"/>
    <w:rsid w:val="00003B69"/>
    <w:rsid w:val="00003D70"/>
    <w:rsid w:val="00003DE6"/>
    <w:rsid w:val="00003EEA"/>
    <w:rsid w:val="00004A54"/>
    <w:rsid w:val="00005156"/>
    <w:rsid w:val="0000525E"/>
    <w:rsid w:val="00005693"/>
    <w:rsid w:val="00005A81"/>
    <w:rsid w:val="00005B21"/>
    <w:rsid w:val="00005CF9"/>
    <w:rsid w:val="00005D7D"/>
    <w:rsid w:val="00005F11"/>
    <w:rsid w:val="000061CE"/>
    <w:rsid w:val="00006434"/>
    <w:rsid w:val="000064A7"/>
    <w:rsid w:val="000064C9"/>
    <w:rsid w:val="00006509"/>
    <w:rsid w:val="000065D8"/>
    <w:rsid w:val="00006A83"/>
    <w:rsid w:val="00006A84"/>
    <w:rsid w:val="00006FCB"/>
    <w:rsid w:val="00007608"/>
    <w:rsid w:val="00007709"/>
    <w:rsid w:val="00007C3E"/>
    <w:rsid w:val="00007F35"/>
    <w:rsid w:val="00008C9B"/>
    <w:rsid w:val="0000BDEB"/>
    <w:rsid w:val="00010126"/>
    <w:rsid w:val="000101D8"/>
    <w:rsid w:val="000105D9"/>
    <w:rsid w:val="000106E0"/>
    <w:rsid w:val="00010760"/>
    <w:rsid w:val="00010959"/>
    <w:rsid w:val="000109D4"/>
    <w:rsid w:val="00010A9B"/>
    <w:rsid w:val="00010AAD"/>
    <w:rsid w:val="00010B68"/>
    <w:rsid w:val="00010E74"/>
    <w:rsid w:val="00010E92"/>
    <w:rsid w:val="00010EE0"/>
    <w:rsid w:val="00010FF8"/>
    <w:rsid w:val="0001115A"/>
    <w:rsid w:val="0001176F"/>
    <w:rsid w:val="00011C45"/>
    <w:rsid w:val="00012181"/>
    <w:rsid w:val="0001256F"/>
    <w:rsid w:val="0001284E"/>
    <w:rsid w:val="00012928"/>
    <w:rsid w:val="000129D4"/>
    <w:rsid w:val="00012B64"/>
    <w:rsid w:val="00012BE6"/>
    <w:rsid w:val="00012D55"/>
    <w:rsid w:val="00012DB3"/>
    <w:rsid w:val="00012F0D"/>
    <w:rsid w:val="00012F92"/>
    <w:rsid w:val="00013B2B"/>
    <w:rsid w:val="00013CA4"/>
    <w:rsid w:val="000140D3"/>
    <w:rsid w:val="000143A6"/>
    <w:rsid w:val="000143E9"/>
    <w:rsid w:val="00014699"/>
    <w:rsid w:val="000146B5"/>
    <w:rsid w:val="00014827"/>
    <w:rsid w:val="00014B87"/>
    <w:rsid w:val="00014C0A"/>
    <w:rsid w:val="00014D32"/>
    <w:rsid w:val="00014D7D"/>
    <w:rsid w:val="00014DDB"/>
    <w:rsid w:val="000151DC"/>
    <w:rsid w:val="000154D3"/>
    <w:rsid w:val="00015513"/>
    <w:rsid w:val="000155F6"/>
    <w:rsid w:val="00015844"/>
    <w:rsid w:val="000159AF"/>
    <w:rsid w:val="00015A23"/>
    <w:rsid w:val="00015AC0"/>
    <w:rsid w:val="00015D08"/>
    <w:rsid w:val="00015DDE"/>
    <w:rsid w:val="00015F05"/>
    <w:rsid w:val="00016051"/>
    <w:rsid w:val="00016643"/>
    <w:rsid w:val="00016E35"/>
    <w:rsid w:val="00016EA7"/>
    <w:rsid w:val="00016EAC"/>
    <w:rsid w:val="00016EF9"/>
    <w:rsid w:val="0001702F"/>
    <w:rsid w:val="000172E0"/>
    <w:rsid w:val="00017964"/>
    <w:rsid w:val="00017A48"/>
    <w:rsid w:val="00017D59"/>
    <w:rsid w:val="00017D91"/>
    <w:rsid w:val="0001E604"/>
    <w:rsid w:val="00020954"/>
    <w:rsid w:val="000209E9"/>
    <w:rsid w:val="00020A56"/>
    <w:rsid w:val="00020E1E"/>
    <w:rsid w:val="00020E2A"/>
    <w:rsid w:val="00020E45"/>
    <w:rsid w:val="00021268"/>
    <w:rsid w:val="000212B8"/>
    <w:rsid w:val="00021482"/>
    <w:rsid w:val="0002151E"/>
    <w:rsid w:val="000216C5"/>
    <w:rsid w:val="00021717"/>
    <w:rsid w:val="00021A6A"/>
    <w:rsid w:val="00021DE6"/>
    <w:rsid w:val="00022107"/>
    <w:rsid w:val="000226CB"/>
    <w:rsid w:val="00022791"/>
    <w:rsid w:val="000227E7"/>
    <w:rsid w:val="000227EF"/>
    <w:rsid w:val="000228DE"/>
    <w:rsid w:val="00022B2A"/>
    <w:rsid w:val="00022B3B"/>
    <w:rsid w:val="000231C3"/>
    <w:rsid w:val="000232B4"/>
    <w:rsid w:val="0002330F"/>
    <w:rsid w:val="0002350F"/>
    <w:rsid w:val="00023643"/>
    <w:rsid w:val="00023997"/>
    <w:rsid w:val="000239CA"/>
    <w:rsid w:val="00023A81"/>
    <w:rsid w:val="0002404E"/>
    <w:rsid w:val="000240D2"/>
    <w:rsid w:val="00024584"/>
    <w:rsid w:val="00024886"/>
    <w:rsid w:val="000248CF"/>
    <w:rsid w:val="00024AB3"/>
    <w:rsid w:val="00024B76"/>
    <w:rsid w:val="00024BE2"/>
    <w:rsid w:val="00024CE9"/>
    <w:rsid w:val="00024D55"/>
    <w:rsid w:val="0002515C"/>
    <w:rsid w:val="000252DF"/>
    <w:rsid w:val="00025604"/>
    <w:rsid w:val="00025760"/>
    <w:rsid w:val="00025E2D"/>
    <w:rsid w:val="000260BC"/>
    <w:rsid w:val="000261C6"/>
    <w:rsid w:val="00026520"/>
    <w:rsid w:val="000266D4"/>
    <w:rsid w:val="00026B10"/>
    <w:rsid w:val="00026E9E"/>
    <w:rsid w:val="0002708E"/>
    <w:rsid w:val="00027240"/>
    <w:rsid w:val="000275A3"/>
    <w:rsid w:val="000276B9"/>
    <w:rsid w:val="00027700"/>
    <w:rsid w:val="000277EA"/>
    <w:rsid w:val="000277F7"/>
    <w:rsid w:val="000279F3"/>
    <w:rsid w:val="00027CC5"/>
    <w:rsid w:val="00027E92"/>
    <w:rsid w:val="000302AC"/>
    <w:rsid w:val="00030305"/>
    <w:rsid w:val="0003041F"/>
    <w:rsid w:val="00030617"/>
    <w:rsid w:val="00030934"/>
    <w:rsid w:val="00030E69"/>
    <w:rsid w:val="00031261"/>
    <w:rsid w:val="000312E0"/>
    <w:rsid w:val="00031430"/>
    <w:rsid w:val="00031652"/>
    <w:rsid w:val="000319A4"/>
    <w:rsid w:val="00031CCD"/>
    <w:rsid w:val="000320A6"/>
    <w:rsid w:val="00032406"/>
    <w:rsid w:val="00032481"/>
    <w:rsid w:val="00032556"/>
    <w:rsid w:val="000326A2"/>
    <w:rsid w:val="000327A9"/>
    <w:rsid w:val="00032839"/>
    <w:rsid w:val="00032860"/>
    <w:rsid w:val="000329B1"/>
    <w:rsid w:val="00032C23"/>
    <w:rsid w:val="0003309F"/>
    <w:rsid w:val="00033354"/>
    <w:rsid w:val="000337DC"/>
    <w:rsid w:val="00033D22"/>
    <w:rsid w:val="00033DD8"/>
    <w:rsid w:val="00034023"/>
    <w:rsid w:val="00034165"/>
    <w:rsid w:val="000344DA"/>
    <w:rsid w:val="00034A49"/>
    <w:rsid w:val="00034A56"/>
    <w:rsid w:val="00035459"/>
    <w:rsid w:val="000355D1"/>
    <w:rsid w:val="0003576C"/>
    <w:rsid w:val="000357CE"/>
    <w:rsid w:val="00035968"/>
    <w:rsid w:val="00035A13"/>
    <w:rsid w:val="00035AFF"/>
    <w:rsid w:val="00035B9A"/>
    <w:rsid w:val="00035BB1"/>
    <w:rsid w:val="00035C8D"/>
    <w:rsid w:val="00035CD8"/>
    <w:rsid w:val="00035FDB"/>
    <w:rsid w:val="000360A2"/>
    <w:rsid w:val="000361D3"/>
    <w:rsid w:val="000361ED"/>
    <w:rsid w:val="00036205"/>
    <w:rsid w:val="00036225"/>
    <w:rsid w:val="000362A0"/>
    <w:rsid w:val="000365D3"/>
    <w:rsid w:val="00036773"/>
    <w:rsid w:val="00036849"/>
    <w:rsid w:val="00036B7F"/>
    <w:rsid w:val="00036D4D"/>
    <w:rsid w:val="00036D73"/>
    <w:rsid w:val="00036E4C"/>
    <w:rsid w:val="000371F2"/>
    <w:rsid w:val="0003745B"/>
    <w:rsid w:val="00037604"/>
    <w:rsid w:val="0003766C"/>
    <w:rsid w:val="00037743"/>
    <w:rsid w:val="00037773"/>
    <w:rsid w:val="000377AE"/>
    <w:rsid w:val="000377CC"/>
    <w:rsid w:val="00037A5A"/>
    <w:rsid w:val="00037DE0"/>
    <w:rsid w:val="00037E7B"/>
    <w:rsid w:val="00040065"/>
    <w:rsid w:val="000401F0"/>
    <w:rsid w:val="00040BA9"/>
    <w:rsid w:val="00040D75"/>
    <w:rsid w:val="00040E6D"/>
    <w:rsid w:val="000415AB"/>
    <w:rsid w:val="00041697"/>
    <w:rsid w:val="00041698"/>
    <w:rsid w:val="000419C8"/>
    <w:rsid w:val="00041ED1"/>
    <w:rsid w:val="00042114"/>
    <w:rsid w:val="00042936"/>
    <w:rsid w:val="00042966"/>
    <w:rsid w:val="00042B90"/>
    <w:rsid w:val="00042C08"/>
    <w:rsid w:val="00042EE5"/>
    <w:rsid w:val="00043205"/>
    <w:rsid w:val="00043218"/>
    <w:rsid w:val="00043499"/>
    <w:rsid w:val="00043754"/>
    <w:rsid w:val="00043B52"/>
    <w:rsid w:val="00043B7A"/>
    <w:rsid w:val="00043F69"/>
    <w:rsid w:val="0004406D"/>
    <w:rsid w:val="00044100"/>
    <w:rsid w:val="0004417B"/>
    <w:rsid w:val="000441BE"/>
    <w:rsid w:val="000442D3"/>
    <w:rsid w:val="000449AE"/>
    <w:rsid w:val="000456D9"/>
    <w:rsid w:val="0004588A"/>
    <w:rsid w:val="0004597A"/>
    <w:rsid w:val="0004599E"/>
    <w:rsid w:val="00045B2B"/>
    <w:rsid w:val="00045D81"/>
    <w:rsid w:val="0004615D"/>
    <w:rsid w:val="00046318"/>
    <w:rsid w:val="00046513"/>
    <w:rsid w:val="00046521"/>
    <w:rsid w:val="00046640"/>
    <w:rsid w:val="00046D5C"/>
    <w:rsid w:val="0004713D"/>
    <w:rsid w:val="00047445"/>
    <w:rsid w:val="00047575"/>
    <w:rsid w:val="000476A9"/>
    <w:rsid w:val="00047702"/>
    <w:rsid w:val="00047740"/>
    <w:rsid w:val="0004793B"/>
    <w:rsid w:val="000479F3"/>
    <w:rsid w:val="00047B47"/>
    <w:rsid w:val="00047B52"/>
    <w:rsid w:val="00047DA8"/>
    <w:rsid w:val="00050178"/>
    <w:rsid w:val="00050192"/>
    <w:rsid w:val="00050A87"/>
    <w:rsid w:val="00050ABC"/>
    <w:rsid w:val="00051388"/>
    <w:rsid w:val="00051524"/>
    <w:rsid w:val="0005163A"/>
    <w:rsid w:val="000516A9"/>
    <w:rsid w:val="00051A09"/>
    <w:rsid w:val="00052050"/>
    <w:rsid w:val="0005241A"/>
    <w:rsid w:val="00052477"/>
    <w:rsid w:val="00052642"/>
    <w:rsid w:val="00052661"/>
    <w:rsid w:val="000526FF"/>
    <w:rsid w:val="00052A1D"/>
    <w:rsid w:val="00052E3C"/>
    <w:rsid w:val="000530A7"/>
    <w:rsid w:val="000530E6"/>
    <w:rsid w:val="0005324A"/>
    <w:rsid w:val="000532DA"/>
    <w:rsid w:val="000532E4"/>
    <w:rsid w:val="0005339A"/>
    <w:rsid w:val="00053449"/>
    <w:rsid w:val="00053522"/>
    <w:rsid w:val="00053912"/>
    <w:rsid w:val="00053A7B"/>
    <w:rsid w:val="00053AB9"/>
    <w:rsid w:val="00053E4B"/>
    <w:rsid w:val="00053FD9"/>
    <w:rsid w:val="000543AE"/>
    <w:rsid w:val="000543BD"/>
    <w:rsid w:val="000543F7"/>
    <w:rsid w:val="0005448D"/>
    <w:rsid w:val="00054695"/>
    <w:rsid w:val="000547D8"/>
    <w:rsid w:val="00054990"/>
    <w:rsid w:val="00054D5D"/>
    <w:rsid w:val="00054D6D"/>
    <w:rsid w:val="000550E7"/>
    <w:rsid w:val="00055141"/>
    <w:rsid w:val="0005524C"/>
    <w:rsid w:val="000557CC"/>
    <w:rsid w:val="000557DE"/>
    <w:rsid w:val="00055827"/>
    <w:rsid w:val="0005591D"/>
    <w:rsid w:val="00055BBB"/>
    <w:rsid w:val="00055E93"/>
    <w:rsid w:val="0005623C"/>
    <w:rsid w:val="000563B5"/>
    <w:rsid w:val="00056582"/>
    <w:rsid w:val="000565CF"/>
    <w:rsid w:val="000566C9"/>
    <w:rsid w:val="00056AA2"/>
    <w:rsid w:val="00056B02"/>
    <w:rsid w:val="00056C15"/>
    <w:rsid w:val="0005742B"/>
    <w:rsid w:val="000578E4"/>
    <w:rsid w:val="00057B2B"/>
    <w:rsid w:val="00057B59"/>
    <w:rsid w:val="00057B5F"/>
    <w:rsid w:val="00057B90"/>
    <w:rsid w:val="00057BA8"/>
    <w:rsid w:val="00057CB7"/>
    <w:rsid w:val="0006001F"/>
    <w:rsid w:val="0006013B"/>
    <w:rsid w:val="000609FE"/>
    <w:rsid w:val="00060AD4"/>
    <w:rsid w:val="00060F30"/>
    <w:rsid w:val="00061BD9"/>
    <w:rsid w:val="00061D0C"/>
    <w:rsid w:val="00061E31"/>
    <w:rsid w:val="0006238E"/>
    <w:rsid w:val="0006246E"/>
    <w:rsid w:val="0006247D"/>
    <w:rsid w:val="00062505"/>
    <w:rsid w:val="00062597"/>
    <w:rsid w:val="00062E8E"/>
    <w:rsid w:val="000631D1"/>
    <w:rsid w:val="00063971"/>
    <w:rsid w:val="00063A83"/>
    <w:rsid w:val="00063BAA"/>
    <w:rsid w:val="00063FAD"/>
    <w:rsid w:val="00064041"/>
    <w:rsid w:val="00064593"/>
    <w:rsid w:val="00064621"/>
    <w:rsid w:val="00064838"/>
    <w:rsid w:val="00064992"/>
    <w:rsid w:val="00064AD1"/>
    <w:rsid w:val="00064AD6"/>
    <w:rsid w:val="00064B63"/>
    <w:rsid w:val="00064B91"/>
    <w:rsid w:val="00064BA4"/>
    <w:rsid w:val="00064C88"/>
    <w:rsid w:val="00064E08"/>
    <w:rsid w:val="00064F7D"/>
    <w:rsid w:val="00065210"/>
    <w:rsid w:val="0006547A"/>
    <w:rsid w:val="00065502"/>
    <w:rsid w:val="000656B2"/>
    <w:rsid w:val="000658F4"/>
    <w:rsid w:val="00065AAC"/>
    <w:rsid w:val="00065AD6"/>
    <w:rsid w:val="00065C39"/>
    <w:rsid w:val="00065EC6"/>
    <w:rsid w:val="00065F9F"/>
    <w:rsid w:val="000660AF"/>
    <w:rsid w:val="0006661F"/>
    <w:rsid w:val="00066A66"/>
    <w:rsid w:val="00066B5C"/>
    <w:rsid w:val="000670FB"/>
    <w:rsid w:val="0006714E"/>
    <w:rsid w:val="000672D0"/>
    <w:rsid w:val="00067B5F"/>
    <w:rsid w:val="00067D78"/>
    <w:rsid w:val="00070090"/>
    <w:rsid w:val="000703D2"/>
    <w:rsid w:val="0007042F"/>
    <w:rsid w:val="0007044B"/>
    <w:rsid w:val="000706B1"/>
    <w:rsid w:val="00070B73"/>
    <w:rsid w:val="00070DED"/>
    <w:rsid w:val="00070E22"/>
    <w:rsid w:val="00070E7F"/>
    <w:rsid w:val="00070EFB"/>
    <w:rsid w:val="000712BE"/>
    <w:rsid w:val="000713E9"/>
    <w:rsid w:val="00071780"/>
    <w:rsid w:val="0007188A"/>
    <w:rsid w:val="000718CE"/>
    <w:rsid w:val="00071908"/>
    <w:rsid w:val="00071AB8"/>
    <w:rsid w:val="00071BE2"/>
    <w:rsid w:val="00071FCD"/>
    <w:rsid w:val="00071FE7"/>
    <w:rsid w:val="00072994"/>
    <w:rsid w:val="00072C2A"/>
    <w:rsid w:val="00072C78"/>
    <w:rsid w:val="00072E03"/>
    <w:rsid w:val="00072E16"/>
    <w:rsid w:val="00073041"/>
    <w:rsid w:val="00073416"/>
    <w:rsid w:val="0007346E"/>
    <w:rsid w:val="00073550"/>
    <w:rsid w:val="000738E4"/>
    <w:rsid w:val="00073B36"/>
    <w:rsid w:val="00073B4C"/>
    <w:rsid w:val="00073CEA"/>
    <w:rsid w:val="00073D24"/>
    <w:rsid w:val="00073D56"/>
    <w:rsid w:val="00073E5E"/>
    <w:rsid w:val="00073F2E"/>
    <w:rsid w:val="000741AD"/>
    <w:rsid w:val="000742A0"/>
    <w:rsid w:val="00074336"/>
    <w:rsid w:val="0007445D"/>
    <w:rsid w:val="00074853"/>
    <w:rsid w:val="000749F5"/>
    <w:rsid w:val="00074D5B"/>
    <w:rsid w:val="00075140"/>
    <w:rsid w:val="000751CA"/>
    <w:rsid w:val="00075522"/>
    <w:rsid w:val="000758BF"/>
    <w:rsid w:val="0007593E"/>
    <w:rsid w:val="00075A3A"/>
    <w:rsid w:val="00075A7B"/>
    <w:rsid w:val="00075C43"/>
    <w:rsid w:val="00075C64"/>
    <w:rsid w:val="00075FDB"/>
    <w:rsid w:val="000760FE"/>
    <w:rsid w:val="00076555"/>
    <w:rsid w:val="0007661D"/>
    <w:rsid w:val="00076881"/>
    <w:rsid w:val="000769E3"/>
    <w:rsid w:val="00076A5D"/>
    <w:rsid w:val="00076A99"/>
    <w:rsid w:val="00076C44"/>
    <w:rsid w:val="00076D4B"/>
    <w:rsid w:val="00076D61"/>
    <w:rsid w:val="0007711E"/>
    <w:rsid w:val="00077846"/>
    <w:rsid w:val="00077987"/>
    <w:rsid w:val="00077A75"/>
    <w:rsid w:val="00077A81"/>
    <w:rsid w:val="00077A9B"/>
    <w:rsid w:val="00077CD7"/>
    <w:rsid w:val="00077E1F"/>
    <w:rsid w:val="0008054E"/>
    <w:rsid w:val="00080C5A"/>
    <w:rsid w:val="00080DB2"/>
    <w:rsid w:val="00081332"/>
    <w:rsid w:val="000814D4"/>
    <w:rsid w:val="0008155F"/>
    <w:rsid w:val="000815FE"/>
    <w:rsid w:val="000816E3"/>
    <w:rsid w:val="00081821"/>
    <w:rsid w:val="00081A95"/>
    <w:rsid w:val="00081A9B"/>
    <w:rsid w:val="00081AC2"/>
    <w:rsid w:val="00081BBB"/>
    <w:rsid w:val="00081BE5"/>
    <w:rsid w:val="00081C01"/>
    <w:rsid w:val="00081CFF"/>
    <w:rsid w:val="00081F6F"/>
    <w:rsid w:val="0008219F"/>
    <w:rsid w:val="0008244F"/>
    <w:rsid w:val="000827F5"/>
    <w:rsid w:val="00082E55"/>
    <w:rsid w:val="00082E79"/>
    <w:rsid w:val="0008363E"/>
    <w:rsid w:val="0008371D"/>
    <w:rsid w:val="00083735"/>
    <w:rsid w:val="00083810"/>
    <w:rsid w:val="00083C97"/>
    <w:rsid w:val="00083D10"/>
    <w:rsid w:val="00083FED"/>
    <w:rsid w:val="00084410"/>
    <w:rsid w:val="00084547"/>
    <w:rsid w:val="00084A34"/>
    <w:rsid w:val="00084D53"/>
    <w:rsid w:val="00084D74"/>
    <w:rsid w:val="00084EBB"/>
    <w:rsid w:val="00085031"/>
    <w:rsid w:val="00085093"/>
    <w:rsid w:val="00085100"/>
    <w:rsid w:val="000854CE"/>
    <w:rsid w:val="000857CF"/>
    <w:rsid w:val="00085C6B"/>
    <w:rsid w:val="00085EEA"/>
    <w:rsid w:val="0008610E"/>
    <w:rsid w:val="00086159"/>
    <w:rsid w:val="0008646C"/>
    <w:rsid w:val="0008670F"/>
    <w:rsid w:val="0008675C"/>
    <w:rsid w:val="000869D2"/>
    <w:rsid w:val="00086A9F"/>
    <w:rsid w:val="00086BAD"/>
    <w:rsid w:val="00086CE5"/>
    <w:rsid w:val="00086D2C"/>
    <w:rsid w:val="00086DEF"/>
    <w:rsid w:val="00086E36"/>
    <w:rsid w:val="00086EEA"/>
    <w:rsid w:val="00087107"/>
    <w:rsid w:val="0008719A"/>
    <w:rsid w:val="00087B57"/>
    <w:rsid w:val="00087C00"/>
    <w:rsid w:val="00087DA7"/>
    <w:rsid w:val="00087FB0"/>
    <w:rsid w:val="00087FD4"/>
    <w:rsid w:val="00087FDF"/>
    <w:rsid w:val="000903BC"/>
    <w:rsid w:val="000903E1"/>
    <w:rsid w:val="000903E5"/>
    <w:rsid w:val="000904E9"/>
    <w:rsid w:val="00090802"/>
    <w:rsid w:val="000908E5"/>
    <w:rsid w:val="00090928"/>
    <w:rsid w:val="00090957"/>
    <w:rsid w:val="00090978"/>
    <w:rsid w:val="00090BCF"/>
    <w:rsid w:val="00090CBF"/>
    <w:rsid w:val="0009107A"/>
    <w:rsid w:val="00091103"/>
    <w:rsid w:val="0009126A"/>
    <w:rsid w:val="000912D6"/>
    <w:rsid w:val="00091700"/>
    <w:rsid w:val="0009182B"/>
    <w:rsid w:val="00092356"/>
    <w:rsid w:val="00092755"/>
    <w:rsid w:val="00092760"/>
    <w:rsid w:val="00092885"/>
    <w:rsid w:val="00092975"/>
    <w:rsid w:val="00092A1A"/>
    <w:rsid w:val="00092C82"/>
    <w:rsid w:val="00092F1D"/>
    <w:rsid w:val="000932A7"/>
    <w:rsid w:val="000933B3"/>
    <w:rsid w:val="00093417"/>
    <w:rsid w:val="000937E4"/>
    <w:rsid w:val="000937E6"/>
    <w:rsid w:val="00093866"/>
    <w:rsid w:val="0009389C"/>
    <w:rsid w:val="00093AFA"/>
    <w:rsid w:val="00093C62"/>
    <w:rsid w:val="00093D17"/>
    <w:rsid w:val="00094018"/>
    <w:rsid w:val="000941A4"/>
    <w:rsid w:val="0009421E"/>
    <w:rsid w:val="00094417"/>
    <w:rsid w:val="00094426"/>
    <w:rsid w:val="00094817"/>
    <w:rsid w:val="0009490F"/>
    <w:rsid w:val="0009494F"/>
    <w:rsid w:val="00094B8F"/>
    <w:rsid w:val="00094D12"/>
    <w:rsid w:val="00094DDC"/>
    <w:rsid w:val="00095054"/>
    <w:rsid w:val="0009515E"/>
    <w:rsid w:val="000951B7"/>
    <w:rsid w:val="00095289"/>
    <w:rsid w:val="00095E06"/>
    <w:rsid w:val="00095E3E"/>
    <w:rsid w:val="00095EF3"/>
    <w:rsid w:val="000960E4"/>
    <w:rsid w:val="0009611E"/>
    <w:rsid w:val="0009624E"/>
    <w:rsid w:val="000962B9"/>
    <w:rsid w:val="0009637C"/>
    <w:rsid w:val="0009689B"/>
    <w:rsid w:val="00096D97"/>
    <w:rsid w:val="00096E6A"/>
    <w:rsid w:val="0009738D"/>
    <w:rsid w:val="000978B1"/>
    <w:rsid w:val="00097B51"/>
    <w:rsid w:val="00097C37"/>
    <w:rsid w:val="00097C57"/>
    <w:rsid w:val="00097DB1"/>
    <w:rsid w:val="0009E8E4"/>
    <w:rsid w:val="000A009A"/>
    <w:rsid w:val="000A01DA"/>
    <w:rsid w:val="000A0292"/>
    <w:rsid w:val="000A0573"/>
    <w:rsid w:val="000A0917"/>
    <w:rsid w:val="000A0F4E"/>
    <w:rsid w:val="000A0FBD"/>
    <w:rsid w:val="000A104F"/>
    <w:rsid w:val="000A106D"/>
    <w:rsid w:val="000A12F7"/>
    <w:rsid w:val="000A144E"/>
    <w:rsid w:val="000A17EB"/>
    <w:rsid w:val="000A1897"/>
    <w:rsid w:val="000A1AD7"/>
    <w:rsid w:val="000A1B40"/>
    <w:rsid w:val="000A1F66"/>
    <w:rsid w:val="000A1F97"/>
    <w:rsid w:val="000A20BF"/>
    <w:rsid w:val="000A2123"/>
    <w:rsid w:val="000A2209"/>
    <w:rsid w:val="000A254B"/>
    <w:rsid w:val="000A2639"/>
    <w:rsid w:val="000A26DE"/>
    <w:rsid w:val="000A2716"/>
    <w:rsid w:val="000A289B"/>
    <w:rsid w:val="000A28EB"/>
    <w:rsid w:val="000A3233"/>
    <w:rsid w:val="000A3460"/>
    <w:rsid w:val="000A364C"/>
    <w:rsid w:val="000A3727"/>
    <w:rsid w:val="000A3A2B"/>
    <w:rsid w:val="000A3B39"/>
    <w:rsid w:val="000A41F7"/>
    <w:rsid w:val="000A4317"/>
    <w:rsid w:val="000A46EC"/>
    <w:rsid w:val="000A4942"/>
    <w:rsid w:val="000A49A7"/>
    <w:rsid w:val="000A4B89"/>
    <w:rsid w:val="000A4C87"/>
    <w:rsid w:val="000A4D9F"/>
    <w:rsid w:val="000A4DF5"/>
    <w:rsid w:val="000A5216"/>
    <w:rsid w:val="000A551E"/>
    <w:rsid w:val="000A57CF"/>
    <w:rsid w:val="000A5879"/>
    <w:rsid w:val="000A59EE"/>
    <w:rsid w:val="000A5F36"/>
    <w:rsid w:val="000A6278"/>
    <w:rsid w:val="000A637A"/>
    <w:rsid w:val="000A64E4"/>
    <w:rsid w:val="000A69D2"/>
    <w:rsid w:val="000A6A12"/>
    <w:rsid w:val="000A6A77"/>
    <w:rsid w:val="000A6CB9"/>
    <w:rsid w:val="000A7030"/>
    <w:rsid w:val="000A7038"/>
    <w:rsid w:val="000A7425"/>
    <w:rsid w:val="000A75CE"/>
    <w:rsid w:val="000A7633"/>
    <w:rsid w:val="000A78F6"/>
    <w:rsid w:val="000A7C58"/>
    <w:rsid w:val="000A7E04"/>
    <w:rsid w:val="000A7E9D"/>
    <w:rsid w:val="000B03AF"/>
    <w:rsid w:val="000B0456"/>
    <w:rsid w:val="000B0CA1"/>
    <w:rsid w:val="000B0E6F"/>
    <w:rsid w:val="000B0F96"/>
    <w:rsid w:val="000B1474"/>
    <w:rsid w:val="000B151B"/>
    <w:rsid w:val="000B1588"/>
    <w:rsid w:val="000B18FC"/>
    <w:rsid w:val="000B1A02"/>
    <w:rsid w:val="000B1AD7"/>
    <w:rsid w:val="000B1CD6"/>
    <w:rsid w:val="000B1DDF"/>
    <w:rsid w:val="000B1EAF"/>
    <w:rsid w:val="000B2159"/>
    <w:rsid w:val="000B2235"/>
    <w:rsid w:val="000B2237"/>
    <w:rsid w:val="000B2262"/>
    <w:rsid w:val="000B22BC"/>
    <w:rsid w:val="000B2323"/>
    <w:rsid w:val="000B2471"/>
    <w:rsid w:val="000B24F5"/>
    <w:rsid w:val="000B27DD"/>
    <w:rsid w:val="000B27F4"/>
    <w:rsid w:val="000B284D"/>
    <w:rsid w:val="000B2884"/>
    <w:rsid w:val="000B29D3"/>
    <w:rsid w:val="000B2D3F"/>
    <w:rsid w:val="000B2EB8"/>
    <w:rsid w:val="000B3187"/>
    <w:rsid w:val="000B3435"/>
    <w:rsid w:val="000B3700"/>
    <w:rsid w:val="000B3BB2"/>
    <w:rsid w:val="000B3BF3"/>
    <w:rsid w:val="000B3CF0"/>
    <w:rsid w:val="000B427D"/>
    <w:rsid w:val="000B4551"/>
    <w:rsid w:val="000B45BE"/>
    <w:rsid w:val="000B4672"/>
    <w:rsid w:val="000B4723"/>
    <w:rsid w:val="000B474D"/>
    <w:rsid w:val="000B4765"/>
    <w:rsid w:val="000B49A2"/>
    <w:rsid w:val="000B4CD4"/>
    <w:rsid w:val="000B4D6B"/>
    <w:rsid w:val="000B4F5C"/>
    <w:rsid w:val="000B509C"/>
    <w:rsid w:val="000B5146"/>
    <w:rsid w:val="000B57E7"/>
    <w:rsid w:val="000B5882"/>
    <w:rsid w:val="000B5AE6"/>
    <w:rsid w:val="000B5BFA"/>
    <w:rsid w:val="000B5E5B"/>
    <w:rsid w:val="000B5EA0"/>
    <w:rsid w:val="000B622A"/>
    <w:rsid w:val="000B631E"/>
    <w:rsid w:val="000B6623"/>
    <w:rsid w:val="000B68E3"/>
    <w:rsid w:val="000B6A2C"/>
    <w:rsid w:val="000B6B15"/>
    <w:rsid w:val="000B6C7F"/>
    <w:rsid w:val="000B6E0B"/>
    <w:rsid w:val="000B6E52"/>
    <w:rsid w:val="000B70FF"/>
    <w:rsid w:val="000B7309"/>
    <w:rsid w:val="000B74C1"/>
    <w:rsid w:val="000B758F"/>
    <w:rsid w:val="000B7686"/>
    <w:rsid w:val="000B771B"/>
    <w:rsid w:val="000B7759"/>
    <w:rsid w:val="000B77F4"/>
    <w:rsid w:val="000B78AC"/>
    <w:rsid w:val="000B7A20"/>
    <w:rsid w:val="000B7CB3"/>
    <w:rsid w:val="000C01E9"/>
    <w:rsid w:val="000C0291"/>
    <w:rsid w:val="000C10BA"/>
    <w:rsid w:val="000C1161"/>
    <w:rsid w:val="000C1984"/>
    <w:rsid w:val="000C19AA"/>
    <w:rsid w:val="000C19E8"/>
    <w:rsid w:val="000C1A2B"/>
    <w:rsid w:val="000C1FE7"/>
    <w:rsid w:val="000C209C"/>
    <w:rsid w:val="000C22F0"/>
    <w:rsid w:val="000C2347"/>
    <w:rsid w:val="000C2373"/>
    <w:rsid w:val="000C2703"/>
    <w:rsid w:val="000C2929"/>
    <w:rsid w:val="000C29C5"/>
    <w:rsid w:val="000C2A1E"/>
    <w:rsid w:val="000C2F1D"/>
    <w:rsid w:val="000C2F85"/>
    <w:rsid w:val="000C2FE4"/>
    <w:rsid w:val="000C303B"/>
    <w:rsid w:val="000C31CC"/>
    <w:rsid w:val="000C3217"/>
    <w:rsid w:val="000C3305"/>
    <w:rsid w:val="000C3615"/>
    <w:rsid w:val="000C39B1"/>
    <w:rsid w:val="000C3BB5"/>
    <w:rsid w:val="000C4077"/>
    <w:rsid w:val="000C4623"/>
    <w:rsid w:val="000C493E"/>
    <w:rsid w:val="000C4A90"/>
    <w:rsid w:val="000C4B15"/>
    <w:rsid w:val="000C4B77"/>
    <w:rsid w:val="000C4D8B"/>
    <w:rsid w:val="000C507E"/>
    <w:rsid w:val="000C519C"/>
    <w:rsid w:val="000C5371"/>
    <w:rsid w:val="000C537C"/>
    <w:rsid w:val="000C54C4"/>
    <w:rsid w:val="000C554D"/>
    <w:rsid w:val="000C555C"/>
    <w:rsid w:val="000C5850"/>
    <w:rsid w:val="000C594A"/>
    <w:rsid w:val="000C5954"/>
    <w:rsid w:val="000C5BD7"/>
    <w:rsid w:val="000C5ED9"/>
    <w:rsid w:val="000C6222"/>
    <w:rsid w:val="000C6955"/>
    <w:rsid w:val="000C69F1"/>
    <w:rsid w:val="000C6AE7"/>
    <w:rsid w:val="000C6CEA"/>
    <w:rsid w:val="000C6D9F"/>
    <w:rsid w:val="000C6E93"/>
    <w:rsid w:val="000C6FD9"/>
    <w:rsid w:val="000C7321"/>
    <w:rsid w:val="000C7559"/>
    <w:rsid w:val="000C7746"/>
    <w:rsid w:val="000C7953"/>
    <w:rsid w:val="000C7AD0"/>
    <w:rsid w:val="000C7CB1"/>
    <w:rsid w:val="000C7DF5"/>
    <w:rsid w:val="000C7E69"/>
    <w:rsid w:val="000D0233"/>
    <w:rsid w:val="000D02DE"/>
    <w:rsid w:val="000D05CA"/>
    <w:rsid w:val="000D05F2"/>
    <w:rsid w:val="000D0620"/>
    <w:rsid w:val="000D07CC"/>
    <w:rsid w:val="000D0C01"/>
    <w:rsid w:val="000D0CDA"/>
    <w:rsid w:val="000D106D"/>
    <w:rsid w:val="000D1217"/>
    <w:rsid w:val="000D12F1"/>
    <w:rsid w:val="000D1394"/>
    <w:rsid w:val="000D13C4"/>
    <w:rsid w:val="000D1424"/>
    <w:rsid w:val="000D1927"/>
    <w:rsid w:val="000D1A28"/>
    <w:rsid w:val="000D1A37"/>
    <w:rsid w:val="000D1B68"/>
    <w:rsid w:val="000D2055"/>
    <w:rsid w:val="000D2064"/>
    <w:rsid w:val="000D22E8"/>
    <w:rsid w:val="000D23B1"/>
    <w:rsid w:val="000D2491"/>
    <w:rsid w:val="000D255E"/>
    <w:rsid w:val="000D271A"/>
    <w:rsid w:val="000D2B77"/>
    <w:rsid w:val="000D3028"/>
    <w:rsid w:val="000D306A"/>
    <w:rsid w:val="000D3276"/>
    <w:rsid w:val="000D34AC"/>
    <w:rsid w:val="000D38E7"/>
    <w:rsid w:val="000D3B46"/>
    <w:rsid w:val="000D3BE3"/>
    <w:rsid w:val="000D3F27"/>
    <w:rsid w:val="000D4073"/>
    <w:rsid w:val="000D40B9"/>
    <w:rsid w:val="000D43DC"/>
    <w:rsid w:val="000D47D3"/>
    <w:rsid w:val="000D4968"/>
    <w:rsid w:val="000D4DDF"/>
    <w:rsid w:val="000D517E"/>
    <w:rsid w:val="000D54CA"/>
    <w:rsid w:val="000D611E"/>
    <w:rsid w:val="000D6161"/>
    <w:rsid w:val="000D65E1"/>
    <w:rsid w:val="000D664B"/>
    <w:rsid w:val="000D67E0"/>
    <w:rsid w:val="000D68ED"/>
    <w:rsid w:val="000D6B66"/>
    <w:rsid w:val="000D6B96"/>
    <w:rsid w:val="000D6C37"/>
    <w:rsid w:val="000D6CC1"/>
    <w:rsid w:val="000D6D87"/>
    <w:rsid w:val="000D6E57"/>
    <w:rsid w:val="000D6F19"/>
    <w:rsid w:val="000D71FE"/>
    <w:rsid w:val="000D7444"/>
    <w:rsid w:val="000D7593"/>
    <w:rsid w:val="000D77B0"/>
    <w:rsid w:val="000D77D4"/>
    <w:rsid w:val="000D78B8"/>
    <w:rsid w:val="000D7BD4"/>
    <w:rsid w:val="000D7CF8"/>
    <w:rsid w:val="000D7DB4"/>
    <w:rsid w:val="000E001B"/>
    <w:rsid w:val="000E034B"/>
    <w:rsid w:val="000E03E0"/>
    <w:rsid w:val="000E055E"/>
    <w:rsid w:val="000E0593"/>
    <w:rsid w:val="000E0B19"/>
    <w:rsid w:val="000E0CB2"/>
    <w:rsid w:val="000E0D0E"/>
    <w:rsid w:val="000E0E1B"/>
    <w:rsid w:val="000E0F86"/>
    <w:rsid w:val="000E0FCD"/>
    <w:rsid w:val="000E116C"/>
    <w:rsid w:val="000E13B6"/>
    <w:rsid w:val="000E14F0"/>
    <w:rsid w:val="000E154C"/>
    <w:rsid w:val="000E15F9"/>
    <w:rsid w:val="000E160A"/>
    <w:rsid w:val="000E16E6"/>
    <w:rsid w:val="000E1813"/>
    <w:rsid w:val="000E1DBF"/>
    <w:rsid w:val="000E2214"/>
    <w:rsid w:val="000E2268"/>
    <w:rsid w:val="000E242C"/>
    <w:rsid w:val="000E249C"/>
    <w:rsid w:val="000E2526"/>
    <w:rsid w:val="000E25D1"/>
    <w:rsid w:val="000E25DC"/>
    <w:rsid w:val="000E2D44"/>
    <w:rsid w:val="000E32A8"/>
    <w:rsid w:val="000E336E"/>
    <w:rsid w:val="000E341A"/>
    <w:rsid w:val="000E34D5"/>
    <w:rsid w:val="000E355F"/>
    <w:rsid w:val="000E3571"/>
    <w:rsid w:val="000E386C"/>
    <w:rsid w:val="000E398C"/>
    <w:rsid w:val="000E39CA"/>
    <w:rsid w:val="000E3EFF"/>
    <w:rsid w:val="000E44AE"/>
    <w:rsid w:val="000E45FD"/>
    <w:rsid w:val="000E49F7"/>
    <w:rsid w:val="000E4BD8"/>
    <w:rsid w:val="000E4E41"/>
    <w:rsid w:val="000E510A"/>
    <w:rsid w:val="000E522B"/>
    <w:rsid w:val="000E5366"/>
    <w:rsid w:val="000E54FF"/>
    <w:rsid w:val="000E55C6"/>
    <w:rsid w:val="000E560B"/>
    <w:rsid w:val="000E56D8"/>
    <w:rsid w:val="000E576C"/>
    <w:rsid w:val="000E592E"/>
    <w:rsid w:val="000E5AA1"/>
    <w:rsid w:val="000E5EED"/>
    <w:rsid w:val="000E5FB2"/>
    <w:rsid w:val="000E6391"/>
    <w:rsid w:val="000E63A8"/>
    <w:rsid w:val="000E6478"/>
    <w:rsid w:val="000E6492"/>
    <w:rsid w:val="000E64D1"/>
    <w:rsid w:val="000E66BE"/>
    <w:rsid w:val="000E6900"/>
    <w:rsid w:val="000E6994"/>
    <w:rsid w:val="000E69B6"/>
    <w:rsid w:val="000E6E07"/>
    <w:rsid w:val="000E6EED"/>
    <w:rsid w:val="000E6F5C"/>
    <w:rsid w:val="000E6FDE"/>
    <w:rsid w:val="000E753E"/>
    <w:rsid w:val="000E7811"/>
    <w:rsid w:val="000E7A89"/>
    <w:rsid w:val="000E7D42"/>
    <w:rsid w:val="000ECA4A"/>
    <w:rsid w:val="000F035C"/>
    <w:rsid w:val="000F040A"/>
    <w:rsid w:val="000F0961"/>
    <w:rsid w:val="000F141B"/>
    <w:rsid w:val="000F161C"/>
    <w:rsid w:val="000F1683"/>
    <w:rsid w:val="000F17A4"/>
    <w:rsid w:val="000F1A71"/>
    <w:rsid w:val="000F205A"/>
    <w:rsid w:val="000F22A7"/>
    <w:rsid w:val="000F249D"/>
    <w:rsid w:val="000F2676"/>
    <w:rsid w:val="000F29C7"/>
    <w:rsid w:val="000F2A9F"/>
    <w:rsid w:val="000F2CEF"/>
    <w:rsid w:val="000F301D"/>
    <w:rsid w:val="000F334E"/>
    <w:rsid w:val="000F33A8"/>
    <w:rsid w:val="000F3440"/>
    <w:rsid w:val="000F3702"/>
    <w:rsid w:val="000F3A29"/>
    <w:rsid w:val="000F3CAC"/>
    <w:rsid w:val="000F3D6C"/>
    <w:rsid w:val="000F3EE6"/>
    <w:rsid w:val="000F40DA"/>
    <w:rsid w:val="000F410F"/>
    <w:rsid w:val="000F414E"/>
    <w:rsid w:val="000F42F6"/>
    <w:rsid w:val="000F4576"/>
    <w:rsid w:val="000F46CA"/>
    <w:rsid w:val="000F4762"/>
    <w:rsid w:val="000F47CA"/>
    <w:rsid w:val="000F47FB"/>
    <w:rsid w:val="000F49A7"/>
    <w:rsid w:val="000F49CC"/>
    <w:rsid w:val="000F4EEB"/>
    <w:rsid w:val="000F5538"/>
    <w:rsid w:val="000F582A"/>
    <w:rsid w:val="000F58A0"/>
    <w:rsid w:val="000F58E8"/>
    <w:rsid w:val="000F5EC4"/>
    <w:rsid w:val="000F5EEC"/>
    <w:rsid w:val="000F6389"/>
    <w:rsid w:val="000F646B"/>
    <w:rsid w:val="000F67BA"/>
    <w:rsid w:val="000F70B4"/>
    <w:rsid w:val="000F71C2"/>
    <w:rsid w:val="000F7601"/>
    <w:rsid w:val="000F77D4"/>
    <w:rsid w:val="000F792A"/>
    <w:rsid w:val="000F7954"/>
    <w:rsid w:val="000F7A0C"/>
    <w:rsid w:val="000F7B69"/>
    <w:rsid w:val="000F7B6D"/>
    <w:rsid w:val="000F7BC5"/>
    <w:rsid w:val="000F7CBB"/>
    <w:rsid w:val="000F7F78"/>
    <w:rsid w:val="000F7FE4"/>
    <w:rsid w:val="000F8B02"/>
    <w:rsid w:val="0010020C"/>
    <w:rsid w:val="00100DE6"/>
    <w:rsid w:val="00100F67"/>
    <w:rsid w:val="001010D7"/>
    <w:rsid w:val="001011F2"/>
    <w:rsid w:val="0010149E"/>
    <w:rsid w:val="001014A8"/>
    <w:rsid w:val="00101752"/>
    <w:rsid w:val="0010193F"/>
    <w:rsid w:val="00101C34"/>
    <w:rsid w:val="00101C8E"/>
    <w:rsid w:val="00101E5E"/>
    <w:rsid w:val="00102194"/>
    <w:rsid w:val="00102390"/>
    <w:rsid w:val="001023AA"/>
    <w:rsid w:val="0010250C"/>
    <w:rsid w:val="0010296D"/>
    <w:rsid w:val="00102AA1"/>
    <w:rsid w:val="00102DBC"/>
    <w:rsid w:val="00102E1E"/>
    <w:rsid w:val="00102FF6"/>
    <w:rsid w:val="0010322E"/>
    <w:rsid w:val="0010347F"/>
    <w:rsid w:val="001039D1"/>
    <w:rsid w:val="00103A14"/>
    <w:rsid w:val="00103B5D"/>
    <w:rsid w:val="00103C1C"/>
    <w:rsid w:val="00103CF9"/>
    <w:rsid w:val="001041CE"/>
    <w:rsid w:val="00104493"/>
    <w:rsid w:val="00104524"/>
    <w:rsid w:val="001045D8"/>
    <w:rsid w:val="00104807"/>
    <w:rsid w:val="00104C24"/>
    <w:rsid w:val="0010501A"/>
    <w:rsid w:val="001051EA"/>
    <w:rsid w:val="00105780"/>
    <w:rsid w:val="00105902"/>
    <w:rsid w:val="001059A2"/>
    <w:rsid w:val="00105B73"/>
    <w:rsid w:val="00105D26"/>
    <w:rsid w:val="00105D2F"/>
    <w:rsid w:val="00105DCD"/>
    <w:rsid w:val="00105DEB"/>
    <w:rsid w:val="00105E4E"/>
    <w:rsid w:val="00106095"/>
    <w:rsid w:val="001060F3"/>
    <w:rsid w:val="00106166"/>
    <w:rsid w:val="0010631A"/>
    <w:rsid w:val="0010657D"/>
    <w:rsid w:val="001067A5"/>
    <w:rsid w:val="001069F5"/>
    <w:rsid w:val="00106A49"/>
    <w:rsid w:val="00106B1B"/>
    <w:rsid w:val="00106B44"/>
    <w:rsid w:val="00106DD6"/>
    <w:rsid w:val="00106DF5"/>
    <w:rsid w:val="00106E25"/>
    <w:rsid w:val="00107004"/>
    <w:rsid w:val="00107299"/>
    <w:rsid w:val="00107310"/>
    <w:rsid w:val="00107589"/>
    <w:rsid w:val="00107C1B"/>
    <w:rsid w:val="00107DFB"/>
    <w:rsid w:val="00107EE4"/>
    <w:rsid w:val="00107F51"/>
    <w:rsid w:val="001102F9"/>
    <w:rsid w:val="001103F3"/>
    <w:rsid w:val="0011047B"/>
    <w:rsid w:val="00110537"/>
    <w:rsid w:val="00110585"/>
    <w:rsid w:val="00110777"/>
    <w:rsid w:val="001107B3"/>
    <w:rsid w:val="0011088A"/>
    <w:rsid w:val="001109D4"/>
    <w:rsid w:val="00110ACC"/>
    <w:rsid w:val="001110C1"/>
    <w:rsid w:val="00111245"/>
    <w:rsid w:val="00111721"/>
    <w:rsid w:val="001117FB"/>
    <w:rsid w:val="00111914"/>
    <w:rsid w:val="00111938"/>
    <w:rsid w:val="00112196"/>
    <w:rsid w:val="001121D2"/>
    <w:rsid w:val="00112410"/>
    <w:rsid w:val="00112526"/>
    <w:rsid w:val="00112617"/>
    <w:rsid w:val="00112B7F"/>
    <w:rsid w:val="0011301A"/>
    <w:rsid w:val="00113288"/>
    <w:rsid w:val="00113799"/>
    <w:rsid w:val="00113C17"/>
    <w:rsid w:val="00113F09"/>
    <w:rsid w:val="0011404B"/>
    <w:rsid w:val="00114199"/>
    <w:rsid w:val="001141E5"/>
    <w:rsid w:val="0011461E"/>
    <w:rsid w:val="001146FE"/>
    <w:rsid w:val="00114883"/>
    <w:rsid w:val="00114943"/>
    <w:rsid w:val="00114A49"/>
    <w:rsid w:val="00114B07"/>
    <w:rsid w:val="00115032"/>
    <w:rsid w:val="00115102"/>
    <w:rsid w:val="0011514C"/>
    <w:rsid w:val="00115227"/>
    <w:rsid w:val="0011590E"/>
    <w:rsid w:val="00115B9E"/>
    <w:rsid w:val="00115D03"/>
    <w:rsid w:val="00115E51"/>
    <w:rsid w:val="00115E69"/>
    <w:rsid w:val="00115F74"/>
    <w:rsid w:val="001160BC"/>
    <w:rsid w:val="001160EA"/>
    <w:rsid w:val="001164B9"/>
    <w:rsid w:val="00116660"/>
    <w:rsid w:val="001166B4"/>
    <w:rsid w:val="00116A67"/>
    <w:rsid w:val="00117569"/>
    <w:rsid w:val="0011762F"/>
    <w:rsid w:val="00117713"/>
    <w:rsid w:val="00117DD6"/>
    <w:rsid w:val="00117EE5"/>
    <w:rsid w:val="00117F57"/>
    <w:rsid w:val="001200A4"/>
    <w:rsid w:val="001200DB"/>
    <w:rsid w:val="001200E5"/>
    <w:rsid w:val="00120359"/>
    <w:rsid w:val="001204D2"/>
    <w:rsid w:val="001206CB"/>
    <w:rsid w:val="00120943"/>
    <w:rsid w:val="00120E42"/>
    <w:rsid w:val="00120EE2"/>
    <w:rsid w:val="00121280"/>
    <w:rsid w:val="001213B2"/>
    <w:rsid w:val="00121806"/>
    <w:rsid w:val="001219F8"/>
    <w:rsid w:val="00121F5C"/>
    <w:rsid w:val="00122345"/>
    <w:rsid w:val="00122CEB"/>
    <w:rsid w:val="00123046"/>
    <w:rsid w:val="001230E5"/>
    <w:rsid w:val="00123138"/>
    <w:rsid w:val="0012314A"/>
    <w:rsid w:val="00123351"/>
    <w:rsid w:val="00123404"/>
    <w:rsid w:val="00123AB1"/>
    <w:rsid w:val="00123B04"/>
    <w:rsid w:val="00123D51"/>
    <w:rsid w:val="00123FC8"/>
    <w:rsid w:val="001240BB"/>
    <w:rsid w:val="0012434B"/>
    <w:rsid w:val="00124546"/>
    <w:rsid w:val="00124682"/>
    <w:rsid w:val="0012472F"/>
    <w:rsid w:val="0012494C"/>
    <w:rsid w:val="001249A7"/>
    <w:rsid w:val="00124AE1"/>
    <w:rsid w:val="00124CF6"/>
    <w:rsid w:val="00124E14"/>
    <w:rsid w:val="00124FAA"/>
    <w:rsid w:val="00125370"/>
    <w:rsid w:val="0012542B"/>
    <w:rsid w:val="001259F5"/>
    <w:rsid w:val="00125D55"/>
    <w:rsid w:val="00126076"/>
    <w:rsid w:val="00126366"/>
    <w:rsid w:val="0012665A"/>
    <w:rsid w:val="001266AD"/>
    <w:rsid w:val="00126E81"/>
    <w:rsid w:val="00126F00"/>
    <w:rsid w:val="00126FEB"/>
    <w:rsid w:val="0012748D"/>
    <w:rsid w:val="001274CE"/>
    <w:rsid w:val="00127730"/>
    <w:rsid w:val="00127E7C"/>
    <w:rsid w:val="00127FCC"/>
    <w:rsid w:val="001303B2"/>
    <w:rsid w:val="00130410"/>
    <w:rsid w:val="00130811"/>
    <w:rsid w:val="00130EE1"/>
    <w:rsid w:val="00130F0E"/>
    <w:rsid w:val="0013112D"/>
    <w:rsid w:val="001311F4"/>
    <w:rsid w:val="0013137D"/>
    <w:rsid w:val="00131894"/>
    <w:rsid w:val="0013189C"/>
    <w:rsid w:val="001318DF"/>
    <w:rsid w:val="00131CF7"/>
    <w:rsid w:val="00131DAA"/>
    <w:rsid w:val="00131E4F"/>
    <w:rsid w:val="00131FB7"/>
    <w:rsid w:val="00132012"/>
    <w:rsid w:val="00132172"/>
    <w:rsid w:val="00132694"/>
    <w:rsid w:val="0013289D"/>
    <w:rsid w:val="00132A18"/>
    <w:rsid w:val="00132BC1"/>
    <w:rsid w:val="00132C96"/>
    <w:rsid w:val="00132DE3"/>
    <w:rsid w:val="00132E85"/>
    <w:rsid w:val="0013307C"/>
    <w:rsid w:val="00133118"/>
    <w:rsid w:val="0013315B"/>
    <w:rsid w:val="001332B6"/>
    <w:rsid w:val="001332F7"/>
    <w:rsid w:val="001333CA"/>
    <w:rsid w:val="00133751"/>
    <w:rsid w:val="0013388E"/>
    <w:rsid w:val="00133926"/>
    <w:rsid w:val="00133AE3"/>
    <w:rsid w:val="00133AE4"/>
    <w:rsid w:val="00133B64"/>
    <w:rsid w:val="001340D2"/>
    <w:rsid w:val="00134181"/>
    <w:rsid w:val="0013451F"/>
    <w:rsid w:val="00134735"/>
    <w:rsid w:val="00134B79"/>
    <w:rsid w:val="00134E45"/>
    <w:rsid w:val="00135107"/>
    <w:rsid w:val="0013513F"/>
    <w:rsid w:val="001351C8"/>
    <w:rsid w:val="00135471"/>
    <w:rsid w:val="00135874"/>
    <w:rsid w:val="00135EA0"/>
    <w:rsid w:val="00135F9C"/>
    <w:rsid w:val="00135FD0"/>
    <w:rsid w:val="00137024"/>
    <w:rsid w:val="00137149"/>
    <w:rsid w:val="00137325"/>
    <w:rsid w:val="001374F5"/>
    <w:rsid w:val="00137561"/>
    <w:rsid w:val="0013772A"/>
    <w:rsid w:val="001377E3"/>
    <w:rsid w:val="00137D0C"/>
    <w:rsid w:val="00137D36"/>
    <w:rsid w:val="00137E57"/>
    <w:rsid w:val="00137E6F"/>
    <w:rsid w:val="00137FBB"/>
    <w:rsid w:val="00140050"/>
    <w:rsid w:val="00140053"/>
    <w:rsid w:val="001401E8"/>
    <w:rsid w:val="001404BC"/>
    <w:rsid w:val="00140625"/>
    <w:rsid w:val="00141128"/>
    <w:rsid w:val="0014125B"/>
    <w:rsid w:val="001413AB"/>
    <w:rsid w:val="001415C4"/>
    <w:rsid w:val="00141766"/>
    <w:rsid w:val="00141808"/>
    <w:rsid w:val="00141F91"/>
    <w:rsid w:val="00142392"/>
    <w:rsid w:val="001423B1"/>
    <w:rsid w:val="00142410"/>
    <w:rsid w:val="00142422"/>
    <w:rsid w:val="001424B0"/>
    <w:rsid w:val="001424C4"/>
    <w:rsid w:val="001425A8"/>
    <w:rsid w:val="001428FB"/>
    <w:rsid w:val="00142B2E"/>
    <w:rsid w:val="00142F1B"/>
    <w:rsid w:val="00142FE5"/>
    <w:rsid w:val="001431B1"/>
    <w:rsid w:val="001431D8"/>
    <w:rsid w:val="00143329"/>
    <w:rsid w:val="00143622"/>
    <w:rsid w:val="00143751"/>
    <w:rsid w:val="00143980"/>
    <w:rsid w:val="001439D2"/>
    <w:rsid w:val="00143A4C"/>
    <w:rsid w:val="00143ACC"/>
    <w:rsid w:val="00143BBB"/>
    <w:rsid w:val="00143F32"/>
    <w:rsid w:val="00144627"/>
    <w:rsid w:val="00144721"/>
    <w:rsid w:val="001447C7"/>
    <w:rsid w:val="0014482C"/>
    <w:rsid w:val="0014482D"/>
    <w:rsid w:val="0014483C"/>
    <w:rsid w:val="00144B35"/>
    <w:rsid w:val="00144CB0"/>
    <w:rsid w:val="00144CCB"/>
    <w:rsid w:val="001450F1"/>
    <w:rsid w:val="00145757"/>
    <w:rsid w:val="00145779"/>
    <w:rsid w:val="00145912"/>
    <w:rsid w:val="00145945"/>
    <w:rsid w:val="00145C4F"/>
    <w:rsid w:val="00145DAB"/>
    <w:rsid w:val="0014621A"/>
    <w:rsid w:val="00146972"/>
    <w:rsid w:val="00146AA0"/>
    <w:rsid w:val="00146C16"/>
    <w:rsid w:val="00146C4B"/>
    <w:rsid w:val="00146D02"/>
    <w:rsid w:val="00146D9B"/>
    <w:rsid w:val="00146F84"/>
    <w:rsid w:val="00147083"/>
    <w:rsid w:val="001472A1"/>
    <w:rsid w:val="001474DA"/>
    <w:rsid w:val="00147671"/>
    <w:rsid w:val="00147856"/>
    <w:rsid w:val="001478A9"/>
    <w:rsid w:val="00147903"/>
    <w:rsid w:val="00147D4F"/>
    <w:rsid w:val="00147F34"/>
    <w:rsid w:val="0014AD95"/>
    <w:rsid w:val="0015011B"/>
    <w:rsid w:val="001501E2"/>
    <w:rsid w:val="00150628"/>
    <w:rsid w:val="001507C6"/>
    <w:rsid w:val="00150ACB"/>
    <w:rsid w:val="001511D8"/>
    <w:rsid w:val="001512BC"/>
    <w:rsid w:val="00151390"/>
    <w:rsid w:val="00151525"/>
    <w:rsid w:val="0015174B"/>
    <w:rsid w:val="0015177C"/>
    <w:rsid w:val="00151803"/>
    <w:rsid w:val="00151896"/>
    <w:rsid w:val="0015195E"/>
    <w:rsid w:val="00151C17"/>
    <w:rsid w:val="00151D49"/>
    <w:rsid w:val="00151DEB"/>
    <w:rsid w:val="0015214E"/>
    <w:rsid w:val="0015219C"/>
    <w:rsid w:val="0015235F"/>
    <w:rsid w:val="001523A4"/>
    <w:rsid w:val="0015242E"/>
    <w:rsid w:val="0015245F"/>
    <w:rsid w:val="0015295C"/>
    <w:rsid w:val="00152A01"/>
    <w:rsid w:val="00152A10"/>
    <w:rsid w:val="00152A19"/>
    <w:rsid w:val="00152D13"/>
    <w:rsid w:val="00152D1E"/>
    <w:rsid w:val="00152FC4"/>
    <w:rsid w:val="0015335F"/>
    <w:rsid w:val="001535A8"/>
    <w:rsid w:val="00153AE2"/>
    <w:rsid w:val="00153B0E"/>
    <w:rsid w:val="00153B3E"/>
    <w:rsid w:val="00153E37"/>
    <w:rsid w:val="0015429B"/>
    <w:rsid w:val="001544A7"/>
    <w:rsid w:val="001548A2"/>
    <w:rsid w:val="00154950"/>
    <w:rsid w:val="00154A33"/>
    <w:rsid w:val="00154A5F"/>
    <w:rsid w:val="00154B7A"/>
    <w:rsid w:val="00154D8B"/>
    <w:rsid w:val="0015515D"/>
    <w:rsid w:val="00155248"/>
    <w:rsid w:val="0015543F"/>
    <w:rsid w:val="00155655"/>
    <w:rsid w:val="00155E1C"/>
    <w:rsid w:val="00155F4C"/>
    <w:rsid w:val="00156108"/>
    <w:rsid w:val="001563A3"/>
    <w:rsid w:val="00156583"/>
    <w:rsid w:val="0015664B"/>
    <w:rsid w:val="00156706"/>
    <w:rsid w:val="00156D40"/>
    <w:rsid w:val="0015703C"/>
    <w:rsid w:val="0015715A"/>
    <w:rsid w:val="00157809"/>
    <w:rsid w:val="00157A47"/>
    <w:rsid w:val="00157B7A"/>
    <w:rsid w:val="00160320"/>
    <w:rsid w:val="001606C2"/>
    <w:rsid w:val="00160711"/>
    <w:rsid w:val="00160855"/>
    <w:rsid w:val="001608D2"/>
    <w:rsid w:val="00160FF3"/>
    <w:rsid w:val="001611F2"/>
    <w:rsid w:val="0016190E"/>
    <w:rsid w:val="00161AB9"/>
    <w:rsid w:val="00161AD6"/>
    <w:rsid w:val="00161B9F"/>
    <w:rsid w:val="00161EBB"/>
    <w:rsid w:val="00162088"/>
    <w:rsid w:val="001621DA"/>
    <w:rsid w:val="00162362"/>
    <w:rsid w:val="001625AF"/>
    <w:rsid w:val="001628F1"/>
    <w:rsid w:val="00162CD5"/>
    <w:rsid w:val="00162CD8"/>
    <w:rsid w:val="00162CF0"/>
    <w:rsid w:val="00163152"/>
    <w:rsid w:val="00163215"/>
    <w:rsid w:val="001634F8"/>
    <w:rsid w:val="0016375C"/>
    <w:rsid w:val="00163CD6"/>
    <w:rsid w:val="00163D99"/>
    <w:rsid w:val="00163DA0"/>
    <w:rsid w:val="00163DD8"/>
    <w:rsid w:val="00163FC9"/>
    <w:rsid w:val="001644D6"/>
    <w:rsid w:val="00164512"/>
    <w:rsid w:val="001647C2"/>
    <w:rsid w:val="001648F8"/>
    <w:rsid w:val="00164C1F"/>
    <w:rsid w:val="0016502F"/>
    <w:rsid w:val="001650D2"/>
    <w:rsid w:val="001654AD"/>
    <w:rsid w:val="001654F1"/>
    <w:rsid w:val="0016552E"/>
    <w:rsid w:val="00165A27"/>
    <w:rsid w:val="00165A36"/>
    <w:rsid w:val="00165D4B"/>
    <w:rsid w:val="00166113"/>
    <w:rsid w:val="00166788"/>
    <w:rsid w:val="00166ABD"/>
    <w:rsid w:val="00166CFF"/>
    <w:rsid w:val="00166DC1"/>
    <w:rsid w:val="00166FD8"/>
    <w:rsid w:val="00167281"/>
    <w:rsid w:val="0016758A"/>
    <w:rsid w:val="001675B6"/>
    <w:rsid w:val="00167CBD"/>
    <w:rsid w:val="00167D62"/>
    <w:rsid w:val="00167D78"/>
    <w:rsid w:val="001702FC"/>
    <w:rsid w:val="00170355"/>
    <w:rsid w:val="001703DA"/>
    <w:rsid w:val="00170644"/>
    <w:rsid w:val="001707AF"/>
    <w:rsid w:val="001708FC"/>
    <w:rsid w:val="001709D8"/>
    <w:rsid w:val="00170CA8"/>
    <w:rsid w:val="00170D18"/>
    <w:rsid w:val="00171176"/>
    <w:rsid w:val="001711E0"/>
    <w:rsid w:val="001713BA"/>
    <w:rsid w:val="0017146D"/>
    <w:rsid w:val="0017162B"/>
    <w:rsid w:val="001716B0"/>
    <w:rsid w:val="001716F1"/>
    <w:rsid w:val="001718F7"/>
    <w:rsid w:val="00171B50"/>
    <w:rsid w:val="00171B90"/>
    <w:rsid w:val="00171C47"/>
    <w:rsid w:val="001721D1"/>
    <w:rsid w:val="00172542"/>
    <w:rsid w:val="001729CF"/>
    <w:rsid w:val="00172A69"/>
    <w:rsid w:val="001732A6"/>
    <w:rsid w:val="00173448"/>
    <w:rsid w:val="00173666"/>
    <w:rsid w:val="001736F9"/>
    <w:rsid w:val="0017391A"/>
    <w:rsid w:val="00173A4F"/>
    <w:rsid w:val="00173B34"/>
    <w:rsid w:val="00173BE9"/>
    <w:rsid w:val="00173E03"/>
    <w:rsid w:val="00173EB9"/>
    <w:rsid w:val="00174000"/>
    <w:rsid w:val="00174472"/>
    <w:rsid w:val="0017456D"/>
    <w:rsid w:val="00174615"/>
    <w:rsid w:val="00175258"/>
    <w:rsid w:val="001752FF"/>
    <w:rsid w:val="00175384"/>
    <w:rsid w:val="001754AA"/>
    <w:rsid w:val="001754D3"/>
    <w:rsid w:val="00175AB3"/>
    <w:rsid w:val="00175C9C"/>
    <w:rsid w:val="00175DFE"/>
    <w:rsid w:val="0017613A"/>
    <w:rsid w:val="00176222"/>
    <w:rsid w:val="00176268"/>
    <w:rsid w:val="001762FF"/>
    <w:rsid w:val="001763B0"/>
    <w:rsid w:val="0017643C"/>
    <w:rsid w:val="001764DE"/>
    <w:rsid w:val="001765B1"/>
    <w:rsid w:val="00176687"/>
    <w:rsid w:val="00176936"/>
    <w:rsid w:val="00176955"/>
    <w:rsid w:val="00176CAF"/>
    <w:rsid w:val="00176FDE"/>
    <w:rsid w:val="0017733C"/>
    <w:rsid w:val="00177667"/>
    <w:rsid w:val="00177D3A"/>
    <w:rsid w:val="00177DAB"/>
    <w:rsid w:val="00177FC6"/>
    <w:rsid w:val="001800E3"/>
    <w:rsid w:val="00180172"/>
    <w:rsid w:val="0018017F"/>
    <w:rsid w:val="001801F7"/>
    <w:rsid w:val="00180376"/>
    <w:rsid w:val="0018077F"/>
    <w:rsid w:val="00180C3F"/>
    <w:rsid w:val="0018131D"/>
    <w:rsid w:val="001814D6"/>
    <w:rsid w:val="001814FD"/>
    <w:rsid w:val="001815E9"/>
    <w:rsid w:val="001817E7"/>
    <w:rsid w:val="00181942"/>
    <w:rsid w:val="001819A0"/>
    <w:rsid w:val="00181AD8"/>
    <w:rsid w:val="00181B5E"/>
    <w:rsid w:val="00181D18"/>
    <w:rsid w:val="00182114"/>
    <w:rsid w:val="00182127"/>
    <w:rsid w:val="0018217A"/>
    <w:rsid w:val="001821DB"/>
    <w:rsid w:val="001821EA"/>
    <w:rsid w:val="0018238C"/>
    <w:rsid w:val="0018242B"/>
    <w:rsid w:val="00182629"/>
    <w:rsid w:val="00182740"/>
    <w:rsid w:val="00182926"/>
    <w:rsid w:val="00182AF7"/>
    <w:rsid w:val="00182B7C"/>
    <w:rsid w:val="00182FB2"/>
    <w:rsid w:val="001835B1"/>
    <w:rsid w:val="0018375D"/>
    <w:rsid w:val="001837A1"/>
    <w:rsid w:val="0018381D"/>
    <w:rsid w:val="00183868"/>
    <w:rsid w:val="00183A5F"/>
    <w:rsid w:val="00183AB5"/>
    <w:rsid w:val="00183B64"/>
    <w:rsid w:val="00183CBB"/>
    <w:rsid w:val="00183D4F"/>
    <w:rsid w:val="00184765"/>
    <w:rsid w:val="00184899"/>
    <w:rsid w:val="00184CBD"/>
    <w:rsid w:val="00184E5B"/>
    <w:rsid w:val="00184E93"/>
    <w:rsid w:val="00184F3D"/>
    <w:rsid w:val="00185525"/>
    <w:rsid w:val="00185879"/>
    <w:rsid w:val="00185B1B"/>
    <w:rsid w:val="00185B58"/>
    <w:rsid w:val="00185EEA"/>
    <w:rsid w:val="00185FB5"/>
    <w:rsid w:val="001861FD"/>
    <w:rsid w:val="001862B7"/>
    <w:rsid w:val="001863C9"/>
    <w:rsid w:val="001864B2"/>
    <w:rsid w:val="001864C2"/>
    <w:rsid w:val="001864C4"/>
    <w:rsid w:val="001867E1"/>
    <w:rsid w:val="00186B6E"/>
    <w:rsid w:val="00186BD3"/>
    <w:rsid w:val="00186D77"/>
    <w:rsid w:val="00186E1A"/>
    <w:rsid w:val="00186F1F"/>
    <w:rsid w:val="00187048"/>
    <w:rsid w:val="00187209"/>
    <w:rsid w:val="00187315"/>
    <w:rsid w:val="0018758D"/>
    <w:rsid w:val="0018778E"/>
    <w:rsid w:val="001877E2"/>
    <w:rsid w:val="00187C43"/>
    <w:rsid w:val="00187F57"/>
    <w:rsid w:val="00190002"/>
    <w:rsid w:val="00190064"/>
    <w:rsid w:val="00190137"/>
    <w:rsid w:val="00190409"/>
    <w:rsid w:val="0019081D"/>
    <w:rsid w:val="001908B3"/>
    <w:rsid w:val="00190B8A"/>
    <w:rsid w:val="00190BE2"/>
    <w:rsid w:val="00190D83"/>
    <w:rsid w:val="00190FA8"/>
    <w:rsid w:val="0019100F"/>
    <w:rsid w:val="0019116B"/>
    <w:rsid w:val="001911AA"/>
    <w:rsid w:val="0019132A"/>
    <w:rsid w:val="001914B4"/>
    <w:rsid w:val="00191640"/>
    <w:rsid w:val="001916D8"/>
    <w:rsid w:val="00191974"/>
    <w:rsid w:val="00191B3E"/>
    <w:rsid w:val="00191D31"/>
    <w:rsid w:val="001923C7"/>
    <w:rsid w:val="00192490"/>
    <w:rsid w:val="0019262E"/>
    <w:rsid w:val="001926CB"/>
    <w:rsid w:val="00192745"/>
    <w:rsid w:val="0019276B"/>
    <w:rsid w:val="00192779"/>
    <w:rsid w:val="00192B76"/>
    <w:rsid w:val="001930B5"/>
    <w:rsid w:val="001930F4"/>
    <w:rsid w:val="0019335A"/>
    <w:rsid w:val="001933E2"/>
    <w:rsid w:val="001934D5"/>
    <w:rsid w:val="00193521"/>
    <w:rsid w:val="00193582"/>
    <w:rsid w:val="00193634"/>
    <w:rsid w:val="00193F12"/>
    <w:rsid w:val="00194030"/>
    <w:rsid w:val="00194327"/>
    <w:rsid w:val="001943A8"/>
    <w:rsid w:val="001944E0"/>
    <w:rsid w:val="00194537"/>
    <w:rsid w:val="00194553"/>
    <w:rsid w:val="00194909"/>
    <w:rsid w:val="00194A83"/>
    <w:rsid w:val="00194F20"/>
    <w:rsid w:val="001954CE"/>
    <w:rsid w:val="00195F4F"/>
    <w:rsid w:val="00195F55"/>
    <w:rsid w:val="00196159"/>
    <w:rsid w:val="001961B0"/>
    <w:rsid w:val="001968DD"/>
    <w:rsid w:val="00196AC0"/>
    <w:rsid w:val="00196EF2"/>
    <w:rsid w:val="00196F12"/>
    <w:rsid w:val="0019715D"/>
    <w:rsid w:val="001972BC"/>
    <w:rsid w:val="00197489"/>
    <w:rsid w:val="001978C7"/>
    <w:rsid w:val="00197AD0"/>
    <w:rsid w:val="00197ADB"/>
    <w:rsid w:val="001A0980"/>
    <w:rsid w:val="001A0A6C"/>
    <w:rsid w:val="001A15EB"/>
    <w:rsid w:val="001A177F"/>
    <w:rsid w:val="001A1B4F"/>
    <w:rsid w:val="001A2105"/>
    <w:rsid w:val="001A2177"/>
    <w:rsid w:val="001A2227"/>
    <w:rsid w:val="001A227D"/>
    <w:rsid w:val="001A2452"/>
    <w:rsid w:val="001A25FE"/>
    <w:rsid w:val="001A26E8"/>
    <w:rsid w:val="001A2A6F"/>
    <w:rsid w:val="001A2CE7"/>
    <w:rsid w:val="001A3243"/>
    <w:rsid w:val="001A32AF"/>
    <w:rsid w:val="001A338B"/>
    <w:rsid w:val="001A3429"/>
    <w:rsid w:val="001A38BB"/>
    <w:rsid w:val="001A3E35"/>
    <w:rsid w:val="001A4062"/>
    <w:rsid w:val="001A4527"/>
    <w:rsid w:val="001A461C"/>
    <w:rsid w:val="001A47FD"/>
    <w:rsid w:val="001A48E7"/>
    <w:rsid w:val="001A4C06"/>
    <w:rsid w:val="001A4DCE"/>
    <w:rsid w:val="001A5476"/>
    <w:rsid w:val="001A5735"/>
    <w:rsid w:val="001A5A3C"/>
    <w:rsid w:val="001A5A52"/>
    <w:rsid w:val="001A5C2C"/>
    <w:rsid w:val="001A5CD3"/>
    <w:rsid w:val="001A5DA9"/>
    <w:rsid w:val="001A5DD5"/>
    <w:rsid w:val="001A5E02"/>
    <w:rsid w:val="001A5FE5"/>
    <w:rsid w:val="001A6031"/>
    <w:rsid w:val="001A6032"/>
    <w:rsid w:val="001A609B"/>
    <w:rsid w:val="001A6222"/>
    <w:rsid w:val="001A6298"/>
    <w:rsid w:val="001A62B0"/>
    <w:rsid w:val="001A643E"/>
    <w:rsid w:val="001A64B7"/>
    <w:rsid w:val="001A6834"/>
    <w:rsid w:val="001A6CB9"/>
    <w:rsid w:val="001A7078"/>
    <w:rsid w:val="001A713A"/>
    <w:rsid w:val="001A778F"/>
    <w:rsid w:val="001A7999"/>
    <w:rsid w:val="001A7FE3"/>
    <w:rsid w:val="001AB439"/>
    <w:rsid w:val="001B0321"/>
    <w:rsid w:val="001B04EB"/>
    <w:rsid w:val="001B05E9"/>
    <w:rsid w:val="001B07B6"/>
    <w:rsid w:val="001B0CAB"/>
    <w:rsid w:val="001B0ED9"/>
    <w:rsid w:val="001B1203"/>
    <w:rsid w:val="001B1236"/>
    <w:rsid w:val="001B1A8E"/>
    <w:rsid w:val="001B1D72"/>
    <w:rsid w:val="001B1E48"/>
    <w:rsid w:val="001B1EC4"/>
    <w:rsid w:val="001B2044"/>
    <w:rsid w:val="001B21E2"/>
    <w:rsid w:val="001B257E"/>
    <w:rsid w:val="001B2847"/>
    <w:rsid w:val="001B285F"/>
    <w:rsid w:val="001B2918"/>
    <w:rsid w:val="001B2CCA"/>
    <w:rsid w:val="001B3086"/>
    <w:rsid w:val="001B3118"/>
    <w:rsid w:val="001B3150"/>
    <w:rsid w:val="001B33AD"/>
    <w:rsid w:val="001B34C0"/>
    <w:rsid w:val="001B3C7B"/>
    <w:rsid w:val="001B3CB8"/>
    <w:rsid w:val="001B3E5C"/>
    <w:rsid w:val="001B463E"/>
    <w:rsid w:val="001B478F"/>
    <w:rsid w:val="001B4796"/>
    <w:rsid w:val="001B493D"/>
    <w:rsid w:val="001B4BA2"/>
    <w:rsid w:val="001B4BE5"/>
    <w:rsid w:val="001B4F8C"/>
    <w:rsid w:val="001B51A9"/>
    <w:rsid w:val="001B562B"/>
    <w:rsid w:val="001B5653"/>
    <w:rsid w:val="001B59A5"/>
    <w:rsid w:val="001B5B89"/>
    <w:rsid w:val="001B5EC6"/>
    <w:rsid w:val="001B5FAB"/>
    <w:rsid w:val="001B5FE5"/>
    <w:rsid w:val="001B60B9"/>
    <w:rsid w:val="001B645D"/>
    <w:rsid w:val="001B648B"/>
    <w:rsid w:val="001B64CC"/>
    <w:rsid w:val="001B652F"/>
    <w:rsid w:val="001B65A4"/>
    <w:rsid w:val="001B65BA"/>
    <w:rsid w:val="001B66CF"/>
    <w:rsid w:val="001B6CFB"/>
    <w:rsid w:val="001B6D99"/>
    <w:rsid w:val="001B73F3"/>
    <w:rsid w:val="001B74BB"/>
    <w:rsid w:val="001B79A5"/>
    <w:rsid w:val="001B7B89"/>
    <w:rsid w:val="001B7BA7"/>
    <w:rsid w:val="001B7DCD"/>
    <w:rsid w:val="001BDD17"/>
    <w:rsid w:val="001C005A"/>
    <w:rsid w:val="001C0095"/>
    <w:rsid w:val="001C0199"/>
    <w:rsid w:val="001C01F1"/>
    <w:rsid w:val="001C02C4"/>
    <w:rsid w:val="001C0630"/>
    <w:rsid w:val="001C065F"/>
    <w:rsid w:val="001C0886"/>
    <w:rsid w:val="001C0955"/>
    <w:rsid w:val="001C09E5"/>
    <w:rsid w:val="001C0B83"/>
    <w:rsid w:val="001C0C01"/>
    <w:rsid w:val="001C0C10"/>
    <w:rsid w:val="001C0EB6"/>
    <w:rsid w:val="001C0ED9"/>
    <w:rsid w:val="001C0FDA"/>
    <w:rsid w:val="001C10A5"/>
    <w:rsid w:val="001C10FA"/>
    <w:rsid w:val="001C112A"/>
    <w:rsid w:val="001C18C3"/>
    <w:rsid w:val="001C1B6F"/>
    <w:rsid w:val="001C1C03"/>
    <w:rsid w:val="001C1ECE"/>
    <w:rsid w:val="001C1F4C"/>
    <w:rsid w:val="001C1FBF"/>
    <w:rsid w:val="001C2124"/>
    <w:rsid w:val="001C21DD"/>
    <w:rsid w:val="001C25C1"/>
    <w:rsid w:val="001C27C1"/>
    <w:rsid w:val="001C27D9"/>
    <w:rsid w:val="001C294C"/>
    <w:rsid w:val="001C2AA6"/>
    <w:rsid w:val="001C2AF2"/>
    <w:rsid w:val="001C2CFE"/>
    <w:rsid w:val="001C2F56"/>
    <w:rsid w:val="001C316E"/>
    <w:rsid w:val="001C3397"/>
    <w:rsid w:val="001C36A4"/>
    <w:rsid w:val="001C385B"/>
    <w:rsid w:val="001C389D"/>
    <w:rsid w:val="001C3A8A"/>
    <w:rsid w:val="001C3ABA"/>
    <w:rsid w:val="001C3DE4"/>
    <w:rsid w:val="001C3EBA"/>
    <w:rsid w:val="001C3F17"/>
    <w:rsid w:val="001C3F80"/>
    <w:rsid w:val="001C4079"/>
    <w:rsid w:val="001C43A4"/>
    <w:rsid w:val="001C46B4"/>
    <w:rsid w:val="001C4FA3"/>
    <w:rsid w:val="001C503A"/>
    <w:rsid w:val="001C52F4"/>
    <w:rsid w:val="001C5566"/>
    <w:rsid w:val="001C55FF"/>
    <w:rsid w:val="001C5C9C"/>
    <w:rsid w:val="001C5D55"/>
    <w:rsid w:val="001C5DBC"/>
    <w:rsid w:val="001C6449"/>
    <w:rsid w:val="001C6540"/>
    <w:rsid w:val="001C65A0"/>
    <w:rsid w:val="001C677F"/>
    <w:rsid w:val="001C6A30"/>
    <w:rsid w:val="001C6B25"/>
    <w:rsid w:val="001C6D6B"/>
    <w:rsid w:val="001C6EF8"/>
    <w:rsid w:val="001C706D"/>
    <w:rsid w:val="001C7149"/>
    <w:rsid w:val="001C7224"/>
    <w:rsid w:val="001C7226"/>
    <w:rsid w:val="001C72DF"/>
    <w:rsid w:val="001C7429"/>
    <w:rsid w:val="001C7516"/>
    <w:rsid w:val="001C7545"/>
    <w:rsid w:val="001C7AA7"/>
    <w:rsid w:val="001C7C0A"/>
    <w:rsid w:val="001C7C5C"/>
    <w:rsid w:val="001C7D05"/>
    <w:rsid w:val="001D0164"/>
    <w:rsid w:val="001D038D"/>
    <w:rsid w:val="001D03B8"/>
    <w:rsid w:val="001D0424"/>
    <w:rsid w:val="001D0531"/>
    <w:rsid w:val="001D0765"/>
    <w:rsid w:val="001D076A"/>
    <w:rsid w:val="001D0B27"/>
    <w:rsid w:val="001D0C13"/>
    <w:rsid w:val="001D0E28"/>
    <w:rsid w:val="001D103E"/>
    <w:rsid w:val="001D107A"/>
    <w:rsid w:val="001D10A6"/>
    <w:rsid w:val="001D1130"/>
    <w:rsid w:val="001D13E9"/>
    <w:rsid w:val="001D14F0"/>
    <w:rsid w:val="001D179B"/>
    <w:rsid w:val="001D1812"/>
    <w:rsid w:val="001D1AF1"/>
    <w:rsid w:val="001D1C40"/>
    <w:rsid w:val="001D1CCA"/>
    <w:rsid w:val="001D1E9F"/>
    <w:rsid w:val="001D1FC6"/>
    <w:rsid w:val="001D1FCC"/>
    <w:rsid w:val="001D2176"/>
    <w:rsid w:val="001D2246"/>
    <w:rsid w:val="001D250A"/>
    <w:rsid w:val="001D26DB"/>
    <w:rsid w:val="001D2709"/>
    <w:rsid w:val="001D28FE"/>
    <w:rsid w:val="001D2D48"/>
    <w:rsid w:val="001D2F6A"/>
    <w:rsid w:val="001D2FF2"/>
    <w:rsid w:val="001D369F"/>
    <w:rsid w:val="001D3960"/>
    <w:rsid w:val="001D398E"/>
    <w:rsid w:val="001D3B81"/>
    <w:rsid w:val="001D3D42"/>
    <w:rsid w:val="001D467F"/>
    <w:rsid w:val="001D4725"/>
    <w:rsid w:val="001D4951"/>
    <w:rsid w:val="001D4969"/>
    <w:rsid w:val="001D4ABD"/>
    <w:rsid w:val="001D4C21"/>
    <w:rsid w:val="001D4D96"/>
    <w:rsid w:val="001D4E72"/>
    <w:rsid w:val="001D4F75"/>
    <w:rsid w:val="001D5358"/>
    <w:rsid w:val="001D5398"/>
    <w:rsid w:val="001D54F9"/>
    <w:rsid w:val="001D553E"/>
    <w:rsid w:val="001D55CE"/>
    <w:rsid w:val="001D5645"/>
    <w:rsid w:val="001D5906"/>
    <w:rsid w:val="001D598E"/>
    <w:rsid w:val="001D5A41"/>
    <w:rsid w:val="001D5BCC"/>
    <w:rsid w:val="001D5D29"/>
    <w:rsid w:val="001D5ED2"/>
    <w:rsid w:val="001D5F17"/>
    <w:rsid w:val="001D6163"/>
    <w:rsid w:val="001D61F5"/>
    <w:rsid w:val="001D62E9"/>
    <w:rsid w:val="001D6495"/>
    <w:rsid w:val="001D6581"/>
    <w:rsid w:val="001D69BB"/>
    <w:rsid w:val="001D6DE5"/>
    <w:rsid w:val="001D70AC"/>
    <w:rsid w:val="001D74B7"/>
    <w:rsid w:val="001D78F3"/>
    <w:rsid w:val="001D7BC6"/>
    <w:rsid w:val="001D7E75"/>
    <w:rsid w:val="001D7FB7"/>
    <w:rsid w:val="001D7FEC"/>
    <w:rsid w:val="001E0073"/>
    <w:rsid w:val="001E01E5"/>
    <w:rsid w:val="001E0254"/>
    <w:rsid w:val="001E039C"/>
    <w:rsid w:val="001E0583"/>
    <w:rsid w:val="001E0600"/>
    <w:rsid w:val="001E06AA"/>
    <w:rsid w:val="001E086B"/>
    <w:rsid w:val="001E0886"/>
    <w:rsid w:val="001E09D8"/>
    <w:rsid w:val="001E09F3"/>
    <w:rsid w:val="001E0AC8"/>
    <w:rsid w:val="001E0C11"/>
    <w:rsid w:val="001E139A"/>
    <w:rsid w:val="001E142E"/>
    <w:rsid w:val="001E14F1"/>
    <w:rsid w:val="001E17B7"/>
    <w:rsid w:val="001E1822"/>
    <w:rsid w:val="001E1A2C"/>
    <w:rsid w:val="001E1CD8"/>
    <w:rsid w:val="001E1DD1"/>
    <w:rsid w:val="001E1F05"/>
    <w:rsid w:val="001E1F56"/>
    <w:rsid w:val="001E1F9C"/>
    <w:rsid w:val="001E251C"/>
    <w:rsid w:val="001E2860"/>
    <w:rsid w:val="001E2B52"/>
    <w:rsid w:val="001E2CD0"/>
    <w:rsid w:val="001E2F55"/>
    <w:rsid w:val="001E30E2"/>
    <w:rsid w:val="001E313F"/>
    <w:rsid w:val="001E3182"/>
    <w:rsid w:val="001E34DC"/>
    <w:rsid w:val="001E35C3"/>
    <w:rsid w:val="001E3907"/>
    <w:rsid w:val="001E3EE6"/>
    <w:rsid w:val="001E3FB6"/>
    <w:rsid w:val="001E4088"/>
    <w:rsid w:val="001E4280"/>
    <w:rsid w:val="001E441E"/>
    <w:rsid w:val="001E45F0"/>
    <w:rsid w:val="001E4C3C"/>
    <w:rsid w:val="001E4E0B"/>
    <w:rsid w:val="001E5253"/>
    <w:rsid w:val="001E54DB"/>
    <w:rsid w:val="001E559C"/>
    <w:rsid w:val="001E5873"/>
    <w:rsid w:val="001E5BE1"/>
    <w:rsid w:val="001E5F4B"/>
    <w:rsid w:val="001E5F7F"/>
    <w:rsid w:val="001E6172"/>
    <w:rsid w:val="001E652B"/>
    <w:rsid w:val="001E6649"/>
    <w:rsid w:val="001E6C41"/>
    <w:rsid w:val="001E6CE0"/>
    <w:rsid w:val="001E6E17"/>
    <w:rsid w:val="001E6E74"/>
    <w:rsid w:val="001E6F63"/>
    <w:rsid w:val="001E6F90"/>
    <w:rsid w:val="001E717C"/>
    <w:rsid w:val="001E72BF"/>
    <w:rsid w:val="001E743F"/>
    <w:rsid w:val="001E76ED"/>
    <w:rsid w:val="001E7731"/>
    <w:rsid w:val="001E787B"/>
    <w:rsid w:val="001E7A0C"/>
    <w:rsid w:val="001E7AB0"/>
    <w:rsid w:val="001E7ADB"/>
    <w:rsid w:val="001E7C76"/>
    <w:rsid w:val="001E7D5A"/>
    <w:rsid w:val="001E7DB4"/>
    <w:rsid w:val="001E7F50"/>
    <w:rsid w:val="001F0323"/>
    <w:rsid w:val="001F0804"/>
    <w:rsid w:val="001F0821"/>
    <w:rsid w:val="001F0A90"/>
    <w:rsid w:val="001F0A95"/>
    <w:rsid w:val="001F0B4B"/>
    <w:rsid w:val="001F0CCE"/>
    <w:rsid w:val="001F0D4C"/>
    <w:rsid w:val="001F0DB9"/>
    <w:rsid w:val="001F0DCF"/>
    <w:rsid w:val="001F0DDD"/>
    <w:rsid w:val="001F0EE7"/>
    <w:rsid w:val="001F0FBE"/>
    <w:rsid w:val="001F112F"/>
    <w:rsid w:val="001F12FA"/>
    <w:rsid w:val="001F139F"/>
    <w:rsid w:val="001F1421"/>
    <w:rsid w:val="001F1434"/>
    <w:rsid w:val="001F1461"/>
    <w:rsid w:val="001F1761"/>
    <w:rsid w:val="001F1945"/>
    <w:rsid w:val="001F1A3B"/>
    <w:rsid w:val="001F1B2C"/>
    <w:rsid w:val="001F1C4C"/>
    <w:rsid w:val="001F1C98"/>
    <w:rsid w:val="001F1E52"/>
    <w:rsid w:val="001F230F"/>
    <w:rsid w:val="001F2702"/>
    <w:rsid w:val="001F29AC"/>
    <w:rsid w:val="001F2A4D"/>
    <w:rsid w:val="001F2C20"/>
    <w:rsid w:val="001F2E11"/>
    <w:rsid w:val="001F2E21"/>
    <w:rsid w:val="001F3031"/>
    <w:rsid w:val="001F391D"/>
    <w:rsid w:val="001F3989"/>
    <w:rsid w:val="001F3C18"/>
    <w:rsid w:val="001F3F37"/>
    <w:rsid w:val="001F409D"/>
    <w:rsid w:val="001F4227"/>
    <w:rsid w:val="001F43C4"/>
    <w:rsid w:val="001F44E8"/>
    <w:rsid w:val="001F4610"/>
    <w:rsid w:val="001F4698"/>
    <w:rsid w:val="001F47EB"/>
    <w:rsid w:val="001F49C5"/>
    <w:rsid w:val="001F4C73"/>
    <w:rsid w:val="001F4EE8"/>
    <w:rsid w:val="001F50D0"/>
    <w:rsid w:val="001F5736"/>
    <w:rsid w:val="001F57FE"/>
    <w:rsid w:val="001F5C39"/>
    <w:rsid w:val="001F5F66"/>
    <w:rsid w:val="001F61B0"/>
    <w:rsid w:val="001F64A7"/>
    <w:rsid w:val="001F654F"/>
    <w:rsid w:val="001F69FD"/>
    <w:rsid w:val="001F6C68"/>
    <w:rsid w:val="001F6DF8"/>
    <w:rsid w:val="001F6F67"/>
    <w:rsid w:val="001F7211"/>
    <w:rsid w:val="001F74B4"/>
    <w:rsid w:val="001F74E4"/>
    <w:rsid w:val="001F7622"/>
    <w:rsid w:val="001F7694"/>
    <w:rsid w:val="001F76B1"/>
    <w:rsid w:val="001F776C"/>
    <w:rsid w:val="001F78C6"/>
    <w:rsid w:val="001F78E0"/>
    <w:rsid w:val="001F7A37"/>
    <w:rsid w:val="001F7B10"/>
    <w:rsid w:val="001F7E6C"/>
    <w:rsid w:val="0020014E"/>
    <w:rsid w:val="00200374"/>
    <w:rsid w:val="00200446"/>
    <w:rsid w:val="00200A08"/>
    <w:rsid w:val="00200B88"/>
    <w:rsid w:val="00200D1F"/>
    <w:rsid w:val="00200E16"/>
    <w:rsid w:val="0020108A"/>
    <w:rsid w:val="002014D4"/>
    <w:rsid w:val="00201A1E"/>
    <w:rsid w:val="00201A36"/>
    <w:rsid w:val="00201CB8"/>
    <w:rsid w:val="00201D90"/>
    <w:rsid w:val="00201E57"/>
    <w:rsid w:val="00202435"/>
    <w:rsid w:val="00202738"/>
    <w:rsid w:val="002028E5"/>
    <w:rsid w:val="002028EF"/>
    <w:rsid w:val="00202A91"/>
    <w:rsid w:val="00202FF4"/>
    <w:rsid w:val="002030C7"/>
    <w:rsid w:val="002031DC"/>
    <w:rsid w:val="002032A8"/>
    <w:rsid w:val="002036B8"/>
    <w:rsid w:val="0020372C"/>
    <w:rsid w:val="00203733"/>
    <w:rsid w:val="002038D0"/>
    <w:rsid w:val="00203A30"/>
    <w:rsid w:val="00203BC1"/>
    <w:rsid w:val="00203F0C"/>
    <w:rsid w:val="00204152"/>
    <w:rsid w:val="002044FD"/>
    <w:rsid w:val="00204909"/>
    <w:rsid w:val="00204A9B"/>
    <w:rsid w:val="00204B3A"/>
    <w:rsid w:val="002051BD"/>
    <w:rsid w:val="002054E9"/>
    <w:rsid w:val="002055D9"/>
    <w:rsid w:val="00205834"/>
    <w:rsid w:val="00205859"/>
    <w:rsid w:val="00205B1C"/>
    <w:rsid w:val="00205DDB"/>
    <w:rsid w:val="00205EA0"/>
    <w:rsid w:val="00205FFE"/>
    <w:rsid w:val="00206023"/>
    <w:rsid w:val="00206104"/>
    <w:rsid w:val="0020613C"/>
    <w:rsid w:val="002064E1"/>
    <w:rsid w:val="00206758"/>
    <w:rsid w:val="00206A5E"/>
    <w:rsid w:val="002072A1"/>
    <w:rsid w:val="002074A3"/>
    <w:rsid w:val="002076C7"/>
    <w:rsid w:val="00207C1E"/>
    <w:rsid w:val="00207CA5"/>
    <w:rsid w:val="00207D7D"/>
    <w:rsid w:val="00207F1E"/>
    <w:rsid w:val="002089EA"/>
    <w:rsid w:val="002104E9"/>
    <w:rsid w:val="00210513"/>
    <w:rsid w:val="00210571"/>
    <w:rsid w:val="00210736"/>
    <w:rsid w:val="00210829"/>
    <w:rsid w:val="0021084D"/>
    <w:rsid w:val="002109AB"/>
    <w:rsid w:val="002109D9"/>
    <w:rsid w:val="00210A8C"/>
    <w:rsid w:val="00210C74"/>
    <w:rsid w:val="00211103"/>
    <w:rsid w:val="002111A5"/>
    <w:rsid w:val="002112BA"/>
    <w:rsid w:val="002112DD"/>
    <w:rsid w:val="0021161B"/>
    <w:rsid w:val="00211695"/>
    <w:rsid w:val="00211A18"/>
    <w:rsid w:val="00211AA1"/>
    <w:rsid w:val="00212507"/>
    <w:rsid w:val="00212550"/>
    <w:rsid w:val="00212630"/>
    <w:rsid w:val="002129F4"/>
    <w:rsid w:val="00212A4E"/>
    <w:rsid w:val="00212BCC"/>
    <w:rsid w:val="00212D6D"/>
    <w:rsid w:val="00212F3E"/>
    <w:rsid w:val="00213119"/>
    <w:rsid w:val="002133A7"/>
    <w:rsid w:val="002133F8"/>
    <w:rsid w:val="002136A5"/>
    <w:rsid w:val="00213887"/>
    <w:rsid w:val="00213AB7"/>
    <w:rsid w:val="00213B01"/>
    <w:rsid w:val="00213B3A"/>
    <w:rsid w:val="00213C6F"/>
    <w:rsid w:val="00213CA9"/>
    <w:rsid w:val="00213E0F"/>
    <w:rsid w:val="00213EAE"/>
    <w:rsid w:val="00213F05"/>
    <w:rsid w:val="002143CE"/>
    <w:rsid w:val="002143E9"/>
    <w:rsid w:val="0021478B"/>
    <w:rsid w:val="00214869"/>
    <w:rsid w:val="002148A3"/>
    <w:rsid w:val="00214A98"/>
    <w:rsid w:val="00214C1E"/>
    <w:rsid w:val="00214F57"/>
    <w:rsid w:val="002152F4"/>
    <w:rsid w:val="002153DC"/>
    <w:rsid w:val="002155EB"/>
    <w:rsid w:val="00215A07"/>
    <w:rsid w:val="00215F02"/>
    <w:rsid w:val="002161C6"/>
    <w:rsid w:val="002163F2"/>
    <w:rsid w:val="00216988"/>
    <w:rsid w:val="00216B70"/>
    <w:rsid w:val="00216D0C"/>
    <w:rsid w:val="00216E35"/>
    <w:rsid w:val="002172A3"/>
    <w:rsid w:val="0021753A"/>
    <w:rsid w:val="00217634"/>
    <w:rsid w:val="00217690"/>
    <w:rsid w:val="00217AD4"/>
    <w:rsid w:val="00217AE8"/>
    <w:rsid w:val="0022043F"/>
    <w:rsid w:val="002205AB"/>
    <w:rsid w:val="002207E0"/>
    <w:rsid w:val="0022094F"/>
    <w:rsid w:val="00220973"/>
    <w:rsid w:val="002209C3"/>
    <w:rsid w:val="00220A84"/>
    <w:rsid w:val="00220F1C"/>
    <w:rsid w:val="00221063"/>
    <w:rsid w:val="00221171"/>
    <w:rsid w:val="00221315"/>
    <w:rsid w:val="002214FB"/>
    <w:rsid w:val="00221635"/>
    <w:rsid w:val="002216B7"/>
    <w:rsid w:val="002217D5"/>
    <w:rsid w:val="0022197F"/>
    <w:rsid w:val="00221BAB"/>
    <w:rsid w:val="00221D4E"/>
    <w:rsid w:val="00221FB1"/>
    <w:rsid w:val="0022227C"/>
    <w:rsid w:val="00222326"/>
    <w:rsid w:val="0022238D"/>
    <w:rsid w:val="002224DC"/>
    <w:rsid w:val="002224F9"/>
    <w:rsid w:val="00222691"/>
    <w:rsid w:val="00222882"/>
    <w:rsid w:val="0022290F"/>
    <w:rsid w:val="00222936"/>
    <w:rsid w:val="00222AD3"/>
    <w:rsid w:val="00222B41"/>
    <w:rsid w:val="00222B5F"/>
    <w:rsid w:val="00222EB5"/>
    <w:rsid w:val="00223162"/>
    <w:rsid w:val="00223165"/>
    <w:rsid w:val="00223886"/>
    <w:rsid w:val="002238EA"/>
    <w:rsid w:val="00223BFD"/>
    <w:rsid w:val="00223CCF"/>
    <w:rsid w:val="00223D65"/>
    <w:rsid w:val="00223E06"/>
    <w:rsid w:val="00223F4A"/>
    <w:rsid w:val="00223F57"/>
    <w:rsid w:val="00224369"/>
    <w:rsid w:val="002243BD"/>
    <w:rsid w:val="00224453"/>
    <w:rsid w:val="00224645"/>
    <w:rsid w:val="00224742"/>
    <w:rsid w:val="002247D7"/>
    <w:rsid w:val="002247EB"/>
    <w:rsid w:val="002248AA"/>
    <w:rsid w:val="00224A35"/>
    <w:rsid w:val="00224D34"/>
    <w:rsid w:val="00224F8F"/>
    <w:rsid w:val="002250A2"/>
    <w:rsid w:val="002254EE"/>
    <w:rsid w:val="0022552E"/>
    <w:rsid w:val="0022558C"/>
    <w:rsid w:val="0022558E"/>
    <w:rsid w:val="002257C3"/>
    <w:rsid w:val="00225ACA"/>
    <w:rsid w:val="00225B6A"/>
    <w:rsid w:val="00225B6C"/>
    <w:rsid w:val="00225D17"/>
    <w:rsid w:val="00225FE1"/>
    <w:rsid w:val="0022602D"/>
    <w:rsid w:val="00226B1E"/>
    <w:rsid w:val="00226B85"/>
    <w:rsid w:val="00226C5F"/>
    <w:rsid w:val="00226F4C"/>
    <w:rsid w:val="00227165"/>
    <w:rsid w:val="002272A6"/>
    <w:rsid w:val="0022737B"/>
    <w:rsid w:val="00227500"/>
    <w:rsid w:val="002275EF"/>
    <w:rsid w:val="0022789B"/>
    <w:rsid w:val="00227B28"/>
    <w:rsid w:val="00227B42"/>
    <w:rsid w:val="0023000B"/>
    <w:rsid w:val="00230452"/>
    <w:rsid w:val="002307A9"/>
    <w:rsid w:val="00230D65"/>
    <w:rsid w:val="00230DF7"/>
    <w:rsid w:val="00230F16"/>
    <w:rsid w:val="00230F81"/>
    <w:rsid w:val="0023102D"/>
    <w:rsid w:val="002310E3"/>
    <w:rsid w:val="00231206"/>
    <w:rsid w:val="0023133B"/>
    <w:rsid w:val="002314B6"/>
    <w:rsid w:val="00231638"/>
    <w:rsid w:val="00231C9A"/>
    <w:rsid w:val="00231D95"/>
    <w:rsid w:val="00231DC3"/>
    <w:rsid w:val="00231E5D"/>
    <w:rsid w:val="00231EAC"/>
    <w:rsid w:val="00231F04"/>
    <w:rsid w:val="0023200C"/>
    <w:rsid w:val="00232664"/>
    <w:rsid w:val="00232734"/>
    <w:rsid w:val="0023273C"/>
    <w:rsid w:val="002327A3"/>
    <w:rsid w:val="0023289C"/>
    <w:rsid w:val="00232B0B"/>
    <w:rsid w:val="00232E66"/>
    <w:rsid w:val="002330BA"/>
    <w:rsid w:val="0023319D"/>
    <w:rsid w:val="0023330D"/>
    <w:rsid w:val="00233752"/>
    <w:rsid w:val="0023396A"/>
    <w:rsid w:val="00233ADF"/>
    <w:rsid w:val="00233CB5"/>
    <w:rsid w:val="00233F31"/>
    <w:rsid w:val="002344C0"/>
    <w:rsid w:val="0023457A"/>
    <w:rsid w:val="002347F8"/>
    <w:rsid w:val="0023492D"/>
    <w:rsid w:val="00234958"/>
    <w:rsid w:val="00234974"/>
    <w:rsid w:val="00234C48"/>
    <w:rsid w:val="002355DD"/>
    <w:rsid w:val="00235647"/>
    <w:rsid w:val="002359F2"/>
    <w:rsid w:val="00235A2F"/>
    <w:rsid w:val="00235A77"/>
    <w:rsid w:val="00235B3D"/>
    <w:rsid w:val="002360C7"/>
    <w:rsid w:val="00236199"/>
    <w:rsid w:val="002363E1"/>
    <w:rsid w:val="00236700"/>
    <w:rsid w:val="002367DD"/>
    <w:rsid w:val="00236889"/>
    <w:rsid w:val="00236A53"/>
    <w:rsid w:val="00236CA6"/>
    <w:rsid w:val="00236E6C"/>
    <w:rsid w:val="002370A1"/>
    <w:rsid w:val="00237559"/>
    <w:rsid w:val="00237B5A"/>
    <w:rsid w:val="00237D03"/>
    <w:rsid w:val="00237D89"/>
    <w:rsid w:val="00237ED7"/>
    <w:rsid w:val="00237F70"/>
    <w:rsid w:val="00240210"/>
    <w:rsid w:val="00240343"/>
    <w:rsid w:val="002409D0"/>
    <w:rsid w:val="00240BE3"/>
    <w:rsid w:val="00240C5A"/>
    <w:rsid w:val="00241402"/>
    <w:rsid w:val="00241675"/>
    <w:rsid w:val="00241734"/>
    <w:rsid w:val="00241747"/>
    <w:rsid w:val="002418FF"/>
    <w:rsid w:val="00241984"/>
    <w:rsid w:val="002419CD"/>
    <w:rsid w:val="00241A19"/>
    <w:rsid w:val="00241CB2"/>
    <w:rsid w:val="00241D6D"/>
    <w:rsid w:val="00241DD7"/>
    <w:rsid w:val="00241DDB"/>
    <w:rsid w:val="00241EEC"/>
    <w:rsid w:val="00241F20"/>
    <w:rsid w:val="0024217E"/>
    <w:rsid w:val="0024220B"/>
    <w:rsid w:val="002424AF"/>
    <w:rsid w:val="002424C1"/>
    <w:rsid w:val="00242C43"/>
    <w:rsid w:val="00242D20"/>
    <w:rsid w:val="00242E87"/>
    <w:rsid w:val="00243154"/>
    <w:rsid w:val="00243167"/>
    <w:rsid w:val="0024337E"/>
    <w:rsid w:val="0024343C"/>
    <w:rsid w:val="00243499"/>
    <w:rsid w:val="0024365C"/>
    <w:rsid w:val="00243736"/>
    <w:rsid w:val="00243806"/>
    <w:rsid w:val="00243AF2"/>
    <w:rsid w:val="00243E0F"/>
    <w:rsid w:val="0024413B"/>
    <w:rsid w:val="00244298"/>
    <w:rsid w:val="00244495"/>
    <w:rsid w:val="00244868"/>
    <w:rsid w:val="00244B8D"/>
    <w:rsid w:val="00244D43"/>
    <w:rsid w:val="002450C6"/>
    <w:rsid w:val="00245255"/>
    <w:rsid w:val="0024527D"/>
    <w:rsid w:val="00245871"/>
    <w:rsid w:val="0024589D"/>
    <w:rsid w:val="00245953"/>
    <w:rsid w:val="0024597E"/>
    <w:rsid w:val="002459B6"/>
    <w:rsid w:val="00245BBB"/>
    <w:rsid w:val="00246024"/>
    <w:rsid w:val="00246091"/>
    <w:rsid w:val="00246098"/>
    <w:rsid w:val="002460C2"/>
    <w:rsid w:val="0024695C"/>
    <w:rsid w:val="002469C8"/>
    <w:rsid w:val="00246B8F"/>
    <w:rsid w:val="00246CC7"/>
    <w:rsid w:val="00247218"/>
    <w:rsid w:val="002472A1"/>
    <w:rsid w:val="0024752B"/>
    <w:rsid w:val="00247604"/>
    <w:rsid w:val="002477E1"/>
    <w:rsid w:val="00247900"/>
    <w:rsid w:val="00247A9F"/>
    <w:rsid w:val="00247AE2"/>
    <w:rsid w:val="00247B9A"/>
    <w:rsid w:val="00250024"/>
    <w:rsid w:val="002504C8"/>
    <w:rsid w:val="002504D7"/>
    <w:rsid w:val="00250858"/>
    <w:rsid w:val="00250ACF"/>
    <w:rsid w:val="00250BC5"/>
    <w:rsid w:val="00250CF8"/>
    <w:rsid w:val="00250E17"/>
    <w:rsid w:val="00250F6D"/>
    <w:rsid w:val="00251152"/>
    <w:rsid w:val="002512C4"/>
    <w:rsid w:val="00251DF8"/>
    <w:rsid w:val="00251E9E"/>
    <w:rsid w:val="0025216E"/>
    <w:rsid w:val="002521EB"/>
    <w:rsid w:val="00252829"/>
    <w:rsid w:val="002528A0"/>
    <w:rsid w:val="00252AAF"/>
    <w:rsid w:val="00252CE1"/>
    <w:rsid w:val="00253120"/>
    <w:rsid w:val="002534F0"/>
    <w:rsid w:val="00253586"/>
    <w:rsid w:val="002536B6"/>
    <w:rsid w:val="0025371F"/>
    <w:rsid w:val="002538D4"/>
    <w:rsid w:val="00253B2F"/>
    <w:rsid w:val="00253DDB"/>
    <w:rsid w:val="00253F33"/>
    <w:rsid w:val="00254249"/>
    <w:rsid w:val="002542F9"/>
    <w:rsid w:val="002545E4"/>
    <w:rsid w:val="0025462E"/>
    <w:rsid w:val="00254805"/>
    <w:rsid w:val="00254A7F"/>
    <w:rsid w:val="00254ACD"/>
    <w:rsid w:val="00254FDA"/>
    <w:rsid w:val="002550B5"/>
    <w:rsid w:val="00255124"/>
    <w:rsid w:val="0025581E"/>
    <w:rsid w:val="00255969"/>
    <w:rsid w:val="00255A2C"/>
    <w:rsid w:val="00255C2F"/>
    <w:rsid w:val="00256137"/>
    <w:rsid w:val="002564E1"/>
    <w:rsid w:val="002565AB"/>
    <w:rsid w:val="00256610"/>
    <w:rsid w:val="0025671D"/>
    <w:rsid w:val="002567C8"/>
    <w:rsid w:val="002567F0"/>
    <w:rsid w:val="00256B34"/>
    <w:rsid w:val="00256C61"/>
    <w:rsid w:val="00256D32"/>
    <w:rsid w:val="00256F84"/>
    <w:rsid w:val="00256FBE"/>
    <w:rsid w:val="00257055"/>
    <w:rsid w:val="0025726C"/>
    <w:rsid w:val="002573F4"/>
    <w:rsid w:val="00257531"/>
    <w:rsid w:val="0025794D"/>
    <w:rsid w:val="00257961"/>
    <w:rsid w:val="00257B70"/>
    <w:rsid w:val="00257C2D"/>
    <w:rsid w:val="00257C64"/>
    <w:rsid w:val="00257CE9"/>
    <w:rsid w:val="00257DE4"/>
    <w:rsid w:val="002602B4"/>
    <w:rsid w:val="00260401"/>
    <w:rsid w:val="00260457"/>
    <w:rsid w:val="002604CA"/>
    <w:rsid w:val="002605BA"/>
    <w:rsid w:val="002605DB"/>
    <w:rsid w:val="002607DB"/>
    <w:rsid w:val="002609D4"/>
    <w:rsid w:val="00260AD4"/>
    <w:rsid w:val="00260EB6"/>
    <w:rsid w:val="00261070"/>
    <w:rsid w:val="002611D2"/>
    <w:rsid w:val="0026138B"/>
    <w:rsid w:val="002613D9"/>
    <w:rsid w:val="002614E5"/>
    <w:rsid w:val="002615B8"/>
    <w:rsid w:val="0026193B"/>
    <w:rsid w:val="00261CCB"/>
    <w:rsid w:val="00261E42"/>
    <w:rsid w:val="002620CC"/>
    <w:rsid w:val="002620E1"/>
    <w:rsid w:val="002622AE"/>
    <w:rsid w:val="002625FE"/>
    <w:rsid w:val="0026273D"/>
    <w:rsid w:val="00262820"/>
    <w:rsid w:val="00262B4B"/>
    <w:rsid w:val="00262FE4"/>
    <w:rsid w:val="00263334"/>
    <w:rsid w:val="00263654"/>
    <w:rsid w:val="002638F9"/>
    <w:rsid w:val="00263A7B"/>
    <w:rsid w:val="00263B32"/>
    <w:rsid w:val="00263BB9"/>
    <w:rsid w:val="00263F7A"/>
    <w:rsid w:val="002642EA"/>
    <w:rsid w:val="00264397"/>
    <w:rsid w:val="00264430"/>
    <w:rsid w:val="00264760"/>
    <w:rsid w:val="00264855"/>
    <w:rsid w:val="00264C9C"/>
    <w:rsid w:val="0026531B"/>
    <w:rsid w:val="002654C2"/>
    <w:rsid w:val="002659CC"/>
    <w:rsid w:val="00265B1A"/>
    <w:rsid w:val="00265D7F"/>
    <w:rsid w:val="00265ECD"/>
    <w:rsid w:val="00265FC7"/>
    <w:rsid w:val="00266156"/>
    <w:rsid w:val="0026651D"/>
    <w:rsid w:val="002666A0"/>
    <w:rsid w:val="00266EF5"/>
    <w:rsid w:val="0026719F"/>
    <w:rsid w:val="002673FA"/>
    <w:rsid w:val="00267560"/>
    <w:rsid w:val="002676E2"/>
    <w:rsid w:val="002677F8"/>
    <w:rsid w:val="002679FF"/>
    <w:rsid w:val="00267AAF"/>
    <w:rsid w:val="00267DEC"/>
    <w:rsid w:val="00267E75"/>
    <w:rsid w:val="0027039F"/>
    <w:rsid w:val="002704BB"/>
    <w:rsid w:val="00270830"/>
    <w:rsid w:val="00270A93"/>
    <w:rsid w:val="00270DC1"/>
    <w:rsid w:val="00270F4B"/>
    <w:rsid w:val="00271204"/>
    <w:rsid w:val="0027130C"/>
    <w:rsid w:val="0027140B"/>
    <w:rsid w:val="00271BFF"/>
    <w:rsid w:val="00271C2B"/>
    <w:rsid w:val="00272066"/>
    <w:rsid w:val="0027228F"/>
    <w:rsid w:val="00272375"/>
    <w:rsid w:val="002723B7"/>
    <w:rsid w:val="00272562"/>
    <w:rsid w:val="00272682"/>
    <w:rsid w:val="002727B1"/>
    <w:rsid w:val="00272A9F"/>
    <w:rsid w:val="00272C38"/>
    <w:rsid w:val="00272EA0"/>
    <w:rsid w:val="00272FE9"/>
    <w:rsid w:val="00273217"/>
    <w:rsid w:val="002732CD"/>
    <w:rsid w:val="002732CF"/>
    <w:rsid w:val="00273614"/>
    <w:rsid w:val="002736B9"/>
    <w:rsid w:val="00273878"/>
    <w:rsid w:val="002738A2"/>
    <w:rsid w:val="00273A59"/>
    <w:rsid w:val="00273ABC"/>
    <w:rsid w:val="00273B76"/>
    <w:rsid w:val="00273C9F"/>
    <w:rsid w:val="00273EEC"/>
    <w:rsid w:val="00274072"/>
    <w:rsid w:val="00274121"/>
    <w:rsid w:val="002742AD"/>
    <w:rsid w:val="0027460F"/>
    <w:rsid w:val="00274B42"/>
    <w:rsid w:val="00274BFC"/>
    <w:rsid w:val="00274C90"/>
    <w:rsid w:val="00274DEC"/>
    <w:rsid w:val="002751DF"/>
    <w:rsid w:val="0027522B"/>
    <w:rsid w:val="00275789"/>
    <w:rsid w:val="002757F2"/>
    <w:rsid w:val="00275DE9"/>
    <w:rsid w:val="00275E93"/>
    <w:rsid w:val="002763E6"/>
    <w:rsid w:val="002764B6"/>
    <w:rsid w:val="00276656"/>
    <w:rsid w:val="00276874"/>
    <w:rsid w:val="00276963"/>
    <w:rsid w:val="00276B1E"/>
    <w:rsid w:val="00276DCA"/>
    <w:rsid w:val="00276EA9"/>
    <w:rsid w:val="00277155"/>
    <w:rsid w:val="00277222"/>
    <w:rsid w:val="002773C0"/>
    <w:rsid w:val="00277459"/>
    <w:rsid w:val="00277652"/>
    <w:rsid w:val="00277702"/>
    <w:rsid w:val="00277C78"/>
    <w:rsid w:val="00277EC6"/>
    <w:rsid w:val="002800A6"/>
    <w:rsid w:val="00280328"/>
    <w:rsid w:val="002804F4"/>
    <w:rsid w:val="00280760"/>
    <w:rsid w:val="002808A6"/>
    <w:rsid w:val="00280AD9"/>
    <w:rsid w:val="00280C11"/>
    <w:rsid w:val="00280D20"/>
    <w:rsid w:val="00280E8C"/>
    <w:rsid w:val="00281055"/>
    <w:rsid w:val="00281123"/>
    <w:rsid w:val="002812F6"/>
    <w:rsid w:val="002813CA"/>
    <w:rsid w:val="00281441"/>
    <w:rsid w:val="002814BC"/>
    <w:rsid w:val="002817EB"/>
    <w:rsid w:val="00281A83"/>
    <w:rsid w:val="00281CBF"/>
    <w:rsid w:val="00281DFE"/>
    <w:rsid w:val="00281E81"/>
    <w:rsid w:val="0028202A"/>
    <w:rsid w:val="002823EC"/>
    <w:rsid w:val="00282A63"/>
    <w:rsid w:val="00282A75"/>
    <w:rsid w:val="00282A82"/>
    <w:rsid w:val="00282BAA"/>
    <w:rsid w:val="0028307F"/>
    <w:rsid w:val="002836FA"/>
    <w:rsid w:val="00283703"/>
    <w:rsid w:val="00283AFE"/>
    <w:rsid w:val="00283EB1"/>
    <w:rsid w:val="00283F9D"/>
    <w:rsid w:val="002841C1"/>
    <w:rsid w:val="0028436C"/>
    <w:rsid w:val="002846CD"/>
    <w:rsid w:val="00284828"/>
    <w:rsid w:val="0028483A"/>
    <w:rsid w:val="00284874"/>
    <w:rsid w:val="00284A8D"/>
    <w:rsid w:val="00284B14"/>
    <w:rsid w:val="00284C81"/>
    <w:rsid w:val="00284EF6"/>
    <w:rsid w:val="00285117"/>
    <w:rsid w:val="00285995"/>
    <w:rsid w:val="00285D09"/>
    <w:rsid w:val="00285D4B"/>
    <w:rsid w:val="00286156"/>
    <w:rsid w:val="00286482"/>
    <w:rsid w:val="002864EA"/>
    <w:rsid w:val="00286666"/>
    <w:rsid w:val="00286709"/>
    <w:rsid w:val="002867A2"/>
    <w:rsid w:val="00286A87"/>
    <w:rsid w:val="00286AF1"/>
    <w:rsid w:val="00286C44"/>
    <w:rsid w:val="00286C67"/>
    <w:rsid w:val="00286CAE"/>
    <w:rsid w:val="00286CED"/>
    <w:rsid w:val="00286D3B"/>
    <w:rsid w:val="00286F12"/>
    <w:rsid w:val="00287457"/>
    <w:rsid w:val="002878F3"/>
    <w:rsid w:val="00287A74"/>
    <w:rsid w:val="00287B7C"/>
    <w:rsid w:val="00287CBB"/>
    <w:rsid w:val="00287EC0"/>
    <w:rsid w:val="00290044"/>
    <w:rsid w:val="002906E9"/>
    <w:rsid w:val="002907CF"/>
    <w:rsid w:val="00290873"/>
    <w:rsid w:val="002908CF"/>
    <w:rsid w:val="00290B5C"/>
    <w:rsid w:val="00290C61"/>
    <w:rsid w:val="00290CED"/>
    <w:rsid w:val="002912C0"/>
    <w:rsid w:val="002913EB"/>
    <w:rsid w:val="0029151C"/>
    <w:rsid w:val="0029158E"/>
    <w:rsid w:val="00291601"/>
    <w:rsid w:val="002916A4"/>
    <w:rsid w:val="002916A9"/>
    <w:rsid w:val="00291790"/>
    <w:rsid w:val="002918F4"/>
    <w:rsid w:val="00291B29"/>
    <w:rsid w:val="00291BA7"/>
    <w:rsid w:val="00291C2F"/>
    <w:rsid w:val="0029203D"/>
    <w:rsid w:val="0029223A"/>
    <w:rsid w:val="0029251D"/>
    <w:rsid w:val="002925B1"/>
    <w:rsid w:val="00292E3E"/>
    <w:rsid w:val="00292F24"/>
    <w:rsid w:val="00292FE1"/>
    <w:rsid w:val="0029304A"/>
    <w:rsid w:val="002931F0"/>
    <w:rsid w:val="00293225"/>
    <w:rsid w:val="00293305"/>
    <w:rsid w:val="00293319"/>
    <w:rsid w:val="0029369B"/>
    <w:rsid w:val="002936F5"/>
    <w:rsid w:val="00293735"/>
    <w:rsid w:val="002938BB"/>
    <w:rsid w:val="002939F5"/>
    <w:rsid w:val="00293AB9"/>
    <w:rsid w:val="00293D26"/>
    <w:rsid w:val="00293D91"/>
    <w:rsid w:val="00293E50"/>
    <w:rsid w:val="00294069"/>
    <w:rsid w:val="00294207"/>
    <w:rsid w:val="0029434A"/>
    <w:rsid w:val="002943DA"/>
    <w:rsid w:val="00294509"/>
    <w:rsid w:val="0029459A"/>
    <w:rsid w:val="0029459B"/>
    <w:rsid w:val="00294831"/>
    <w:rsid w:val="0029484E"/>
    <w:rsid w:val="00294900"/>
    <w:rsid w:val="00294A39"/>
    <w:rsid w:val="00294A85"/>
    <w:rsid w:val="00294B1A"/>
    <w:rsid w:val="00294B61"/>
    <w:rsid w:val="00294DC7"/>
    <w:rsid w:val="002953AC"/>
    <w:rsid w:val="002955F0"/>
    <w:rsid w:val="00295A2C"/>
    <w:rsid w:val="00295BC6"/>
    <w:rsid w:val="00296038"/>
    <w:rsid w:val="002962E5"/>
    <w:rsid w:val="00296405"/>
    <w:rsid w:val="00296455"/>
    <w:rsid w:val="00296466"/>
    <w:rsid w:val="00296475"/>
    <w:rsid w:val="002964FA"/>
    <w:rsid w:val="00296597"/>
    <w:rsid w:val="002965EF"/>
    <w:rsid w:val="002966BA"/>
    <w:rsid w:val="00296A80"/>
    <w:rsid w:val="00296BF9"/>
    <w:rsid w:val="00296D7A"/>
    <w:rsid w:val="00296E12"/>
    <w:rsid w:val="00296EEF"/>
    <w:rsid w:val="00297093"/>
    <w:rsid w:val="002970AB"/>
    <w:rsid w:val="002970CC"/>
    <w:rsid w:val="0029738E"/>
    <w:rsid w:val="002973C8"/>
    <w:rsid w:val="002974F2"/>
    <w:rsid w:val="00297E6A"/>
    <w:rsid w:val="00297E8E"/>
    <w:rsid w:val="002A04AC"/>
    <w:rsid w:val="002A0807"/>
    <w:rsid w:val="002A0959"/>
    <w:rsid w:val="002A0A05"/>
    <w:rsid w:val="002A0AD8"/>
    <w:rsid w:val="002A0B9A"/>
    <w:rsid w:val="002A0E43"/>
    <w:rsid w:val="002A0F86"/>
    <w:rsid w:val="002A15CE"/>
    <w:rsid w:val="002A15FE"/>
    <w:rsid w:val="002A182E"/>
    <w:rsid w:val="002A19EA"/>
    <w:rsid w:val="002A1A4B"/>
    <w:rsid w:val="002A1D80"/>
    <w:rsid w:val="002A2026"/>
    <w:rsid w:val="002A21F9"/>
    <w:rsid w:val="002A2640"/>
    <w:rsid w:val="002A2845"/>
    <w:rsid w:val="002A28FE"/>
    <w:rsid w:val="002A2A7F"/>
    <w:rsid w:val="002A2F0E"/>
    <w:rsid w:val="002A2F87"/>
    <w:rsid w:val="002A2F98"/>
    <w:rsid w:val="002A30E5"/>
    <w:rsid w:val="002A33C6"/>
    <w:rsid w:val="002A3744"/>
    <w:rsid w:val="002A37C2"/>
    <w:rsid w:val="002A3FAE"/>
    <w:rsid w:val="002A4384"/>
    <w:rsid w:val="002A44D5"/>
    <w:rsid w:val="002A451A"/>
    <w:rsid w:val="002A4558"/>
    <w:rsid w:val="002A488B"/>
    <w:rsid w:val="002A48DB"/>
    <w:rsid w:val="002A4934"/>
    <w:rsid w:val="002A4DBF"/>
    <w:rsid w:val="002A4E33"/>
    <w:rsid w:val="002A4EAD"/>
    <w:rsid w:val="002A5030"/>
    <w:rsid w:val="002A5037"/>
    <w:rsid w:val="002A546D"/>
    <w:rsid w:val="002A5533"/>
    <w:rsid w:val="002A565C"/>
    <w:rsid w:val="002A5781"/>
    <w:rsid w:val="002A584C"/>
    <w:rsid w:val="002A5D9B"/>
    <w:rsid w:val="002A607D"/>
    <w:rsid w:val="002A6152"/>
    <w:rsid w:val="002A6600"/>
    <w:rsid w:val="002A6658"/>
    <w:rsid w:val="002A683F"/>
    <w:rsid w:val="002A6D90"/>
    <w:rsid w:val="002A7646"/>
    <w:rsid w:val="002A7728"/>
    <w:rsid w:val="002A77C4"/>
    <w:rsid w:val="002A7919"/>
    <w:rsid w:val="002A79FA"/>
    <w:rsid w:val="002B0075"/>
    <w:rsid w:val="002B00B0"/>
    <w:rsid w:val="002B0240"/>
    <w:rsid w:val="002B03D4"/>
    <w:rsid w:val="002B0454"/>
    <w:rsid w:val="002B0562"/>
    <w:rsid w:val="002B062C"/>
    <w:rsid w:val="002B065F"/>
    <w:rsid w:val="002B08A9"/>
    <w:rsid w:val="002B09D0"/>
    <w:rsid w:val="002B09D5"/>
    <w:rsid w:val="002B0BB6"/>
    <w:rsid w:val="002B0CF6"/>
    <w:rsid w:val="002B0DAD"/>
    <w:rsid w:val="002B0E51"/>
    <w:rsid w:val="002B0F52"/>
    <w:rsid w:val="002B0FF8"/>
    <w:rsid w:val="002B12F5"/>
    <w:rsid w:val="002B1702"/>
    <w:rsid w:val="002B193D"/>
    <w:rsid w:val="002B19CB"/>
    <w:rsid w:val="002B1D09"/>
    <w:rsid w:val="002B1D5E"/>
    <w:rsid w:val="002B1DE9"/>
    <w:rsid w:val="002B1E38"/>
    <w:rsid w:val="002B1FA7"/>
    <w:rsid w:val="002B2068"/>
    <w:rsid w:val="002B22CB"/>
    <w:rsid w:val="002B232D"/>
    <w:rsid w:val="002B23AA"/>
    <w:rsid w:val="002B288E"/>
    <w:rsid w:val="002B3065"/>
    <w:rsid w:val="002B37B4"/>
    <w:rsid w:val="002B3910"/>
    <w:rsid w:val="002B3AAC"/>
    <w:rsid w:val="002B3F29"/>
    <w:rsid w:val="002B3FDA"/>
    <w:rsid w:val="002B41DE"/>
    <w:rsid w:val="002B47CD"/>
    <w:rsid w:val="002B482A"/>
    <w:rsid w:val="002B496E"/>
    <w:rsid w:val="002B4A36"/>
    <w:rsid w:val="002B4CF0"/>
    <w:rsid w:val="002B5080"/>
    <w:rsid w:val="002B50DF"/>
    <w:rsid w:val="002B50FC"/>
    <w:rsid w:val="002B532E"/>
    <w:rsid w:val="002B53B4"/>
    <w:rsid w:val="002B53FF"/>
    <w:rsid w:val="002B5460"/>
    <w:rsid w:val="002B5741"/>
    <w:rsid w:val="002B5A4F"/>
    <w:rsid w:val="002B5FFB"/>
    <w:rsid w:val="002B60B1"/>
    <w:rsid w:val="002B620E"/>
    <w:rsid w:val="002B633F"/>
    <w:rsid w:val="002B639E"/>
    <w:rsid w:val="002B6651"/>
    <w:rsid w:val="002B6D84"/>
    <w:rsid w:val="002B6ECC"/>
    <w:rsid w:val="002B7463"/>
    <w:rsid w:val="002B750B"/>
    <w:rsid w:val="002B752C"/>
    <w:rsid w:val="002B76C0"/>
    <w:rsid w:val="002B7F7D"/>
    <w:rsid w:val="002B7F92"/>
    <w:rsid w:val="002B7FF8"/>
    <w:rsid w:val="002C0018"/>
    <w:rsid w:val="002C0082"/>
    <w:rsid w:val="002C01E9"/>
    <w:rsid w:val="002C045F"/>
    <w:rsid w:val="002C082B"/>
    <w:rsid w:val="002C0A78"/>
    <w:rsid w:val="002C0B35"/>
    <w:rsid w:val="002C0C28"/>
    <w:rsid w:val="002C0F71"/>
    <w:rsid w:val="002C0FA4"/>
    <w:rsid w:val="002C0FC7"/>
    <w:rsid w:val="002C103F"/>
    <w:rsid w:val="002C1211"/>
    <w:rsid w:val="002C1259"/>
    <w:rsid w:val="002C1409"/>
    <w:rsid w:val="002C1665"/>
    <w:rsid w:val="002C17B9"/>
    <w:rsid w:val="002C184C"/>
    <w:rsid w:val="002C1AA9"/>
    <w:rsid w:val="002C1C4F"/>
    <w:rsid w:val="002C1D23"/>
    <w:rsid w:val="002C1F15"/>
    <w:rsid w:val="002C2237"/>
    <w:rsid w:val="002C2282"/>
    <w:rsid w:val="002C23BC"/>
    <w:rsid w:val="002C274D"/>
    <w:rsid w:val="002C2834"/>
    <w:rsid w:val="002C2B1E"/>
    <w:rsid w:val="002C2EC4"/>
    <w:rsid w:val="002C2F1D"/>
    <w:rsid w:val="002C2F8A"/>
    <w:rsid w:val="002C30FA"/>
    <w:rsid w:val="002C31EB"/>
    <w:rsid w:val="002C3233"/>
    <w:rsid w:val="002C334C"/>
    <w:rsid w:val="002C3886"/>
    <w:rsid w:val="002C3A02"/>
    <w:rsid w:val="002C3A9D"/>
    <w:rsid w:val="002C3AF6"/>
    <w:rsid w:val="002C3E2B"/>
    <w:rsid w:val="002C3E7A"/>
    <w:rsid w:val="002C4102"/>
    <w:rsid w:val="002C43AB"/>
    <w:rsid w:val="002C43E3"/>
    <w:rsid w:val="002C4406"/>
    <w:rsid w:val="002C4442"/>
    <w:rsid w:val="002C476C"/>
    <w:rsid w:val="002C4784"/>
    <w:rsid w:val="002C47BA"/>
    <w:rsid w:val="002C4AF7"/>
    <w:rsid w:val="002C4D1D"/>
    <w:rsid w:val="002C4D86"/>
    <w:rsid w:val="002C4EAA"/>
    <w:rsid w:val="002C4F0E"/>
    <w:rsid w:val="002C4F9E"/>
    <w:rsid w:val="002C5033"/>
    <w:rsid w:val="002C5A29"/>
    <w:rsid w:val="002C5A68"/>
    <w:rsid w:val="002C5C58"/>
    <w:rsid w:val="002C5F63"/>
    <w:rsid w:val="002C5FC2"/>
    <w:rsid w:val="002C6E11"/>
    <w:rsid w:val="002C6FBE"/>
    <w:rsid w:val="002C71BF"/>
    <w:rsid w:val="002C742B"/>
    <w:rsid w:val="002C775D"/>
    <w:rsid w:val="002C7859"/>
    <w:rsid w:val="002C7B1A"/>
    <w:rsid w:val="002C7B44"/>
    <w:rsid w:val="002C7EB3"/>
    <w:rsid w:val="002D0227"/>
    <w:rsid w:val="002D04CA"/>
    <w:rsid w:val="002D053D"/>
    <w:rsid w:val="002D0626"/>
    <w:rsid w:val="002D06A9"/>
    <w:rsid w:val="002D099A"/>
    <w:rsid w:val="002D0B7C"/>
    <w:rsid w:val="002D0F1B"/>
    <w:rsid w:val="002D0FCE"/>
    <w:rsid w:val="002D193A"/>
    <w:rsid w:val="002D1BAB"/>
    <w:rsid w:val="002D1F4F"/>
    <w:rsid w:val="002D1F61"/>
    <w:rsid w:val="002D2056"/>
    <w:rsid w:val="002D2134"/>
    <w:rsid w:val="002D21E7"/>
    <w:rsid w:val="002D295E"/>
    <w:rsid w:val="002D2A24"/>
    <w:rsid w:val="002D2B15"/>
    <w:rsid w:val="002D2B3F"/>
    <w:rsid w:val="002D2D73"/>
    <w:rsid w:val="002D2F6D"/>
    <w:rsid w:val="002D307B"/>
    <w:rsid w:val="002D3348"/>
    <w:rsid w:val="002D33DF"/>
    <w:rsid w:val="002D3674"/>
    <w:rsid w:val="002D36D5"/>
    <w:rsid w:val="002D3D13"/>
    <w:rsid w:val="002D3EDD"/>
    <w:rsid w:val="002D4121"/>
    <w:rsid w:val="002D45E7"/>
    <w:rsid w:val="002D4741"/>
    <w:rsid w:val="002D48F0"/>
    <w:rsid w:val="002D48F1"/>
    <w:rsid w:val="002D4AC1"/>
    <w:rsid w:val="002D4D3D"/>
    <w:rsid w:val="002D50C6"/>
    <w:rsid w:val="002D516F"/>
    <w:rsid w:val="002D51B6"/>
    <w:rsid w:val="002D562D"/>
    <w:rsid w:val="002D575F"/>
    <w:rsid w:val="002D576A"/>
    <w:rsid w:val="002D5873"/>
    <w:rsid w:val="002D589F"/>
    <w:rsid w:val="002D58B0"/>
    <w:rsid w:val="002D593A"/>
    <w:rsid w:val="002D5A2B"/>
    <w:rsid w:val="002D5C17"/>
    <w:rsid w:val="002D5F2E"/>
    <w:rsid w:val="002D5F5D"/>
    <w:rsid w:val="002D5F88"/>
    <w:rsid w:val="002D6139"/>
    <w:rsid w:val="002D6219"/>
    <w:rsid w:val="002D630B"/>
    <w:rsid w:val="002D662D"/>
    <w:rsid w:val="002D6792"/>
    <w:rsid w:val="002D67E3"/>
    <w:rsid w:val="002D67F2"/>
    <w:rsid w:val="002D6A13"/>
    <w:rsid w:val="002D6BCB"/>
    <w:rsid w:val="002D6E10"/>
    <w:rsid w:val="002D712A"/>
    <w:rsid w:val="002D721B"/>
    <w:rsid w:val="002D73D7"/>
    <w:rsid w:val="002D74CB"/>
    <w:rsid w:val="002D7602"/>
    <w:rsid w:val="002D7AE1"/>
    <w:rsid w:val="002D7D12"/>
    <w:rsid w:val="002D7DE3"/>
    <w:rsid w:val="002D7E41"/>
    <w:rsid w:val="002D7E68"/>
    <w:rsid w:val="002E028C"/>
    <w:rsid w:val="002E04FE"/>
    <w:rsid w:val="002E07AA"/>
    <w:rsid w:val="002E084A"/>
    <w:rsid w:val="002E0E53"/>
    <w:rsid w:val="002E0F86"/>
    <w:rsid w:val="002E1119"/>
    <w:rsid w:val="002E11DC"/>
    <w:rsid w:val="002E13BB"/>
    <w:rsid w:val="002E1519"/>
    <w:rsid w:val="002E15C2"/>
    <w:rsid w:val="002E17D9"/>
    <w:rsid w:val="002E186E"/>
    <w:rsid w:val="002E191B"/>
    <w:rsid w:val="002E1973"/>
    <w:rsid w:val="002E1A01"/>
    <w:rsid w:val="002E1C6D"/>
    <w:rsid w:val="002E1E14"/>
    <w:rsid w:val="002E1E70"/>
    <w:rsid w:val="002E1F96"/>
    <w:rsid w:val="002E20DF"/>
    <w:rsid w:val="002E2345"/>
    <w:rsid w:val="002E2494"/>
    <w:rsid w:val="002E24FD"/>
    <w:rsid w:val="002E2667"/>
    <w:rsid w:val="002E2842"/>
    <w:rsid w:val="002E29B0"/>
    <w:rsid w:val="002E2DB9"/>
    <w:rsid w:val="002E2F56"/>
    <w:rsid w:val="002E3786"/>
    <w:rsid w:val="002E39D1"/>
    <w:rsid w:val="002E3BAB"/>
    <w:rsid w:val="002E3EBE"/>
    <w:rsid w:val="002E4173"/>
    <w:rsid w:val="002E47B8"/>
    <w:rsid w:val="002E4B5B"/>
    <w:rsid w:val="002E4CB0"/>
    <w:rsid w:val="002E4DC4"/>
    <w:rsid w:val="002E566A"/>
    <w:rsid w:val="002E5838"/>
    <w:rsid w:val="002E5853"/>
    <w:rsid w:val="002E5EFB"/>
    <w:rsid w:val="002E5F91"/>
    <w:rsid w:val="002E61D4"/>
    <w:rsid w:val="002E6297"/>
    <w:rsid w:val="002E62ED"/>
    <w:rsid w:val="002E6322"/>
    <w:rsid w:val="002E6748"/>
    <w:rsid w:val="002E6AFB"/>
    <w:rsid w:val="002E6E58"/>
    <w:rsid w:val="002E7221"/>
    <w:rsid w:val="002E78D6"/>
    <w:rsid w:val="002E7C0B"/>
    <w:rsid w:val="002E7DCD"/>
    <w:rsid w:val="002E7EF8"/>
    <w:rsid w:val="002F03F9"/>
    <w:rsid w:val="002F050D"/>
    <w:rsid w:val="002F08B9"/>
    <w:rsid w:val="002F0AB7"/>
    <w:rsid w:val="002F0F62"/>
    <w:rsid w:val="002F0F6F"/>
    <w:rsid w:val="002F12F6"/>
    <w:rsid w:val="002F168D"/>
    <w:rsid w:val="002F189E"/>
    <w:rsid w:val="002F18B6"/>
    <w:rsid w:val="002F1B9B"/>
    <w:rsid w:val="002F1BC3"/>
    <w:rsid w:val="002F1CF4"/>
    <w:rsid w:val="002F1D53"/>
    <w:rsid w:val="002F1F7A"/>
    <w:rsid w:val="002F20B5"/>
    <w:rsid w:val="002F2160"/>
    <w:rsid w:val="002F219C"/>
    <w:rsid w:val="002F224F"/>
    <w:rsid w:val="002F2325"/>
    <w:rsid w:val="002F2695"/>
    <w:rsid w:val="002F2714"/>
    <w:rsid w:val="002F2848"/>
    <w:rsid w:val="002F2FA5"/>
    <w:rsid w:val="002F3453"/>
    <w:rsid w:val="002F3468"/>
    <w:rsid w:val="002F349D"/>
    <w:rsid w:val="002F3538"/>
    <w:rsid w:val="002F36EC"/>
    <w:rsid w:val="002F372D"/>
    <w:rsid w:val="002F3893"/>
    <w:rsid w:val="002F3A9F"/>
    <w:rsid w:val="002F3CA0"/>
    <w:rsid w:val="002F410A"/>
    <w:rsid w:val="002F4387"/>
    <w:rsid w:val="002F4689"/>
    <w:rsid w:val="002F48DC"/>
    <w:rsid w:val="002F4B4F"/>
    <w:rsid w:val="002F4D11"/>
    <w:rsid w:val="002F5151"/>
    <w:rsid w:val="002F5497"/>
    <w:rsid w:val="002F5E1E"/>
    <w:rsid w:val="002F5E68"/>
    <w:rsid w:val="002F63D3"/>
    <w:rsid w:val="002F6475"/>
    <w:rsid w:val="002F65C6"/>
    <w:rsid w:val="002F67BB"/>
    <w:rsid w:val="002F683E"/>
    <w:rsid w:val="002F6871"/>
    <w:rsid w:val="002F69BB"/>
    <w:rsid w:val="002F69BF"/>
    <w:rsid w:val="002F6E5A"/>
    <w:rsid w:val="002F6E5B"/>
    <w:rsid w:val="002F70FC"/>
    <w:rsid w:val="002F72D1"/>
    <w:rsid w:val="002F747B"/>
    <w:rsid w:val="002F75FE"/>
    <w:rsid w:val="002F761F"/>
    <w:rsid w:val="002F7BFD"/>
    <w:rsid w:val="002F7C1A"/>
    <w:rsid w:val="002F7C7C"/>
    <w:rsid w:val="002F7D64"/>
    <w:rsid w:val="00300426"/>
    <w:rsid w:val="00300796"/>
    <w:rsid w:val="0030092D"/>
    <w:rsid w:val="00300D3A"/>
    <w:rsid w:val="00300DB1"/>
    <w:rsid w:val="00300E8C"/>
    <w:rsid w:val="00301256"/>
    <w:rsid w:val="00301460"/>
    <w:rsid w:val="00301566"/>
    <w:rsid w:val="00301575"/>
    <w:rsid w:val="00301591"/>
    <w:rsid w:val="00301A68"/>
    <w:rsid w:val="00301B80"/>
    <w:rsid w:val="00301C62"/>
    <w:rsid w:val="00301ED1"/>
    <w:rsid w:val="00301F05"/>
    <w:rsid w:val="00302050"/>
    <w:rsid w:val="0030215B"/>
    <w:rsid w:val="003024B2"/>
    <w:rsid w:val="00302682"/>
    <w:rsid w:val="00302745"/>
    <w:rsid w:val="00302770"/>
    <w:rsid w:val="00302861"/>
    <w:rsid w:val="003029E0"/>
    <w:rsid w:val="00302C89"/>
    <w:rsid w:val="00302CA8"/>
    <w:rsid w:val="00302EC9"/>
    <w:rsid w:val="00303301"/>
    <w:rsid w:val="003033C8"/>
    <w:rsid w:val="00303A77"/>
    <w:rsid w:val="00303B28"/>
    <w:rsid w:val="00303B8A"/>
    <w:rsid w:val="00303DAF"/>
    <w:rsid w:val="00303DBA"/>
    <w:rsid w:val="00303F89"/>
    <w:rsid w:val="00304104"/>
    <w:rsid w:val="003041BF"/>
    <w:rsid w:val="0030439F"/>
    <w:rsid w:val="0030461B"/>
    <w:rsid w:val="00304654"/>
    <w:rsid w:val="003046F6"/>
    <w:rsid w:val="003047A4"/>
    <w:rsid w:val="00304D55"/>
    <w:rsid w:val="00304F39"/>
    <w:rsid w:val="00305099"/>
    <w:rsid w:val="0030512C"/>
    <w:rsid w:val="003054D4"/>
    <w:rsid w:val="003055C6"/>
    <w:rsid w:val="00305764"/>
    <w:rsid w:val="0030584C"/>
    <w:rsid w:val="0030598E"/>
    <w:rsid w:val="00305C00"/>
    <w:rsid w:val="00305CC5"/>
    <w:rsid w:val="00306187"/>
    <w:rsid w:val="003062CB"/>
    <w:rsid w:val="003066ED"/>
    <w:rsid w:val="003068B7"/>
    <w:rsid w:val="003069E2"/>
    <w:rsid w:val="00306CD6"/>
    <w:rsid w:val="00307019"/>
    <w:rsid w:val="0030724A"/>
    <w:rsid w:val="0030742A"/>
    <w:rsid w:val="003075A3"/>
    <w:rsid w:val="0030771A"/>
    <w:rsid w:val="00307A91"/>
    <w:rsid w:val="00307AC0"/>
    <w:rsid w:val="00307AE7"/>
    <w:rsid w:val="00307BA9"/>
    <w:rsid w:val="00307C95"/>
    <w:rsid w:val="00307D5F"/>
    <w:rsid w:val="00307E9C"/>
    <w:rsid w:val="00307EF5"/>
    <w:rsid w:val="00310232"/>
    <w:rsid w:val="0031042F"/>
    <w:rsid w:val="00310768"/>
    <w:rsid w:val="0031078C"/>
    <w:rsid w:val="0031096D"/>
    <w:rsid w:val="003109F1"/>
    <w:rsid w:val="00310A9E"/>
    <w:rsid w:val="00310ABB"/>
    <w:rsid w:val="00311105"/>
    <w:rsid w:val="003112AA"/>
    <w:rsid w:val="00311491"/>
    <w:rsid w:val="0031188A"/>
    <w:rsid w:val="003119E2"/>
    <w:rsid w:val="00311B05"/>
    <w:rsid w:val="00311E2F"/>
    <w:rsid w:val="003122FA"/>
    <w:rsid w:val="0031256C"/>
    <w:rsid w:val="0031281B"/>
    <w:rsid w:val="00312A4F"/>
    <w:rsid w:val="00312AEE"/>
    <w:rsid w:val="00312DFB"/>
    <w:rsid w:val="00312FAA"/>
    <w:rsid w:val="00312FBB"/>
    <w:rsid w:val="00313011"/>
    <w:rsid w:val="003130E2"/>
    <w:rsid w:val="00313291"/>
    <w:rsid w:val="003137A1"/>
    <w:rsid w:val="00313996"/>
    <w:rsid w:val="00313B04"/>
    <w:rsid w:val="00313B90"/>
    <w:rsid w:val="00313E5C"/>
    <w:rsid w:val="003141A3"/>
    <w:rsid w:val="00314360"/>
    <w:rsid w:val="003149FC"/>
    <w:rsid w:val="00314A7D"/>
    <w:rsid w:val="003150D8"/>
    <w:rsid w:val="00315A89"/>
    <w:rsid w:val="00315AF7"/>
    <w:rsid w:val="00315BB2"/>
    <w:rsid w:val="00315DC0"/>
    <w:rsid w:val="00315EB3"/>
    <w:rsid w:val="00316011"/>
    <w:rsid w:val="0031621B"/>
    <w:rsid w:val="0031622A"/>
    <w:rsid w:val="003162F8"/>
    <w:rsid w:val="00316462"/>
    <w:rsid w:val="00316A13"/>
    <w:rsid w:val="00316AE0"/>
    <w:rsid w:val="00316B8A"/>
    <w:rsid w:val="00317128"/>
    <w:rsid w:val="00317184"/>
    <w:rsid w:val="00317507"/>
    <w:rsid w:val="00317691"/>
    <w:rsid w:val="00317949"/>
    <w:rsid w:val="003179B7"/>
    <w:rsid w:val="00317B80"/>
    <w:rsid w:val="00317E6D"/>
    <w:rsid w:val="0032000D"/>
    <w:rsid w:val="0032013F"/>
    <w:rsid w:val="003202D1"/>
    <w:rsid w:val="003203C3"/>
    <w:rsid w:val="003205A7"/>
    <w:rsid w:val="003206D7"/>
    <w:rsid w:val="003206EA"/>
    <w:rsid w:val="0032077D"/>
    <w:rsid w:val="00320AAC"/>
    <w:rsid w:val="00320B87"/>
    <w:rsid w:val="00320BAF"/>
    <w:rsid w:val="00320FC8"/>
    <w:rsid w:val="00321043"/>
    <w:rsid w:val="00321099"/>
    <w:rsid w:val="00321183"/>
    <w:rsid w:val="0032118F"/>
    <w:rsid w:val="003211DD"/>
    <w:rsid w:val="00321366"/>
    <w:rsid w:val="0032140B"/>
    <w:rsid w:val="003215FA"/>
    <w:rsid w:val="0032168E"/>
    <w:rsid w:val="0032172E"/>
    <w:rsid w:val="00321A12"/>
    <w:rsid w:val="00321B9E"/>
    <w:rsid w:val="00321CD8"/>
    <w:rsid w:val="00321D32"/>
    <w:rsid w:val="00321EB7"/>
    <w:rsid w:val="00321F15"/>
    <w:rsid w:val="00322198"/>
    <w:rsid w:val="003222F5"/>
    <w:rsid w:val="0032251A"/>
    <w:rsid w:val="003227ED"/>
    <w:rsid w:val="00322E69"/>
    <w:rsid w:val="00323231"/>
    <w:rsid w:val="003234DD"/>
    <w:rsid w:val="003235F5"/>
    <w:rsid w:val="0032375B"/>
    <w:rsid w:val="00323A32"/>
    <w:rsid w:val="00323CF4"/>
    <w:rsid w:val="003240C2"/>
    <w:rsid w:val="0032421C"/>
    <w:rsid w:val="00324261"/>
    <w:rsid w:val="00324594"/>
    <w:rsid w:val="003247BB"/>
    <w:rsid w:val="003249E4"/>
    <w:rsid w:val="00324B03"/>
    <w:rsid w:val="00324B60"/>
    <w:rsid w:val="00324C29"/>
    <w:rsid w:val="00324D7D"/>
    <w:rsid w:val="00324F9A"/>
    <w:rsid w:val="00325108"/>
    <w:rsid w:val="003251F0"/>
    <w:rsid w:val="00325213"/>
    <w:rsid w:val="00325327"/>
    <w:rsid w:val="00325444"/>
    <w:rsid w:val="00325502"/>
    <w:rsid w:val="003255DD"/>
    <w:rsid w:val="003257D1"/>
    <w:rsid w:val="00325BCE"/>
    <w:rsid w:val="00325C53"/>
    <w:rsid w:val="00325D30"/>
    <w:rsid w:val="00325EEB"/>
    <w:rsid w:val="00326492"/>
    <w:rsid w:val="003265B0"/>
    <w:rsid w:val="00326832"/>
    <w:rsid w:val="003269EC"/>
    <w:rsid w:val="00326AD7"/>
    <w:rsid w:val="00326B02"/>
    <w:rsid w:val="00326F5E"/>
    <w:rsid w:val="00327000"/>
    <w:rsid w:val="003271F9"/>
    <w:rsid w:val="00327415"/>
    <w:rsid w:val="003274A1"/>
    <w:rsid w:val="00327BB3"/>
    <w:rsid w:val="00327D43"/>
    <w:rsid w:val="0032DA66"/>
    <w:rsid w:val="003303AE"/>
    <w:rsid w:val="003304BF"/>
    <w:rsid w:val="003308F9"/>
    <w:rsid w:val="00330CD8"/>
    <w:rsid w:val="00330CD9"/>
    <w:rsid w:val="00330DBD"/>
    <w:rsid w:val="00330E5E"/>
    <w:rsid w:val="00330E7C"/>
    <w:rsid w:val="00330F30"/>
    <w:rsid w:val="0033104F"/>
    <w:rsid w:val="003311FA"/>
    <w:rsid w:val="003312E8"/>
    <w:rsid w:val="0033130A"/>
    <w:rsid w:val="003313D4"/>
    <w:rsid w:val="003314F4"/>
    <w:rsid w:val="003317AB"/>
    <w:rsid w:val="00331C25"/>
    <w:rsid w:val="00331C32"/>
    <w:rsid w:val="00332304"/>
    <w:rsid w:val="00332402"/>
    <w:rsid w:val="00332700"/>
    <w:rsid w:val="00332879"/>
    <w:rsid w:val="00332886"/>
    <w:rsid w:val="00332A5B"/>
    <w:rsid w:val="00332AFC"/>
    <w:rsid w:val="00332B48"/>
    <w:rsid w:val="00332F4D"/>
    <w:rsid w:val="003331F3"/>
    <w:rsid w:val="003334E7"/>
    <w:rsid w:val="00333721"/>
    <w:rsid w:val="00333905"/>
    <w:rsid w:val="00333FF3"/>
    <w:rsid w:val="0033461B"/>
    <w:rsid w:val="003347C2"/>
    <w:rsid w:val="00334889"/>
    <w:rsid w:val="003349AD"/>
    <w:rsid w:val="00334A2D"/>
    <w:rsid w:val="00334ABB"/>
    <w:rsid w:val="00334D24"/>
    <w:rsid w:val="00334E3D"/>
    <w:rsid w:val="00334ED8"/>
    <w:rsid w:val="00335007"/>
    <w:rsid w:val="00335049"/>
    <w:rsid w:val="003351DE"/>
    <w:rsid w:val="00335225"/>
    <w:rsid w:val="003353E5"/>
    <w:rsid w:val="0033587B"/>
    <w:rsid w:val="003358C3"/>
    <w:rsid w:val="00335B51"/>
    <w:rsid w:val="00335D2F"/>
    <w:rsid w:val="00336205"/>
    <w:rsid w:val="003365BD"/>
    <w:rsid w:val="00336631"/>
    <w:rsid w:val="003366D9"/>
    <w:rsid w:val="00336863"/>
    <w:rsid w:val="00336D7B"/>
    <w:rsid w:val="00336E97"/>
    <w:rsid w:val="00337077"/>
    <w:rsid w:val="003370F4"/>
    <w:rsid w:val="003374CE"/>
    <w:rsid w:val="003376F2"/>
    <w:rsid w:val="00337733"/>
    <w:rsid w:val="00337AF3"/>
    <w:rsid w:val="00337CE8"/>
    <w:rsid w:val="00340076"/>
    <w:rsid w:val="003402A2"/>
    <w:rsid w:val="003405DC"/>
    <w:rsid w:val="0034069F"/>
    <w:rsid w:val="003406B8"/>
    <w:rsid w:val="003408AC"/>
    <w:rsid w:val="00340A4B"/>
    <w:rsid w:val="00340AD2"/>
    <w:rsid w:val="00340B2F"/>
    <w:rsid w:val="00340D04"/>
    <w:rsid w:val="003412C2"/>
    <w:rsid w:val="0034132E"/>
    <w:rsid w:val="003414FA"/>
    <w:rsid w:val="003416E0"/>
    <w:rsid w:val="00341A7A"/>
    <w:rsid w:val="00341CE2"/>
    <w:rsid w:val="00341FCB"/>
    <w:rsid w:val="003422A1"/>
    <w:rsid w:val="0034251D"/>
    <w:rsid w:val="003426AA"/>
    <w:rsid w:val="00342729"/>
    <w:rsid w:val="0034273D"/>
    <w:rsid w:val="003427EF"/>
    <w:rsid w:val="00342A03"/>
    <w:rsid w:val="00342B30"/>
    <w:rsid w:val="00342C3C"/>
    <w:rsid w:val="00342F91"/>
    <w:rsid w:val="0034305F"/>
    <w:rsid w:val="00343117"/>
    <w:rsid w:val="00343308"/>
    <w:rsid w:val="00343329"/>
    <w:rsid w:val="00343A2D"/>
    <w:rsid w:val="00343A41"/>
    <w:rsid w:val="00343BC0"/>
    <w:rsid w:val="0034413C"/>
    <w:rsid w:val="003441F2"/>
    <w:rsid w:val="003441F8"/>
    <w:rsid w:val="003443D7"/>
    <w:rsid w:val="0034485C"/>
    <w:rsid w:val="003448D6"/>
    <w:rsid w:val="00344B4D"/>
    <w:rsid w:val="00344BA8"/>
    <w:rsid w:val="00344E6E"/>
    <w:rsid w:val="00344F33"/>
    <w:rsid w:val="0034508C"/>
    <w:rsid w:val="003450BB"/>
    <w:rsid w:val="00345439"/>
    <w:rsid w:val="003459EA"/>
    <w:rsid w:val="00345C63"/>
    <w:rsid w:val="00345E7A"/>
    <w:rsid w:val="003464FA"/>
    <w:rsid w:val="00346501"/>
    <w:rsid w:val="0034664C"/>
    <w:rsid w:val="0034696C"/>
    <w:rsid w:val="00346C91"/>
    <w:rsid w:val="00346E8D"/>
    <w:rsid w:val="00346F6A"/>
    <w:rsid w:val="00346F86"/>
    <w:rsid w:val="00347087"/>
    <w:rsid w:val="003470EE"/>
    <w:rsid w:val="00347208"/>
    <w:rsid w:val="00347262"/>
    <w:rsid w:val="0034728B"/>
    <w:rsid w:val="003472FB"/>
    <w:rsid w:val="0034736E"/>
    <w:rsid w:val="0034750A"/>
    <w:rsid w:val="00347656"/>
    <w:rsid w:val="00347677"/>
    <w:rsid w:val="00347B5C"/>
    <w:rsid w:val="00347C15"/>
    <w:rsid w:val="00347D17"/>
    <w:rsid w:val="00347D60"/>
    <w:rsid w:val="003500A6"/>
    <w:rsid w:val="0035035D"/>
    <w:rsid w:val="0035047D"/>
    <w:rsid w:val="00350635"/>
    <w:rsid w:val="0035092C"/>
    <w:rsid w:val="00350974"/>
    <w:rsid w:val="00350A04"/>
    <w:rsid w:val="00350A7D"/>
    <w:rsid w:val="00350BC3"/>
    <w:rsid w:val="00350C3E"/>
    <w:rsid w:val="00350F43"/>
    <w:rsid w:val="00350F7A"/>
    <w:rsid w:val="003517AE"/>
    <w:rsid w:val="003518A5"/>
    <w:rsid w:val="00351A4F"/>
    <w:rsid w:val="00351BEC"/>
    <w:rsid w:val="00351CEB"/>
    <w:rsid w:val="00351DF4"/>
    <w:rsid w:val="00351F3E"/>
    <w:rsid w:val="00351F9C"/>
    <w:rsid w:val="00351FF8"/>
    <w:rsid w:val="00352466"/>
    <w:rsid w:val="0035278B"/>
    <w:rsid w:val="00352BB8"/>
    <w:rsid w:val="00352CDF"/>
    <w:rsid w:val="00352F64"/>
    <w:rsid w:val="003530C3"/>
    <w:rsid w:val="003531AD"/>
    <w:rsid w:val="003533B9"/>
    <w:rsid w:val="003533F1"/>
    <w:rsid w:val="003534EE"/>
    <w:rsid w:val="00353700"/>
    <w:rsid w:val="003537BB"/>
    <w:rsid w:val="0035387A"/>
    <w:rsid w:val="00353A31"/>
    <w:rsid w:val="00353CF7"/>
    <w:rsid w:val="00353D32"/>
    <w:rsid w:val="00353FC9"/>
    <w:rsid w:val="003540B1"/>
    <w:rsid w:val="00354476"/>
    <w:rsid w:val="0035447B"/>
    <w:rsid w:val="003547D9"/>
    <w:rsid w:val="0035482A"/>
    <w:rsid w:val="003548EE"/>
    <w:rsid w:val="003549FC"/>
    <w:rsid w:val="00354A1B"/>
    <w:rsid w:val="00354ED8"/>
    <w:rsid w:val="0035501B"/>
    <w:rsid w:val="003551E0"/>
    <w:rsid w:val="003552ED"/>
    <w:rsid w:val="00355656"/>
    <w:rsid w:val="00355668"/>
    <w:rsid w:val="00355ADC"/>
    <w:rsid w:val="0035626D"/>
    <w:rsid w:val="0035652F"/>
    <w:rsid w:val="00356B0E"/>
    <w:rsid w:val="00356B13"/>
    <w:rsid w:val="00356D4A"/>
    <w:rsid w:val="00356EE4"/>
    <w:rsid w:val="0035718C"/>
    <w:rsid w:val="00357293"/>
    <w:rsid w:val="00357518"/>
    <w:rsid w:val="003575A1"/>
    <w:rsid w:val="003576F6"/>
    <w:rsid w:val="003577F0"/>
    <w:rsid w:val="0035782F"/>
    <w:rsid w:val="00357974"/>
    <w:rsid w:val="00357A0E"/>
    <w:rsid w:val="00357AD3"/>
    <w:rsid w:val="0036002F"/>
    <w:rsid w:val="003601B8"/>
    <w:rsid w:val="00360508"/>
    <w:rsid w:val="00360654"/>
    <w:rsid w:val="003607C4"/>
    <w:rsid w:val="003609A1"/>
    <w:rsid w:val="00360ACF"/>
    <w:rsid w:val="00360B49"/>
    <w:rsid w:val="00360D0E"/>
    <w:rsid w:val="00361327"/>
    <w:rsid w:val="003613F1"/>
    <w:rsid w:val="0036155C"/>
    <w:rsid w:val="0036173B"/>
    <w:rsid w:val="0036190F"/>
    <w:rsid w:val="00361C08"/>
    <w:rsid w:val="00361C3E"/>
    <w:rsid w:val="00361C89"/>
    <w:rsid w:val="00361CCC"/>
    <w:rsid w:val="00361DDD"/>
    <w:rsid w:val="00361E2D"/>
    <w:rsid w:val="00361F4F"/>
    <w:rsid w:val="00362112"/>
    <w:rsid w:val="00362263"/>
    <w:rsid w:val="00362723"/>
    <w:rsid w:val="003628C8"/>
    <w:rsid w:val="00362EC0"/>
    <w:rsid w:val="0036304A"/>
    <w:rsid w:val="003630A6"/>
    <w:rsid w:val="003630BF"/>
    <w:rsid w:val="00363113"/>
    <w:rsid w:val="003632BA"/>
    <w:rsid w:val="00363B72"/>
    <w:rsid w:val="00363BD7"/>
    <w:rsid w:val="00363C4F"/>
    <w:rsid w:val="00364012"/>
    <w:rsid w:val="0036416E"/>
    <w:rsid w:val="003641FE"/>
    <w:rsid w:val="003643C2"/>
    <w:rsid w:val="00364681"/>
    <w:rsid w:val="003649F4"/>
    <w:rsid w:val="00364C42"/>
    <w:rsid w:val="00365180"/>
    <w:rsid w:val="003652F6"/>
    <w:rsid w:val="0036556F"/>
    <w:rsid w:val="003656A2"/>
    <w:rsid w:val="00365BD7"/>
    <w:rsid w:val="00365DDC"/>
    <w:rsid w:val="003661FF"/>
    <w:rsid w:val="00366322"/>
    <w:rsid w:val="00366418"/>
    <w:rsid w:val="0036642E"/>
    <w:rsid w:val="0036669D"/>
    <w:rsid w:val="00366BDE"/>
    <w:rsid w:val="003671F6"/>
    <w:rsid w:val="003675D6"/>
    <w:rsid w:val="003676DC"/>
    <w:rsid w:val="0036782A"/>
    <w:rsid w:val="00367843"/>
    <w:rsid w:val="00367DE4"/>
    <w:rsid w:val="00367E28"/>
    <w:rsid w:val="00367EFF"/>
    <w:rsid w:val="00367FC2"/>
    <w:rsid w:val="003700C0"/>
    <w:rsid w:val="00370602"/>
    <w:rsid w:val="00370610"/>
    <w:rsid w:val="003706F9"/>
    <w:rsid w:val="00370842"/>
    <w:rsid w:val="003708BE"/>
    <w:rsid w:val="00370ABD"/>
    <w:rsid w:val="00370F93"/>
    <w:rsid w:val="00370FEC"/>
    <w:rsid w:val="00371E5E"/>
    <w:rsid w:val="0037202F"/>
    <w:rsid w:val="003720D4"/>
    <w:rsid w:val="00372153"/>
    <w:rsid w:val="00372276"/>
    <w:rsid w:val="003726D3"/>
    <w:rsid w:val="00372D0B"/>
    <w:rsid w:val="00373033"/>
    <w:rsid w:val="003731AB"/>
    <w:rsid w:val="003732E6"/>
    <w:rsid w:val="0037346A"/>
    <w:rsid w:val="003734CF"/>
    <w:rsid w:val="003736E4"/>
    <w:rsid w:val="003737CF"/>
    <w:rsid w:val="0037389C"/>
    <w:rsid w:val="00373A7A"/>
    <w:rsid w:val="00373B7A"/>
    <w:rsid w:val="00373EE0"/>
    <w:rsid w:val="00373FE3"/>
    <w:rsid w:val="003752B7"/>
    <w:rsid w:val="003755F6"/>
    <w:rsid w:val="00375641"/>
    <w:rsid w:val="003759DD"/>
    <w:rsid w:val="00375C13"/>
    <w:rsid w:val="00376192"/>
    <w:rsid w:val="003763EC"/>
    <w:rsid w:val="00376646"/>
    <w:rsid w:val="00376673"/>
    <w:rsid w:val="0037667F"/>
    <w:rsid w:val="00376753"/>
    <w:rsid w:val="00376B13"/>
    <w:rsid w:val="00376B32"/>
    <w:rsid w:val="00376D45"/>
    <w:rsid w:val="0037713F"/>
    <w:rsid w:val="0037732C"/>
    <w:rsid w:val="00377686"/>
    <w:rsid w:val="003777EB"/>
    <w:rsid w:val="00377830"/>
    <w:rsid w:val="00377A8B"/>
    <w:rsid w:val="00377AC8"/>
    <w:rsid w:val="00377B96"/>
    <w:rsid w:val="00377F1B"/>
    <w:rsid w:val="003802AB"/>
    <w:rsid w:val="00380328"/>
    <w:rsid w:val="00380501"/>
    <w:rsid w:val="003805B3"/>
    <w:rsid w:val="0038060B"/>
    <w:rsid w:val="00380785"/>
    <w:rsid w:val="00380858"/>
    <w:rsid w:val="00380AE5"/>
    <w:rsid w:val="00380B8B"/>
    <w:rsid w:val="00380BB4"/>
    <w:rsid w:val="00380D7D"/>
    <w:rsid w:val="00380F78"/>
    <w:rsid w:val="00381021"/>
    <w:rsid w:val="00381238"/>
    <w:rsid w:val="00381296"/>
    <w:rsid w:val="003814E2"/>
    <w:rsid w:val="00381616"/>
    <w:rsid w:val="00381646"/>
    <w:rsid w:val="003816A0"/>
    <w:rsid w:val="003816D0"/>
    <w:rsid w:val="0038182D"/>
    <w:rsid w:val="00381A05"/>
    <w:rsid w:val="00381A0F"/>
    <w:rsid w:val="00381AF1"/>
    <w:rsid w:val="00381B78"/>
    <w:rsid w:val="00381E22"/>
    <w:rsid w:val="0038217B"/>
    <w:rsid w:val="003823C9"/>
    <w:rsid w:val="00382727"/>
    <w:rsid w:val="00382AE0"/>
    <w:rsid w:val="00382BC3"/>
    <w:rsid w:val="00382D4E"/>
    <w:rsid w:val="00382F3B"/>
    <w:rsid w:val="00382FC1"/>
    <w:rsid w:val="0038303A"/>
    <w:rsid w:val="0038320F"/>
    <w:rsid w:val="00383463"/>
    <w:rsid w:val="00383BC9"/>
    <w:rsid w:val="00383D1E"/>
    <w:rsid w:val="00383D50"/>
    <w:rsid w:val="003840D2"/>
    <w:rsid w:val="00384346"/>
    <w:rsid w:val="00384605"/>
    <w:rsid w:val="00384809"/>
    <w:rsid w:val="00384BA9"/>
    <w:rsid w:val="00384E27"/>
    <w:rsid w:val="00385211"/>
    <w:rsid w:val="003852B8"/>
    <w:rsid w:val="0038537A"/>
    <w:rsid w:val="003858D5"/>
    <w:rsid w:val="00385A43"/>
    <w:rsid w:val="00385AA2"/>
    <w:rsid w:val="00385B21"/>
    <w:rsid w:val="00385C73"/>
    <w:rsid w:val="00385DAB"/>
    <w:rsid w:val="00385E81"/>
    <w:rsid w:val="00386088"/>
    <w:rsid w:val="003863A8"/>
    <w:rsid w:val="003864F5"/>
    <w:rsid w:val="003864F8"/>
    <w:rsid w:val="003865A4"/>
    <w:rsid w:val="00386982"/>
    <w:rsid w:val="0038699E"/>
    <w:rsid w:val="003869B4"/>
    <w:rsid w:val="00386A85"/>
    <w:rsid w:val="00386AE9"/>
    <w:rsid w:val="00386CFD"/>
    <w:rsid w:val="00386E7C"/>
    <w:rsid w:val="00386F80"/>
    <w:rsid w:val="003870EA"/>
    <w:rsid w:val="00387130"/>
    <w:rsid w:val="003871CC"/>
    <w:rsid w:val="00387561"/>
    <w:rsid w:val="003876D9"/>
    <w:rsid w:val="003876DC"/>
    <w:rsid w:val="00387ACA"/>
    <w:rsid w:val="00387B96"/>
    <w:rsid w:val="00387BDD"/>
    <w:rsid w:val="00387C8F"/>
    <w:rsid w:val="00387DE0"/>
    <w:rsid w:val="00390090"/>
    <w:rsid w:val="0039030B"/>
    <w:rsid w:val="003904DB"/>
    <w:rsid w:val="00390633"/>
    <w:rsid w:val="0039063E"/>
    <w:rsid w:val="00390859"/>
    <w:rsid w:val="00390DAF"/>
    <w:rsid w:val="00390FA9"/>
    <w:rsid w:val="0039101A"/>
    <w:rsid w:val="00391CD0"/>
    <w:rsid w:val="00391DD0"/>
    <w:rsid w:val="00391E15"/>
    <w:rsid w:val="00392219"/>
    <w:rsid w:val="003922D9"/>
    <w:rsid w:val="003923F8"/>
    <w:rsid w:val="00392870"/>
    <w:rsid w:val="003928E0"/>
    <w:rsid w:val="00392B0B"/>
    <w:rsid w:val="00392D91"/>
    <w:rsid w:val="00392E19"/>
    <w:rsid w:val="00392E43"/>
    <w:rsid w:val="00393039"/>
    <w:rsid w:val="003931E9"/>
    <w:rsid w:val="003934C5"/>
    <w:rsid w:val="00393583"/>
    <w:rsid w:val="00393C52"/>
    <w:rsid w:val="003940A0"/>
    <w:rsid w:val="003944C1"/>
    <w:rsid w:val="0039456E"/>
    <w:rsid w:val="003945DC"/>
    <w:rsid w:val="003945DD"/>
    <w:rsid w:val="0039472D"/>
    <w:rsid w:val="0039483B"/>
    <w:rsid w:val="00394B30"/>
    <w:rsid w:val="00394CD3"/>
    <w:rsid w:val="00394D5B"/>
    <w:rsid w:val="0039500F"/>
    <w:rsid w:val="00395169"/>
    <w:rsid w:val="003952B4"/>
    <w:rsid w:val="003954C5"/>
    <w:rsid w:val="003956A2"/>
    <w:rsid w:val="00395744"/>
    <w:rsid w:val="00395C0F"/>
    <w:rsid w:val="00395CBC"/>
    <w:rsid w:val="00395E28"/>
    <w:rsid w:val="00395F54"/>
    <w:rsid w:val="003968C1"/>
    <w:rsid w:val="003969D2"/>
    <w:rsid w:val="00396F8E"/>
    <w:rsid w:val="00396F99"/>
    <w:rsid w:val="00396FDC"/>
    <w:rsid w:val="003971A7"/>
    <w:rsid w:val="003974AA"/>
    <w:rsid w:val="003974C9"/>
    <w:rsid w:val="00397534"/>
    <w:rsid w:val="0039763C"/>
    <w:rsid w:val="00397C05"/>
    <w:rsid w:val="00397D26"/>
    <w:rsid w:val="00397DDD"/>
    <w:rsid w:val="00397F1C"/>
    <w:rsid w:val="00397F92"/>
    <w:rsid w:val="00397FB4"/>
    <w:rsid w:val="003A0285"/>
    <w:rsid w:val="003A0487"/>
    <w:rsid w:val="003A06FF"/>
    <w:rsid w:val="003A074A"/>
    <w:rsid w:val="003A08AA"/>
    <w:rsid w:val="003A08D7"/>
    <w:rsid w:val="003A0901"/>
    <w:rsid w:val="003A0AE2"/>
    <w:rsid w:val="003A0BCA"/>
    <w:rsid w:val="003A0DA6"/>
    <w:rsid w:val="003A0EA6"/>
    <w:rsid w:val="003A1153"/>
    <w:rsid w:val="003A138A"/>
    <w:rsid w:val="003A13A4"/>
    <w:rsid w:val="003A13C6"/>
    <w:rsid w:val="003A15E7"/>
    <w:rsid w:val="003A15F8"/>
    <w:rsid w:val="003A183D"/>
    <w:rsid w:val="003A18C4"/>
    <w:rsid w:val="003A1973"/>
    <w:rsid w:val="003A1B00"/>
    <w:rsid w:val="003A1E06"/>
    <w:rsid w:val="003A1F33"/>
    <w:rsid w:val="003A1F70"/>
    <w:rsid w:val="003A2587"/>
    <w:rsid w:val="003A2786"/>
    <w:rsid w:val="003A283E"/>
    <w:rsid w:val="003A2857"/>
    <w:rsid w:val="003A2A59"/>
    <w:rsid w:val="003A2C71"/>
    <w:rsid w:val="003A2D74"/>
    <w:rsid w:val="003A2F18"/>
    <w:rsid w:val="003A366C"/>
    <w:rsid w:val="003A3686"/>
    <w:rsid w:val="003A3B6E"/>
    <w:rsid w:val="003A3F21"/>
    <w:rsid w:val="003A4112"/>
    <w:rsid w:val="003A41A1"/>
    <w:rsid w:val="003A41C4"/>
    <w:rsid w:val="003A4B19"/>
    <w:rsid w:val="003A4B1D"/>
    <w:rsid w:val="003A506D"/>
    <w:rsid w:val="003A516F"/>
    <w:rsid w:val="003A5392"/>
    <w:rsid w:val="003A542B"/>
    <w:rsid w:val="003A5549"/>
    <w:rsid w:val="003A57E2"/>
    <w:rsid w:val="003A57ED"/>
    <w:rsid w:val="003A5EC3"/>
    <w:rsid w:val="003A65E7"/>
    <w:rsid w:val="003A69D5"/>
    <w:rsid w:val="003A6CB4"/>
    <w:rsid w:val="003A6E6B"/>
    <w:rsid w:val="003A6E78"/>
    <w:rsid w:val="003A6FDA"/>
    <w:rsid w:val="003A716C"/>
    <w:rsid w:val="003A74B6"/>
    <w:rsid w:val="003A76D3"/>
    <w:rsid w:val="003A7910"/>
    <w:rsid w:val="003A79BB"/>
    <w:rsid w:val="003A7AA6"/>
    <w:rsid w:val="003A7EEA"/>
    <w:rsid w:val="003B00D7"/>
    <w:rsid w:val="003B024E"/>
    <w:rsid w:val="003B05DD"/>
    <w:rsid w:val="003B075F"/>
    <w:rsid w:val="003B0EB7"/>
    <w:rsid w:val="003B12B9"/>
    <w:rsid w:val="003B16E1"/>
    <w:rsid w:val="003B1721"/>
    <w:rsid w:val="003B1774"/>
    <w:rsid w:val="003B216D"/>
    <w:rsid w:val="003B2470"/>
    <w:rsid w:val="003B2838"/>
    <w:rsid w:val="003B2AF9"/>
    <w:rsid w:val="003B2B8B"/>
    <w:rsid w:val="003B2C3F"/>
    <w:rsid w:val="003B2C83"/>
    <w:rsid w:val="003B2CB0"/>
    <w:rsid w:val="003B30AE"/>
    <w:rsid w:val="003B30B3"/>
    <w:rsid w:val="003B327F"/>
    <w:rsid w:val="003B35E9"/>
    <w:rsid w:val="003B3CE6"/>
    <w:rsid w:val="003B3EFB"/>
    <w:rsid w:val="003B3F6D"/>
    <w:rsid w:val="003B3FD6"/>
    <w:rsid w:val="003B4482"/>
    <w:rsid w:val="003B4565"/>
    <w:rsid w:val="003B45A8"/>
    <w:rsid w:val="003B4654"/>
    <w:rsid w:val="003B46B1"/>
    <w:rsid w:val="003B473B"/>
    <w:rsid w:val="003B4896"/>
    <w:rsid w:val="003B48F9"/>
    <w:rsid w:val="003B499B"/>
    <w:rsid w:val="003B4A75"/>
    <w:rsid w:val="003B4AA5"/>
    <w:rsid w:val="003B4DF0"/>
    <w:rsid w:val="003B4F16"/>
    <w:rsid w:val="003B57FE"/>
    <w:rsid w:val="003B5A2C"/>
    <w:rsid w:val="003B5B99"/>
    <w:rsid w:val="003B5CA0"/>
    <w:rsid w:val="003B611C"/>
    <w:rsid w:val="003B640C"/>
    <w:rsid w:val="003B6AC8"/>
    <w:rsid w:val="003B6B5A"/>
    <w:rsid w:val="003B6C73"/>
    <w:rsid w:val="003B6CA6"/>
    <w:rsid w:val="003B6E7E"/>
    <w:rsid w:val="003B6EB1"/>
    <w:rsid w:val="003B6F2D"/>
    <w:rsid w:val="003B6F6C"/>
    <w:rsid w:val="003B749F"/>
    <w:rsid w:val="003B76C0"/>
    <w:rsid w:val="003B7814"/>
    <w:rsid w:val="003B78B9"/>
    <w:rsid w:val="003B7CC6"/>
    <w:rsid w:val="003B7DFC"/>
    <w:rsid w:val="003C0000"/>
    <w:rsid w:val="003C00D5"/>
    <w:rsid w:val="003C016F"/>
    <w:rsid w:val="003C0444"/>
    <w:rsid w:val="003C05CB"/>
    <w:rsid w:val="003C06EF"/>
    <w:rsid w:val="003C0959"/>
    <w:rsid w:val="003C0CE7"/>
    <w:rsid w:val="003C0DD8"/>
    <w:rsid w:val="003C1275"/>
    <w:rsid w:val="003C188B"/>
    <w:rsid w:val="003C18B5"/>
    <w:rsid w:val="003C1BF1"/>
    <w:rsid w:val="003C1D0A"/>
    <w:rsid w:val="003C21D4"/>
    <w:rsid w:val="003C2224"/>
    <w:rsid w:val="003C22E0"/>
    <w:rsid w:val="003C24AC"/>
    <w:rsid w:val="003C2782"/>
    <w:rsid w:val="003C28E3"/>
    <w:rsid w:val="003C2B8E"/>
    <w:rsid w:val="003C2BE5"/>
    <w:rsid w:val="003C2E26"/>
    <w:rsid w:val="003C30E8"/>
    <w:rsid w:val="003C314C"/>
    <w:rsid w:val="003C33DE"/>
    <w:rsid w:val="003C352B"/>
    <w:rsid w:val="003C35A0"/>
    <w:rsid w:val="003C364E"/>
    <w:rsid w:val="003C3669"/>
    <w:rsid w:val="003C37DB"/>
    <w:rsid w:val="003C397A"/>
    <w:rsid w:val="003C3B90"/>
    <w:rsid w:val="003C3BD4"/>
    <w:rsid w:val="003C3D16"/>
    <w:rsid w:val="003C3FDF"/>
    <w:rsid w:val="003C41CA"/>
    <w:rsid w:val="003C42EF"/>
    <w:rsid w:val="003C4C9D"/>
    <w:rsid w:val="003C4CBD"/>
    <w:rsid w:val="003C5109"/>
    <w:rsid w:val="003C51A0"/>
    <w:rsid w:val="003C51DE"/>
    <w:rsid w:val="003C5285"/>
    <w:rsid w:val="003C5666"/>
    <w:rsid w:val="003C5670"/>
    <w:rsid w:val="003C5888"/>
    <w:rsid w:val="003C58D1"/>
    <w:rsid w:val="003C59BD"/>
    <w:rsid w:val="003C5EAD"/>
    <w:rsid w:val="003C614F"/>
    <w:rsid w:val="003C63C4"/>
    <w:rsid w:val="003C6497"/>
    <w:rsid w:val="003C651A"/>
    <w:rsid w:val="003C6C61"/>
    <w:rsid w:val="003C6CD3"/>
    <w:rsid w:val="003C710E"/>
    <w:rsid w:val="003C7237"/>
    <w:rsid w:val="003C7460"/>
    <w:rsid w:val="003C7463"/>
    <w:rsid w:val="003C763A"/>
    <w:rsid w:val="003C7905"/>
    <w:rsid w:val="003C7912"/>
    <w:rsid w:val="003D0138"/>
    <w:rsid w:val="003D04BA"/>
    <w:rsid w:val="003D04CB"/>
    <w:rsid w:val="003D06BB"/>
    <w:rsid w:val="003D06F2"/>
    <w:rsid w:val="003D086C"/>
    <w:rsid w:val="003D0D5B"/>
    <w:rsid w:val="003D0F1C"/>
    <w:rsid w:val="003D10CD"/>
    <w:rsid w:val="003D13BA"/>
    <w:rsid w:val="003D1812"/>
    <w:rsid w:val="003D19CD"/>
    <w:rsid w:val="003D1AAD"/>
    <w:rsid w:val="003D1B8C"/>
    <w:rsid w:val="003D1F2D"/>
    <w:rsid w:val="003D1F95"/>
    <w:rsid w:val="003D217C"/>
    <w:rsid w:val="003D29F6"/>
    <w:rsid w:val="003D2ACA"/>
    <w:rsid w:val="003D2B9D"/>
    <w:rsid w:val="003D2DE7"/>
    <w:rsid w:val="003D3680"/>
    <w:rsid w:val="003D369F"/>
    <w:rsid w:val="003D36D3"/>
    <w:rsid w:val="003D3859"/>
    <w:rsid w:val="003D387C"/>
    <w:rsid w:val="003D3EA9"/>
    <w:rsid w:val="003D3FA7"/>
    <w:rsid w:val="003D41F7"/>
    <w:rsid w:val="003D4214"/>
    <w:rsid w:val="003D47D5"/>
    <w:rsid w:val="003D4931"/>
    <w:rsid w:val="003D4B55"/>
    <w:rsid w:val="003D4EC8"/>
    <w:rsid w:val="003D5046"/>
    <w:rsid w:val="003D5310"/>
    <w:rsid w:val="003D53EC"/>
    <w:rsid w:val="003D5549"/>
    <w:rsid w:val="003D5650"/>
    <w:rsid w:val="003D5717"/>
    <w:rsid w:val="003D578F"/>
    <w:rsid w:val="003D58BE"/>
    <w:rsid w:val="003D5998"/>
    <w:rsid w:val="003D5A97"/>
    <w:rsid w:val="003D5DAB"/>
    <w:rsid w:val="003D6265"/>
    <w:rsid w:val="003D664D"/>
    <w:rsid w:val="003D682B"/>
    <w:rsid w:val="003D6E0D"/>
    <w:rsid w:val="003D6F28"/>
    <w:rsid w:val="003D7174"/>
    <w:rsid w:val="003D72BA"/>
    <w:rsid w:val="003D7707"/>
    <w:rsid w:val="003D7D71"/>
    <w:rsid w:val="003D7DF0"/>
    <w:rsid w:val="003E0134"/>
    <w:rsid w:val="003E026B"/>
    <w:rsid w:val="003E0382"/>
    <w:rsid w:val="003E06C0"/>
    <w:rsid w:val="003E0805"/>
    <w:rsid w:val="003E0950"/>
    <w:rsid w:val="003E0B47"/>
    <w:rsid w:val="003E0E02"/>
    <w:rsid w:val="003E106D"/>
    <w:rsid w:val="003E128A"/>
    <w:rsid w:val="003E12CB"/>
    <w:rsid w:val="003E12F4"/>
    <w:rsid w:val="003E16E0"/>
    <w:rsid w:val="003E1A05"/>
    <w:rsid w:val="003E1C2E"/>
    <w:rsid w:val="003E1D13"/>
    <w:rsid w:val="003E1FE3"/>
    <w:rsid w:val="003E211E"/>
    <w:rsid w:val="003E25AB"/>
    <w:rsid w:val="003E2698"/>
    <w:rsid w:val="003E2895"/>
    <w:rsid w:val="003E29B0"/>
    <w:rsid w:val="003E2C0D"/>
    <w:rsid w:val="003E30AE"/>
    <w:rsid w:val="003E32D5"/>
    <w:rsid w:val="003E38D2"/>
    <w:rsid w:val="003E3F28"/>
    <w:rsid w:val="003E3FBE"/>
    <w:rsid w:val="003E3FF4"/>
    <w:rsid w:val="003E4021"/>
    <w:rsid w:val="003E4064"/>
    <w:rsid w:val="003E43E4"/>
    <w:rsid w:val="003E498D"/>
    <w:rsid w:val="003E4A37"/>
    <w:rsid w:val="003E4F21"/>
    <w:rsid w:val="003E5004"/>
    <w:rsid w:val="003E51F7"/>
    <w:rsid w:val="003E52CD"/>
    <w:rsid w:val="003E539D"/>
    <w:rsid w:val="003E53A9"/>
    <w:rsid w:val="003E5443"/>
    <w:rsid w:val="003E5891"/>
    <w:rsid w:val="003E5A52"/>
    <w:rsid w:val="003E5AAC"/>
    <w:rsid w:val="003E5D8F"/>
    <w:rsid w:val="003E5FCA"/>
    <w:rsid w:val="003E61CB"/>
    <w:rsid w:val="003E61DD"/>
    <w:rsid w:val="003E63A2"/>
    <w:rsid w:val="003E6488"/>
    <w:rsid w:val="003E64A2"/>
    <w:rsid w:val="003E64FF"/>
    <w:rsid w:val="003E65C2"/>
    <w:rsid w:val="003E6A10"/>
    <w:rsid w:val="003E6C79"/>
    <w:rsid w:val="003E6FB8"/>
    <w:rsid w:val="003E752F"/>
    <w:rsid w:val="003E7998"/>
    <w:rsid w:val="003E7C0C"/>
    <w:rsid w:val="003E7EB4"/>
    <w:rsid w:val="003F02D2"/>
    <w:rsid w:val="003F036F"/>
    <w:rsid w:val="003F0736"/>
    <w:rsid w:val="003F0889"/>
    <w:rsid w:val="003F0A2A"/>
    <w:rsid w:val="003F0B71"/>
    <w:rsid w:val="003F0ECD"/>
    <w:rsid w:val="003F0F70"/>
    <w:rsid w:val="003F0FE0"/>
    <w:rsid w:val="003F1282"/>
    <w:rsid w:val="003F1351"/>
    <w:rsid w:val="003F1400"/>
    <w:rsid w:val="003F1409"/>
    <w:rsid w:val="003F16C3"/>
    <w:rsid w:val="003F1945"/>
    <w:rsid w:val="003F1B59"/>
    <w:rsid w:val="003F1B70"/>
    <w:rsid w:val="003F2119"/>
    <w:rsid w:val="003F2144"/>
    <w:rsid w:val="003F23D9"/>
    <w:rsid w:val="003F2503"/>
    <w:rsid w:val="003F25AB"/>
    <w:rsid w:val="003F25F9"/>
    <w:rsid w:val="003F2DC6"/>
    <w:rsid w:val="003F2F41"/>
    <w:rsid w:val="003F32CE"/>
    <w:rsid w:val="003F33B9"/>
    <w:rsid w:val="003F3B04"/>
    <w:rsid w:val="003F3B22"/>
    <w:rsid w:val="003F3C29"/>
    <w:rsid w:val="003F3DC0"/>
    <w:rsid w:val="003F47D9"/>
    <w:rsid w:val="003F47F3"/>
    <w:rsid w:val="003F4D3F"/>
    <w:rsid w:val="003F4DC7"/>
    <w:rsid w:val="003F50F2"/>
    <w:rsid w:val="003F51BE"/>
    <w:rsid w:val="003F520E"/>
    <w:rsid w:val="003F53B0"/>
    <w:rsid w:val="003F548D"/>
    <w:rsid w:val="003F575F"/>
    <w:rsid w:val="003F5B95"/>
    <w:rsid w:val="003F5C19"/>
    <w:rsid w:val="003F5C2E"/>
    <w:rsid w:val="003F5CDA"/>
    <w:rsid w:val="003F5E57"/>
    <w:rsid w:val="003F5EC0"/>
    <w:rsid w:val="003F60CB"/>
    <w:rsid w:val="003F61AF"/>
    <w:rsid w:val="003F626A"/>
    <w:rsid w:val="003F6345"/>
    <w:rsid w:val="003F6666"/>
    <w:rsid w:val="003F67F6"/>
    <w:rsid w:val="003F6C45"/>
    <w:rsid w:val="003F6EF2"/>
    <w:rsid w:val="003F743D"/>
    <w:rsid w:val="003F76B4"/>
    <w:rsid w:val="003F7D92"/>
    <w:rsid w:val="0040012F"/>
    <w:rsid w:val="00400162"/>
    <w:rsid w:val="0040029F"/>
    <w:rsid w:val="00400349"/>
    <w:rsid w:val="00400B82"/>
    <w:rsid w:val="00400D38"/>
    <w:rsid w:val="00400FE9"/>
    <w:rsid w:val="004010BD"/>
    <w:rsid w:val="00401102"/>
    <w:rsid w:val="0040111E"/>
    <w:rsid w:val="00401122"/>
    <w:rsid w:val="0040154A"/>
    <w:rsid w:val="00401C56"/>
    <w:rsid w:val="00401D74"/>
    <w:rsid w:val="004020D4"/>
    <w:rsid w:val="004023D3"/>
    <w:rsid w:val="00402988"/>
    <w:rsid w:val="00402AEA"/>
    <w:rsid w:val="00402B88"/>
    <w:rsid w:val="00402D59"/>
    <w:rsid w:val="00403010"/>
    <w:rsid w:val="004030C6"/>
    <w:rsid w:val="004032D3"/>
    <w:rsid w:val="00403B1C"/>
    <w:rsid w:val="00403C60"/>
    <w:rsid w:val="00403C82"/>
    <w:rsid w:val="00403CAA"/>
    <w:rsid w:val="00403CC5"/>
    <w:rsid w:val="00403E29"/>
    <w:rsid w:val="00403EBE"/>
    <w:rsid w:val="0040411A"/>
    <w:rsid w:val="00404159"/>
    <w:rsid w:val="00404356"/>
    <w:rsid w:val="00404723"/>
    <w:rsid w:val="004048E4"/>
    <w:rsid w:val="00404CD8"/>
    <w:rsid w:val="00404D68"/>
    <w:rsid w:val="00404DEB"/>
    <w:rsid w:val="00404F5D"/>
    <w:rsid w:val="0040518B"/>
    <w:rsid w:val="0040585D"/>
    <w:rsid w:val="0040593E"/>
    <w:rsid w:val="00405A3C"/>
    <w:rsid w:val="00405D51"/>
    <w:rsid w:val="00405E25"/>
    <w:rsid w:val="00406087"/>
    <w:rsid w:val="004060D5"/>
    <w:rsid w:val="004062AF"/>
    <w:rsid w:val="00406486"/>
    <w:rsid w:val="00406923"/>
    <w:rsid w:val="004069D5"/>
    <w:rsid w:val="00406A92"/>
    <w:rsid w:val="00406AB7"/>
    <w:rsid w:val="00406C31"/>
    <w:rsid w:val="00406F9A"/>
    <w:rsid w:val="004071B3"/>
    <w:rsid w:val="004073CB"/>
    <w:rsid w:val="00407C33"/>
    <w:rsid w:val="00407C49"/>
    <w:rsid w:val="00407C4E"/>
    <w:rsid w:val="00407DC2"/>
    <w:rsid w:val="00407E82"/>
    <w:rsid w:val="00407F28"/>
    <w:rsid w:val="00407F68"/>
    <w:rsid w:val="00410266"/>
    <w:rsid w:val="00410819"/>
    <w:rsid w:val="00410B1D"/>
    <w:rsid w:val="00410C59"/>
    <w:rsid w:val="00410C5D"/>
    <w:rsid w:val="00410D4B"/>
    <w:rsid w:val="00410FC2"/>
    <w:rsid w:val="004114E9"/>
    <w:rsid w:val="00411657"/>
    <w:rsid w:val="004118A6"/>
    <w:rsid w:val="00411980"/>
    <w:rsid w:val="004119B5"/>
    <w:rsid w:val="00411AA5"/>
    <w:rsid w:val="0041207C"/>
    <w:rsid w:val="0041226B"/>
    <w:rsid w:val="004122B2"/>
    <w:rsid w:val="004123D1"/>
    <w:rsid w:val="0041265E"/>
    <w:rsid w:val="004129B6"/>
    <w:rsid w:val="00412F67"/>
    <w:rsid w:val="00413A00"/>
    <w:rsid w:val="00413CCF"/>
    <w:rsid w:val="004145E2"/>
    <w:rsid w:val="00414631"/>
    <w:rsid w:val="00414693"/>
    <w:rsid w:val="00414E00"/>
    <w:rsid w:val="00414E4D"/>
    <w:rsid w:val="00414E85"/>
    <w:rsid w:val="00414EF5"/>
    <w:rsid w:val="00415082"/>
    <w:rsid w:val="004153B1"/>
    <w:rsid w:val="00415415"/>
    <w:rsid w:val="0041593B"/>
    <w:rsid w:val="004159A2"/>
    <w:rsid w:val="00415B7F"/>
    <w:rsid w:val="00415BBC"/>
    <w:rsid w:val="00415E9F"/>
    <w:rsid w:val="00415EAC"/>
    <w:rsid w:val="00415F25"/>
    <w:rsid w:val="00415F74"/>
    <w:rsid w:val="00416169"/>
    <w:rsid w:val="00416179"/>
    <w:rsid w:val="00416582"/>
    <w:rsid w:val="00416784"/>
    <w:rsid w:val="00416B4B"/>
    <w:rsid w:val="00416B5D"/>
    <w:rsid w:val="00416C29"/>
    <w:rsid w:val="00416C77"/>
    <w:rsid w:val="00416D47"/>
    <w:rsid w:val="004170C4"/>
    <w:rsid w:val="00417361"/>
    <w:rsid w:val="00417613"/>
    <w:rsid w:val="00417731"/>
    <w:rsid w:val="00417B0D"/>
    <w:rsid w:val="00417C62"/>
    <w:rsid w:val="00417D8D"/>
    <w:rsid w:val="00417DD7"/>
    <w:rsid w:val="0041E3A8"/>
    <w:rsid w:val="0042005E"/>
    <w:rsid w:val="0042020F"/>
    <w:rsid w:val="0042028C"/>
    <w:rsid w:val="0042054E"/>
    <w:rsid w:val="00420679"/>
    <w:rsid w:val="004207D1"/>
    <w:rsid w:val="004208A2"/>
    <w:rsid w:val="0042092A"/>
    <w:rsid w:val="00420DB9"/>
    <w:rsid w:val="00420EDF"/>
    <w:rsid w:val="00420EE4"/>
    <w:rsid w:val="00420FA8"/>
    <w:rsid w:val="004212C0"/>
    <w:rsid w:val="00421549"/>
    <w:rsid w:val="0042161F"/>
    <w:rsid w:val="00421827"/>
    <w:rsid w:val="00421A36"/>
    <w:rsid w:val="00421B36"/>
    <w:rsid w:val="00421BCF"/>
    <w:rsid w:val="00421CE0"/>
    <w:rsid w:val="00421F44"/>
    <w:rsid w:val="004222F3"/>
    <w:rsid w:val="0042243C"/>
    <w:rsid w:val="00422750"/>
    <w:rsid w:val="00422A39"/>
    <w:rsid w:val="00422B35"/>
    <w:rsid w:val="00422BF9"/>
    <w:rsid w:val="004230BC"/>
    <w:rsid w:val="00423376"/>
    <w:rsid w:val="004233E1"/>
    <w:rsid w:val="004233EB"/>
    <w:rsid w:val="00423457"/>
    <w:rsid w:val="00423983"/>
    <w:rsid w:val="00423B3F"/>
    <w:rsid w:val="00423B57"/>
    <w:rsid w:val="00423EB6"/>
    <w:rsid w:val="0042406C"/>
    <w:rsid w:val="0042429D"/>
    <w:rsid w:val="004243DF"/>
    <w:rsid w:val="00424656"/>
    <w:rsid w:val="004246AF"/>
    <w:rsid w:val="0042474A"/>
    <w:rsid w:val="00424B47"/>
    <w:rsid w:val="00424B73"/>
    <w:rsid w:val="00424B9E"/>
    <w:rsid w:val="00424C9D"/>
    <w:rsid w:val="0042501E"/>
    <w:rsid w:val="00425847"/>
    <w:rsid w:val="00425A01"/>
    <w:rsid w:val="00425A15"/>
    <w:rsid w:val="00425B97"/>
    <w:rsid w:val="004260D8"/>
    <w:rsid w:val="004260EA"/>
    <w:rsid w:val="0042614C"/>
    <w:rsid w:val="00426434"/>
    <w:rsid w:val="00426578"/>
    <w:rsid w:val="00426707"/>
    <w:rsid w:val="00426D71"/>
    <w:rsid w:val="00427151"/>
    <w:rsid w:val="004272E7"/>
    <w:rsid w:val="00427383"/>
    <w:rsid w:val="00427AB6"/>
    <w:rsid w:val="00427EF4"/>
    <w:rsid w:val="00427F83"/>
    <w:rsid w:val="00430122"/>
    <w:rsid w:val="00430152"/>
    <w:rsid w:val="00430363"/>
    <w:rsid w:val="0043076F"/>
    <w:rsid w:val="00430BBD"/>
    <w:rsid w:val="00430C26"/>
    <w:rsid w:val="00430C71"/>
    <w:rsid w:val="00430D08"/>
    <w:rsid w:val="00430D5B"/>
    <w:rsid w:val="00430F89"/>
    <w:rsid w:val="00431168"/>
    <w:rsid w:val="0043125E"/>
    <w:rsid w:val="004313F4"/>
    <w:rsid w:val="0043146F"/>
    <w:rsid w:val="0043157C"/>
    <w:rsid w:val="00431616"/>
    <w:rsid w:val="004317A9"/>
    <w:rsid w:val="004319E3"/>
    <w:rsid w:val="00431C33"/>
    <w:rsid w:val="00431D8F"/>
    <w:rsid w:val="00432077"/>
    <w:rsid w:val="00432760"/>
    <w:rsid w:val="00432A17"/>
    <w:rsid w:val="00433092"/>
    <w:rsid w:val="00433245"/>
    <w:rsid w:val="00433369"/>
    <w:rsid w:val="00433544"/>
    <w:rsid w:val="004335FF"/>
    <w:rsid w:val="004338F2"/>
    <w:rsid w:val="004339E4"/>
    <w:rsid w:val="00433BA4"/>
    <w:rsid w:val="00433C63"/>
    <w:rsid w:val="00433FCD"/>
    <w:rsid w:val="00434072"/>
    <w:rsid w:val="00434078"/>
    <w:rsid w:val="004340A5"/>
    <w:rsid w:val="00434155"/>
    <w:rsid w:val="0043418D"/>
    <w:rsid w:val="004343AE"/>
    <w:rsid w:val="004343CA"/>
    <w:rsid w:val="004343E5"/>
    <w:rsid w:val="00434407"/>
    <w:rsid w:val="00434AC8"/>
    <w:rsid w:val="00434B33"/>
    <w:rsid w:val="00434BD8"/>
    <w:rsid w:val="00434F10"/>
    <w:rsid w:val="00434F6F"/>
    <w:rsid w:val="00434F79"/>
    <w:rsid w:val="004356EB"/>
    <w:rsid w:val="00435AA8"/>
    <w:rsid w:val="00435F72"/>
    <w:rsid w:val="0043605E"/>
    <w:rsid w:val="004363B8"/>
    <w:rsid w:val="0043657E"/>
    <w:rsid w:val="004366F4"/>
    <w:rsid w:val="00436750"/>
    <w:rsid w:val="004367E9"/>
    <w:rsid w:val="0043685D"/>
    <w:rsid w:val="004369DE"/>
    <w:rsid w:val="00436A6E"/>
    <w:rsid w:val="00436C3C"/>
    <w:rsid w:val="00436E1A"/>
    <w:rsid w:val="00436EC9"/>
    <w:rsid w:val="004371C9"/>
    <w:rsid w:val="004373A3"/>
    <w:rsid w:val="004373A4"/>
    <w:rsid w:val="00437438"/>
    <w:rsid w:val="0043772D"/>
    <w:rsid w:val="00437797"/>
    <w:rsid w:val="004377DF"/>
    <w:rsid w:val="004377ED"/>
    <w:rsid w:val="00437A23"/>
    <w:rsid w:val="00437A92"/>
    <w:rsid w:val="00437CB8"/>
    <w:rsid w:val="00440297"/>
    <w:rsid w:val="0044048A"/>
    <w:rsid w:val="0044054A"/>
    <w:rsid w:val="00440595"/>
    <w:rsid w:val="00440801"/>
    <w:rsid w:val="00440A71"/>
    <w:rsid w:val="00440A9C"/>
    <w:rsid w:val="00440FF0"/>
    <w:rsid w:val="00441063"/>
    <w:rsid w:val="00441418"/>
    <w:rsid w:val="004414DD"/>
    <w:rsid w:val="00441547"/>
    <w:rsid w:val="004415A6"/>
    <w:rsid w:val="004415FF"/>
    <w:rsid w:val="00441624"/>
    <w:rsid w:val="00441BE0"/>
    <w:rsid w:val="00441BF1"/>
    <w:rsid w:val="00441C1A"/>
    <w:rsid w:val="00441E09"/>
    <w:rsid w:val="00441FED"/>
    <w:rsid w:val="00442981"/>
    <w:rsid w:val="00442C26"/>
    <w:rsid w:val="00442C41"/>
    <w:rsid w:val="00442E8A"/>
    <w:rsid w:val="00443219"/>
    <w:rsid w:val="004435BE"/>
    <w:rsid w:val="00443660"/>
    <w:rsid w:val="004436B2"/>
    <w:rsid w:val="00443836"/>
    <w:rsid w:val="00443B74"/>
    <w:rsid w:val="00443D02"/>
    <w:rsid w:val="00443D1A"/>
    <w:rsid w:val="00443DFD"/>
    <w:rsid w:val="00443E22"/>
    <w:rsid w:val="00443F23"/>
    <w:rsid w:val="004440CB"/>
    <w:rsid w:val="00444319"/>
    <w:rsid w:val="00444544"/>
    <w:rsid w:val="00444596"/>
    <w:rsid w:val="004445B8"/>
    <w:rsid w:val="00444712"/>
    <w:rsid w:val="004449A1"/>
    <w:rsid w:val="00444EE3"/>
    <w:rsid w:val="00444F53"/>
    <w:rsid w:val="00445081"/>
    <w:rsid w:val="004452DC"/>
    <w:rsid w:val="00445307"/>
    <w:rsid w:val="00445843"/>
    <w:rsid w:val="00445945"/>
    <w:rsid w:val="00445A27"/>
    <w:rsid w:val="00446150"/>
    <w:rsid w:val="0044671D"/>
    <w:rsid w:val="00446914"/>
    <w:rsid w:val="00446B21"/>
    <w:rsid w:val="00446FC9"/>
    <w:rsid w:val="0044743C"/>
    <w:rsid w:val="0044760D"/>
    <w:rsid w:val="00447756"/>
    <w:rsid w:val="00447997"/>
    <w:rsid w:val="004479B2"/>
    <w:rsid w:val="00447DEB"/>
    <w:rsid w:val="00447DF5"/>
    <w:rsid w:val="00447E22"/>
    <w:rsid w:val="004502E7"/>
    <w:rsid w:val="004503AE"/>
    <w:rsid w:val="004504AF"/>
    <w:rsid w:val="00450B8F"/>
    <w:rsid w:val="00450EFC"/>
    <w:rsid w:val="00450F58"/>
    <w:rsid w:val="00450FEE"/>
    <w:rsid w:val="00451162"/>
    <w:rsid w:val="0045121C"/>
    <w:rsid w:val="00451536"/>
    <w:rsid w:val="00451793"/>
    <w:rsid w:val="00451801"/>
    <w:rsid w:val="00451806"/>
    <w:rsid w:val="0045199C"/>
    <w:rsid w:val="004519C1"/>
    <w:rsid w:val="00451AF4"/>
    <w:rsid w:val="004520EB"/>
    <w:rsid w:val="004522BF"/>
    <w:rsid w:val="0045232B"/>
    <w:rsid w:val="0045259B"/>
    <w:rsid w:val="004526F6"/>
    <w:rsid w:val="00452823"/>
    <w:rsid w:val="00452A9F"/>
    <w:rsid w:val="00452B00"/>
    <w:rsid w:val="00452E5A"/>
    <w:rsid w:val="00452F24"/>
    <w:rsid w:val="0045313C"/>
    <w:rsid w:val="00453403"/>
    <w:rsid w:val="004534BF"/>
    <w:rsid w:val="00453A3B"/>
    <w:rsid w:val="00453D58"/>
    <w:rsid w:val="00453E41"/>
    <w:rsid w:val="00453F81"/>
    <w:rsid w:val="00454237"/>
    <w:rsid w:val="0045431E"/>
    <w:rsid w:val="00454766"/>
    <w:rsid w:val="0045499C"/>
    <w:rsid w:val="00454AB6"/>
    <w:rsid w:val="00454ABC"/>
    <w:rsid w:val="00454AFC"/>
    <w:rsid w:val="00454D6F"/>
    <w:rsid w:val="00454E4E"/>
    <w:rsid w:val="00454FC8"/>
    <w:rsid w:val="00455025"/>
    <w:rsid w:val="0045503D"/>
    <w:rsid w:val="004555EB"/>
    <w:rsid w:val="004558F5"/>
    <w:rsid w:val="00455ADE"/>
    <w:rsid w:val="00455D7C"/>
    <w:rsid w:val="004568EC"/>
    <w:rsid w:val="00456931"/>
    <w:rsid w:val="00456D91"/>
    <w:rsid w:val="00456F99"/>
    <w:rsid w:val="00457216"/>
    <w:rsid w:val="00457561"/>
    <w:rsid w:val="00457640"/>
    <w:rsid w:val="0045790D"/>
    <w:rsid w:val="00457CD5"/>
    <w:rsid w:val="00457D17"/>
    <w:rsid w:val="00457D44"/>
    <w:rsid w:val="00457ED2"/>
    <w:rsid w:val="0046006F"/>
    <w:rsid w:val="00460123"/>
    <w:rsid w:val="004606E8"/>
    <w:rsid w:val="004608D6"/>
    <w:rsid w:val="00460C2E"/>
    <w:rsid w:val="004610E9"/>
    <w:rsid w:val="00461111"/>
    <w:rsid w:val="004612E2"/>
    <w:rsid w:val="004614FF"/>
    <w:rsid w:val="004616E9"/>
    <w:rsid w:val="00461919"/>
    <w:rsid w:val="004619C1"/>
    <w:rsid w:val="004619C2"/>
    <w:rsid w:val="00461B70"/>
    <w:rsid w:val="00461CB8"/>
    <w:rsid w:val="00461D88"/>
    <w:rsid w:val="00462329"/>
    <w:rsid w:val="00462384"/>
    <w:rsid w:val="0046251C"/>
    <w:rsid w:val="00462547"/>
    <w:rsid w:val="00462B37"/>
    <w:rsid w:val="00462BE0"/>
    <w:rsid w:val="00462DD4"/>
    <w:rsid w:val="00462E3F"/>
    <w:rsid w:val="00463116"/>
    <w:rsid w:val="00463240"/>
    <w:rsid w:val="0046338F"/>
    <w:rsid w:val="004633A8"/>
    <w:rsid w:val="004635FC"/>
    <w:rsid w:val="00463875"/>
    <w:rsid w:val="004638A1"/>
    <w:rsid w:val="00463BD3"/>
    <w:rsid w:val="00463BFE"/>
    <w:rsid w:val="00463C4B"/>
    <w:rsid w:val="00463F76"/>
    <w:rsid w:val="00464105"/>
    <w:rsid w:val="0046462D"/>
    <w:rsid w:val="00464702"/>
    <w:rsid w:val="00464A6D"/>
    <w:rsid w:val="00464A9B"/>
    <w:rsid w:val="00464D88"/>
    <w:rsid w:val="00464ED5"/>
    <w:rsid w:val="00464FE2"/>
    <w:rsid w:val="0046521E"/>
    <w:rsid w:val="00465656"/>
    <w:rsid w:val="004659A1"/>
    <w:rsid w:val="00465B58"/>
    <w:rsid w:val="00465BF6"/>
    <w:rsid w:val="00465C3E"/>
    <w:rsid w:val="00465CB9"/>
    <w:rsid w:val="00465D1A"/>
    <w:rsid w:val="0046608A"/>
    <w:rsid w:val="004660DB"/>
    <w:rsid w:val="00466125"/>
    <w:rsid w:val="00466262"/>
    <w:rsid w:val="0046634F"/>
    <w:rsid w:val="00466474"/>
    <w:rsid w:val="00466DB6"/>
    <w:rsid w:val="0046723E"/>
    <w:rsid w:val="00467499"/>
    <w:rsid w:val="00467522"/>
    <w:rsid w:val="0046756C"/>
    <w:rsid w:val="004675A3"/>
    <w:rsid w:val="00467B2F"/>
    <w:rsid w:val="00467B4C"/>
    <w:rsid w:val="00467E46"/>
    <w:rsid w:val="0047023D"/>
    <w:rsid w:val="004702A5"/>
    <w:rsid w:val="00470494"/>
    <w:rsid w:val="004704C4"/>
    <w:rsid w:val="00470540"/>
    <w:rsid w:val="004708A8"/>
    <w:rsid w:val="00470ABC"/>
    <w:rsid w:val="00470F68"/>
    <w:rsid w:val="00470FCD"/>
    <w:rsid w:val="004710AE"/>
    <w:rsid w:val="0047122B"/>
    <w:rsid w:val="0047148C"/>
    <w:rsid w:val="00471496"/>
    <w:rsid w:val="00471515"/>
    <w:rsid w:val="0047152D"/>
    <w:rsid w:val="00471626"/>
    <w:rsid w:val="0047187C"/>
    <w:rsid w:val="00471A30"/>
    <w:rsid w:val="00471A68"/>
    <w:rsid w:val="00471AE2"/>
    <w:rsid w:val="00471C1E"/>
    <w:rsid w:val="00471C3C"/>
    <w:rsid w:val="00471DB5"/>
    <w:rsid w:val="00471E63"/>
    <w:rsid w:val="00471F66"/>
    <w:rsid w:val="0047217B"/>
    <w:rsid w:val="0047244A"/>
    <w:rsid w:val="004725C4"/>
    <w:rsid w:val="00472888"/>
    <w:rsid w:val="004728B9"/>
    <w:rsid w:val="00472921"/>
    <w:rsid w:val="004729FF"/>
    <w:rsid w:val="0047302E"/>
    <w:rsid w:val="00473388"/>
    <w:rsid w:val="004733EE"/>
    <w:rsid w:val="00473773"/>
    <w:rsid w:val="0047381F"/>
    <w:rsid w:val="00473D2C"/>
    <w:rsid w:val="00474178"/>
    <w:rsid w:val="00474181"/>
    <w:rsid w:val="00474482"/>
    <w:rsid w:val="00474825"/>
    <w:rsid w:val="00474989"/>
    <w:rsid w:val="00474B77"/>
    <w:rsid w:val="00474EF6"/>
    <w:rsid w:val="00474F72"/>
    <w:rsid w:val="00475163"/>
    <w:rsid w:val="004751A4"/>
    <w:rsid w:val="00475896"/>
    <w:rsid w:val="00475B4C"/>
    <w:rsid w:val="00475D3B"/>
    <w:rsid w:val="0047607B"/>
    <w:rsid w:val="00476144"/>
    <w:rsid w:val="00476204"/>
    <w:rsid w:val="004763AC"/>
    <w:rsid w:val="004763C3"/>
    <w:rsid w:val="0047673C"/>
    <w:rsid w:val="00476A67"/>
    <w:rsid w:val="00476E11"/>
    <w:rsid w:val="00476F25"/>
    <w:rsid w:val="0047714F"/>
    <w:rsid w:val="00477182"/>
    <w:rsid w:val="004771CB"/>
    <w:rsid w:val="00477CFA"/>
    <w:rsid w:val="00477D98"/>
    <w:rsid w:val="00477FFB"/>
    <w:rsid w:val="0047D7C0"/>
    <w:rsid w:val="00480225"/>
    <w:rsid w:val="004802EC"/>
    <w:rsid w:val="00480601"/>
    <w:rsid w:val="00480783"/>
    <w:rsid w:val="00480A47"/>
    <w:rsid w:val="00480F4A"/>
    <w:rsid w:val="004810ED"/>
    <w:rsid w:val="00481112"/>
    <w:rsid w:val="00481275"/>
    <w:rsid w:val="004817E9"/>
    <w:rsid w:val="00481AE2"/>
    <w:rsid w:val="00481D1B"/>
    <w:rsid w:val="00481E6D"/>
    <w:rsid w:val="004820B2"/>
    <w:rsid w:val="00482536"/>
    <w:rsid w:val="00482632"/>
    <w:rsid w:val="004826DC"/>
    <w:rsid w:val="0048272C"/>
    <w:rsid w:val="0048272F"/>
    <w:rsid w:val="0048283B"/>
    <w:rsid w:val="00482CCB"/>
    <w:rsid w:val="00482D10"/>
    <w:rsid w:val="00482EB0"/>
    <w:rsid w:val="00482F1D"/>
    <w:rsid w:val="00482F85"/>
    <w:rsid w:val="004831B3"/>
    <w:rsid w:val="00483537"/>
    <w:rsid w:val="004836D2"/>
    <w:rsid w:val="004837AA"/>
    <w:rsid w:val="00483817"/>
    <w:rsid w:val="00483BC3"/>
    <w:rsid w:val="00483FA6"/>
    <w:rsid w:val="0048404E"/>
    <w:rsid w:val="004841DF"/>
    <w:rsid w:val="0048424F"/>
    <w:rsid w:val="0048465F"/>
    <w:rsid w:val="004847E5"/>
    <w:rsid w:val="004848D7"/>
    <w:rsid w:val="00484925"/>
    <w:rsid w:val="0048494A"/>
    <w:rsid w:val="00485006"/>
    <w:rsid w:val="004851EB"/>
    <w:rsid w:val="00485263"/>
    <w:rsid w:val="0048548B"/>
    <w:rsid w:val="00485619"/>
    <w:rsid w:val="004856B1"/>
    <w:rsid w:val="00485976"/>
    <w:rsid w:val="00485C20"/>
    <w:rsid w:val="00485CB5"/>
    <w:rsid w:val="00485E30"/>
    <w:rsid w:val="00485EEB"/>
    <w:rsid w:val="00485F4E"/>
    <w:rsid w:val="00486317"/>
    <w:rsid w:val="00486449"/>
    <w:rsid w:val="004868B6"/>
    <w:rsid w:val="004868B7"/>
    <w:rsid w:val="00486B77"/>
    <w:rsid w:val="00486E01"/>
    <w:rsid w:val="00486F5F"/>
    <w:rsid w:val="0048714A"/>
    <w:rsid w:val="0048718C"/>
    <w:rsid w:val="0048727A"/>
    <w:rsid w:val="00487487"/>
    <w:rsid w:val="004874E7"/>
    <w:rsid w:val="00487655"/>
    <w:rsid w:val="004877CF"/>
    <w:rsid w:val="0048781E"/>
    <w:rsid w:val="00487AB4"/>
    <w:rsid w:val="00490079"/>
    <w:rsid w:val="00490262"/>
    <w:rsid w:val="0049035C"/>
    <w:rsid w:val="0049041B"/>
    <w:rsid w:val="00490466"/>
    <w:rsid w:val="00490517"/>
    <w:rsid w:val="004910FB"/>
    <w:rsid w:val="00491224"/>
    <w:rsid w:val="00491270"/>
    <w:rsid w:val="0049145B"/>
    <w:rsid w:val="004916C6"/>
    <w:rsid w:val="004918E4"/>
    <w:rsid w:val="004919A9"/>
    <w:rsid w:val="00491AA8"/>
    <w:rsid w:val="00491CC5"/>
    <w:rsid w:val="00491CF3"/>
    <w:rsid w:val="00492879"/>
    <w:rsid w:val="004928D4"/>
    <w:rsid w:val="004929C6"/>
    <w:rsid w:val="00492E1B"/>
    <w:rsid w:val="00493140"/>
    <w:rsid w:val="00493232"/>
    <w:rsid w:val="0049386F"/>
    <w:rsid w:val="004938AF"/>
    <w:rsid w:val="00493A72"/>
    <w:rsid w:val="00493E26"/>
    <w:rsid w:val="00493E5C"/>
    <w:rsid w:val="0049412E"/>
    <w:rsid w:val="00494206"/>
    <w:rsid w:val="00494759"/>
    <w:rsid w:val="00494A88"/>
    <w:rsid w:val="00494C43"/>
    <w:rsid w:val="00494C89"/>
    <w:rsid w:val="00494D62"/>
    <w:rsid w:val="00494D6C"/>
    <w:rsid w:val="00494F7C"/>
    <w:rsid w:val="0049536E"/>
    <w:rsid w:val="004956AF"/>
    <w:rsid w:val="00495758"/>
    <w:rsid w:val="004959BB"/>
    <w:rsid w:val="004959DC"/>
    <w:rsid w:val="00495B8B"/>
    <w:rsid w:val="00495F46"/>
    <w:rsid w:val="00496326"/>
    <w:rsid w:val="00496600"/>
    <w:rsid w:val="0049676E"/>
    <w:rsid w:val="0049697C"/>
    <w:rsid w:val="004969E5"/>
    <w:rsid w:val="00496D11"/>
    <w:rsid w:val="00496D31"/>
    <w:rsid w:val="00496EE9"/>
    <w:rsid w:val="004970C3"/>
    <w:rsid w:val="004971E1"/>
    <w:rsid w:val="00497505"/>
    <w:rsid w:val="004976A9"/>
    <w:rsid w:val="00497808"/>
    <w:rsid w:val="00497998"/>
    <w:rsid w:val="00497A64"/>
    <w:rsid w:val="00497CDE"/>
    <w:rsid w:val="00497F41"/>
    <w:rsid w:val="004A04A2"/>
    <w:rsid w:val="004A0614"/>
    <w:rsid w:val="004A06E0"/>
    <w:rsid w:val="004A08BE"/>
    <w:rsid w:val="004A0912"/>
    <w:rsid w:val="004A0DA0"/>
    <w:rsid w:val="004A0F34"/>
    <w:rsid w:val="004A11E8"/>
    <w:rsid w:val="004A1225"/>
    <w:rsid w:val="004A1542"/>
    <w:rsid w:val="004A1658"/>
    <w:rsid w:val="004A1699"/>
    <w:rsid w:val="004A17B0"/>
    <w:rsid w:val="004A1C66"/>
    <w:rsid w:val="004A21AD"/>
    <w:rsid w:val="004A21C0"/>
    <w:rsid w:val="004A2379"/>
    <w:rsid w:val="004A24B1"/>
    <w:rsid w:val="004A27FB"/>
    <w:rsid w:val="004A285C"/>
    <w:rsid w:val="004A2C54"/>
    <w:rsid w:val="004A2CCC"/>
    <w:rsid w:val="004A35D4"/>
    <w:rsid w:val="004A3621"/>
    <w:rsid w:val="004A3662"/>
    <w:rsid w:val="004A3760"/>
    <w:rsid w:val="004A3769"/>
    <w:rsid w:val="004A3860"/>
    <w:rsid w:val="004A3877"/>
    <w:rsid w:val="004A3990"/>
    <w:rsid w:val="004A39A0"/>
    <w:rsid w:val="004A3B56"/>
    <w:rsid w:val="004A3EF6"/>
    <w:rsid w:val="004A3F1C"/>
    <w:rsid w:val="004A4525"/>
    <w:rsid w:val="004A47F4"/>
    <w:rsid w:val="004A4BA6"/>
    <w:rsid w:val="004A4CF7"/>
    <w:rsid w:val="004A4E93"/>
    <w:rsid w:val="004A4F1E"/>
    <w:rsid w:val="004A514E"/>
    <w:rsid w:val="004A5201"/>
    <w:rsid w:val="004A523F"/>
    <w:rsid w:val="004A531C"/>
    <w:rsid w:val="004A5438"/>
    <w:rsid w:val="004A549E"/>
    <w:rsid w:val="004A572B"/>
    <w:rsid w:val="004A5923"/>
    <w:rsid w:val="004A5CE2"/>
    <w:rsid w:val="004A5E49"/>
    <w:rsid w:val="004A6304"/>
    <w:rsid w:val="004A6744"/>
    <w:rsid w:val="004A67B7"/>
    <w:rsid w:val="004A6815"/>
    <w:rsid w:val="004A6AF4"/>
    <w:rsid w:val="004A6DB6"/>
    <w:rsid w:val="004A6E84"/>
    <w:rsid w:val="004A6EAF"/>
    <w:rsid w:val="004A717B"/>
    <w:rsid w:val="004A7A4A"/>
    <w:rsid w:val="004A7C39"/>
    <w:rsid w:val="004A7F64"/>
    <w:rsid w:val="004A7F89"/>
    <w:rsid w:val="004AD14F"/>
    <w:rsid w:val="004AE5B6"/>
    <w:rsid w:val="004AED6A"/>
    <w:rsid w:val="004B005C"/>
    <w:rsid w:val="004B028A"/>
    <w:rsid w:val="004B0743"/>
    <w:rsid w:val="004B093C"/>
    <w:rsid w:val="004B093E"/>
    <w:rsid w:val="004B0F5D"/>
    <w:rsid w:val="004B0F65"/>
    <w:rsid w:val="004B109B"/>
    <w:rsid w:val="004B1104"/>
    <w:rsid w:val="004B1151"/>
    <w:rsid w:val="004B1268"/>
    <w:rsid w:val="004B1A83"/>
    <w:rsid w:val="004B1C30"/>
    <w:rsid w:val="004B2448"/>
    <w:rsid w:val="004B24E5"/>
    <w:rsid w:val="004B25CE"/>
    <w:rsid w:val="004B2825"/>
    <w:rsid w:val="004B28C4"/>
    <w:rsid w:val="004B29B2"/>
    <w:rsid w:val="004B29BB"/>
    <w:rsid w:val="004B2A3E"/>
    <w:rsid w:val="004B2ACB"/>
    <w:rsid w:val="004B2C57"/>
    <w:rsid w:val="004B2DAE"/>
    <w:rsid w:val="004B2E0F"/>
    <w:rsid w:val="004B2F64"/>
    <w:rsid w:val="004B3097"/>
    <w:rsid w:val="004B3186"/>
    <w:rsid w:val="004B360D"/>
    <w:rsid w:val="004B3650"/>
    <w:rsid w:val="004B3D45"/>
    <w:rsid w:val="004B3D90"/>
    <w:rsid w:val="004B3EF3"/>
    <w:rsid w:val="004B42DB"/>
    <w:rsid w:val="004B461E"/>
    <w:rsid w:val="004B4724"/>
    <w:rsid w:val="004B4998"/>
    <w:rsid w:val="004B4DAB"/>
    <w:rsid w:val="004B4E36"/>
    <w:rsid w:val="004B4F3C"/>
    <w:rsid w:val="004B509E"/>
    <w:rsid w:val="004B5432"/>
    <w:rsid w:val="004B55D4"/>
    <w:rsid w:val="004B578E"/>
    <w:rsid w:val="004B58BA"/>
    <w:rsid w:val="004B5968"/>
    <w:rsid w:val="004B59E2"/>
    <w:rsid w:val="004B5A20"/>
    <w:rsid w:val="004B5D24"/>
    <w:rsid w:val="004B5EF2"/>
    <w:rsid w:val="004B6676"/>
    <w:rsid w:val="004B667E"/>
    <w:rsid w:val="004B66AA"/>
    <w:rsid w:val="004B670D"/>
    <w:rsid w:val="004B6745"/>
    <w:rsid w:val="004B693A"/>
    <w:rsid w:val="004B6DCD"/>
    <w:rsid w:val="004B6E1B"/>
    <w:rsid w:val="004B7102"/>
    <w:rsid w:val="004B719D"/>
    <w:rsid w:val="004B71E0"/>
    <w:rsid w:val="004B72B1"/>
    <w:rsid w:val="004B736A"/>
    <w:rsid w:val="004B76FE"/>
    <w:rsid w:val="004B7779"/>
    <w:rsid w:val="004B783F"/>
    <w:rsid w:val="004B7B74"/>
    <w:rsid w:val="004B7BDB"/>
    <w:rsid w:val="004C0218"/>
    <w:rsid w:val="004C027C"/>
    <w:rsid w:val="004C0D7B"/>
    <w:rsid w:val="004C14FF"/>
    <w:rsid w:val="004C1A5C"/>
    <w:rsid w:val="004C1D12"/>
    <w:rsid w:val="004C2192"/>
    <w:rsid w:val="004C223F"/>
    <w:rsid w:val="004C225F"/>
    <w:rsid w:val="004C22FE"/>
    <w:rsid w:val="004C260B"/>
    <w:rsid w:val="004C27BE"/>
    <w:rsid w:val="004C2864"/>
    <w:rsid w:val="004C2912"/>
    <w:rsid w:val="004C294C"/>
    <w:rsid w:val="004C2AFC"/>
    <w:rsid w:val="004C2D22"/>
    <w:rsid w:val="004C3911"/>
    <w:rsid w:val="004C3C37"/>
    <w:rsid w:val="004C3D41"/>
    <w:rsid w:val="004C3F27"/>
    <w:rsid w:val="004C42BE"/>
    <w:rsid w:val="004C42C7"/>
    <w:rsid w:val="004C44D4"/>
    <w:rsid w:val="004C44F0"/>
    <w:rsid w:val="004C4AF0"/>
    <w:rsid w:val="004C4C9D"/>
    <w:rsid w:val="004C4EBF"/>
    <w:rsid w:val="004C4F01"/>
    <w:rsid w:val="004C514D"/>
    <w:rsid w:val="004C519B"/>
    <w:rsid w:val="004C534C"/>
    <w:rsid w:val="004C554F"/>
    <w:rsid w:val="004C5A6B"/>
    <w:rsid w:val="004C5AA0"/>
    <w:rsid w:val="004C5BFE"/>
    <w:rsid w:val="004C5C8D"/>
    <w:rsid w:val="004C5D16"/>
    <w:rsid w:val="004C5D7C"/>
    <w:rsid w:val="004C61EA"/>
    <w:rsid w:val="004C6281"/>
    <w:rsid w:val="004C63EA"/>
    <w:rsid w:val="004C66EB"/>
    <w:rsid w:val="004C66FB"/>
    <w:rsid w:val="004C6A2A"/>
    <w:rsid w:val="004C6C3B"/>
    <w:rsid w:val="004C6E78"/>
    <w:rsid w:val="004C6EEE"/>
    <w:rsid w:val="004C7000"/>
    <w:rsid w:val="004C70B2"/>
    <w:rsid w:val="004C70FA"/>
    <w:rsid w:val="004C7187"/>
    <w:rsid w:val="004C71AE"/>
    <w:rsid w:val="004C71F5"/>
    <w:rsid w:val="004C75C1"/>
    <w:rsid w:val="004C779B"/>
    <w:rsid w:val="004C780E"/>
    <w:rsid w:val="004C782B"/>
    <w:rsid w:val="004C785B"/>
    <w:rsid w:val="004C7A58"/>
    <w:rsid w:val="004C7D85"/>
    <w:rsid w:val="004D041A"/>
    <w:rsid w:val="004D0441"/>
    <w:rsid w:val="004D04BF"/>
    <w:rsid w:val="004D05BE"/>
    <w:rsid w:val="004D09F9"/>
    <w:rsid w:val="004D0A7E"/>
    <w:rsid w:val="004D0A80"/>
    <w:rsid w:val="004D0D00"/>
    <w:rsid w:val="004D0D6F"/>
    <w:rsid w:val="004D1107"/>
    <w:rsid w:val="004D11FA"/>
    <w:rsid w:val="004D1421"/>
    <w:rsid w:val="004D14DD"/>
    <w:rsid w:val="004D174C"/>
    <w:rsid w:val="004D17E6"/>
    <w:rsid w:val="004D1913"/>
    <w:rsid w:val="004D19C3"/>
    <w:rsid w:val="004D19F0"/>
    <w:rsid w:val="004D206B"/>
    <w:rsid w:val="004D2212"/>
    <w:rsid w:val="004D2602"/>
    <w:rsid w:val="004D26EB"/>
    <w:rsid w:val="004D27D1"/>
    <w:rsid w:val="004D2F82"/>
    <w:rsid w:val="004D3536"/>
    <w:rsid w:val="004D37C8"/>
    <w:rsid w:val="004D37D8"/>
    <w:rsid w:val="004D3D21"/>
    <w:rsid w:val="004D3EA0"/>
    <w:rsid w:val="004D41EE"/>
    <w:rsid w:val="004D4255"/>
    <w:rsid w:val="004D43D5"/>
    <w:rsid w:val="004D4562"/>
    <w:rsid w:val="004D4689"/>
    <w:rsid w:val="004D46E4"/>
    <w:rsid w:val="004D47D9"/>
    <w:rsid w:val="004D4DBB"/>
    <w:rsid w:val="004D50FA"/>
    <w:rsid w:val="004D5427"/>
    <w:rsid w:val="004D576E"/>
    <w:rsid w:val="004D57BE"/>
    <w:rsid w:val="004D595A"/>
    <w:rsid w:val="004D5AFF"/>
    <w:rsid w:val="004D5EEA"/>
    <w:rsid w:val="004D5F0F"/>
    <w:rsid w:val="004D5F38"/>
    <w:rsid w:val="004D5FE2"/>
    <w:rsid w:val="004D6079"/>
    <w:rsid w:val="004D6131"/>
    <w:rsid w:val="004D649F"/>
    <w:rsid w:val="004D65E7"/>
    <w:rsid w:val="004D67BB"/>
    <w:rsid w:val="004D697F"/>
    <w:rsid w:val="004D69C7"/>
    <w:rsid w:val="004D6C5D"/>
    <w:rsid w:val="004D6C78"/>
    <w:rsid w:val="004D6D1C"/>
    <w:rsid w:val="004D6E39"/>
    <w:rsid w:val="004D6E46"/>
    <w:rsid w:val="004D7127"/>
    <w:rsid w:val="004D71FD"/>
    <w:rsid w:val="004D7ADE"/>
    <w:rsid w:val="004D7B54"/>
    <w:rsid w:val="004D7CAA"/>
    <w:rsid w:val="004D7EF8"/>
    <w:rsid w:val="004D7F5E"/>
    <w:rsid w:val="004E0214"/>
    <w:rsid w:val="004E05B2"/>
    <w:rsid w:val="004E0994"/>
    <w:rsid w:val="004E0E48"/>
    <w:rsid w:val="004E0F56"/>
    <w:rsid w:val="004E1167"/>
    <w:rsid w:val="004E14B3"/>
    <w:rsid w:val="004E1E72"/>
    <w:rsid w:val="004E208F"/>
    <w:rsid w:val="004E2344"/>
    <w:rsid w:val="004E2401"/>
    <w:rsid w:val="004E24A6"/>
    <w:rsid w:val="004E251A"/>
    <w:rsid w:val="004E271E"/>
    <w:rsid w:val="004E2735"/>
    <w:rsid w:val="004E2915"/>
    <w:rsid w:val="004E29CE"/>
    <w:rsid w:val="004E2AAA"/>
    <w:rsid w:val="004E2D66"/>
    <w:rsid w:val="004E34C3"/>
    <w:rsid w:val="004E35FF"/>
    <w:rsid w:val="004E37D7"/>
    <w:rsid w:val="004E3C80"/>
    <w:rsid w:val="004E43B5"/>
    <w:rsid w:val="004E46B7"/>
    <w:rsid w:val="004E4836"/>
    <w:rsid w:val="004E4C41"/>
    <w:rsid w:val="004E51BD"/>
    <w:rsid w:val="004E530E"/>
    <w:rsid w:val="004E534A"/>
    <w:rsid w:val="004E5451"/>
    <w:rsid w:val="004E5576"/>
    <w:rsid w:val="004E55C2"/>
    <w:rsid w:val="004E5828"/>
    <w:rsid w:val="004E58E6"/>
    <w:rsid w:val="004E5B08"/>
    <w:rsid w:val="004E5B4E"/>
    <w:rsid w:val="004E5B7C"/>
    <w:rsid w:val="004E5EC7"/>
    <w:rsid w:val="004E5ECA"/>
    <w:rsid w:val="004E6026"/>
    <w:rsid w:val="004E68FC"/>
    <w:rsid w:val="004E69D1"/>
    <w:rsid w:val="004E6F17"/>
    <w:rsid w:val="004E6F5A"/>
    <w:rsid w:val="004E725F"/>
    <w:rsid w:val="004E780E"/>
    <w:rsid w:val="004E7A86"/>
    <w:rsid w:val="004E7BDC"/>
    <w:rsid w:val="004E7C0C"/>
    <w:rsid w:val="004E7EF1"/>
    <w:rsid w:val="004E7F79"/>
    <w:rsid w:val="004F09B2"/>
    <w:rsid w:val="004F131A"/>
    <w:rsid w:val="004F1348"/>
    <w:rsid w:val="004F1586"/>
    <w:rsid w:val="004F17E9"/>
    <w:rsid w:val="004F20E0"/>
    <w:rsid w:val="004F217D"/>
    <w:rsid w:val="004F21B1"/>
    <w:rsid w:val="004F21B5"/>
    <w:rsid w:val="004F2618"/>
    <w:rsid w:val="004F28D8"/>
    <w:rsid w:val="004F290C"/>
    <w:rsid w:val="004F2954"/>
    <w:rsid w:val="004F2A7D"/>
    <w:rsid w:val="004F2F16"/>
    <w:rsid w:val="004F2F20"/>
    <w:rsid w:val="004F3134"/>
    <w:rsid w:val="004F31CE"/>
    <w:rsid w:val="004F3285"/>
    <w:rsid w:val="004F3944"/>
    <w:rsid w:val="004F3A6C"/>
    <w:rsid w:val="004F3ABD"/>
    <w:rsid w:val="004F3C78"/>
    <w:rsid w:val="004F3E19"/>
    <w:rsid w:val="004F4160"/>
    <w:rsid w:val="004F42F9"/>
    <w:rsid w:val="004F43D5"/>
    <w:rsid w:val="004F4717"/>
    <w:rsid w:val="004F48A4"/>
    <w:rsid w:val="004F49B9"/>
    <w:rsid w:val="004F4ECF"/>
    <w:rsid w:val="004F5251"/>
    <w:rsid w:val="004F53AA"/>
    <w:rsid w:val="004F54C5"/>
    <w:rsid w:val="004F57AA"/>
    <w:rsid w:val="004F5B8C"/>
    <w:rsid w:val="004F5B9D"/>
    <w:rsid w:val="004F5CDF"/>
    <w:rsid w:val="004F5D58"/>
    <w:rsid w:val="004F6228"/>
    <w:rsid w:val="004F64BC"/>
    <w:rsid w:val="004F70C9"/>
    <w:rsid w:val="004F75B8"/>
    <w:rsid w:val="004F7BAF"/>
    <w:rsid w:val="004F7E42"/>
    <w:rsid w:val="00500016"/>
    <w:rsid w:val="005005A3"/>
    <w:rsid w:val="00500648"/>
    <w:rsid w:val="005009D9"/>
    <w:rsid w:val="00500BE4"/>
    <w:rsid w:val="00500C2F"/>
    <w:rsid w:val="00500CDA"/>
    <w:rsid w:val="00501037"/>
    <w:rsid w:val="005011A4"/>
    <w:rsid w:val="005011BC"/>
    <w:rsid w:val="00501288"/>
    <w:rsid w:val="00501367"/>
    <w:rsid w:val="00501581"/>
    <w:rsid w:val="0050190D"/>
    <w:rsid w:val="00501965"/>
    <w:rsid w:val="005019C0"/>
    <w:rsid w:val="00501C64"/>
    <w:rsid w:val="00501F26"/>
    <w:rsid w:val="00502592"/>
    <w:rsid w:val="005026D6"/>
    <w:rsid w:val="0050275D"/>
    <w:rsid w:val="00502C2B"/>
    <w:rsid w:val="00503047"/>
    <w:rsid w:val="005033A1"/>
    <w:rsid w:val="00503C31"/>
    <w:rsid w:val="00503C83"/>
    <w:rsid w:val="00503E5E"/>
    <w:rsid w:val="005043C0"/>
    <w:rsid w:val="00504700"/>
    <w:rsid w:val="00504751"/>
    <w:rsid w:val="00504BE2"/>
    <w:rsid w:val="00504D18"/>
    <w:rsid w:val="00504F01"/>
    <w:rsid w:val="0050527D"/>
    <w:rsid w:val="00505493"/>
    <w:rsid w:val="0050552B"/>
    <w:rsid w:val="00505675"/>
    <w:rsid w:val="005059F4"/>
    <w:rsid w:val="00505CB1"/>
    <w:rsid w:val="00505CEF"/>
    <w:rsid w:val="00505DF4"/>
    <w:rsid w:val="00505EA8"/>
    <w:rsid w:val="00505F6F"/>
    <w:rsid w:val="0050602B"/>
    <w:rsid w:val="0050607B"/>
    <w:rsid w:val="005060E8"/>
    <w:rsid w:val="00506162"/>
    <w:rsid w:val="0050618E"/>
    <w:rsid w:val="00506579"/>
    <w:rsid w:val="005069B9"/>
    <w:rsid w:val="00507063"/>
    <w:rsid w:val="00507242"/>
    <w:rsid w:val="00507358"/>
    <w:rsid w:val="0050754A"/>
    <w:rsid w:val="0050754F"/>
    <w:rsid w:val="005076B9"/>
    <w:rsid w:val="005077D9"/>
    <w:rsid w:val="005079A4"/>
    <w:rsid w:val="00507AA6"/>
    <w:rsid w:val="00507AA9"/>
    <w:rsid w:val="005102D5"/>
    <w:rsid w:val="00510520"/>
    <w:rsid w:val="0051053D"/>
    <w:rsid w:val="00510567"/>
    <w:rsid w:val="005109CF"/>
    <w:rsid w:val="005109F3"/>
    <w:rsid w:val="00510CCD"/>
    <w:rsid w:val="0051117B"/>
    <w:rsid w:val="00511365"/>
    <w:rsid w:val="00511424"/>
    <w:rsid w:val="005114FC"/>
    <w:rsid w:val="005115FA"/>
    <w:rsid w:val="00511996"/>
    <w:rsid w:val="00511C54"/>
    <w:rsid w:val="00511D23"/>
    <w:rsid w:val="005120AE"/>
    <w:rsid w:val="005122C3"/>
    <w:rsid w:val="00512811"/>
    <w:rsid w:val="00512909"/>
    <w:rsid w:val="005129EC"/>
    <w:rsid w:val="00512BFB"/>
    <w:rsid w:val="00512DAD"/>
    <w:rsid w:val="00512FBA"/>
    <w:rsid w:val="0051325D"/>
    <w:rsid w:val="0051334B"/>
    <w:rsid w:val="00513646"/>
    <w:rsid w:val="005138C0"/>
    <w:rsid w:val="005138F7"/>
    <w:rsid w:val="0051390D"/>
    <w:rsid w:val="005139C3"/>
    <w:rsid w:val="005139FD"/>
    <w:rsid w:val="00513A25"/>
    <w:rsid w:val="00513CE0"/>
    <w:rsid w:val="00513D41"/>
    <w:rsid w:val="00513E25"/>
    <w:rsid w:val="00513F12"/>
    <w:rsid w:val="005140C3"/>
    <w:rsid w:val="00514212"/>
    <w:rsid w:val="0051428B"/>
    <w:rsid w:val="0051462D"/>
    <w:rsid w:val="00514686"/>
    <w:rsid w:val="00514A6F"/>
    <w:rsid w:val="00514AE2"/>
    <w:rsid w:val="00514BC1"/>
    <w:rsid w:val="00514BD3"/>
    <w:rsid w:val="00515006"/>
    <w:rsid w:val="00515238"/>
    <w:rsid w:val="005152FD"/>
    <w:rsid w:val="005154A9"/>
    <w:rsid w:val="005156C7"/>
    <w:rsid w:val="005156DA"/>
    <w:rsid w:val="00515712"/>
    <w:rsid w:val="00515C01"/>
    <w:rsid w:val="00515EBD"/>
    <w:rsid w:val="00516047"/>
    <w:rsid w:val="0051606C"/>
    <w:rsid w:val="0051624D"/>
    <w:rsid w:val="0051628A"/>
    <w:rsid w:val="00516304"/>
    <w:rsid w:val="00516344"/>
    <w:rsid w:val="00516435"/>
    <w:rsid w:val="005166C9"/>
    <w:rsid w:val="005167B4"/>
    <w:rsid w:val="005168D6"/>
    <w:rsid w:val="00516961"/>
    <w:rsid w:val="00516A9B"/>
    <w:rsid w:val="00516C1F"/>
    <w:rsid w:val="0051712E"/>
    <w:rsid w:val="005172AF"/>
    <w:rsid w:val="0051732D"/>
    <w:rsid w:val="005174F7"/>
    <w:rsid w:val="00517554"/>
    <w:rsid w:val="005176BA"/>
    <w:rsid w:val="00517AC8"/>
    <w:rsid w:val="00517B86"/>
    <w:rsid w:val="00517C6E"/>
    <w:rsid w:val="00517E61"/>
    <w:rsid w:val="00517ECF"/>
    <w:rsid w:val="00517ED1"/>
    <w:rsid w:val="00517F27"/>
    <w:rsid w:val="005201E8"/>
    <w:rsid w:val="00520413"/>
    <w:rsid w:val="00520506"/>
    <w:rsid w:val="005205BA"/>
    <w:rsid w:val="005207FF"/>
    <w:rsid w:val="00520FD4"/>
    <w:rsid w:val="00521866"/>
    <w:rsid w:val="00521890"/>
    <w:rsid w:val="00521B75"/>
    <w:rsid w:val="00521D21"/>
    <w:rsid w:val="005225CA"/>
    <w:rsid w:val="0052294F"/>
    <w:rsid w:val="00522A00"/>
    <w:rsid w:val="00522BBA"/>
    <w:rsid w:val="00522CA1"/>
    <w:rsid w:val="00523426"/>
    <w:rsid w:val="00523707"/>
    <w:rsid w:val="00523F7C"/>
    <w:rsid w:val="00524056"/>
    <w:rsid w:val="00524376"/>
    <w:rsid w:val="005243DD"/>
    <w:rsid w:val="005246E6"/>
    <w:rsid w:val="00524845"/>
    <w:rsid w:val="00524851"/>
    <w:rsid w:val="0052494B"/>
    <w:rsid w:val="00525036"/>
    <w:rsid w:val="00525182"/>
    <w:rsid w:val="00525384"/>
    <w:rsid w:val="005254A1"/>
    <w:rsid w:val="00525D54"/>
    <w:rsid w:val="00525E0D"/>
    <w:rsid w:val="00525EAB"/>
    <w:rsid w:val="00526058"/>
    <w:rsid w:val="005261C8"/>
    <w:rsid w:val="00526202"/>
    <w:rsid w:val="00526DC0"/>
    <w:rsid w:val="00526F04"/>
    <w:rsid w:val="005271FD"/>
    <w:rsid w:val="005272BB"/>
    <w:rsid w:val="005272F1"/>
    <w:rsid w:val="00527314"/>
    <w:rsid w:val="0052740B"/>
    <w:rsid w:val="00527415"/>
    <w:rsid w:val="00527419"/>
    <w:rsid w:val="005274D7"/>
    <w:rsid w:val="00527544"/>
    <w:rsid w:val="005279C1"/>
    <w:rsid w:val="00527AE8"/>
    <w:rsid w:val="00527D03"/>
    <w:rsid w:val="00527DB9"/>
    <w:rsid w:val="00527E48"/>
    <w:rsid w:val="0053051F"/>
    <w:rsid w:val="0053072F"/>
    <w:rsid w:val="0053086A"/>
    <w:rsid w:val="00530A23"/>
    <w:rsid w:val="00530A73"/>
    <w:rsid w:val="00530E2A"/>
    <w:rsid w:val="00530EAF"/>
    <w:rsid w:val="0053137F"/>
    <w:rsid w:val="0053148C"/>
    <w:rsid w:val="00531608"/>
    <w:rsid w:val="00531692"/>
    <w:rsid w:val="00531743"/>
    <w:rsid w:val="00531C66"/>
    <w:rsid w:val="00532132"/>
    <w:rsid w:val="00532134"/>
    <w:rsid w:val="00532903"/>
    <w:rsid w:val="00532E33"/>
    <w:rsid w:val="00532E64"/>
    <w:rsid w:val="00532E6C"/>
    <w:rsid w:val="005333C7"/>
    <w:rsid w:val="0053357C"/>
    <w:rsid w:val="00533749"/>
    <w:rsid w:val="005337AB"/>
    <w:rsid w:val="005339BF"/>
    <w:rsid w:val="00533EF8"/>
    <w:rsid w:val="00534191"/>
    <w:rsid w:val="00534637"/>
    <w:rsid w:val="005347B8"/>
    <w:rsid w:val="00534B88"/>
    <w:rsid w:val="00534C1F"/>
    <w:rsid w:val="00534DC0"/>
    <w:rsid w:val="00534E57"/>
    <w:rsid w:val="00535027"/>
    <w:rsid w:val="005350A2"/>
    <w:rsid w:val="00535289"/>
    <w:rsid w:val="005356C3"/>
    <w:rsid w:val="00535719"/>
    <w:rsid w:val="005358E8"/>
    <w:rsid w:val="00535DA5"/>
    <w:rsid w:val="005360BD"/>
    <w:rsid w:val="0053620D"/>
    <w:rsid w:val="00536625"/>
    <w:rsid w:val="00536747"/>
    <w:rsid w:val="00536791"/>
    <w:rsid w:val="00536A1A"/>
    <w:rsid w:val="00536BC2"/>
    <w:rsid w:val="00536E68"/>
    <w:rsid w:val="00536F11"/>
    <w:rsid w:val="00537126"/>
    <w:rsid w:val="00537231"/>
    <w:rsid w:val="0053725B"/>
    <w:rsid w:val="00537468"/>
    <w:rsid w:val="0053774C"/>
    <w:rsid w:val="00537765"/>
    <w:rsid w:val="005378B5"/>
    <w:rsid w:val="00537C55"/>
    <w:rsid w:val="0054008C"/>
    <w:rsid w:val="0054009A"/>
    <w:rsid w:val="00540121"/>
    <w:rsid w:val="0054017F"/>
    <w:rsid w:val="005402A4"/>
    <w:rsid w:val="00540366"/>
    <w:rsid w:val="00540424"/>
    <w:rsid w:val="00540554"/>
    <w:rsid w:val="0054059C"/>
    <w:rsid w:val="00540677"/>
    <w:rsid w:val="00540A52"/>
    <w:rsid w:val="00540AB2"/>
    <w:rsid w:val="00540E55"/>
    <w:rsid w:val="00540FFC"/>
    <w:rsid w:val="005411C6"/>
    <w:rsid w:val="005412EB"/>
    <w:rsid w:val="005416E2"/>
    <w:rsid w:val="00541A84"/>
    <w:rsid w:val="00541C45"/>
    <w:rsid w:val="00541DD5"/>
    <w:rsid w:val="00541FA6"/>
    <w:rsid w:val="00541FD5"/>
    <w:rsid w:val="00542078"/>
    <w:rsid w:val="00542267"/>
    <w:rsid w:val="005422E6"/>
    <w:rsid w:val="0054233C"/>
    <w:rsid w:val="0054233E"/>
    <w:rsid w:val="00542550"/>
    <w:rsid w:val="005425DB"/>
    <w:rsid w:val="00542A62"/>
    <w:rsid w:val="00542B29"/>
    <w:rsid w:val="00542CD1"/>
    <w:rsid w:val="00542CDE"/>
    <w:rsid w:val="00542E05"/>
    <w:rsid w:val="00542E2A"/>
    <w:rsid w:val="00542E59"/>
    <w:rsid w:val="00542EF7"/>
    <w:rsid w:val="0054343D"/>
    <w:rsid w:val="00543837"/>
    <w:rsid w:val="00543C75"/>
    <w:rsid w:val="00543FB1"/>
    <w:rsid w:val="00544100"/>
    <w:rsid w:val="00544285"/>
    <w:rsid w:val="00544759"/>
    <w:rsid w:val="005447A0"/>
    <w:rsid w:val="00544969"/>
    <w:rsid w:val="00544A69"/>
    <w:rsid w:val="00544CE2"/>
    <w:rsid w:val="00544E09"/>
    <w:rsid w:val="00544F3F"/>
    <w:rsid w:val="00544FBC"/>
    <w:rsid w:val="0054527F"/>
    <w:rsid w:val="00545319"/>
    <w:rsid w:val="00545616"/>
    <w:rsid w:val="00545644"/>
    <w:rsid w:val="005456E1"/>
    <w:rsid w:val="005458A9"/>
    <w:rsid w:val="00545926"/>
    <w:rsid w:val="00545CDC"/>
    <w:rsid w:val="00546337"/>
    <w:rsid w:val="00546383"/>
    <w:rsid w:val="005464DF"/>
    <w:rsid w:val="00546865"/>
    <w:rsid w:val="00546877"/>
    <w:rsid w:val="0054691F"/>
    <w:rsid w:val="00546956"/>
    <w:rsid w:val="00546A08"/>
    <w:rsid w:val="00546D43"/>
    <w:rsid w:val="00546DED"/>
    <w:rsid w:val="00547014"/>
    <w:rsid w:val="005470BC"/>
    <w:rsid w:val="00547884"/>
    <w:rsid w:val="00547C55"/>
    <w:rsid w:val="00547C8D"/>
    <w:rsid w:val="00547DE3"/>
    <w:rsid w:val="00547F8F"/>
    <w:rsid w:val="00550254"/>
    <w:rsid w:val="0055043E"/>
    <w:rsid w:val="00550707"/>
    <w:rsid w:val="00550722"/>
    <w:rsid w:val="00550854"/>
    <w:rsid w:val="00550900"/>
    <w:rsid w:val="00550A53"/>
    <w:rsid w:val="00550C11"/>
    <w:rsid w:val="00550C14"/>
    <w:rsid w:val="00550CCD"/>
    <w:rsid w:val="00550E00"/>
    <w:rsid w:val="0055127C"/>
    <w:rsid w:val="00551353"/>
    <w:rsid w:val="005514FF"/>
    <w:rsid w:val="00551AC5"/>
    <w:rsid w:val="00551C28"/>
    <w:rsid w:val="00551E35"/>
    <w:rsid w:val="00551E5F"/>
    <w:rsid w:val="00551FA5"/>
    <w:rsid w:val="00552412"/>
    <w:rsid w:val="0055256C"/>
    <w:rsid w:val="005526C5"/>
    <w:rsid w:val="005527A2"/>
    <w:rsid w:val="00552821"/>
    <w:rsid w:val="0055287C"/>
    <w:rsid w:val="00552C22"/>
    <w:rsid w:val="00552F4F"/>
    <w:rsid w:val="00553045"/>
    <w:rsid w:val="00553346"/>
    <w:rsid w:val="00553474"/>
    <w:rsid w:val="0055351F"/>
    <w:rsid w:val="005535F1"/>
    <w:rsid w:val="00553674"/>
    <w:rsid w:val="00553863"/>
    <w:rsid w:val="0055387B"/>
    <w:rsid w:val="0055398E"/>
    <w:rsid w:val="00553C60"/>
    <w:rsid w:val="00553DC2"/>
    <w:rsid w:val="00553EE2"/>
    <w:rsid w:val="005540C2"/>
    <w:rsid w:val="005543E3"/>
    <w:rsid w:val="0055455F"/>
    <w:rsid w:val="0055464A"/>
    <w:rsid w:val="00554F7B"/>
    <w:rsid w:val="00554FDF"/>
    <w:rsid w:val="005550F7"/>
    <w:rsid w:val="0055533D"/>
    <w:rsid w:val="005553E4"/>
    <w:rsid w:val="005556D5"/>
    <w:rsid w:val="00555B9F"/>
    <w:rsid w:val="00555FDE"/>
    <w:rsid w:val="00556046"/>
    <w:rsid w:val="0055607D"/>
    <w:rsid w:val="005564EB"/>
    <w:rsid w:val="00556590"/>
    <w:rsid w:val="005567CF"/>
    <w:rsid w:val="00556964"/>
    <w:rsid w:val="00556B28"/>
    <w:rsid w:val="00556F32"/>
    <w:rsid w:val="00557189"/>
    <w:rsid w:val="00557258"/>
    <w:rsid w:val="005572D7"/>
    <w:rsid w:val="0055782D"/>
    <w:rsid w:val="00557B5E"/>
    <w:rsid w:val="00557BF3"/>
    <w:rsid w:val="00557E95"/>
    <w:rsid w:val="00557F3A"/>
    <w:rsid w:val="005600FC"/>
    <w:rsid w:val="00560347"/>
    <w:rsid w:val="00560B88"/>
    <w:rsid w:val="00560E45"/>
    <w:rsid w:val="00560F82"/>
    <w:rsid w:val="00561393"/>
    <w:rsid w:val="00561E01"/>
    <w:rsid w:val="005620AC"/>
    <w:rsid w:val="005623B5"/>
    <w:rsid w:val="00562437"/>
    <w:rsid w:val="00562459"/>
    <w:rsid w:val="00562847"/>
    <w:rsid w:val="00562AF9"/>
    <w:rsid w:val="00562F52"/>
    <w:rsid w:val="005631AD"/>
    <w:rsid w:val="00563698"/>
    <w:rsid w:val="005638F8"/>
    <w:rsid w:val="00563978"/>
    <w:rsid w:val="00563A6D"/>
    <w:rsid w:val="00563A89"/>
    <w:rsid w:val="00563B41"/>
    <w:rsid w:val="00563C05"/>
    <w:rsid w:val="00563C2F"/>
    <w:rsid w:val="00563C44"/>
    <w:rsid w:val="00563CD6"/>
    <w:rsid w:val="00563D00"/>
    <w:rsid w:val="00563D1C"/>
    <w:rsid w:val="00563D38"/>
    <w:rsid w:val="00563DDB"/>
    <w:rsid w:val="005641A1"/>
    <w:rsid w:val="00564648"/>
    <w:rsid w:val="005646E9"/>
    <w:rsid w:val="005648A6"/>
    <w:rsid w:val="005648D7"/>
    <w:rsid w:val="00564973"/>
    <w:rsid w:val="00564A22"/>
    <w:rsid w:val="00564A81"/>
    <w:rsid w:val="00564C4D"/>
    <w:rsid w:val="00564D71"/>
    <w:rsid w:val="00564D86"/>
    <w:rsid w:val="00565060"/>
    <w:rsid w:val="00565280"/>
    <w:rsid w:val="005652E1"/>
    <w:rsid w:val="00565499"/>
    <w:rsid w:val="00565618"/>
    <w:rsid w:val="005657D3"/>
    <w:rsid w:val="005657D9"/>
    <w:rsid w:val="00565A74"/>
    <w:rsid w:val="00565BB8"/>
    <w:rsid w:val="00565BD1"/>
    <w:rsid w:val="00565D0B"/>
    <w:rsid w:val="00565DA2"/>
    <w:rsid w:val="0056601A"/>
    <w:rsid w:val="00566022"/>
    <w:rsid w:val="005660D4"/>
    <w:rsid w:val="005661C6"/>
    <w:rsid w:val="00566325"/>
    <w:rsid w:val="00566618"/>
    <w:rsid w:val="0056668A"/>
    <w:rsid w:val="00566836"/>
    <w:rsid w:val="00566A19"/>
    <w:rsid w:val="00566D03"/>
    <w:rsid w:val="00566D5D"/>
    <w:rsid w:val="005672BC"/>
    <w:rsid w:val="00567341"/>
    <w:rsid w:val="0056769B"/>
    <w:rsid w:val="00567E3B"/>
    <w:rsid w:val="00567E88"/>
    <w:rsid w:val="00567ECA"/>
    <w:rsid w:val="00567EFF"/>
    <w:rsid w:val="00567F5A"/>
    <w:rsid w:val="00570297"/>
    <w:rsid w:val="00570462"/>
    <w:rsid w:val="005705AB"/>
    <w:rsid w:val="005706CD"/>
    <w:rsid w:val="00570B4D"/>
    <w:rsid w:val="00570CFC"/>
    <w:rsid w:val="00570DA8"/>
    <w:rsid w:val="005710E5"/>
    <w:rsid w:val="005711A6"/>
    <w:rsid w:val="00571378"/>
    <w:rsid w:val="005714F9"/>
    <w:rsid w:val="005718A6"/>
    <w:rsid w:val="00571AC1"/>
    <w:rsid w:val="00571DAF"/>
    <w:rsid w:val="00571F80"/>
    <w:rsid w:val="005720B1"/>
    <w:rsid w:val="00572480"/>
    <w:rsid w:val="005724C2"/>
    <w:rsid w:val="005727F8"/>
    <w:rsid w:val="00572E69"/>
    <w:rsid w:val="00572E85"/>
    <w:rsid w:val="00572F00"/>
    <w:rsid w:val="00572F97"/>
    <w:rsid w:val="00572FC8"/>
    <w:rsid w:val="005731BA"/>
    <w:rsid w:val="005734AC"/>
    <w:rsid w:val="00573605"/>
    <w:rsid w:val="005739CF"/>
    <w:rsid w:val="00573E8D"/>
    <w:rsid w:val="00574398"/>
    <w:rsid w:val="005743DF"/>
    <w:rsid w:val="00574437"/>
    <w:rsid w:val="0057446D"/>
    <w:rsid w:val="00574ADA"/>
    <w:rsid w:val="00575115"/>
    <w:rsid w:val="0057516E"/>
    <w:rsid w:val="0057586D"/>
    <w:rsid w:val="00575A90"/>
    <w:rsid w:val="00575C20"/>
    <w:rsid w:val="00575E9B"/>
    <w:rsid w:val="005760C7"/>
    <w:rsid w:val="005764F8"/>
    <w:rsid w:val="005765E9"/>
    <w:rsid w:val="005767E0"/>
    <w:rsid w:val="005768B1"/>
    <w:rsid w:val="005769B5"/>
    <w:rsid w:val="00576C29"/>
    <w:rsid w:val="00576CE4"/>
    <w:rsid w:val="00576D8F"/>
    <w:rsid w:val="00576E47"/>
    <w:rsid w:val="00577874"/>
    <w:rsid w:val="00577A10"/>
    <w:rsid w:val="00577AA0"/>
    <w:rsid w:val="005801B7"/>
    <w:rsid w:val="0058042D"/>
    <w:rsid w:val="0058093A"/>
    <w:rsid w:val="005809F9"/>
    <w:rsid w:val="00580A71"/>
    <w:rsid w:val="00580C83"/>
    <w:rsid w:val="00580CB5"/>
    <w:rsid w:val="00580D03"/>
    <w:rsid w:val="00580DDA"/>
    <w:rsid w:val="00581023"/>
    <w:rsid w:val="00581286"/>
    <w:rsid w:val="00581447"/>
    <w:rsid w:val="0058171A"/>
    <w:rsid w:val="00581B2D"/>
    <w:rsid w:val="00582592"/>
    <w:rsid w:val="00582671"/>
    <w:rsid w:val="00582B34"/>
    <w:rsid w:val="00582B97"/>
    <w:rsid w:val="00582D60"/>
    <w:rsid w:val="00582F3A"/>
    <w:rsid w:val="005832E2"/>
    <w:rsid w:val="00583763"/>
    <w:rsid w:val="0058384D"/>
    <w:rsid w:val="0058393C"/>
    <w:rsid w:val="0058394D"/>
    <w:rsid w:val="00583C1F"/>
    <w:rsid w:val="00583DCA"/>
    <w:rsid w:val="0058404D"/>
    <w:rsid w:val="00584057"/>
    <w:rsid w:val="005849C7"/>
    <w:rsid w:val="00584BB2"/>
    <w:rsid w:val="00585185"/>
    <w:rsid w:val="005853D3"/>
    <w:rsid w:val="005854E2"/>
    <w:rsid w:val="00585526"/>
    <w:rsid w:val="00585896"/>
    <w:rsid w:val="005860BB"/>
    <w:rsid w:val="0058615F"/>
    <w:rsid w:val="0058645C"/>
    <w:rsid w:val="0058656B"/>
    <w:rsid w:val="005865A1"/>
    <w:rsid w:val="005867C0"/>
    <w:rsid w:val="00586912"/>
    <w:rsid w:val="00586BB0"/>
    <w:rsid w:val="00586D56"/>
    <w:rsid w:val="00587082"/>
    <w:rsid w:val="005870BA"/>
    <w:rsid w:val="005871D6"/>
    <w:rsid w:val="0058767F"/>
    <w:rsid w:val="005876EA"/>
    <w:rsid w:val="0058772F"/>
    <w:rsid w:val="00587ADE"/>
    <w:rsid w:val="00587B09"/>
    <w:rsid w:val="00587BAA"/>
    <w:rsid w:val="00587C54"/>
    <w:rsid w:val="00587D61"/>
    <w:rsid w:val="00587E20"/>
    <w:rsid w:val="00587E22"/>
    <w:rsid w:val="00590388"/>
    <w:rsid w:val="0059052E"/>
    <w:rsid w:val="00590600"/>
    <w:rsid w:val="00590645"/>
    <w:rsid w:val="00590C8C"/>
    <w:rsid w:val="00590F2E"/>
    <w:rsid w:val="00591090"/>
    <w:rsid w:val="005914EA"/>
    <w:rsid w:val="00591668"/>
    <w:rsid w:val="00591830"/>
    <w:rsid w:val="005918EC"/>
    <w:rsid w:val="00591B5B"/>
    <w:rsid w:val="00591E22"/>
    <w:rsid w:val="00592009"/>
    <w:rsid w:val="00592071"/>
    <w:rsid w:val="005926DA"/>
    <w:rsid w:val="00592816"/>
    <w:rsid w:val="00592960"/>
    <w:rsid w:val="005929DA"/>
    <w:rsid w:val="00592E12"/>
    <w:rsid w:val="00593085"/>
    <w:rsid w:val="005930AE"/>
    <w:rsid w:val="0059323A"/>
    <w:rsid w:val="0059325C"/>
    <w:rsid w:val="00593547"/>
    <w:rsid w:val="0059376F"/>
    <w:rsid w:val="00593818"/>
    <w:rsid w:val="00593858"/>
    <w:rsid w:val="00593A28"/>
    <w:rsid w:val="00593AA4"/>
    <w:rsid w:val="00593B1B"/>
    <w:rsid w:val="00593EE9"/>
    <w:rsid w:val="00594288"/>
    <w:rsid w:val="00594418"/>
    <w:rsid w:val="005945A7"/>
    <w:rsid w:val="005948C9"/>
    <w:rsid w:val="00594A0D"/>
    <w:rsid w:val="00594BBB"/>
    <w:rsid w:val="00594C8D"/>
    <w:rsid w:val="00594D5C"/>
    <w:rsid w:val="00594DED"/>
    <w:rsid w:val="00594EFA"/>
    <w:rsid w:val="005950E7"/>
    <w:rsid w:val="00595532"/>
    <w:rsid w:val="0059554B"/>
    <w:rsid w:val="0059578B"/>
    <w:rsid w:val="00595925"/>
    <w:rsid w:val="00595A2A"/>
    <w:rsid w:val="00595B4D"/>
    <w:rsid w:val="00595F23"/>
    <w:rsid w:val="00595F41"/>
    <w:rsid w:val="005960A2"/>
    <w:rsid w:val="0059624A"/>
    <w:rsid w:val="00596607"/>
    <w:rsid w:val="005967BB"/>
    <w:rsid w:val="00596B6E"/>
    <w:rsid w:val="00596C53"/>
    <w:rsid w:val="00596CA3"/>
    <w:rsid w:val="00596CC2"/>
    <w:rsid w:val="00596E17"/>
    <w:rsid w:val="00596E65"/>
    <w:rsid w:val="00597111"/>
    <w:rsid w:val="0059711A"/>
    <w:rsid w:val="0059718C"/>
    <w:rsid w:val="005971A4"/>
    <w:rsid w:val="005972B2"/>
    <w:rsid w:val="005973A5"/>
    <w:rsid w:val="005973C4"/>
    <w:rsid w:val="005974BD"/>
    <w:rsid w:val="00597649"/>
    <w:rsid w:val="005976F9"/>
    <w:rsid w:val="005979C3"/>
    <w:rsid w:val="00597EF0"/>
    <w:rsid w:val="00597FC0"/>
    <w:rsid w:val="005A0260"/>
    <w:rsid w:val="005A0325"/>
    <w:rsid w:val="005A0590"/>
    <w:rsid w:val="005A0870"/>
    <w:rsid w:val="005A0E17"/>
    <w:rsid w:val="005A0E94"/>
    <w:rsid w:val="005A0EA4"/>
    <w:rsid w:val="005A1005"/>
    <w:rsid w:val="005A1057"/>
    <w:rsid w:val="005A147D"/>
    <w:rsid w:val="005A18B0"/>
    <w:rsid w:val="005A18F0"/>
    <w:rsid w:val="005A1A6A"/>
    <w:rsid w:val="005A1AB5"/>
    <w:rsid w:val="005A1AE3"/>
    <w:rsid w:val="005A1B2F"/>
    <w:rsid w:val="005A1CD2"/>
    <w:rsid w:val="005A1F39"/>
    <w:rsid w:val="005A1FFE"/>
    <w:rsid w:val="005A249D"/>
    <w:rsid w:val="005A24D4"/>
    <w:rsid w:val="005A26EA"/>
    <w:rsid w:val="005A27E6"/>
    <w:rsid w:val="005A283A"/>
    <w:rsid w:val="005A2A54"/>
    <w:rsid w:val="005A2BAA"/>
    <w:rsid w:val="005A2CFE"/>
    <w:rsid w:val="005A2D02"/>
    <w:rsid w:val="005A2D04"/>
    <w:rsid w:val="005A3049"/>
    <w:rsid w:val="005A30FA"/>
    <w:rsid w:val="005A314E"/>
    <w:rsid w:val="005A34B3"/>
    <w:rsid w:val="005A375D"/>
    <w:rsid w:val="005A394B"/>
    <w:rsid w:val="005A3A76"/>
    <w:rsid w:val="005A3D49"/>
    <w:rsid w:val="005A4448"/>
    <w:rsid w:val="005A4630"/>
    <w:rsid w:val="005A4714"/>
    <w:rsid w:val="005A4870"/>
    <w:rsid w:val="005A48AA"/>
    <w:rsid w:val="005A4939"/>
    <w:rsid w:val="005A4A51"/>
    <w:rsid w:val="005A4C33"/>
    <w:rsid w:val="005A4C78"/>
    <w:rsid w:val="005A4C8B"/>
    <w:rsid w:val="005A4CE4"/>
    <w:rsid w:val="005A4CF4"/>
    <w:rsid w:val="005A4D0F"/>
    <w:rsid w:val="005A51B1"/>
    <w:rsid w:val="005A529A"/>
    <w:rsid w:val="005A53DA"/>
    <w:rsid w:val="005A560A"/>
    <w:rsid w:val="005A5630"/>
    <w:rsid w:val="005A56EA"/>
    <w:rsid w:val="005A5BC4"/>
    <w:rsid w:val="005A5D76"/>
    <w:rsid w:val="005A6144"/>
    <w:rsid w:val="005A6310"/>
    <w:rsid w:val="005A656A"/>
    <w:rsid w:val="005A6901"/>
    <w:rsid w:val="005A6988"/>
    <w:rsid w:val="005A6B79"/>
    <w:rsid w:val="005A6F04"/>
    <w:rsid w:val="005A7132"/>
    <w:rsid w:val="005A71AA"/>
    <w:rsid w:val="005A7210"/>
    <w:rsid w:val="005A7289"/>
    <w:rsid w:val="005A7C7B"/>
    <w:rsid w:val="005A7FC2"/>
    <w:rsid w:val="005B033E"/>
    <w:rsid w:val="005B0434"/>
    <w:rsid w:val="005B0489"/>
    <w:rsid w:val="005B05BF"/>
    <w:rsid w:val="005B0B88"/>
    <w:rsid w:val="005B0CF6"/>
    <w:rsid w:val="005B0DE7"/>
    <w:rsid w:val="005B0E25"/>
    <w:rsid w:val="005B0F0E"/>
    <w:rsid w:val="005B1032"/>
    <w:rsid w:val="005B1136"/>
    <w:rsid w:val="005B115E"/>
    <w:rsid w:val="005B12F4"/>
    <w:rsid w:val="005B1822"/>
    <w:rsid w:val="005B2009"/>
    <w:rsid w:val="005B2023"/>
    <w:rsid w:val="005B205C"/>
    <w:rsid w:val="005B240C"/>
    <w:rsid w:val="005B2BFA"/>
    <w:rsid w:val="005B2CDC"/>
    <w:rsid w:val="005B300E"/>
    <w:rsid w:val="005B3448"/>
    <w:rsid w:val="005B381D"/>
    <w:rsid w:val="005B39B6"/>
    <w:rsid w:val="005B3E32"/>
    <w:rsid w:val="005B3E72"/>
    <w:rsid w:val="005B3F70"/>
    <w:rsid w:val="005B3FBB"/>
    <w:rsid w:val="005B4088"/>
    <w:rsid w:val="005B40D9"/>
    <w:rsid w:val="005B40E8"/>
    <w:rsid w:val="005B421F"/>
    <w:rsid w:val="005B4723"/>
    <w:rsid w:val="005B47E4"/>
    <w:rsid w:val="005B47F6"/>
    <w:rsid w:val="005B493F"/>
    <w:rsid w:val="005B4A4C"/>
    <w:rsid w:val="005B4CF4"/>
    <w:rsid w:val="005B52C0"/>
    <w:rsid w:val="005B53A5"/>
    <w:rsid w:val="005B5E4B"/>
    <w:rsid w:val="005B5E4F"/>
    <w:rsid w:val="005B5FF4"/>
    <w:rsid w:val="005B61A3"/>
    <w:rsid w:val="005B62C1"/>
    <w:rsid w:val="005B653C"/>
    <w:rsid w:val="005B69AD"/>
    <w:rsid w:val="005B6ACB"/>
    <w:rsid w:val="005B6C27"/>
    <w:rsid w:val="005B6C59"/>
    <w:rsid w:val="005B7314"/>
    <w:rsid w:val="005B73AE"/>
    <w:rsid w:val="005B7883"/>
    <w:rsid w:val="005B791B"/>
    <w:rsid w:val="005B7972"/>
    <w:rsid w:val="005B7C72"/>
    <w:rsid w:val="005B7D4B"/>
    <w:rsid w:val="005B7DC7"/>
    <w:rsid w:val="005B7DE2"/>
    <w:rsid w:val="005C0825"/>
    <w:rsid w:val="005C0A81"/>
    <w:rsid w:val="005C0B28"/>
    <w:rsid w:val="005C0E0E"/>
    <w:rsid w:val="005C0FB9"/>
    <w:rsid w:val="005C10ED"/>
    <w:rsid w:val="005C1553"/>
    <w:rsid w:val="005C15E8"/>
    <w:rsid w:val="005C1882"/>
    <w:rsid w:val="005C1946"/>
    <w:rsid w:val="005C19F4"/>
    <w:rsid w:val="005C201E"/>
    <w:rsid w:val="005C229F"/>
    <w:rsid w:val="005C2346"/>
    <w:rsid w:val="005C261D"/>
    <w:rsid w:val="005C2AEB"/>
    <w:rsid w:val="005C2B7B"/>
    <w:rsid w:val="005C2E27"/>
    <w:rsid w:val="005C2E93"/>
    <w:rsid w:val="005C2FC2"/>
    <w:rsid w:val="005C3030"/>
    <w:rsid w:val="005C324C"/>
    <w:rsid w:val="005C3479"/>
    <w:rsid w:val="005C3494"/>
    <w:rsid w:val="005C35BE"/>
    <w:rsid w:val="005C3701"/>
    <w:rsid w:val="005C37C1"/>
    <w:rsid w:val="005C3BEF"/>
    <w:rsid w:val="005C3C55"/>
    <w:rsid w:val="005C4563"/>
    <w:rsid w:val="005C4728"/>
    <w:rsid w:val="005C4731"/>
    <w:rsid w:val="005C4854"/>
    <w:rsid w:val="005C4A53"/>
    <w:rsid w:val="005C4CA3"/>
    <w:rsid w:val="005C4E62"/>
    <w:rsid w:val="005C5099"/>
    <w:rsid w:val="005C52F9"/>
    <w:rsid w:val="005C5425"/>
    <w:rsid w:val="005C5489"/>
    <w:rsid w:val="005C55BE"/>
    <w:rsid w:val="005C5706"/>
    <w:rsid w:val="005C57BC"/>
    <w:rsid w:val="005C5BDF"/>
    <w:rsid w:val="005C5FDB"/>
    <w:rsid w:val="005C6040"/>
    <w:rsid w:val="005C63EC"/>
    <w:rsid w:val="005C676F"/>
    <w:rsid w:val="005C693C"/>
    <w:rsid w:val="005C6A70"/>
    <w:rsid w:val="005C6B99"/>
    <w:rsid w:val="005C6C59"/>
    <w:rsid w:val="005C6DEC"/>
    <w:rsid w:val="005C6F2A"/>
    <w:rsid w:val="005C6FB2"/>
    <w:rsid w:val="005C7018"/>
    <w:rsid w:val="005C748A"/>
    <w:rsid w:val="005C7992"/>
    <w:rsid w:val="005C7B4A"/>
    <w:rsid w:val="005C7B92"/>
    <w:rsid w:val="005D01AB"/>
    <w:rsid w:val="005D0257"/>
    <w:rsid w:val="005D0BF7"/>
    <w:rsid w:val="005D0CD7"/>
    <w:rsid w:val="005D0D9E"/>
    <w:rsid w:val="005D0E94"/>
    <w:rsid w:val="005D10A4"/>
    <w:rsid w:val="005D10C8"/>
    <w:rsid w:val="005D121B"/>
    <w:rsid w:val="005D1272"/>
    <w:rsid w:val="005D1436"/>
    <w:rsid w:val="005D19A1"/>
    <w:rsid w:val="005D1AA0"/>
    <w:rsid w:val="005D21F5"/>
    <w:rsid w:val="005D2353"/>
    <w:rsid w:val="005D2699"/>
    <w:rsid w:val="005D26E4"/>
    <w:rsid w:val="005D26EA"/>
    <w:rsid w:val="005D2A00"/>
    <w:rsid w:val="005D2A5B"/>
    <w:rsid w:val="005D2A83"/>
    <w:rsid w:val="005D2EB0"/>
    <w:rsid w:val="005D2F26"/>
    <w:rsid w:val="005D30A4"/>
    <w:rsid w:val="005D31B2"/>
    <w:rsid w:val="005D337F"/>
    <w:rsid w:val="005D33F6"/>
    <w:rsid w:val="005D3421"/>
    <w:rsid w:val="005D3423"/>
    <w:rsid w:val="005D353B"/>
    <w:rsid w:val="005D3807"/>
    <w:rsid w:val="005D3A68"/>
    <w:rsid w:val="005D3AA4"/>
    <w:rsid w:val="005D3BBF"/>
    <w:rsid w:val="005D3E82"/>
    <w:rsid w:val="005D40DC"/>
    <w:rsid w:val="005D42B9"/>
    <w:rsid w:val="005D431E"/>
    <w:rsid w:val="005D444C"/>
    <w:rsid w:val="005D44A2"/>
    <w:rsid w:val="005D44B3"/>
    <w:rsid w:val="005D45F9"/>
    <w:rsid w:val="005D4A24"/>
    <w:rsid w:val="005D4AB8"/>
    <w:rsid w:val="005D4D1D"/>
    <w:rsid w:val="005D4EE1"/>
    <w:rsid w:val="005D4FA8"/>
    <w:rsid w:val="005D4FBB"/>
    <w:rsid w:val="005D510E"/>
    <w:rsid w:val="005D5494"/>
    <w:rsid w:val="005D5496"/>
    <w:rsid w:val="005D5516"/>
    <w:rsid w:val="005D5559"/>
    <w:rsid w:val="005D566E"/>
    <w:rsid w:val="005D56B9"/>
    <w:rsid w:val="005D598B"/>
    <w:rsid w:val="005D5F28"/>
    <w:rsid w:val="005D626E"/>
    <w:rsid w:val="005D6745"/>
    <w:rsid w:val="005D6991"/>
    <w:rsid w:val="005D6B03"/>
    <w:rsid w:val="005D6C9F"/>
    <w:rsid w:val="005D6DCD"/>
    <w:rsid w:val="005D6EE9"/>
    <w:rsid w:val="005D732A"/>
    <w:rsid w:val="005D75E5"/>
    <w:rsid w:val="005D7771"/>
    <w:rsid w:val="005D78CD"/>
    <w:rsid w:val="005D7AC1"/>
    <w:rsid w:val="005D7CCD"/>
    <w:rsid w:val="005D7D78"/>
    <w:rsid w:val="005E02AC"/>
    <w:rsid w:val="005E03A6"/>
    <w:rsid w:val="005E0437"/>
    <w:rsid w:val="005E06DA"/>
    <w:rsid w:val="005E0968"/>
    <w:rsid w:val="005E0BC8"/>
    <w:rsid w:val="005E0DFF"/>
    <w:rsid w:val="005E0F3C"/>
    <w:rsid w:val="005E1209"/>
    <w:rsid w:val="005E12F8"/>
    <w:rsid w:val="005E1D7D"/>
    <w:rsid w:val="005E21C4"/>
    <w:rsid w:val="005E284B"/>
    <w:rsid w:val="005E2980"/>
    <w:rsid w:val="005E29A5"/>
    <w:rsid w:val="005E2C78"/>
    <w:rsid w:val="005E2E32"/>
    <w:rsid w:val="005E2E8A"/>
    <w:rsid w:val="005E2EE6"/>
    <w:rsid w:val="005E322F"/>
    <w:rsid w:val="005E3730"/>
    <w:rsid w:val="005E3876"/>
    <w:rsid w:val="005E3B07"/>
    <w:rsid w:val="005E3D9C"/>
    <w:rsid w:val="005E3E8F"/>
    <w:rsid w:val="005E43B4"/>
    <w:rsid w:val="005E446D"/>
    <w:rsid w:val="005E4482"/>
    <w:rsid w:val="005E4582"/>
    <w:rsid w:val="005E460B"/>
    <w:rsid w:val="005E4CDC"/>
    <w:rsid w:val="005E4D43"/>
    <w:rsid w:val="005E4D7C"/>
    <w:rsid w:val="005E4E8D"/>
    <w:rsid w:val="005E51F4"/>
    <w:rsid w:val="005E5546"/>
    <w:rsid w:val="005E565B"/>
    <w:rsid w:val="005E568E"/>
    <w:rsid w:val="005E6022"/>
    <w:rsid w:val="005E6285"/>
    <w:rsid w:val="005E6465"/>
    <w:rsid w:val="005E657B"/>
    <w:rsid w:val="005E6673"/>
    <w:rsid w:val="005E674C"/>
    <w:rsid w:val="005E6975"/>
    <w:rsid w:val="005E6C61"/>
    <w:rsid w:val="005E6D48"/>
    <w:rsid w:val="005E73BE"/>
    <w:rsid w:val="005E7513"/>
    <w:rsid w:val="005E764C"/>
    <w:rsid w:val="005E7A3A"/>
    <w:rsid w:val="005E7ABD"/>
    <w:rsid w:val="005E7B49"/>
    <w:rsid w:val="005E7BE1"/>
    <w:rsid w:val="005E7D96"/>
    <w:rsid w:val="005E7F9F"/>
    <w:rsid w:val="005F01F2"/>
    <w:rsid w:val="005F01F7"/>
    <w:rsid w:val="005F0258"/>
    <w:rsid w:val="005F0480"/>
    <w:rsid w:val="005F05EE"/>
    <w:rsid w:val="005F0A88"/>
    <w:rsid w:val="005F0B0F"/>
    <w:rsid w:val="005F0E44"/>
    <w:rsid w:val="005F0F4C"/>
    <w:rsid w:val="005F11DC"/>
    <w:rsid w:val="005F135A"/>
    <w:rsid w:val="005F1372"/>
    <w:rsid w:val="005F1430"/>
    <w:rsid w:val="005F17C1"/>
    <w:rsid w:val="005F195A"/>
    <w:rsid w:val="005F197B"/>
    <w:rsid w:val="005F1C5A"/>
    <w:rsid w:val="005F228B"/>
    <w:rsid w:val="005F25F0"/>
    <w:rsid w:val="005F28A8"/>
    <w:rsid w:val="005F2B0F"/>
    <w:rsid w:val="005F3083"/>
    <w:rsid w:val="005F368C"/>
    <w:rsid w:val="005F37C1"/>
    <w:rsid w:val="005F3AF3"/>
    <w:rsid w:val="005F3FB6"/>
    <w:rsid w:val="005F40D8"/>
    <w:rsid w:val="005F43CD"/>
    <w:rsid w:val="005F4516"/>
    <w:rsid w:val="005F46D7"/>
    <w:rsid w:val="005F48FA"/>
    <w:rsid w:val="005F499D"/>
    <w:rsid w:val="005F4A2D"/>
    <w:rsid w:val="005F4ABD"/>
    <w:rsid w:val="005F4C21"/>
    <w:rsid w:val="005F4CBC"/>
    <w:rsid w:val="005F4CC8"/>
    <w:rsid w:val="005F4DB0"/>
    <w:rsid w:val="005F4E38"/>
    <w:rsid w:val="005F4F88"/>
    <w:rsid w:val="005F554B"/>
    <w:rsid w:val="005F55C7"/>
    <w:rsid w:val="005F5801"/>
    <w:rsid w:val="005F6284"/>
    <w:rsid w:val="005F63F5"/>
    <w:rsid w:val="005F6D77"/>
    <w:rsid w:val="005F7047"/>
    <w:rsid w:val="005F7204"/>
    <w:rsid w:val="005F73E9"/>
    <w:rsid w:val="005F7600"/>
    <w:rsid w:val="005F7787"/>
    <w:rsid w:val="005F7794"/>
    <w:rsid w:val="005F7DE9"/>
    <w:rsid w:val="005F7F64"/>
    <w:rsid w:val="0060002F"/>
    <w:rsid w:val="00600036"/>
    <w:rsid w:val="0060018E"/>
    <w:rsid w:val="006003C9"/>
    <w:rsid w:val="00600591"/>
    <w:rsid w:val="006006A5"/>
    <w:rsid w:val="006006DE"/>
    <w:rsid w:val="0060092C"/>
    <w:rsid w:val="00600A1F"/>
    <w:rsid w:val="00600D12"/>
    <w:rsid w:val="00600F12"/>
    <w:rsid w:val="0060130D"/>
    <w:rsid w:val="006014A7"/>
    <w:rsid w:val="00601585"/>
    <w:rsid w:val="0060163F"/>
    <w:rsid w:val="0060166C"/>
    <w:rsid w:val="0060184D"/>
    <w:rsid w:val="00601A35"/>
    <w:rsid w:val="00601BBC"/>
    <w:rsid w:val="00601C6F"/>
    <w:rsid w:val="00601CBD"/>
    <w:rsid w:val="00601DDE"/>
    <w:rsid w:val="0060213F"/>
    <w:rsid w:val="00602169"/>
    <w:rsid w:val="006022BB"/>
    <w:rsid w:val="0060248C"/>
    <w:rsid w:val="0060253E"/>
    <w:rsid w:val="0060256B"/>
    <w:rsid w:val="006026BB"/>
    <w:rsid w:val="006028FF"/>
    <w:rsid w:val="00602C08"/>
    <w:rsid w:val="0060307A"/>
    <w:rsid w:val="006030B7"/>
    <w:rsid w:val="0060328A"/>
    <w:rsid w:val="0060362B"/>
    <w:rsid w:val="00603901"/>
    <w:rsid w:val="00603926"/>
    <w:rsid w:val="00603987"/>
    <w:rsid w:val="00603B0A"/>
    <w:rsid w:val="00603D31"/>
    <w:rsid w:val="00603FA7"/>
    <w:rsid w:val="00604319"/>
    <w:rsid w:val="00604389"/>
    <w:rsid w:val="006046FC"/>
    <w:rsid w:val="006048A1"/>
    <w:rsid w:val="00604929"/>
    <w:rsid w:val="00604E84"/>
    <w:rsid w:val="006052C6"/>
    <w:rsid w:val="006055E0"/>
    <w:rsid w:val="0060579A"/>
    <w:rsid w:val="00605CDC"/>
    <w:rsid w:val="00605FAD"/>
    <w:rsid w:val="00606680"/>
    <w:rsid w:val="006067B0"/>
    <w:rsid w:val="006068E5"/>
    <w:rsid w:val="00606C8D"/>
    <w:rsid w:val="00606CDF"/>
    <w:rsid w:val="00606E41"/>
    <w:rsid w:val="00606ED7"/>
    <w:rsid w:val="00607193"/>
    <w:rsid w:val="006072DE"/>
    <w:rsid w:val="006074EA"/>
    <w:rsid w:val="00607682"/>
    <w:rsid w:val="0060776F"/>
    <w:rsid w:val="006078C0"/>
    <w:rsid w:val="00607A18"/>
    <w:rsid w:val="00607BD5"/>
    <w:rsid w:val="00610113"/>
    <w:rsid w:val="0061011C"/>
    <w:rsid w:val="0061025D"/>
    <w:rsid w:val="00610794"/>
    <w:rsid w:val="00610852"/>
    <w:rsid w:val="00610C88"/>
    <w:rsid w:val="00610E92"/>
    <w:rsid w:val="00610EBB"/>
    <w:rsid w:val="00610F38"/>
    <w:rsid w:val="0061175A"/>
    <w:rsid w:val="00611A1A"/>
    <w:rsid w:val="00611A49"/>
    <w:rsid w:val="00611B1C"/>
    <w:rsid w:val="00611C1B"/>
    <w:rsid w:val="00611DEF"/>
    <w:rsid w:val="00611E67"/>
    <w:rsid w:val="00611FEC"/>
    <w:rsid w:val="00612110"/>
    <w:rsid w:val="00612173"/>
    <w:rsid w:val="006122B5"/>
    <w:rsid w:val="00612580"/>
    <w:rsid w:val="006125A4"/>
    <w:rsid w:val="006127AF"/>
    <w:rsid w:val="00612B74"/>
    <w:rsid w:val="00612CD1"/>
    <w:rsid w:val="00612F25"/>
    <w:rsid w:val="00612FB2"/>
    <w:rsid w:val="00613058"/>
    <w:rsid w:val="00613224"/>
    <w:rsid w:val="00613504"/>
    <w:rsid w:val="00613575"/>
    <w:rsid w:val="006136C1"/>
    <w:rsid w:val="0061378E"/>
    <w:rsid w:val="00613D90"/>
    <w:rsid w:val="00613E08"/>
    <w:rsid w:val="006141A6"/>
    <w:rsid w:val="00614201"/>
    <w:rsid w:val="0061442D"/>
    <w:rsid w:val="00614B22"/>
    <w:rsid w:val="00614C2A"/>
    <w:rsid w:val="00614C93"/>
    <w:rsid w:val="00614DB5"/>
    <w:rsid w:val="00614E5A"/>
    <w:rsid w:val="0061534E"/>
    <w:rsid w:val="0061587C"/>
    <w:rsid w:val="00615A2C"/>
    <w:rsid w:val="00615A67"/>
    <w:rsid w:val="00615AEA"/>
    <w:rsid w:val="00615B84"/>
    <w:rsid w:val="00615BB3"/>
    <w:rsid w:val="00615DA1"/>
    <w:rsid w:val="00615E67"/>
    <w:rsid w:val="00615EC6"/>
    <w:rsid w:val="0061618D"/>
    <w:rsid w:val="00616229"/>
    <w:rsid w:val="00616347"/>
    <w:rsid w:val="00616442"/>
    <w:rsid w:val="006166FF"/>
    <w:rsid w:val="00616B50"/>
    <w:rsid w:val="00616FCC"/>
    <w:rsid w:val="00617026"/>
    <w:rsid w:val="00617200"/>
    <w:rsid w:val="0061754F"/>
    <w:rsid w:val="00617645"/>
    <w:rsid w:val="006176B7"/>
    <w:rsid w:val="0061771A"/>
    <w:rsid w:val="006178A7"/>
    <w:rsid w:val="006178B8"/>
    <w:rsid w:val="006179B8"/>
    <w:rsid w:val="00617C3D"/>
    <w:rsid w:val="00617DDF"/>
    <w:rsid w:val="00617DF6"/>
    <w:rsid w:val="00617E5A"/>
    <w:rsid w:val="00617FEF"/>
    <w:rsid w:val="006200CE"/>
    <w:rsid w:val="00620121"/>
    <w:rsid w:val="006203BC"/>
    <w:rsid w:val="006204E8"/>
    <w:rsid w:val="00620556"/>
    <w:rsid w:val="006205DD"/>
    <w:rsid w:val="00620665"/>
    <w:rsid w:val="006206E2"/>
    <w:rsid w:val="006207BF"/>
    <w:rsid w:val="006208CA"/>
    <w:rsid w:val="0062090C"/>
    <w:rsid w:val="00620965"/>
    <w:rsid w:val="00620FC4"/>
    <w:rsid w:val="00621132"/>
    <w:rsid w:val="00621274"/>
    <w:rsid w:val="006217F0"/>
    <w:rsid w:val="0062181F"/>
    <w:rsid w:val="00621847"/>
    <w:rsid w:val="00621923"/>
    <w:rsid w:val="00621930"/>
    <w:rsid w:val="00621CEE"/>
    <w:rsid w:val="00621D37"/>
    <w:rsid w:val="00621D52"/>
    <w:rsid w:val="00621F91"/>
    <w:rsid w:val="006221C8"/>
    <w:rsid w:val="00622327"/>
    <w:rsid w:val="00622425"/>
    <w:rsid w:val="006224FE"/>
    <w:rsid w:val="00622ACF"/>
    <w:rsid w:val="00622C9C"/>
    <w:rsid w:val="00622F0B"/>
    <w:rsid w:val="00622FF5"/>
    <w:rsid w:val="00623819"/>
    <w:rsid w:val="00623A5A"/>
    <w:rsid w:val="00623A81"/>
    <w:rsid w:val="00623B98"/>
    <w:rsid w:val="00623D75"/>
    <w:rsid w:val="00624057"/>
    <w:rsid w:val="006241AD"/>
    <w:rsid w:val="006245B2"/>
    <w:rsid w:val="006248E8"/>
    <w:rsid w:val="00624CAB"/>
    <w:rsid w:val="0062516A"/>
    <w:rsid w:val="006251BF"/>
    <w:rsid w:val="006259F2"/>
    <w:rsid w:val="00625C00"/>
    <w:rsid w:val="00625C23"/>
    <w:rsid w:val="00625C7B"/>
    <w:rsid w:val="006260C2"/>
    <w:rsid w:val="00626501"/>
    <w:rsid w:val="006265E3"/>
    <w:rsid w:val="00626720"/>
    <w:rsid w:val="00626BBA"/>
    <w:rsid w:val="00626BD5"/>
    <w:rsid w:val="00626C8F"/>
    <w:rsid w:val="00626FDF"/>
    <w:rsid w:val="00627193"/>
    <w:rsid w:val="00627CA6"/>
    <w:rsid w:val="00630082"/>
    <w:rsid w:val="00630258"/>
    <w:rsid w:val="0063029A"/>
    <w:rsid w:val="006303B3"/>
    <w:rsid w:val="006306B7"/>
    <w:rsid w:val="006306BB"/>
    <w:rsid w:val="00630909"/>
    <w:rsid w:val="006309D3"/>
    <w:rsid w:val="00630A23"/>
    <w:rsid w:val="00630DC1"/>
    <w:rsid w:val="00630E03"/>
    <w:rsid w:val="0063106E"/>
    <w:rsid w:val="00631B96"/>
    <w:rsid w:val="00631C42"/>
    <w:rsid w:val="00631DD7"/>
    <w:rsid w:val="006320AD"/>
    <w:rsid w:val="00632173"/>
    <w:rsid w:val="006323EA"/>
    <w:rsid w:val="0063245F"/>
    <w:rsid w:val="006324B8"/>
    <w:rsid w:val="006324CD"/>
    <w:rsid w:val="006324D1"/>
    <w:rsid w:val="006324E4"/>
    <w:rsid w:val="006327B1"/>
    <w:rsid w:val="006327C3"/>
    <w:rsid w:val="006327DD"/>
    <w:rsid w:val="00632861"/>
    <w:rsid w:val="00632B53"/>
    <w:rsid w:val="00632C45"/>
    <w:rsid w:val="00632EE3"/>
    <w:rsid w:val="006339ED"/>
    <w:rsid w:val="00633A9C"/>
    <w:rsid w:val="00633AC8"/>
    <w:rsid w:val="00633BB1"/>
    <w:rsid w:val="00633CCE"/>
    <w:rsid w:val="00633DD5"/>
    <w:rsid w:val="00633EFA"/>
    <w:rsid w:val="00633F1F"/>
    <w:rsid w:val="00634294"/>
    <w:rsid w:val="00634366"/>
    <w:rsid w:val="006345FC"/>
    <w:rsid w:val="00634677"/>
    <w:rsid w:val="0063487C"/>
    <w:rsid w:val="006348FE"/>
    <w:rsid w:val="0063493A"/>
    <w:rsid w:val="00634974"/>
    <w:rsid w:val="00634B5C"/>
    <w:rsid w:val="00634D50"/>
    <w:rsid w:val="00634F10"/>
    <w:rsid w:val="00635047"/>
    <w:rsid w:val="006350D4"/>
    <w:rsid w:val="00635114"/>
    <w:rsid w:val="006355DA"/>
    <w:rsid w:val="00635660"/>
    <w:rsid w:val="006357A2"/>
    <w:rsid w:val="0063582D"/>
    <w:rsid w:val="00635881"/>
    <w:rsid w:val="00635BEC"/>
    <w:rsid w:val="00635DEE"/>
    <w:rsid w:val="00635EFE"/>
    <w:rsid w:val="0063611F"/>
    <w:rsid w:val="00636206"/>
    <w:rsid w:val="00636256"/>
    <w:rsid w:val="00636295"/>
    <w:rsid w:val="006367CE"/>
    <w:rsid w:val="00636841"/>
    <w:rsid w:val="00636856"/>
    <w:rsid w:val="006368B5"/>
    <w:rsid w:val="006369AA"/>
    <w:rsid w:val="006369DA"/>
    <w:rsid w:val="00636A6E"/>
    <w:rsid w:val="00636EF1"/>
    <w:rsid w:val="00636FE5"/>
    <w:rsid w:val="00637052"/>
    <w:rsid w:val="006375EE"/>
    <w:rsid w:val="006378E1"/>
    <w:rsid w:val="00637A22"/>
    <w:rsid w:val="00637BF4"/>
    <w:rsid w:val="00637D85"/>
    <w:rsid w:val="0063A452"/>
    <w:rsid w:val="00640175"/>
    <w:rsid w:val="00640196"/>
    <w:rsid w:val="00640311"/>
    <w:rsid w:val="0064068F"/>
    <w:rsid w:val="00640C58"/>
    <w:rsid w:val="00640DE2"/>
    <w:rsid w:val="00640E90"/>
    <w:rsid w:val="006410A2"/>
    <w:rsid w:val="00641176"/>
    <w:rsid w:val="006411E8"/>
    <w:rsid w:val="0064134C"/>
    <w:rsid w:val="0064137B"/>
    <w:rsid w:val="006413C5"/>
    <w:rsid w:val="006413F0"/>
    <w:rsid w:val="0064167C"/>
    <w:rsid w:val="00641684"/>
    <w:rsid w:val="006418EF"/>
    <w:rsid w:val="00641E70"/>
    <w:rsid w:val="00641F4C"/>
    <w:rsid w:val="00641FFA"/>
    <w:rsid w:val="006423A8"/>
    <w:rsid w:val="006429D8"/>
    <w:rsid w:val="00642C32"/>
    <w:rsid w:val="00642C5F"/>
    <w:rsid w:val="00642D14"/>
    <w:rsid w:val="00642D3D"/>
    <w:rsid w:val="00642F58"/>
    <w:rsid w:val="006431B4"/>
    <w:rsid w:val="0064324B"/>
    <w:rsid w:val="006435D5"/>
    <w:rsid w:val="006438BE"/>
    <w:rsid w:val="00643A47"/>
    <w:rsid w:val="00643A8C"/>
    <w:rsid w:val="00643BE4"/>
    <w:rsid w:val="00643CA0"/>
    <w:rsid w:val="00643CBC"/>
    <w:rsid w:val="00643E64"/>
    <w:rsid w:val="00644054"/>
    <w:rsid w:val="006441F8"/>
    <w:rsid w:val="0064439F"/>
    <w:rsid w:val="006443EF"/>
    <w:rsid w:val="00644516"/>
    <w:rsid w:val="006445EE"/>
    <w:rsid w:val="00644771"/>
    <w:rsid w:val="0064486A"/>
    <w:rsid w:val="00644975"/>
    <w:rsid w:val="006449DE"/>
    <w:rsid w:val="00644BF4"/>
    <w:rsid w:val="00644C87"/>
    <w:rsid w:val="00644D5C"/>
    <w:rsid w:val="006451B3"/>
    <w:rsid w:val="00645344"/>
    <w:rsid w:val="0064568B"/>
    <w:rsid w:val="00645691"/>
    <w:rsid w:val="0064585C"/>
    <w:rsid w:val="0064599D"/>
    <w:rsid w:val="00645D1D"/>
    <w:rsid w:val="00645D6C"/>
    <w:rsid w:val="00645D9C"/>
    <w:rsid w:val="00645FD3"/>
    <w:rsid w:val="0064606C"/>
    <w:rsid w:val="006462C5"/>
    <w:rsid w:val="006462CE"/>
    <w:rsid w:val="006464F4"/>
    <w:rsid w:val="006467FB"/>
    <w:rsid w:val="006469C3"/>
    <w:rsid w:val="00646AAF"/>
    <w:rsid w:val="00646D66"/>
    <w:rsid w:val="00646ED4"/>
    <w:rsid w:val="00646EEB"/>
    <w:rsid w:val="006471FD"/>
    <w:rsid w:val="006475A1"/>
    <w:rsid w:val="0064767C"/>
    <w:rsid w:val="006476BA"/>
    <w:rsid w:val="0064794C"/>
    <w:rsid w:val="00647FDE"/>
    <w:rsid w:val="00650504"/>
    <w:rsid w:val="00650C3E"/>
    <w:rsid w:val="00650CCB"/>
    <w:rsid w:val="00650CE5"/>
    <w:rsid w:val="00650E0C"/>
    <w:rsid w:val="00650E85"/>
    <w:rsid w:val="006511C3"/>
    <w:rsid w:val="006519A8"/>
    <w:rsid w:val="00651D3A"/>
    <w:rsid w:val="00652103"/>
    <w:rsid w:val="0065216E"/>
    <w:rsid w:val="00652A94"/>
    <w:rsid w:val="00652CB7"/>
    <w:rsid w:val="00652FEB"/>
    <w:rsid w:val="0065308D"/>
    <w:rsid w:val="00653294"/>
    <w:rsid w:val="006532E5"/>
    <w:rsid w:val="006536ED"/>
    <w:rsid w:val="00653EE8"/>
    <w:rsid w:val="00653FFB"/>
    <w:rsid w:val="00654071"/>
    <w:rsid w:val="00654241"/>
    <w:rsid w:val="0065430D"/>
    <w:rsid w:val="006547B4"/>
    <w:rsid w:val="00654B4D"/>
    <w:rsid w:val="00654BC8"/>
    <w:rsid w:val="00654DB0"/>
    <w:rsid w:val="00655208"/>
    <w:rsid w:val="0065520D"/>
    <w:rsid w:val="006552DB"/>
    <w:rsid w:val="0065568A"/>
    <w:rsid w:val="00655A54"/>
    <w:rsid w:val="00655CEC"/>
    <w:rsid w:val="00655ED0"/>
    <w:rsid w:val="00655FF2"/>
    <w:rsid w:val="00656193"/>
    <w:rsid w:val="006561B5"/>
    <w:rsid w:val="00656238"/>
    <w:rsid w:val="00656537"/>
    <w:rsid w:val="00656583"/>
    <w:rsid w:val="0065696C"/>
    <w:rsid w:val="00656A27"/>
    <w:rsid w:val="00656B4F"/>
    <w:rsid w:val="00656D1D"/>
    <w:rsid w:val="00656D7B"/>
    <w:rsid w:val="00657148"/>
    <w:rsid w:val="006573CA"/>
    <w:rsid w:val="006579C2"/>
    <w:rsid w:val="00657C98"/>
    <w:rsid w:val="00657E33"/>
    <w:rsid w:val="00657F8F"/>
    <w:rsid w:val="006601F4"/>
    <w:rsid w:val="00660202"/>
    <w:rsid w:val="00660217"/>
    <w:rsid w:val="00660B75"/>
    <w:rsid w:val="00660D7B"/>
    <w:rsid w:val="00660F91"/>
    <w:rsid w:val="0066103D"/>
    <w:rsid w:val="00661049"/>
    <w:rsid w:val="006610A8"/>
    <w:rsid w:val="00661234"/>
    <w:rsid w:val="006615D9"/>
    <w:rsid w:val="006616AF"/>
    <w:rsid w:val="006617E2"/>
    <w:rsid w:val="0066182B"/>
    <w:rsid w:val="00661836"/>
    <w:rsid w:val="0066198D"/>
    <w:rsid w:val="00661B77"/>
    <w:rsid w:val="00661F92"/>
    <w:rsid w:val="0066204A"/>
    <w:rsid w:val="00662222"/>
    <w:rsid w:val="0066247C"/>
    <w:rsid w:val="0066249C"/>
    <w:rsid w:val="00662530"/>
    <w:rsid w:val="006625C6"/>
    <w:rsid w:val="00662A9B"/>
    <w:rsid w:val="00662B46"/>
    <w:rsid w:val="00662EF6"/>
    <w:rsid w:val="006630D9"/>
    <w:rsid w:val="006630FA"/>
    <w:rsid w:val="0066357D"/>
    <w:rsid w:val="006637A4"/>
    <w:rsid w:val="0066382C"/>
    <w:rsid w:val="00663A49"/>
    <w:rsid w:val="00663B85"/>
    <w:rsid w:val="00663BA2"/>
    <w:rsid w:val="00663F06"/>
    <w:rsid w:val="00664538"/>
    <w:rsid w:val="006645D5"/>
    <w:rsid w:val="00664FF7"/>
    <w:rsid w:val="006652AE"/>
    <w:rsid w:val="0066557D"/>
    <w:rsid w:val="0066584D"/>
    <w:rsid w:val="00665E32"/>
    <w:rsid w:val="00665E39"/>
    <w:rsid w:val="00665E66"/>
    <w:rsid w:val="0066604E"/>
    <w:rsid w:val="006661D9"/>
    <w:rsid w:val="006661DE"/>
    <w:rsid w:val="0066641E"/>
    <w:rsid w:val="0066663A"/>
    <w:rsid w:val="00666684"/>
    <w:rsid w:val="0066672B"/>
    <w:rsid w:val="00666D28"/>
    <w:rsid w:val="00666DD1"/>
    <w:rsid w:val="00666E58"/>
    <w:rsid w:val="00666E6C"/>
    <w:rsid w:val="0066728D"/>
    <w:rsid w:val="0066765D"/>
    <w:rsid w:val="006677DC"/>
    <w:rsid w:val="00667821"/>
    <w:rsid w:val="00667860"/>
    <w:rsid w:val="00667B7A"/>
    <w:rsid w:val="00670393"/>
    <w:rsid w:val="006708A2"/>
    <w:rsid w:val="00670902"/>
    <w:rsid w:val="00670ACF"/>
    <w:rsid w:val="00670AD2"/>
    <w:rsid w:val="00670E72"/>
    <w:rsid w:val="00671212"/>
    <w:rsid w:val="0067123A"/>
    <w:rsid w:val="006716A1"/>
    <w:rsid w:val="00671B0E"/>
    <w:rsid w:val="00671BFF"/>
    <w:rsid w:val="00671C0A"/>
    <w:rsid w:val="00671E4A"/>
    <w:rsid w:val="00671F66"/>
    <w:rsid w:val="00671FAD"/>
    <w:rsid w:val="00672138"/>
    <w:rsid w:val="006723A8"/>
    <w:rsid w:val="00672B43"/>
    <w:rsid w:val="00672BE4"/>
    <w:rsid w:val="00672CF3"/>
    <w:rsid w:val="00672CFB"/>
    <w:rsid w:val="00672FF3"/>
    <w:rsid w:val="006730A2"/>
    <w:rsid w:val="00673206"/>
    <w:rsid w:val="00673224"/>
    <w:rsid w:val="006732A3"/>
    <w:rsid w:val="006733A0"/>
    <w:rsid w:val="006733F9"/>
    <w:rsid w:val="00673881"/>
    <w:rsid w:val="006738C2"/>
    <w:rsid w:val="006738F3"/>
    <w:rsid w:val="0067395C"/>
    <w:rsid w:val="00673CC2"/>
    <w:rsid w:val="00673CC6"/>
    <w:rsid w:val="00673D36"/>
    <w:rsid w:val="00674194"/>
    <w:rsid w:val="006741CF"/>
    <w:rsid w:val="00674273"/>
    <w:rsid w:val="00674445"/>
    <w:rsid w:val="00674943"/>
    <w:rsid w:val="0067496B"/>
    <w:rsid w:val="00674E66"/>
    <w:rsid w:val="00674EFD"/>
    <w:rsid w:val="0067529A"/>
    <w:rsid w:val="006753E3"/>
    <w:rsid w:val="00675406"/>
    <w:rsid w:val="0067567D"/>
    <w:rsid w:val="00675794"/>
    <w:rsid w:val="006759D4"/>
    <w:rsid w:val="00675A36"/>
    <w:rsid w:val="00675A58"/>
    <w:rsid w:val="00675BA6"/>
    <w:rsid w:val="00676026"/>
    <w:rsid w:val="00676166"/>
    <w:rsid w:val="006763CF"/>
    <w:rsid w:val="0067653A"/>
    <w:rsid w:val="006767C5"/>
    <w:rsid w:val="006767D3"/>
    <w:rsid w:val="00676853"/>
    <w:rsid w:val="006768E3"/>
    <w:rsid w:val="00676966"/>
    <w:rsid w:val="0067697C"/>
    <w:rsid w:val="006769E6"/>
    <w:rsid w:val="00677387"/>
    <w:rsid w:val="006778F2"/>
    <w:rsid w:val="00677954"/>
    <w:rsid w:val="00677C18"/>
    <w:rsid w:val="00677D05"/>
    <w:rsid w:val="00680362"/>
    <w:rsid w:val="006803BD"/>
    <w:rsid w:val="006804DD"/>
    <w:rsid w:val="00680902"/>
    <w:rsid w:val="00680A84"/>
    <w:rsid w:val="00680B2F"/>
    <w:rsid w:val="00680B3D"/>
    <w:rsid w:val="00680D78"/>
    <w:rsid w:val="00680F64"/>
    <w:rsid w:val="00681118"/>
    <w:rsid w:val="00681267"/>
    <w:rsid w:val="006814A2"/>
    <w:rsid w:val="0068168D"/>
    <w:rsid w:val="006816EE"/>
    <w:rsid w:val="00681D72"/>
    <w:rsid w:val="00681DBB"/>
    <w:rsid w:val="00681FE3"/>
    <w:rsid w:val="00682026"/>
    <w:rsid w:val="0068205F"/>
    <w:rsid w:val="006822BA"/>
    <w:rsid w:val="006823A9"/>
    <w:rsid w:val="006824CD"/>
    <w:rsid w:val="00682BA6"/>
    <w:rsid w:val="00682D06"/>
    <w:rsid w:val="00682D7F"/>
    <w:rsid w:val="006831D6"/>
    <w:rsid w:val="00683473"/>
    <w:rsid w:val="00683DC4"/>
    <w:rsid w:val="00684212"/>
    <w:rsid w:val="0068461D"/>
    <w:rsid w:val="006847F9"/>
    <w:rsid w:val="006849AC"/>
    <w:rsid w:val="00684A90"/>
    <w:rsid w:val="00684BBA"/>
    <w:rsid w:val="00684D9D"/>
    <w:rsid w:val="00684E36"/>
    <w:rsid w:val="006852C5"/>
    <w:rsid w:val="006852FA"/>
    <w:rsid w:val="00685504"/>
    <w:rsid w:val="006855BC"/>
    <w:rsid w:val="00685827"/>
    <w:rsid w:val="0068595C"/>
    <w:rsid w:val="006859E6"/>
    <w:rsid w:val="00685A88"/>
    <w:rsid w:val="00685CE3"/>
    <w:rsid w:val="00685F84"/>
    <w:rsid w:val="00686304"/>
    <w:rsid w:val="0068643F"/>
    <w:rsid w:val="00686539"/>
    <w:rsid w:val="00686855"/>
    <w:rsid w:val="0068686C"/>
    <w:rsid w:val="00686B20"/>
    <w:rsid w:val="00686E39"/>
    <w:rsid w:val="006875BC"/>
    <w:rsid w:val="006877C0"/>
    <w:rsid w:val="006878E4"/>
    <w:rsid w:val="00687956"/>
    <w:rsid w:val="00687BB1"/>
    <w:rsid w:val="00687DF3"/>
    <w:rsid w:val="00687E54"/>
    <w:rsid w:val="00687EAB"/>
    <w:rsid w:val="00690074"/>
    <w:rsid w:val="006901CF"/>
    <w:rsid w:val="0069031C"/>
    <w:rsid w:val="006903AE"/>
    <w:rsid w:val="006904B7"/>
    <w:rsid w:val="0069078A"/>
    <w:rsid w:val="00690810"/>
    <w:rsid w:val="0069096B"/>
    <w:rsid w:val="00690B5E"/>
    <w:rsid w:val="00690BB7"/>
    <w:rsid w:val="00690FBB"/>
    <w:rsid w:val="00691530"/>
    <w:rsid w:val="0069176E"/>
    <w:rsid w:val="006919BE"/>
    <w:rsid w:val="006919CF"/>
    <w:rsid w:val="00691AE0"/>
    <w:rsid w:val="00691B18"/>
    <w:rsid w:val="00691C3C"/>
    <w:rsid w:val="0069208C"/>
    <w:rsid w:val="006920FD"/>
    <w:rsid w:val="00692135"/>
    <w:rsid w:val="00692235"/>
    <w:rsid w:val="00692439"/>
    <w:rsid w:val="00692953"/>
    <w:rsid w:val="00692B0E"/>
    <w:rsid w:val="00692CD7"/>
    <w:rsid w:val="0069320D"/>
    <w:rsid w:val="00693615"/>
    <w:rsid w:val="00693679"/>
    <w:rsid w:val="00693976"/>
    <w:rsid w:val="00693C5F"/>
    <w:rsid w:val="00693D0F"/>
    <w:rsid w:val="006940D6"/>
    <w:rsid w:val="00694428"/>
    <w:rsid w:val="00694586"/>
    <w:rsid w:val="006945F0"/>
    <w:rsid w:val="00694743"/>
    <w:rsid w:val="00694848"/>
    <w:rsid w:val="00694959"/>
    <w:rsid w:val="006949C7"/>
    <w:rsid w:val="00694D1E"/>
    <w:rsid w:val="006951BD"/>
    <w:rsid w:val="0069549B"/>
    <w:rsid w:val="0069576C"/>
    <w:rsid w:val="00695AFE"/>
    <w:rsid w:val="00695FB6"/>
    <w:rsid w:val="00696035"/>
    <w:rsid w:val="006961B7"/>
    <w:rsid w:val="0069655E"/>
    <w:rsid w:val="006968AC"/>
    <w:rsid w:val="00696AB4"/>
    <w:rsid w:val="00696AC2"/>
    <w:rsid w:val="00696B58"/>
    <w:rsid w:val="00696C6E"/>
    <w:rsid w:val="00696E84"/>
    <w:rsid w:val="006971FA"/>
    <w:rsid w:val="00697260"/>
    <w:rsid w:val="00697373"/>
    <w:rsid w:val="006978B9"/>
    <w:rsid w:val="00697AFE"/>
    <w:rsid w:val="00697B19"/>
    <w:rsid w:val="00697BE1"/>
    <w:rsid w:val="00697BE6"/>
    <w:rsid w:val="00697DA8"/>
    <w:rsid w:val="00699E8F"/>
    <w:rsid w:val="006A0019"/>
    <w:rsid w:val="006A0046"/>
    <w:rsid w:val="006A0395"/>
    <w:rsid w:val="006A048F"/>
    <w:rsid w:val="006A04C6"/>
    <w:rsid w:val="006A04ED"/>
    <w:rsid w:val="006A051E"/>
    <w:rsid w:val="006A083B"/>
    <w:rsid w:val="006A0B01"/>
    <w:rsid w:val="006A0C14"/>
    <w:rsid w:val="006A0E1B"/>
    <w:rsid w:val="006A1012"/>
    <w:rsid w:val="006A116A"/>
    <w:rsid w:val="006A12B9"/>
    <w:rsid w:val="006A12CD"/>
    <w:rsid w:val="006A13DA"/>
    <w:rsid w:val="006A1594"/>
    <w:rsid w:val="006A1996"/>
    <w:rsid w:val="006A1B4E"/>
    <w:rsid w:val="006A1B50"/>
    <w:rsid w:val="006A1BE3"/>
    <w:rsid w:val="006A215A"/>
    <w:rsid w:val="006A23A0"/>
    <w:rsid w:val="006A2403"/>
    <w:rsid w:val="006A298C"/>
    <w:rsid w:val="006A29EA"/>
    <w:rsid w:val="006A2A90"/>
    <w:rsid w:val="006A2E56"/>
    <w:rsid w:val="006A2EB9"/>
    <w:rsid w:val="006A2F23"/>
    <w:rsid w:val="006A2F26"/>
    <w:rsid w:val="006A2FF4"/>
    <w:rsid w:val="006A3270"/>
    <w:rsid w:val="006A3582"/>
    <w:rsid w:val="006A362F"/>
    <w:rsid w:val="006A3DC1"/>
    <w:rsid w:val="006A4297"/>
    <w:rsid w:val="006A42B3"/>
    <w:rsid w:val="006A44BC"/>
    <w:rsid w:val="006A44ED"/>
    <w:rsid w:val="006A44FE"/>
    <w:rsid w:val="006A4699"/>
    <w:rsid w:val="006A4868"/>
    <w:rsid w:val="006A4D3E"/>
    <w:rsid w:val="006A5105"/>
    <w:rsid w:val="006A54AB"/>
    <w:rsid w:val="006A54B5"/>
    <w:rsid w:val="006A5501"/>
    <w:rsid w:val="006A5664"/>
    <w:rsid w:val="006A57BC"/>
    <w:rsid w:val="006A57C9"/>
    <w:rsid w:val="006A5955"/>
    <w:rsid w:val="006A5C93"/>
    <w:rsid w:val="006A5E9F"/>
    <w:rsid w:val="006A6218"/>
    <w:rsid w:val="006A645A"/>
    <w:rsid w:val="006A66A2"/>
    <w:rsid w:val="006A69AA"/>
    <w:rsid w:val="006A6B18"/>
    <w:rsid w:val="006A6CAC"/>
    <w:rsid w:val="006A6F08"/>
    <w:rsid w:val="006A738C"/>
    <w:rsid w:val="006A75C2"/>
    <w:rsid w:val="006A7615"/>
    <w:rsid w:val="006A765A"/>
    <w:rsid w:val="006A7C5D"/>
    <w:rsid w:val="006A7E4D"/>
    <w:rsid w:val="006A7F31"/>
    <w:rsid w:val="006B00AA"/>
    <w:rsid w:val="006B0393"/>
    <w:rsid w:val="006B0827"/>
    <w:rsid w:val="006B08FE"/>
    <w:rsid w:val="006B0D43"/>
    <w:rsid w:val="006B103E"/>
    <w:rsid w:val="006B125E"/>
    <w:rsid w:val="006B137C"/>
    <w:rsid w:val="006B13AF"/>
    <w:rsid w:val="006B17B4"/>
    <w:rsid w:val="006B1BB9"/>
    <w:rsid w:val="006B1CD3"/>
    <w:rsid w:val="006B1D7D"/>
    <w:rsid w:val="006B222D"/>
    <w:rsid w:val="006B2287"/>
    <w:rsid w:val="006B24EF"/>
    <w:rsid w:val="006B2555"/>
    <w:rsid w:val="006B2685"/>
    <w:rsid w:val="006B27CF"/>
    <w:rsid w:val="006B2901"/>
    <w:rsid w:val="006B2BE5"/>
    <w:rsid w:val="006B2CD4"/>
    <w:rsid w:val="006B2FA3"/>
    <w:rsid w:val="006B33EC"/>
    <w:rsid w:val="006B38AB"/>
    <w:rsid w:val="006B3948"/>
    <w:rsid w:val="006B3A2A"/>
    <w:rsid w:val="006B3A3A"/>
    <w:rsid w:val="006B3CC8"/>
    <w:rsid w:val="006B4129"/>
    <w:rsid w:val="006B4199"/>
    <w:rsid w:val="006B419D"/>
    <w:rsid w:val="006B41F4"/>
    <w:rsid w:val="006B434E"/>
    <w:rsid w:val="006B4598"/>
    <w:rsid w:val="006B45F2"/>
    <w:rsid w:val="006B478E"/>
    <w:rsid w:val="006B4B0E"/>
    <w:rsid w:val="006B5081"/>
    <w:rsid w:val="006B55E5"/>
    <w:rsid w:val="006B5848"/>
    <w:rsid w:val="006B5ED0"/>
    <w:rsid w:val="006B6161"/>
    <w:rsid w:val="006B6346"/>
    <w:rsid w:val="006B635F"/>
    <w:rsid w:val="006B63F7"/>
    <w:rsid w:val="006B656C"/>
    <w:rsid w:val="006B6B29"/>
    <w:rsid w:val="006B6BAB"/>
    <w:rsid w:val="006B701F"/>
    <w:rsid w:val="006B715C"/>
    <w:rsid w:val="006B71B4"/>
    <w:rsid w:val="006B7566"/>
    <w:rsid w:val="006B75EF"/>
    <w:rsid w:val="006B79E7"/>
    <w:rsid w:val="006B7A4F"/>
    <w:rsid w:val="006B7D5E"/>
    <w:rsid w:val="006B7E37"/>
    <w:rsid w:val="006B7E76"/>
    <w:rsid w:val="006C0039"/>
    <w:rsid w:val="006C02F5"/>
    <w:rsid w:val="006C05E2"/>
    <w:rsid w:val="006C0620"/>
    <w:rsid w:val="006C0ACF"/>
    <w:rsid w:val="006C0C7D"/>
    <w:rsid w:val="006C0E87"/>
    <w:rsid w:val="006C0FDF"/>
    <w:rsid w:val="006C109F"/>
    <w:rsid w:val="006C1368"/>
    <w:rsid w:val="006C1872"/>
    <w:rsid w:val="006C220C"/>
    <w:rsid w:val="006C22EB"/>
    <w:rsid w:val="006C230B"/>
    <w:rsid w:val="006C2868"/>
    <w:rsid w:val="006C2B02"/>
    <w:rsid w:val="006C2B8A"/>
    <w:rsid w:val="006C3026"/>
    <w:rsid w:val="006C30D6"/>
    <w:rsid w:val="006C3513"/>
    <w:rsid w:val="006C352E"/>
    <w:rsid w:val="006C3624"/>
    <w:rsid w:val="006C3805"/>
    <w:rsid w:val="006C3984"/>
    <w:rsid w:val="006C3C81"/>
    <w:rsid w:val="006C3F70"/>
    <w:rsid w:val="006C4310"/>
    <w:rsid w:val="006C465B"/>
    <w:rsid w:val="006C472B"/>
    <w:rsid w:val="006C4839"/>
    <w:rsid w:val="006C4D95"/>
    <w:rsid w:val="006C4D9B"/>
    <w:rsid w:val="006C4E9C"/>
    <w:rsid w:val="006C512A"/>
    <w:rsid w:val="006C513A"/>
    <w:rsid w:val="006C53CF"/>
    <w:rsid w:val="006C5681"/>
    <w:rsid w:val="006C58D6"/>
    <w:rsid w:val="006C5B85"/>
    <w:rsid w:val="006C5EA7"/>
    <w:rsid w:val="006C6079"/>
    <w:rsid w:val="006C632D"/>
    <w:rsid w:val="006C65ED"/>
    <w:rsid w:val="006C6608"/>
    <w:rsid w:val="006C686D"/>
    <w:rsid w:val="006C6B9B"/>
    <w:rsid w:val="006C6BDB"/>
    <w:rsid w:val="006C6C9E"/>
    <w:rsid w:val="006C6E87"/>
    <w:rsid w:val="006C6EC2"/>
    <w:rsid w:val="006C70CE"/>
    <w:rsid w:val="006C729B"/>
    <w:rsid w:val="006C7596"/>
    <w:rsid w:val="006C75FE"/>
    <w:rsid w:val="006C77CF"/>
    <w:rsid w:val="006C77EE"/>
    <w:rsid w:val="006C7C6E"/>
    <w:rsid w:val="006C7DD7"/>
    <w:rsid w:val="006C7F4F"/>
    <w:rsid w:val="006D0098"/>
    <w:rsid w:val="006D02E7"/>
    <w:rsid w:val="006D0876"/>
    <w:rsid w:val="006D0ACF"/>
    <w:rsid w:val="006D0C7A"/>
    <w:rsid w:val="006D12A1"/>
    <w:rsid w:val="006D15EF"/>
    <w:rsid w:val="006D18FE"/>
    <w:rsid w:val="006D1B4F"/>
    <w:rsid w:val="006D1C36"/>
    <w:rsid w:val="006D1D19"/>
    <w:rsid w:val="006D21C8"/>
    <w:rsid w:val="006D22F0"/>
    <w:rsid w:val="006D25EC"/>
    <w:rsid w:val="006D26CF"/>
    <w:rsid w:val="006D28C5"/>
    <w:rsid w:val="006D2E28"/>
    <w:rsid w:val="006D34CE"/>
    <w:rsid w:val="006D3589"/>
    <w:rsid w:val="006D35B7"/>
    <w:rsid w:val="006D377E"/>
    <w:rsid w:val="006D3785"/>
    <w:rsid w:val="006D3980"/>
    <w:rsid w:val="006D3991"/>
    <w:rsid w:val="006D39BD"/>
    <w:rsid w:val="006D4040"/>
    <w:rsid w:val="006D4161"/>
    <w:rsid w:val="006D41D5"/>
    <w:rsid w:val="006D41FD"/>
    <w:rsid w:val="006D421B"/>
    <w:rsid w:val="006D44A7"/>
    <w:rsid w:val="006D4D9F"/>
    <w:rsid w:val="006D4E8F"/>
    <w:rsid w:val="006D4F67"/>
    <w:rsid w:val="006D4FC8"/>
    <w:rsid w:val="006D504A"/>
    <w:rsid w:val="006D50D0"/>
    <w:rsid w:val="006D5302"/>
    <w:rsid w:val="006D53F3"/>
    <w:rsid w:val="006D5432"/>
    <w:rsid w:val="006D5696"/>
    <w:rsid w:val="006D5717"/>
    <w:rsid w:val="006D5730"/>
    <w:rsid w:val="006D59C6"/>
    <w:rsid w:val="006D5A60"/>
    <w:rsid w:val="006D5D6B"/>
    <w:rsid w:val="006D5D71"/>
    <w:rsid w:val="006D5EDF"/>
    <w:rsid w:val="006D5F1D"/>
    <w:rsid w:val="006D5F2F"/>
    <w:rsid w:val="006D605E"/>
    <w:rsid w:val="006D62E2"/>
    <w:rsid w:val="006D655C"/>
    <w:rsid w:val="006D6A95"/>
    <w:rsid w:val="006D6AF9"/>
    <w:rsid w:val="006D6F43"/>
    <w:rsid w:val="006D7D27"/>
    <w:rsid w:val="006D7E46"/>
    <w:rsid w:val="006D7E71"/>
    <w:rsid w:val="006D7FE5"/>
    <w:rsid w:val="006E031F"/>
    <w:rsid w:val="006E050B"/>
    <w:rsid w:val="006E0748"/>
    <w:rsid w:val="006E09FB"/>
    <w:rsid w:val="006E0A8E"/>
    <w:rsid w:val="006E0F67"/>
    <w:rsid w:val="006E1A4C"/>
    <w:rsid w:val="006E1B0A"/>
    <w:rsid w:val="006E1CE5"/>
    <w:rsid w:val="006E1E3A"/>
    <w:rsid w:val="006E20EE"/>
    <w:rsid w:val="006E20F7"/>
    <w:rsid w:val="006E23AF"/>
    <w:rsid w:val="006E2786"/>
    <w:rsid w:val="006E2805"/>
    <w:rsid w:val="006E2868"/>
    <w:rsid w:val="006E2913"/>
    <w:rsid w:val="006E29A3"/>
    <w:rsid w:val="006E2CA8"/>
    <w:rsid w:val="006E2DDD"/>
    <w:rsid w:val="006E30A3"/>
    <w:rsid w:val="006E3188"/>
    <w:rsid w:val="006E340E"/>
    <w:rsid w:val="006E3677"/>
    <w:rsid w:val="006E3D99"/>
    <w:rsid w:val="006E44A0"/>
    <w:rsid w:val="006E474E"/>
    <w:rsid w:val="006E486E"/>
    <w:rsid w:val="006E4DE4"/>
    <w:rsid w:val="006E5841"/>
    <w:rsid w:val="006E58F7"/>
    <w:rsid w:val="006E5B1E"/>
    <w:rsid w:val="006E6112"/>
    <w:rsid w:val="006E6184"/>
    <w:rsid w:val="006E61E1"/>
    <w:rsid w:val="006E64DF"/>
    <w:rsid w:val="006E65A8"/>
    <w:rsid w:val="006E689D"/>
    <w:rsid w:val="006E6B81"/>
    <w:rsid w:val="006E6BCE"/>
    <w:rsid w:val="006E6E08"/>
    <w:rsid w:val="006E6E4B"/>
    <w:rsid w:val="006E6FF8"/>
    <w:rsid w:val="006E712D"/>
    <w:rsid w:val="006E75E3"/>
    <w:rsid w:val="006E75FB"/>
    <w:rsid w:val="006E77E3"/>
    <w:rsid w:val="006E7C88"/>
    <w:rsid w:val="006F01FB"/>
    <w:rsid w:val="006F0218"/>
    <w:rsid w:val="006F02E5"/>
    <w:rsid w:val="006F0436"/>
    <w:rsid w:val="006F0626"/>
    <w:rsid w:val="006F092B"/>
    <w:rsid w:val="006F0A02"/>
    <w:rsid w:val="006F0AD2"/>
    <w:rsid w:val="006F0C73"/>
    <w:rsid w:val="006F0CBA"/>
    <w:rsid w:val="006F0FAE"/>
    <w:rsid w:val="006F11CF"/>
    <w:rsid w:val="006F147D"/>
    <w:rsid w:val="006F1A00"/>
    <w:rsid w:val="006F1CAA"/>
    <w:rsid w:val="006F1E8C"/>
    <w:rsid w:val="006F1F6D"/>
    <w:rsid w:val="006F2477"/>
    <w:rsid w:val="006F2765"/>
    <w:rsid w:val="006F2795"/>
    <w:rsid w:val="006F289B"/>
    <w:rsid w:val="006F28BA"/>
    <w:rsid w:val="006F2DC8"/>
    <w:rsid w:val="006F3110"/>
    <w:rsid w:val="006F32C3"/>
    <w:rsid w:val="006F335A"/>
    <w:rsid w:val="006F3646"/>
    <w:rsid w:val="006F382A"/>
    <w:rsid w:val="006F389A"/>
    <w:rsid w:val="006F38BC"/>
    <w:rsid w:val="006F38DA"/>
    <w:rsid w:val="006F3D3A"/>
    <w:rsid w:val="006F3D8D"/>
    <w:rsid w:val="006F3E36"/>
    <w:rsid w:val="006F443D"/>
    <w:rsid w:val="006F4466"/>
    <w:rsid w:val="006F446E"/>
    <w:rsid w:val="006F4580"/>
    <w:rsid w:val="006F4583"/>
    <w:rsid w:val="006F45E1"/>
    <w:rsid w:val="006F4604"/>
    <w:rsid w:val="006F46F9"/>
    <w:rsid w:val="006F4C0F"/>
    <w:rsid w:val="006F4D22"/>
    <w:rsid w:val="006F4E1A"/>
    <w:rsid w:val="006F5295"/>
    <w:rsid w:val="006F5515"/>
    <w:rsid w:val="006F5629"/>
    <w:rsid w:val="006F5697"/>
    <w:rsid w:val="006F592B"/>
    <w:rsid w:val="006F59B8"/>
    <w:rsid w:val="006F5B26"/>
    <w:rsid w:val="006F5C7C"/>
    <w:rsid w:val="006F6102"/>
    <w:rsid w:val="006F6225"/>
    <w:rsid w:val="006F642E"/>
    <w:rsid w:val="006F644A"/>
    <w:rsid w:val="006F6640"/>
    <w:rsid w:val="006F68BD"/>
    <w:rsid w:val="006F6A56"/>
    <w:rsid w:val="006F6B28"/>
    <w:rsid w:val="006F6C26"/>
    <w:rsid w:val="006F6FA1"/>
    <w:rsid w:val="006F7023"/>
    <w:rsid w:val="006F7172"/>
    <w:rsid w:val="006F7493"/>
    <w:rsid w:val="006F75E6"/>
    <w:rsid w:val="006F77FE"/>
    <w:rsid w:val="006F7C18"/>
    <w:rsid w:val="006F7F5F"/>
    <w:rsid w:val="0070005F"/>
    <w:rsid w:val="0070010D"/>
    <w:rsid w:val="00700348"/>
    <w:rsid w:val="007003CD"/>
    <w:rsid w:val="007006A2"/>
    <w:rsid w:val="00700B33"/>
    <w:rsid w:val="00700EC6"/>
    <w:rsid w:val="00700FA7"/>
    <w:rsid w:val="00701268"/>
    <w:rsid w:val="007013BE"/>
    <w:rsid w:val="00701448"/>
    <w:rsid w:val="00701554"/>
    <w:rsid w:val="007015BD"/>
    <w:rsid w:val="007016F2"/>
    <w:rsid w:val="00701706"/>
    <w:rsid w:val="00701C59"/>
    <w:rsid w:val="00701D03"/>
    <w:rsid w:val="00701DA8"/>
    <w:rsid w:val="007028C7"/>
    <w:rsid w:val="00702988"/>
    <w:rsid w:val="00702A18"/>
    <w:rsid w:val="00702C4F"/>
    <w:rsid w:val="00702FE6"/>
    <w:rsid w:val="00703041"/>
    <w:rsid w:val="007032BD"/>
    <w:rsid w:val="00703399"/>
    <w:rsid w:val="00703651"/>
    <w:rsid w:val="007036C2"/>
    <w:rsid w:val="00703CF1"/>
    <w:rsid w:val="00703E5F"/>
    <w:rsid w:val="00704140"/>
    <w:rsid w:val="00704225"/>
    <w:rsid w:val="00704280"/>
    <w:rsid w:val="0070431D"/>
    <w:rsid w:val="007043EA"/>
    <w:rsid w:val="00704477"/>
    <w:rsid w:val="0070454B"/>
    <w:rsid w:val="0070455C"/>
    <w:rsid w:val="00704B9D"/>
    <w:rsid w:val="00704CEC"/>
    <w:rsid w:val="00704D15"/>
    <w:rsid w:val="00704D9B"/>
    <w:rsid w:val="00704F7D"/>
    <w:rsid w:val="00705242"/>
    <w:rsid w:val="00705298"/>
    <w:rsid w:val="00705558"/>
    <w:rsid w:val="007055F0"/>
    <w:rsid w:val="00705646"/>
    <w:rsid w:val="007058C4"/>
    <w:rsid w:val="007059E6"/>
    <w:rsid w:val="00705C7B"/>
    <w:rsid w:val="00705D3C"/>
    <w:rsid w:val="00705DFD"/>
    <w:rsid w:val="00705F46"/>
    <w:rsid w:val="00706165"/>
    <w:rsid w:val="00706A84"/>
    <w:rsid w:val="00706A95"/>
    <w:rsid w:val="00706BC0"/>
    <w:rsid w:val="00706C8B"/>
    <w:rsid w:val="00706E1E"/>
    <w:rsid w:val="007070D6"/>
    <w:rsid w:val="00707348"/>
    <w:rsid w:val="0070769D"/>
    <w:rsid w:val="00707791"/>
    <w:rsid w:val="00707B12"/>
    <w:rsid w:val="00707C4D"/>
    <w:rsid w:val="00710308"/>
    <w:rsid w:val="0071048D"/>
    <w:rsid w:val="007104FD"/>
    <w:rsid w:val="0071069D"/>
    <w:rsid w:val="007106FA"/>
    <w:rsid w:val="00710790"/>
    <w:rsid w:val="0071080B"/>
    <w:rsid w:val="00710A96"/>
    <w:rsid w:val="00710BF2"/>
    <w:rsid w:val="0071125C"/>
    <w:rsid w:val="00711265"/>
    <w:rsid w:val="00711333"/>
    <w:rsid w:val="007118D0"/>
    <w:rsid w:val="00711C32"/>
    <w:rsid w:val="00711E20"/>
    <w:rsid w:val="007122B8"/>
    <w:rsid w:val="0071237D"/>
    <w:rsid w:val="0071294A"/>
    <w:rsid w:val="007129D4"/>
    <w:rsid w:val="00712A16"/>
    <w:rsid w:val="00712A47"/>
    <w:rsid w:val="00712CE0"/>
    <w:rsid w:val="00712D5D"/>
    <w:rsid w:val="00712E8B"/>
    <w:rsid w:val="00713570"/>
    <w:rsid w:val="007135C5"/>
    <w:rsid w:val="007136BD"/>
    <w:rsid w:val="00713766"/>
    <w:rsid w:val="00713A43"/>
    <w:rsid w:val="00713A6C"/>
    <w:rsid w:val="00713D74"/>
    <w:rsid w:val="00713DEE"/>
    <w:rsid w:val="00713EB6"/>
    <w:rsid w:val="0071417D"/>
    <w:rsid w:val="00714218"/>
    <w:rsid w:val="00714232"/>
    <w:rsid w:val="0071432A"/>
    <w:rsid w:val="007144AB"/>
    <w:rsid w:val="00714523"/>
    <w:rsid w:val="007146B2"/>
    <w:rsid w:val="007146DD"/>
    <w:rsid w:val="00714732"/>
    <w:rsid w:val="00714892"/>
    <w:rsid w:val="00714C14"/>
    <w:rsid w:val="00714D9E"/>
    <w:rsid w:val="00714F3F"/>
    <w:rsid w:val="007153A4"/>
    <w:rsid w:val="0071569B"/>
    <w:rsid w:val="007157DB"/>
    <w:rsid w:val="00715B00"/>
    <w:rsid w:val="00715CC0"/>
    <w:rsid w:val="00715CE5"/>
    <w:rsid w:val="00715EAD"/>
    <w:rsid w:val="00715F32"/>
    <w:rsid w:val="00715F80"/>
    <w:rsid w:val="007167C0"/>
    <w:rsid w:val="007168FD"/>
    <w:rsid w:val="00716A7F"/>
    <w:rsid w:val="00717011"/>
    <w:rsid w:val="00717138"/>
    <w:rsid w:val="00717244"/>
    <w:rsid w:val="007172DE"/>
    <w:rsid w:val="007175ED"/>
    <w:rsid w:val="007177A6"/>
    <w:rsid w:val="00717802"/>
    <w:rsid w:val="0071783F"/>
    <w:rsid w:val="007178B9"/>
    <w:rsid w:val="00717D1B"/>
    <w:rsid w:val="00718982"/>
    <w:rsid w:val="0072003B"/>
    <w:rsid w:val="0072014C"/>
    <w:rsid w:val="00720259"/>
    <w:rsid w:val="007202EE"/>
    <w:rsid w:val="00720444"/>
    <w:rsid w:val="007205E3"/>
    <w:rsid w:val="0072075C"/>
    <w:rsid w:val="007208D4"/>
    <w:rsid w:val="00720A31"/>
    <w:rsid w:val="00720C22"/>
    <w:rsid w:val="00720DA5"/>
    <w:rsid w:val="00720E54"/>
    <w:rsid w:val="00720E9B"/>
    <w:rsid w:val="00721082"/>
    <w:rsid w:val="007212C9"/>
    <w:rsid w:val="007215C3"/>
    <w:rsid w:val="00721710"/>
    <w:rsid w:val="007217F7"/>
    <w:rsid w:val="007218F3"/>
    <w:rsid w:val="0072196E"/>
    <w:rsid w:val="00721B03"/>
    <w:rsid w:val="00721BC8"/>
    <w:rsid w:val="00721CCB"/>
    <w:rsid w:val="00721CF0"/>
    <w:rsid w:val="00722207"/>
    <w:rsid w:val="00722452"/>
    <w:rsid w:val="00722506"/>
    <w:rsid w:val="00722623"/>
    <w:rsid w:val="00722A81"/>
    <w:rsid w:val="00722A82"/>
    <w:rsid w:val="00722DBB"/>
    <w:rsid w:val="00722E28"/>
    <w:rsid w:val="00722E41"/>
    <w:rsid w:val="007232A1"/>
    <w:rsid w:val="007233EF"/>
    <w:rsid w:val="0072341D"/>
    <w:rsid w:val="00723BF4"/>
    <w:rsid w:val="00723DC6"/>
    <w:rsid w:val="00723ECC"/>
    <w:rsid w:val="007245D3"/>
    <w:rsid w:val="007249AA"/>
    <w:rsid w:val="00724AD2"/>
    <w:rsid w:val="00724BDE"/>
    <w:rsid w:val="00724F28"/>
    <w:rsid w:val="00725048"/>
    <w:rsid w:val="00725378"/>
    <w:rsid w:val="0072558E"/>
    <w:rsid w:val="007256BA"/>
    <w:rsid w:val="007258D3"/>
    <w:rsid w:val="007258D8"/>
    <w:rsid w:val="00725B49"/>
    <w:rsid w:val="00725E7C"/>
    <w:rsid w:val="00725FFC"/>
    <w:rsid w:val="00726111"/>
    <w:rsid w:val="00726195"/>
    <w:rsid w:val="0072683E"/>
    <w:rsid w:val="00726CD5"/>
    <w:rsid w:val="00726F16"/>
    <w:rsid w:val="0072721C"/>
    <w:rsid w:val="00727792"/>
    <w:rsid w:val="00727A22"/>
    <w:rsid w:val="0073036E"/>
    <w:rsid w:val="00730A99"/>
    <w:rsid w:val="00730B38"/>
    <w:rsid w:val="00730B3D"/>
    <w:rsid w:val="00730CF7"/>
    <w:rsid w:val="00730F7D"/>
    <w:rsid w:val="00731127"/>
    <w:rsid w:val="007311EF"/>
    <w:rsid w:val="0073124B"/>
    <w:rsid w:val="00731290"/>
    <w:rsid w:val="0073144E"/>
    <w:rsid w:val="007315CD"/>
    <w:rsid w:val="007316B1"/>
    <w:rsid w:val="007316B9"/>
    <w:rsid w:val="007318D3"/>
    <w:rsid w:val="00731C0F"/>
    <w:rsid w:val="00731C70"/>
    <w:rsid w:val="00731E39"/>
    <w:rsid w:val="00731EED"/>
    <w:rsid w:val="00732D6D"/>
    <w:rsid w:val="007337C2"/>
    <w:rsid w:val="00733A0A"/>
    <w:rsid w:val="00733AE6"/>
    <w:rsid w:val="00733B2C"/>
    <w:rsid w:val="00733C25"/>
    <w:rsid w:val="00733C75"/>
    <w:rsid w:val="00733D5F"/>
    <w:rsid w:val="00733F96"/>
    <w:rsid w:val="00734087"/>
    <w:rsid w:val="007340CC"/>
    <w:rsid w:val="0073422E"/>
    <w:rsid w:val="00734690"/>
    <w:rsid w:val="00734725"/>
    <w:rsid w:val="007348FE"/>
    <w:rsid w:val="00734CAA"/>
    <w:rsid w:val="00734E75"/>
    <w:rsid w:val="00734F2C"/>
    <w:rsid w:val="00735175"/>
    <w:rsid w:val="0073524B"/>
    <w:rsid w:val="007353CF"/>
    <w:rsid w:val="007356D9"/>
    <w:rsid w:val="0073598A"/>
    <w:rsid w:val="00735BAA"/>
    <w:rsid w:val="00735BF5"/>
    <w:rsid w:val="00735EC8"/>
    <w:rsid w:val="00735F10"/>
    <w:rsid w:val="007361EE"/>
    <w:rsid w:val="007366BB"/>
    <w:rsid w:val="007369E5"/>
    <w:rsid w:val="00736A75"/>
    <w:rsid w:val="00736BBF"/>
    <w:rsid w:val="00736EAA"/>
    <w:rsid w:val="00736EC0"/>
    <w:rsid w:val="00736FC2"/>
    <w:rsid w:val="0073728F"/>
    <w:rsid w:val="007374EE"/>
    <w:rsid w:val="00737588"/>
    <w:rsid w:val="007376D2"/>
    <w:rsid w:val="0073775C"/>
    <w:rsid w:val="00737932"/>
    <w:rsid w:val="0073794A"/>
    <w:rsid w:val="00737CEF"/>
    <w:rsid w:val="00737E32"/>
    <w:rsid w:val="00737FDE"/>
    <w:rsid w:val="0073B999"/>
    <w:rsid w:val="007403FE"/>
    <w:rsid w:val="007406D7"/>
    <w:rsid w:val="0074077F"/>
    <w:rsid w:val="007407FF"/>
    <w:rsid w:val="0074083C"/>
    <w:rsid w:val="00740938"/>
    <w:rsid w:val="00740ADE"/>
    <w:rsid w:val="00740B55"/>
    <w:rsid w:val="00740B60"/>
    <w:rsid w:val="00740CED"/>
    <w:rsid w:val="00740E38"/>
    <w:rsid w:val="00740EC9"/>
    <w:rsid w:val="00740ECF"/>
    <w:rsid w:val="00741087"/>
    <w:rsid w:val="007413B8"/>
    <w:rsid w:val="00741622"/>
    <w:rsid w:val="007417BD"/>
    <w:rsid w:val="007418AF"/>
    <w:rsid w:val="00741DC1"/>
    <w:rsid w:val="007420E1"/>
    <w:rsid w:val="007422F5"/>
    <w:rsid w:val="007425CE"/>
    <w:rsid w:val="007426BC"/>
    <w:rsid w:val="007427A8"/>
    <w:rsid w:val="00742CCE"/>
    <w:rsid w:val="00742D00"/>
    <w:rsid w:val="00743096"/>
    <w:rsid w:val="007430F8"/>
    <w:rsid w:val="007431BF"/>
    <w:rsid w:val="007431FE"/>
    <w:rsid w:val="00743EAB"/>
    <w:rsid w:val="00743F3C"/>
    <w:rsid w:val="007442E4"/>
    <w:rsid w:val="00744462"/>
    <w:rsid w:val="0074490B"/>
    <w:rsid w:val="00744923"/>
    <w:rsid w:val="00744A18"/>
    <w:rsid w:val="00744B51"/>
    <w:rsid w:val="00744D3A"/>
    <w:rsid w:val="00744F8D"/>
    <w:rsid w:val="007451B4"/>
    <w:rsid w:val="0074524F"/>
    <w:rsid w:val="0074527C"/>
    <w:rsid w:val="007452A3"/>
    <w:rsid w:val="00745C32"/>
    <w:rsid w:val="00745CE3"/>
    <w:rsid w:val="0074617C"/>
    <w:rsid w:val="007463B4"/>
    <w:rsid w:val="0074641F"/>
    <w:rsid w:val="007467BC"/>
    <w:rsid w:val="007469FF"/>
    <w:rsid w:val="00746BB4"/>
    <w:rsid w:val="00746C02"/>
    <w:rsid w:val="00746F4C"/>
    <w:rsid w:val="00747050"/>
    <w:rsid w:val="007473DE"/>
    <w:rsid w:val="00747416"/>
    <w:rsid w:val="007474D3"/>
    <w:rsid w:val="007477E4"/>
    <w:rsid w:val="00747904"/>
    <w:rsid w:val="00747C7C"/>
    <w:rsid w:val="00747D3A"/>
    <w:rsid w:val="00750122"/>
    <w:rsid w:val="007503A4"/>
    <w:rsid w:val="0075062A"/>
    <w:rsid w:val="00750637"/>
    <w:rsid w:val="00750657"/>
    <w:rsid w:val="00750B3C"/>
    <w:rsid w:val="00750B7E"/>
    <w:rsid w:val="00750DE6"/>
    <w:rsid w:val="00750E30"/>
    <w:rsid w:val="00750FD9"/>
    <w:rsid w:val="007510D3"/>
    <w:rsid w:val="00751519"/>
    <w:rsid w:val="0075187E"/>
    <w:rsid w:val="007518E3"/>
    <w:rsid w:val="007519EC"/>
    <w:rsid w:val="00751DB7"/>
    <w:rsid w:val="0075238F"/>
    <w:rsid w:val="00752463"/>
    <w:rsid w:val="00752490"/>
    <w:rsid w:val="00752521"/>
    <w:rsid w:val="007525F6"/>
    <w:rsid w:val="00752603"/>
    <w:rsid w:val="00752A01"/>
    <w:rsid w:val="00752B66"/>
    <w:rsid w:val="00752BFB"/>
    <w:rsid w:val="00752DF6"/>
    <w:rsid w:val="00752EB7"/>
    <w:rsid w:val="00753103"/>
    <w:rsid w:val="00753126"/>
    <w:rsid w:val="007532AA"/>
    <w:rsid w:val="007533F0"/>
    <w:rsid w:val="0075359B"/>
    <w:rsid w:val="007536EA"/>
    <w:rsid w:val="00753760"/>
    <w:rsid w:val="00753797"/>
    <w:rsid w:val="007537F4"/>
    <w:rsid w:val="007539C8"/>
    <w:rsid w:val="00753A63"/>
    <w:rsid w:val="00753CA4"/>
    <w:rsid w:val="00753E45"/>
    <w:rsid w:val="00753F69"/>
    <w:rsid w:val="00753FA9"/>
    <w:rsid w:val="00754161"/>
    <w:rsid w:val="007543EF"/>
    <w:rsid w:val="007544B0"/>
    <w:rsid w:val="0075478B"/>
    <w:rsid w:val="00754957"/>
    <w:rsid w:val="0075499A"/>
    <w:rsid w:val="00754C1B"/>
    <w:rsid w:val="00754E23"/>
    <w:rsid w:val="00754E66"/>
    <w:rsid w:val="00755027"/>
    <w:rsid w:val="007550BB"/>
    <w:rsid w:val="007550DF"/>
    <w:rsid w:val="00755139"/>
    <w:rsid w:val="007553AC"/>
    <w:rsid w:val="0075569F"/>
    <w:rsid w:val="0075575E"/>
    <w:rsid w:val="007557E8"/>
    <w:rsid w:val="00755A9A"/>
    <w:rsid w:val="00755B25"/>
    <w:rsid w:val="00755C32"/>
    <w:rsid w:val="00755DD0"/>
    <w:rsid w:val="007563D2"/>
    <w:rsid w:val="0075648E"/>
    <w:rsid w:val="0075654E"/>
    <w:rsid w:val="007565F1"/>
    <w:rsid w:val="00756728"/>
    <w:rsid w:val="0075695F"/>
    <w:rsid w:val="00756AD2"/>
    <w:rsid w:val="00756BD8"/>
    <w:rsid w:val="00756CB5"/>
    <w:rsid w:val="00756D59"/>
    <w:rsid w:val="00756F1B"/>
    <w:rsid w:val="00756FC8"/>
    <w:rsid w:val="00756FDD"/>
    <w:rsid w:val="00757167"/>
    <w:rsid w:val="007571D5"/>
    <w:rsid w:val="00757741"/>
    <w:rsid w:val="007577F5"/>
    <w:rsid w:val="00757926"/>
    <w:rsid w:val="00757DF9"/>
    <w:rsid w:val="00757E7E"/>
    <w:rsid w:val="00757F29"/>
    <w:rsid w:val="00757F47"/>
    <w:rsid w:val="00757F75"/>
    <w:rsid w:val="00760088"/>
    <w:rsid w:val="0076010D"/>
    <w:rsid w:val="0076013D"/>
    <w:rsid w:val="00760487"/>
    <w:rsid w:val="007607F7"/>
    <w:rsid w:val="00760A15"/>
    <w:rsid w:val="00760A2A"/>
    <w:rsid w:val="00760D06"/>
    <w:rsid w:val="007611A2"/>
    <w:rsid w:val="00761970"/>
    <w:rsid w:val="00761ACE"/>
    <w:rsid w:val="00761DAF"/>
    <w:rsid w:val="00761F25"/>
    <w:rsid w:val="00761F5A"/>
    <w:rsid w:val="0076250C"/>
    <w:rsid w:val="007629DC"/>
    <w:rsid w:val="00762B91"/>
    <w:rsid w:val="00762D42"/>
    <w:rsid w:val="00762FF5"/>
    <w:rsid w:val="007632C2"/>
    <w:rsid w:val="007634DF"/>
    <w:rsid w:val="0076351D"/>
    <w:rsid w:val="007635F4"/>
    <w:rsid w:val="007636EB"/>
    <w:rsid w:val="00763D0B"/>
    <w:rsid w:val="00763E61"/>
    <w:rsid w:val="007642C1"/>
    <w:rsid w:val="00764A66"/>
    <w:rsid w:val="00764ACD"/>
    <w:rsid w:val="00764CCA"/>
    <w:rsid w:val="00764F74"/>
    <w:rsid w:val="00764FB2"/>
    <w:rsid w:val="007650EB"/>
    <w:rsid w:val="0076547E"/>
    <w:rsid w:val="00765639"/>
    <w:rsid w:val="00765643"/>
    <w:rsid w:val="00765D50"/>
    <w:rsid w:val="00766013"/>
    <w:rsid w:val="00766117"/>
    <w:rsid w:val="0076620E"/>
    <w:rsid w:val="00766215"/>
    <w:rsid w:val="00766411"/>
    <w:rsid w:val="0076683A"/>
    <w:rsid w:val="00766A59"/>
    <w:rsid w:val="00766AE4"/>
    <w:rsid w:val="00766B5E"/>
    <w:rsid w:val="00766CFB"/>
    <w:rsid w:val="00766E6E"/>
    <w:rsid w:val="007671A7"/>
    <w:rsid w:val="007674C8"/>
    <w:rsid w:val="00767873"/>
    <w:rsid w:val="00767945"/>
    <w:rsid w:val="00767A60"/>
    <w:rsid w:val="00770096"/>
    <w:rsid w:val="0077032A"/>
    <w:rsid w:val="007705C2"/>
    <w:rsid w:val="00770797"/>
    <w:rsid w:val="0077096A"/>
    <w:rsid w:val="00770A36"/>
    <w:rsid w:val="00770ACA"/>
    <w:rsid w:val="00770B19"/>
    <w:rsid w:val="00770D12"/>
    <w:rsid w:val="00770E80"/>
    <w:rsid w:val="00770F55"/>
    <w:rsid w:val="00771108"/>
    <w:rsid w:val="0077172F"/>
    <w:rsid w:val="00771731"/>
    <w:rsid w:val="0077180C"/>
    <w:rsid w:val="00771A27"/>
    <w:rsid w:val="00771D24"/>
    <w:rsid w:val="00771F80"/>
    <w:rsid w:val="00772488"/>
    <w:rsid w:val="0077264D"/>
    <w:rsid w:val="007727FB"/>
    <w:rsid w:val="00772800"/>
    <w:rsid w:val="00772A63"/>
    <w:rsid w:val="00772C4E"/>
    <w:rsid w:val="00772E8A"/>
    <w:rsid w:val="00773185"/>
    <w:rsid w:val="0077325C"/>
    <w:rsid w:val="007732F8"/>
    <w:rsid w:val="007733CE"/>
    <w:rsid w:val="007735F5"/>
    <w:rsid w:val="0077397E"/>
    <w:rsid w:val="00773B1E"/>
    <w:rsid w:val="00773FFE"/>
    <w:rsid w:val="00774202"/>
    <w:rsid w:val="00774357"/>
    <w:rsid w:val="00774618"/>
    <w:rsid w:val="00774640"/>
    <w:rsid w:val="00774674"/>
    <w:rsid w:val="0077470A"/>
    <w:rsid w:val="0077476C"/>
    <w:rsid w:val="00775069"/>
    <w:rsid w:val="00775124"/>
    <w:rsid w:val="0077516A"/>
    <w:rsid w:val="007753C4"/>
    <w:rsid w:val="0077558B"/>
    <w:rsid w:val="007757FD"/>
    <w:rsid w:val="00775B7E"/>
    <w:rsid w:val="00775C43"/>
    <w:rsid w:val="00775DDF"/>
    <w:rsid w:val="00775F6F"/>
    <w:rsid w:val="00776716"/>
    <w:rsid w:val="0077679F"/>
    <w:rsid w:val="007768A8"/>
    <w:rsid w:val="007768D7"/>
    <w:rsid w:val="007768FD"/>
    <w:rsid w:val="00776A90"/>
    <w:rsid w:val="00776DC2"/>
    <w:rsid w:val="0077727E"/>
    <w:rsid w:val="007772A0"/>
    <w:rsid w:val="00777320"/>
    <w:rsid w:val="007773C1"/>
    <w:rsid w:val="007773D9"/>
    <w:rsid w:val="00777556"/>
    <w:rsid w:val="00777D0B"/>
    <w:rsid w:val="00777D93"/>
    <w:rsid w:val="00777E48"/>
    <w:rsid w:val="00777EDA"/>
    <w:rsid w:val="007800CC"/>
    <w:rsid w:val="00780180"/>
    <w:rsid w:val="007801A9"/>
    <w:rsid w:val="007801C6"/>
    <w:rsid w:val="00780302"/>
    <w:rsid w:val="00780329"/>
    <w:rsid w:val="007807B7"/>
    <w:rsid w:val="00780AF0"/>
    <w:rsid w:val="00780CB2"/>
    <w:rsid w:val="00780D35"/>
    <w:rsid w:val="00780E15"/>
    <w:rsid w:val="00780E8D"/>
    <w:rsid w:val="00781308"/>
    <w:rsid w:val="007813C7"/>
    <w:rsid w:val="00781487"/>
    <w:rsid w:val="00781653"/>
    <w:rsid w:val="0078185C"/>
    <w:rsid w:val="00781A0A"/>
    <w:rsid w:val="00781B1D"/>
    <w:rsid w:val="00781D11"/>
    <w:rsid w:val="00781DDA"/>
    <w:rsid w:val="00782006"/>
    <w:rsid w:val="00782202"/>
    <w:rsid w:val="00782493"/>
    <w:rsid w:val="007824F7"/>
    <w:rsid w:val="00782547"/>
    <w:rsid w:val="00782691"/>
    <w:rsid w:val="0078273C"/>
    <w:rsid w:val="00782816"/>
    <w:rsid w:val="007829A1"/>
    <w:rsid w:val="00782A2F"/>
    <w:rsid w:val="00782BA0"/>
    <w:rsid w:val="00782C51"/>
    <w:rsid w:val="00782F28"/>
    <w:rsid w:val="00783067"/>
    <w:rsid w:val="007830BD"/>
    <w:rsid w:val="00783727"/>
    <w:rsid w:val="00783B27"/>
    <w:rsid w:val="00783CC7"/>
    <w:rsid w:val="00783F94"/>
    <w:rsid w:val="00784110"/>
    <w:rsid w:val="00784403"/>
    <w:rsid w:val="0078461C"/>
    <w:rsid w:val="00784621"/>
    <w:rsid w:val="00784782"/>
    <w:rsid w:val="007848F4"/>
    <w:rsid w:val="0078506D"/>
    <w:rsid w:val="00785443"/>
    <w:rsid w:val="0078558D"/>
    <w:rsid w:val="0078564B"/>
    <w:rsid w:val="00785750"/>
    <w:rsid w:val="00785844"/>
    <w:rsid w:val="00785BAF"/>
    <w:rsid w:val="00786088"/>
    <w:rsid w:val="007860DB"/>
    <w:rsid w:val="00786134"/>
    <w:rsid w:val="00786256"/>
    <w:rsid w:val="00786280"/>
    <w:rsid w:val="00786590"/>
    <w:rsid w:val="007866BF"/>
    <w:rsid w:val="007868CA"/>
    <w:rsid w:val="00786946"/>
    <w:rsid w:val="00786A1B"/>
    <w:rsid w:val="00786BB3"/>
    <w:rsid w:val="00786C39"/>
    <w:rsid w:val="0078718A"/>
    <w:rsid w:val="00787305"/>
    <w:rsid w:val="00787477"/>
    <w:rsid w:val="007877F6"/>
    <w:rsid w:val="00787C4C"/>
    <w:rsid w:val="00787E29"/>
    <w:rsid w:val="007888B8"/>
    <w:rsid w:val="00790026"/>
    <w:rsid w:val="00790052"/>
    <w:rsid w:val="0079026B"/>
    <w:rsid w:val="00790535"/>
    <w:rsid w:val="00790565"/>
    <w:rsid w:val="0079058B"/>
    <w:rsid w:val="00790701"/>
    <w:rsid w:val="00790815"/>
    <w:rsid w:val="007909AE"/>
    <w:rsid w:val="007912AE"/>
    <w:rsid w:val="00791477"/>
    <w:rsid w:val="007914E5"/>
    <w:rsid w:val="007915F5"/>
    <w:rsid w:val="007917F6"/>
    <w:rsid w:val="00791BBA"/>
    <w:rsid w:val="00791CB5"/>
    <w:rsid w:val="00792088"/>
    <w:rsid w:val="00792238"/>
    <w:rsid w:val="00792441"/>
    <w:rsid w:val="0079250A"/>
    <w:rsid w:val="00792715"/>
    <w:rsid w:val="007929FE"/>
    <w:rsid w:val="00792A9E"/>
    <w:rsid w:val="00792C32"/>
    <w:rsid w:val="00792EB6"/>
    <w:rsid w:val="00792F66"/>
    <w:rsid w:val="00792FFF"/>
    <w:rsid w:val="0079306E"/>
    <w:rsid w:val="007930E3"/>
    <w:rsid w:val="0079352D"/>
    <w:rsid w:val="0079360B"/>
    <w:rsid w:val="007936BE"/>
    <w:rsid w:val="00793D86"/>
    <w:rsid w:val="00793EF1"/>
    <w:rsid w:val="007940BE"/>
    <w:rsid w:val="00794212"/>
    <w:rsid w:val="007946A0"/>
    <w:rsid w:val="00794824"/>
    <w:rsid w:val="00794A47"/>
    <w:rsid w:val="00794AA4"/>
    <w:rsid w:val="00794CF3"/>
    <w:rsid w:val="00794DCC"/>
    <w:rsid w:val="00794DF1"/>
    <w:rsid w:val="00794F61"/>
    <w:rsid w:val="00795177"/>
    <w:rsid w:val="007951F3"/>
    <w:rsid w:val="00795C45"/>
    <w:rsid w:val="00795D3A"/>
    <w:rsid w:val="00795E85"/>
    <w:rsid w:val="00796089"/>
    <w:rsid w:val="0079611A"/>
    <w:rsid w:val="0079612E"/>
    <w:rsid w:val="00796813"/>
    <w:rsid w:val="0079682A"/>
    <w:rsid w:val="00796831"/>
    <w:rsid w:val="00796A59"/>
    <w:rsid w:val="00796C7D"/>
    <w:rsid w:val="00796CEF"/>
    <w:rsid w:val="00796E55"/>
    <w:rsid w:val="00797192"/>
    <w:rsid w:val="007971DB"/>
    <w:rsid w:val="00797458"/>
    <w:rsid w:val="0079748C"/>
    <w:rsid w:val="00797888"/>
    <w:rsid w:val="00797B1A"/>
    <w:rsid w:val="00797F0D"/>
    <w:rsid w:val="007A0027"/>
    <w:rsid w:val="007A0560"/>
    <w:rsid w:val="007A06C4"/>
    <w:rsid w:val="007A06F9"/>
    <w:rsid w:val="007A0764"/>
    <w:rsid w:val="007A0AB0"/>
    <w:rsid w:val="007A0B00"/>
    <w:rsid w:val="007A1074"/>
    <w:rsid w:val="007A11D1"/>
    <w:rsid w:val="007A12AB"/>
    <w:rsid w:val="007A12D3"/>
    <w:rsid w:val="007A16DD"/>
    <w:rsid w:val="007A1AA3"/>
    <w:rsid w:val="007A1B51"/>
    <w:rsid w:val="007A1C04"/>
    <w:rsid w:val="007A1CA5"/>
    <w:rsid w:val="007A1CD2"/>
    <w:rsid w:val="007A22E1"/>
    <w:rsid w:val="007A25A8"/>
    <w:rsid w:val="007A2908"/>
    <w:rsid w:val="007A322E"/>
    <w:rsid w:val="007A3251"/>
    <w:rsid w:val="007A36A9"/>
    <w:rsid w:val="007A3703"/>
    <w:rsid w:val="007A3960"/>
    <w:rsid w:val="007A3D27"/>
    <w:rsid w:val="007A3F9B"/>
    <w:rsid w:val="007A3FEE"/>
    <w:rsid w:val="007A472D"/>
    <w:rsid w:val="007A4753"/>
    <w:rsid w:val="007A47B6"/>
    <w:rsid w:val="007A4899"/>
    <w:rsid w:val="007A49F5"/>
    <w:rsid w:val="007A5318"/>
    <w:rsid w:val="007A5395"/>
    <w:rsid w:val="007A53E2"/>
    <w:rsid w:val="007A5449"/>
    <w:rsid w:val="007A5476"/>
    <w:rsid w:val="007A55E3"/>
    <w:rsid w:val="007A567B"/>
    <w:rsid w:val="007A5A4B"/>
    <w:rsid w:val="007A5C23"/>
    <w:rsid w:val="007A5D2E"/>
    <w:rsid w:val="007A5F9C"/>
    <w:rsid w:val="007A5FF3"/>
    <w:rsid w:val="007A602F"/>
    <w:rsid w:val="007A620A"/>
    <w:rsid w:val="007A6228"/>
    <w:rsid w:val="007A654B"/>
    <w:rsid w:val="007A66D6"/>
    <w:rsid w:val="007A69ED"/>
    <w:rsid w:val="007A6B5A"/>
    <w:rsid w:val="007A6BB7"/>
    <w:rsid w:val="007A6DA7"/>
    <w:rsid w:val="007A6E6E"/>
    <w:rsid w:val="007A6FA3"/>
    <w:rsid w:val="007A72F5"/>
    <w:rsid w:val="007A73FF"/>
    <w:rsid w:val="007A757C"/>
    <w:rsid w:val="007A7D93"/>
    <w:rsid w:val="007A7DCA"/>
    <w:rsid w:val="007A7F40"/>
    <w:rsid w:val="007ABAC1"/>
    <w:rsid w:val="007B0067"/>
    <w:rsid w:val="007B00ED"/>
    <w:rsid w:val="007B0408"/>
    <w:rsid w:val="007B06D0"/>
    <w:rsid w:val="007B0831"/>
    <w:rsid w:val="007B0856"/>
    <w:rsid w:val="007B0B56"/>
    <w:rsid w:val="007B0C50"/>
    <w:rsid w:val="007B0EAD"/>
    <w:rsid w:val="007B1238"/>
    <w:rsid w:val="007B1256"/>
    <w:rsid w:val="007B1292"/>
    <w:rsid w:val="007B130E"/>
    <w:rsid w:val="007B13CC"/>
    <w:rsid w:val="007B1A15"/>
    <w:rsid w:val="007B1AAF"/>
    <w:rsid w:val="007B1BC6"/>
    <w:rsid w:val="007B1D2E"/>
    <w:rsid w:val="007B1D97"/>
    <w:rsid w:val="007B21D9"/>
    <w:rsid w:val="007B2420"/>
    <w:rsid w:val="007B286C"/>
    <w:rsid w:val="007B299C"/>
    <w:rsid w:val="007B2CBF"/>
    <w:rsid w:val="007B2D0F"/>
    <w:rsid w:val="007B312E"/>
    <w:rsid w:val="007B322A"/>
    <w:rsid w:val="007B34FA"/>
    <w:rsid w:val="007B3A45"/>
    <w:rsid w:val="007B3A5A"/>
    <w:rsid w:val="007B3C70"/>
    <w:rsid w:val="007B3D73"/>
    <w:rsid w:val="007B4033"/>
    <w:rsid w:val="007B408B"/>
    <w:rsid w:val="007B43FE"/>
    <w:rsid w:val="007B47FA"/>
    <w:rsid w:val="007B484F"/>
    <w:rsid w:val="007B50A7"/>
    <w:rsid w:val="007B51FC"/>
    <w:rsid w:val="007B5242"/>
    <w:rsid w:val="007B54F2"/>
    <w:rsid w:val="007B56B7"/>
    <w:rsid w:val="007B582B"/>
    <w:rsid w:val="007B5986"/>
    <w:rsid w:val="007B6021"/>
    <w:rsid w:val="007B6287"/>
    <w:rsid w:val="007B63BA"/>
    <w:rsid w:val="007B652B"/>
    <w:rsid w:val="007B653A"/>
    <w:rsid w:val="007B69F2"/>
    <w:rsid w:val="007B6A1A"/>
    <w:rsid w:val="007B7046"/>
    <w:rsid w:val="007B724A"/>
    <w:rsid w:val="007B741E"/>
    <w:rsid w:val="007B7460"/>
    <w:rsid w:val="007B7761"/>
    <w:rsid w:val="007B7954"/>
    <w:rsid w:val="007B7B9E"/>
    <w:rsid w:val="007B7F61"/>
    <w:rsid w:val="007C0090"/>
    <w:rsid w:val="007C0240"/>
    <w:rsid w:val="007C0263"/>
    <w:rsid w:val="007C0277"/>
    <w:rsid w:val="007C0475"/>
    <w:rsid w:val="007C0673"/>
    <w:rsid w:val="007C06EA"/>
    <w:rsid w:val="007C07A4"/>
    <w:rsid w:val="007C0B95"/>
    <w:rsid w:val="007C0EFD"/>
    <w:rsid w:val="007C11A2"/>
    <w:rsid w:val="007C14CE"/>
    <w:rsid w:val="007C1E7F"/>
    <w:rsid w:val="007C1F78"/>
    <w:rsid w:val="007C1FFB"/>
    <w:rsid w:val="007C23A4"/>
    <w:rsid w:val="007C2752"/>
    <w:rsid w:val="007C2BE0"/>
    <w:rsid w:val="007C2E44"/>
    <w:rsid w:val="007C2E8B"/>
    <w:rsid w:val="007C31CE"/>
    <w:rsid w:val="007C34B0"/>
    <w:rsid w:val="007C3506"/>
    <w:rsid w:val="007C3637"/>
    <w:rsid w:val="007C3735"/>
    <w:rsid w:val="007C389E"/>
    <w:rsid w:val="007C389F"/>
    <w:rsid w:val="007C3994"/>
    <w:rsid w:val="007C3CA9"/>
    <w:rsid w:val="007C3EE3"/>
    <w:rsid w:val="007C3F14"/>
    <w:rsid w:val="007C3FB6"/>
    <w:rsid w:val="007C4274"/>
    <w:rsid w:val="007C42D9"/>
    <w:rsid w:val="007C4506"/>
    <w:rsid w:val="007C4682"/>
    <w:rsid w:val="007C4998"/>
    <w:rsid w:val="007C4D3C"/>
    <w:rsid w:val="007C4E1C"/>
    <w:rsid w:val="007C4F0C"/>
    <w:rsid w:val="007C4F36"/>
    <w:rsid w:val="007C5775"/>
    <w:rsid w:val="007C597C"/>
    <w:rsid w:val="007C597F"/>
    <w:rsid w:val="007C5AC2"/>
    <w:rsid w:val="007C5CBC"/>
    <w:rsid w:val="007C5D72"/>
    <w:rsid w:val="007C5E47"/>
    <w:rsid w:val="007C5FB2"/>
    <w:rsid w:val="007C6210"/>
    <w:rsid w:val="007C6221"/>
    <w:rsid w:val="007C6465"/>
    <w:rsid w:val="007C66A5"/>
    <w:rsid w:val="007C67CA"/>
    <w:rsid w:val="007C68EA"/>
    <w:rsid w:val="007C6947"/>
    <w:rsid w:val="007C694A"/>
    <w:rsid w:val="007C6A79"/>
    <w:rsid w:val="007C6B5A"/>
    <w:rsid w:val="007C6C27"/>
    <w:rsid w:val="007C6EB5"/>
    <w:rsid w:val="007C7194"/>
    <w:rsid w:val="007C71EE"/>
    <w:rsid w:val="007C731F"/>
    <w:rsid w:val="007C7334"/>
    <w:rsid w:val="007C758B"/>
    <w:rsid w:val="007C77CA"/>
    <w:rsid w:val="007C78EB"/>
    <w:rsid w:val="007C7D13"/>
    <w:rsid w:val="007CCCB2"/>
    <w:rsid w:val="007D0226"/>
    <w:rsid w:val="007D077C"/>
    <w:rsid w:val="007D07E0"/>
    <w:rsid w:val="007D0875"/>
    <w:rsid w:val="007D0A24"/>
    <w:rsid w:val="007D0B9A"/>
    <w:rsid w:val="007D0DCC"/>
    <w:rsid w:val="007D109B"/>
    <w:rsid w:val="007D1669"/>
    <w:rsid w:val="007D16D3"/>
    <w:rsid w:val="007D1786"/>
    <w:rsid w:val="007D1846"/>
    <w:rsid w:val="007D1871"/>
    <w:rsid w:val="007D1BED"/>
    <w:rsid w:val="007D1C14"/>
    <w:rsid w:val="007D1F4D"/>
    <w:rsid w:val="007D2072"/>
    <w:rsid w:val="007D2AE7"/>
    <w:rsid w:val="007D2D2B"/>
    <w:rsid w:val="007D2FAF"/>
    <w:rsid w:val="007D3427"/>
    <w:rsid w:val="007D35E9"/>
    <w:rsid w:val="007D3881"/>
    <w:rsid w:val="007D38D3"/>
    <w:rsid w:val="007D3975"/>
    <w:rsid w:val="007D39EB"/>
    <w:rsid w:val="007D3A19"/>
    <w:rsid w:val="007D3BA7"/>
    <w:rsid w:val="007D3BB9"/>
    <w:rsid w:val="007D3D35"/>
    <w:rsid w:val="007D3EF1"/>
    <w:rsid w:val="007D41D2"/>
    <w:rsid w:val="007D42CF"/>
    <w:rsid w:val="007D491E"/>
    <w:rsid w:val="007D49D6"/>
    <w:rsid w:val="007D4A5F"/>
    <w:rsid w:val="007D4E9E"/>
    <w:rsid w:val="007D516C"/>
    <w:rsid w:val="007D51D6"/>
    <w:rsid w:val="007D535C"/>
    <w:rsid w:val="007D53AD"/>
    <w:rsid w:val="007D548E"/>
    <w:rsid w:val="007D5496"/>
    <w:rsid w:val="007D55F7"/>
    <w:rsid w:val="007D56C6"/>
    <w:rsid w:val="007D57A2"/>
    <w:rsid w:val="007D5A85"/>
    <w:rsid w:val="007D5A96"/>
    <w:rsid w:val="007D61A8"/>
    <w:rsid w:val="007D61A9"/>
    <w:rsid w:val="007D61D5"/>
    <w:rsid w:val="007D61E9"/>
    <w:rsid w:val="007D6865"/>
    <w:rsid w:val="007D68AF"/>
    <w:rsid w:val="007D690D"/>
    <w:rsid w:val="007D6928"/>
    <w:rsid w:val="007D6B49"/>
    <w:rsid w:val="007D6BA0"/>
    <w:rsid w:val="007D72BC"/>
    <w:rsid w:val="007D72EE"/>
    <w:rsid w:val="007D763A"/>
    <w:rsid w:val="007D7737"/>
    <w:rsid w:val="007D7826"/>
    <w:rsid w:val="007D7972"/>
    <w:rsid w:val="007D7CC3"/>
    <w:rsid w:val="007E00D5"/>
    <w:rsid w:val="007E010D"/>
    <w:rsid w:val="007E0627"/>
    <w:rsid w:val="007E0658"/>
    <w:rsid w:val="007E08A8"/>
    <w:rsid w:val="007E08BD"/>
    <w:rsid w:val="007E0926"/>
    <w:rsid w:val="007E0AC2"/>
    <w:rsid w:val="007E0CCA"/>
    <w:rsid w:val="007E0F65"/>
    <w:rsid w:val="007E17A1"/>
    <w:rsid w:val="007E1A18"/>
    <w:rsid w:val="007E1ADF"/>
    <w:rsid w:val="007E1B43"/>
    <w:rsid w:val="007E1B7A"/>
    <w:rsid w:val="007E1C34"/>
    <w:rsid w:val="007E1C95"/>
    <w:rsid w:val="007E1EEB"/>
    <w:rsid w:val="007E1F06"/>
    <w:rsid w:val="007E210C"/>
    <w:rsid w:val="007E2291"/>
    <w:rsid w:val="007E234F"/>
    <w:rsid w:val="007E24D8"/>
    <w:rsid w:val="007E2867"/>
    <w:rsid w:val="007E2A51"/>
    <w:rsid w:val="007E2D3E"/>
    <w:rsid w:val="007E2DCB"/>
    <w:rsid w:val="007E2EE8"/>
    <w:rsid w:val="007E305F"/>
    <w:rsid w:val="007E32C7"/>
    <w:rsid w:val="007E33A0"/>
    <w:rsid w:val="007E36A6"/>
    <w:rsid w:val="007E3775"/>
    <w:rsid w:val="007E3DC6"/>
    <w:rsid w:val="007E3E21"/>
    <w:rsid w:val="007E3E8F"/>
    <w:rsid w:val="007E40C4"/>
    <w:rsid w:val="007E419F"/>
    <w:rsid w:val="007E50AA"/>
    <w:rsid w:val="007E51FA"/>
    <w:rsid w:val="007E5363"/>
    <w:rsid w:val="007E57E7"/>
    <w:rsid w:val="007E59D1"/>
    <w:rsid w:val="007E5EDB"/>
    <w:rsid w:val="007E6206"/>
    <w:rsid w:val="007E6252"/>
    <w:rsid w:val="007E6374"/>
    <w:rsid w:val="007E6473"/>
    <w:rsid w:val="007E6776"/>
    <w:rsid w:val="007E6915"/>
    <w:rsid w:val="007E6986"/>
    <w:rsid w:val="007E6B2C"/>
    <w:rsid w:val="007E6B86"/>
    <w:rsid w:val="007E6B99"/>
    <w:rsid w:val="007E6C5D"/>
    <w:rsid w:val="007E7056"/>
    <w:rsid w:val="007E7180"/>
    <w:rsid w:val="007E7599"/>
    <w:rsid w:val="007E759C"/>
    <w:rsid w:val="007E7AE8"/>
    <w:rsid w:val="007E7B08"/>
    <w:rsid w:val="007E7CEF"/>
    <w:rsid w:val="007E7D19"/>
    <w:rsid w:val="007E7F13"/>
    <w:rsid w:val="007E7F68"/>
    <w:rsid w:val="007F022F"/>
    <w:rsid w:val="007F0454"/>
    <w:rsid w:val="007F0B83"/>
    <w:rsid w:val="007F0C57"/>
    <w:rsid w:val="007F0F5E"/>
    <w:rsid w:val="007F0FBA"/>
    <w:rsid w:val="007F1210"/>
    <w:rsid w:val="007F15FE"/>
    <w:rsid w:val="007F16B4"/>
    <w:rsid w:val="007F1819"/>
    <w:rsid w:val="007F1BA9"/>
    <w:rsid w:val="007F1D25"/>
    <w:rsid w:val="007F1EFD"/>
    <w:rsid w:val="007F1F47"/>
    <w:rsid w:val="007F202B"/>
    <w:rsid w:val="007F23F2"/>
    <w:rsid w:val="007F24E3"/>
    <w:rsid w:val="007F263C"/>
    <w:rsid w:val="007F2688"/>
    <w:rsid w:val="007F27C2"/>
    <w:rsid w:val="007F2941"/>
    <w:rsid w:val="007F2C7D"/>
    <w:rsid w:val="007F2D78"/>
    <w:rsid w:val="007F2D8F"/>
    <w:rsid w:val="007F2E79"/>
    <w:rsid w:val="007F3052"/>
    <w:rsid w:val="007F31BF"/>
    <w:rsid w:val="007F3670"/>
    <w:rsid w:val="007F36AF"/>
    <w:rsid w:val="007F38FB"/>
    <w:rsid w:val="007F39E2"/>
    <w:rsid w:val="007F3AB5"/>
    <w:rsid w:val="007F3B38"/>
    <w:rsid w:val="007F3B54"/>
    <w:rsid w:val="007F3B68"/>
    <w:rsid w:val="007F3BA7"/>
    <w:rsid w:val="007F3BD0"/>
    <w:rsid w:val="007F3D16"/>
    <w:rsid w:val="007F3DC7"/>
    <w:rsid w:val="007F40EC"/>
    <w:rsid w:val="007F442E"/>
    <w:rsid w:val="007F450A"/>
    <w:rsid w:val="007F4638"/>
    <w:rsid w:val="007F4661"/>
    <w:rsid w:val="007F46C4"/>
    <w:rsid w:val="007F4999"/>
    <w:rsid w:val="007F53B8"/>
    <w:rsid w:val="007F5657"/>
    <w:rsid w:val="007F574A"/>
    <w:rsid w:val="007F59F7"/>
    <w:rsid w:val="007F5E9E"/>
    <w:rsid w:val="007F64B3"/>
    <w:rsid w:val="007F66CD"/>
    <w:rsid w:val="007F68C2"/>
    <w:rsid w:val="007F6995"/>
    <w:rsid w:val="007F69B7"/>
    <w:rsid w:val="007F6C11"/>
    <w:rsid w:val="007F71CC"/>
    <w:rsid w:val="007F7311"/>
    <w:rsid w:val="007F75B6"/>
    <w:rsid w:val="007F77C2"/>
    <w:rsid w:val="007F784F"/>
    <w:rsid w:val="007F7867"/>
    <w:rsid w:val="007F79DE"/>
    <w:rsid w:val="007F7C8B"/>
    <w:rsid w:val="007F7CA3"/>
    <w:rsid w:val="007FBA49"/>
    <w:rsid w:val="00800079"/>
    <w:rsid w:val="008002A6"/>
    <w:rsid w:val="00800793"/>
    <w:rsid w:val="00800AB1"/>
    <w:rsid w:val="00800E0D"/>
    <w:rsid w:val="00800EFE"/>
    <w:rsid w:val="00801540"/>
    <w:rsid w:val="008018AD"/>
    <w:rsid w:val="00801974"/>
    <w:rsid w:val="00801CE6"/>
    <w:rsid w:val="0080233A"/>
    <w:rsid w:val="008025FA"/>
    <w:rsid w:val="00802741"/>
    <w:rsid w:val="008028AC"/>
    <w:rsid w:val="008028CA"/>
    <w:rsid w:val="00802951"/>
    <w:rsid w:val="008029FD"/>
    <w:rsid w:val="00802CE6"/>
    <w:rsid w:val="00803099"/>
    <w:rsid w:val="008031B8"/>
    <w:rsid w:val="0080322D"/>
    <w:rsid w:val="00803256"/>
    <w:rsid w:val="008033EF"/>
    <w:rsid w:val="00803AFE"/>
    <w:rsid w:val="00803DD5"/>
    <w:rsid w:val="00803F91"/>
    <w:rsid w:val="0080446F"/>
    <w:rsid w:val="0080447C"/>
    <w:rsid w:val="00805368"/>
    <w:rsid w:val="00805553"/>
    <w:rsid w:val="00805AEA"/>
    <w:rsid w:val="00805D83"/>
    <w:rsid w:val="00805DD5"/>
    <w:rsid w:val="00805E4B"/>
    <w:rsid w:val="00805E77"/>
    <w:rsid w:val="0080608A"/>
    <w:rsid w:val="0080622D"/>
    <w:rsid w:val="0080622F"/>
    <w:rsid w:val="008062A0"/>
    <w:rsid w:val="0080676A"/>
    <w:rsid w:val="008068CE"/>
    <w:rsid w:val="008068D2"/>
    <w:rsid w:val="00806BA4"/>
    <w:rsid w:val="00806BBA"/>
    <w:rsid w:val="00806BCF"/>
    <w:rsid w:val="00806C6D"/>
    <w:rsid w:val="00806E77"/>
    <w:rsid w:val="00806E97"/>
    <w:rsid w:val="00807051"/>
    <w:rsid w:val="0080735D"/>
    <w:rsid w:val="008074C2"/>
    <w:rsid w:val="00807AAE"/>
    <w:rsid w:val="00807AC6"/>
    <w:rsid w:val="00807BD0"/>
    <w:rsid w:val="00807C30"/>
    <w:rsid w:val="00807D86"/>
    <w:rsid w:val="00807E21"/>
    <w:rsid w:val="00807E47"/>
    <w:rsid w:val="00807FAA"/>
    <w:rsid w:val="00810564"/>
    <w:rsid w:val="008105B5"/>
    <w:rsid w:val="008105D9"/>
    <w:rsid w:val="008105E3"/>
    <w:rsid w:val="00810721"/>
    <w:rsid w:val="0081085F"/>
    <w:rsid w:val="00810979"/>
    <w:rsid w:val="00810B4E"/>
    <w:rsid w:val="00810B83"/>
    <w:rsid w:val="00810D29"/>
    <w:rsid w:val="00810E9F"/>
    <w:rsid w:val="008110B1"/>
    <w:rsid w:val="0081110C"/>
    <w:rsid w:val="008115BC"/>
    <w:rsid w:val="00811612"/>
    <w:rsid w:val="00811B86"/>
    <w:rsid w:val="00811BAE"/>
    <w:rsid w:val="00811CFF"/>
    <w:rsid w:val="008121B9"/>
    <w:rsid w:val="0081220A"/>
    <w:rsid w:val="008123B8"/>
    <w:rsid w:val="00812745"/>
    <w:rsid w:val="0081277F"/>
    <w:rsid w:val="00812954"/>
    <w:rsid w:val="00812B8A"/>
    <w:rsid w:val="00812CD1"/>
    <w:rsid w:val="00812CE2"/>
    <w:rsid w:val="00812EA0"/>
    <w:rsid w:val="00813129"/>
    <w:rsid w:val="00813223"/>
    <w:rsid w:val="008132FF"/>
    <w:rsid w:val="008133B1"/>
    <w:rsid w:val="00813736"/>
    <w:rsid w:val="00813BDF"/>
    <w:rsid w:val="00813F09"/>
    <w:rsid w:val="0081418C"/>
    <w:rsid w:val="00814494"/>
    <w:rsid w:val="0081450E"/>
    <w:rsid w:val="00814556"/>
    <w:rsid w:val="0081469B"/>
    <w:rsid w:val="008146EC"/>
    <w:rsid w:val="008148D8"/>
    <w:rsid w:val="00814B6D"/>
    <w:rsid w:val="00814DE8"/>
    <w:rsid w:val="00814FC3"/>
    <w:rsid w:val="00815333"/>
    <w:rsid w:val="008156DC"/>
    <w:rsid w:val="0081570C"/>
    <w:rsid w:val="00815B6B"/>
    <w:rsid w:val="00815B73"/>
    <w:rsid w:val="00815BF9"/>
    <w:rsid w:val="00815DD6"/>
    <w:rsid w:val="00815E9A"/>
    <w:rsid w:val="00815F09"/>
    <w:rsid w:val="00815FD1"/>
    <w:rsid w:val="00816475"/>
    <w:rsid w:val="008165CB"/>
    <w:rsid w:val="0081662C"/>
    <w:rsid w:val="00816642"/>
    <w:rsid w:val="00816672"/>
    <w:rsid w:val="008167D6"/>
    <w:rsid w:val="00816ECB"/>
    <w:rsid w:val="00816FA9"/>
    <w:rsid w:val="0081703E"/>
    <w:rsid w:val="008170C8"/>
    <w:rsid w:val="00817491"/>
    <w:rsid w:val="00817549"/>
    <w:rsid w:val="008175AC"/>
    <w:rsid w:val="00817670"/>
    <w:rsid w:val="008178D5"/>
    <w:rsid w:val="00817DF7"/>
    <w:rsid w:val="0081B9A7"/>
    <w:rsid w:val="008201F4"/>
    <w:rsid w:val="00820588"/>
    <w:rsid w:val="008206D0"/>
    <w:rsid w:val="00820A5A"/>
    <w:rsid w:val="00820BAC"/>
    <w:rsid w:val="00820E3D"/>
    <w:rsid w:val="00820EE5"/>
    <w:rsid w:val="00821090"/>
    <w:rsid w:val="00821190"/>
    <w:rsid w:val="008212EF"/>
    <w:rsid w:val="008214E1"/>
    <w:rsid w:val="00821959"/>
    <w:rsid w:val="00821AE2"/>
    <w:rsid w:val="00821B9E"/>
    <w:rsid w:val="0082201E"/>
    <w:rsid w:val="008220DA"/>
    <w:rsid w:val="008221DD"/>
    <w:rsid w:val="00822617"/>
    <w:rsid w:val="008226C4"/>
    <w:rsid w:val="00822865"/>
    <w:rsid w:val="0082299F"/>
    <w:rsid w:val="00822A10"/>
    <w:rsid w:val="00822A44"/>
    <w:rsid w:val="00822A78"/>
    <w:rsid w:val="00822EC1"/>
    <w:rsid w:val="00822F1E"/>
    <w:rsid w:val="0082342A"/>
    <w:rsid w:val="008234BD"/>
    <w:rsid w:val="00823603"/>
    <w:rsid w:val="008236DE"/>
    <w:rsid w:val="008238FD"/>
    <w:rsid w:val="00823C4D"/>
    <w:rsid w:val="00823D6C"/>
    <w:rsid w:val="00824093"/>
    <w:rsid w:val="00824240"/>
    <w:rsid w:val="008244CF"/>
    <w:rsid w:val="008246C4"/>
    <w:rsid w:val="00824876"/>
    <w:rsid w:val="00824895"/>
    <w:rsid w:val="00824D43"/>
    <w:rsid w:val="008251A0"/>
    <w:rsid w:val="008252C1"/>
    <w:rsid w:val="008252FA"/>
    <w:rsid w:val="00825A78"/>
    <w:rsid w:val="00825AC8"/>
    <w:rsid w:val="00825EDE"/>
    <w:rsid w:val="008266FE"/>
    <w:rsid w:val="00826A62"/>
    <w:rsid w:val="00826A6B"/>
    <w:rsid w:val="00826BC7"/>
    <w:rsid w:val="00826BF2"/>
    <w:rsid w:val="00826D5C"/>
    <w:rsid w:val="00826DD5"/>
    <w:rsid w:val="00826E8E"/>
    <w:rsid w:val="0082710E"/>
    <w:rsid w:val="00827364"/>
    <w:rsid w:val="008274B6"/>
    <w:rsid w:val="008278E7"/>
    <w:rsid w:val="00827994"/>
    <w:rsid w:val="00827FE9"/>
    <w:rsid w:val="00830083"/>
    <w:rsid w:val="00830284"/>
    <w:rsid w:val="008302F1"/>
    <w:rsid w:val="00830492"/>
    <w:rsid w:val="00830549"/>
    <w:rsid w:val="008305BE"/>
    <w:rsid w:val="008305F3"/>
    <w:rsid w:val="00830680"/>
    <w:rsid w:val="00830689"/>
    <w:rsid w:val="008306FC"/>
    <w:rsid w:val="0083095F"/>
    <w:rsid w:val="008309E0"/>
    <w:rsid w:val="00830A02"/>
    <w:rsid w:val="00830A4A"/>
    <w:rsid w:val="00830EC3"/>
    <w:rsid w:val="00831046"/>
    <w:rsid w:val="008311D7"/>
    <w:rsid w:val="00831375"/>
    <w:rsid w:val="00831634"/>
    <w:rsid w:val="00831664"/>
    <w:rsid w:val="00831822"/>
    <w:rsid w:val="00831853"/>
    <w:rsid w:val="008319B7"/>
    <w:rsid w:val="00831B29"/>
    <w:rsid w:val="00831E4C"/>
    <w:rsid w:val="0083207D"/>
    <w:rsid w:val="008320D9"/>
    <w:rsid w:val="00832152"/>
    <w:rsid w:val="00832310"/>
    <w:rsid w:val="008323B7"/>
    <w:rsid w:val="008323E9"/>
    <w:rsid w:val="008326C3"/>
    <w:rsid w:val="00833038"/>
    <w:rsid w:val="00833370"/>
    <w:rsid w:val="008334E5"/>
    <w:rsid w:val="008336FF"/>
    <w:rsid w:val="00833B49"/>
    <w:rsid w:val="0083405D"/>
    <w:rsid w:val="008344C2"/>
    <w:rsid w:val="00834531"/>
    <w:rsid w:val="00834694"/>
    <w:rsid w:val="00834704"/>
    <w:rsid w:val="00834979"/>
    <w:rsid w:val="00834A8F"/>
    <w:rsid w:val="00834AEA"/>
    <w:rsid w:val="00834C1E"/>
    <w:rsid w:val="00834D25"/>
    <w:rsid w:val="0083514F"/>
    <w:rsid w:val="0083543C"/>
    <w:rsid w:val="0083549B"/>
    <w:rsid w:val="0083553D"/>
    <w:rsid w:val="00835899"/>
    <w:rsid w:val="00835920"/>
    <w:rsid w:val="0083593E"/>
    <w:rsid w:val="00835A84"/>
    <w:rsid w:val="00835B32"/>
    <w:rsid w:val="00835E1D"/>
    <w:rsid w:val="008360BC"/>
    <w:rsid w:val="0083622C"/>
    <w:rsid w:val="008365B1"/>
    <w:rsid w:val="0083687E"/>
    <w:rsid w:val="00836928"/>
    <w:rsid w:val="00836D6E"/>
    <w:rsid w:val="0083720B"/>
    <w:rsid w:val="00837235"/>
    <w:rsid w:val="00837429"/>
    <w:rsid w:val="008375DE"/>
    <w:rsid w:val="00837716"/>
    <w:rsid w:val="00837726"/>
    <w:rsid w:val="008378BE"/>
    <w:rsid w:val="00837D0D"/>
    <w:rsid w:val="00837FB4"/>
    <w:rsid w:val="00840253"/>
    <w:rsid w:val="00840364"/>
    <w:rsid w:val="0084061D"/>
    <w:rsid w:val="00840622"/>
    <w:rsid w:val="00840C17"/>
    <w:rsid w:val="00840EC1"/>
    <w:rsid w:val="00840EDD"/>
    <w:rsid w:val="00840F3C"/>
    <w:rsid w:val="00840F98"/>
    <w:rsid w:val="0084100E"/>
    <w:rsid w:val="0084132A"/>
    <w:rsid w:val="0084161D"/>
    <w:rsid w:val="00841ABC"/>
    <w:rsid w:val="00841C3E"/>
    <w:rsid w:val="00841C76"/>
    <w:rsid w:val="00841DE9"/>
    <w:rsid w:val="00841E95"/>
    <w:rsid w:val="00841FF5"/>
    <w:rsid w:val="00842069"/>
    <w:rsid w:val="008421C9"/>
    <w:rsid w:val="0084225E"/>
    <w:rsid w:val="0084241F"/>
    <w:rsid w:val="00842460"/>
    <w:rsid w:val="0084276D"/>
    <w:rsid w:val="00842789"/>
    <w:rsid w:val="00842908"/>
    <w:rsid w:val="00842A77"/>
    <w:rsid w:val="00842FC4"/>
    <w:rsid w:val="00843084"/>
    <w:rsid w:val="0084382A"/>
    <w:rsid w:val="008438C7"/>
    <w:rsid w:val="00843CAD"/>
    <w:rsid w:val="00843D9C"/>
    <w:rsid w:val="00843ED9"/>
    <w:rsid w:val="00843FD6"/>
    <w:rsid w:val="00844126"/>
    <w:rsid w:val="0084434B"/>
    <w:rsid w:val="00844856"/>
    <w:rsid w:val="008448DC"/>
    <w:rsid w:val="008448DD"/>
    <w:rsid w:val="0084497E"/>
    <w:rsid w:val="00844D72"/>
    <w:rsid w:val="00844E4B"/>
    <w:rsid w:val="008456B3"/>
    <w:rsid w:val="0084570D"/>
    <w:rsid w:val="00845A52"/>
    <w:rsid w:val="00845B38"/>
    <w:rsid w:val="00845D88"/>
    <w:rsid w:val="00845E34"/>
    <w:rsid w:val="00845E69"/>
    <w:rsid w:val="00845EFA"/>
    <w:rsid w:val="008463B2"/>
    <w:rsid w:val="008464E0"/>
    <w:rsid w:val="008464E4"/>
    <w:rsid w:val="0084673A"/>
    <w:rsid w:val="00846AB5"/>
    <w:rsid w:val="00846F87"/>
    <w:rsid w:val="00847183"/>
    <w:rsid w:val="008473C1"/>
    <w:rsid w:val="008473F4"/>
    <w:rsid w:val="00847550"/>
    <w:rsid w:val="00847626"/>
    <w:rsid w:val="00847921"/>
    <w:rsid w:val="00847A6D"/>
    <w:rsid w:val="00847BFF"/>
    <w:rsid w:val="00847DB8"/>
    <w:rsid w:val="00847EFD"/>
    <w:rsid w:val="00847F3D"/>
    <w:rsid w:val="00847FDD"/>
    <w:rsid w:val="0085008D"/>
    <w:rsid w:val="00850272"/>
    <w:rsid w:val="00850301"/>
    <w:rsid w:val="00850357"/>
    <w:rsid w:val="008506E2"/>
    <w:rsid w:val="008507AA"/>
    <w:rsid w:val="008507D3"/>
    <w:rsid w:val="008509D7"/>
    <w:rsid w:val="00850BA3"/>
    <w:rsid w:val="00850F4E"/>
    <w:rsid w:val="00850FCF"/>
    <w:rsid w:val="00851180"/>
    <w:rsid w:val="008511BC"/>
    <w:rsid w:val="00851300"/>
    <w:rsid w:val="00851466"/>
    <w:rsid w:val="008515D8"/>
    <w:rsid w:val="008515E2"/>
    <w:rsid w:val="00851627"/>
    <w:rsid w:val="0085170F"/>
    <w:rsid w:val="0085177F"/>
    <w:rsid w:val="008517C9"/>
    <w:rsid w:val="00851B15"/>
    <w:rsid w:val="00851C91"/>
    <w:rsid w:val="00852061"/>
    <w:rsid w:val="0085223D"/>
    <w:rsid w:val="008523E2"/>
    <w:rsid w:val="0085267D"/>
    <w:rsid w:val="0085267F"/>
    <w:rsid w:val="008528E3"/>
    <w:rsid w:val="00852938"/>
    <w:rsid w:val="00852EB8"/>
    <w:rsid w:val="008530EC"/>
    <w:rsid w:val="0085323C"/>
    <w:rsid w:val="0085331D"/>
    <w:rsid w:val="00853355"/>
    <w:rsid w:val="008535A9"/>
    <w:rsid w:val="00853C6E"/>
    <w:rsid w:val="0085411A"/>
    <w:rsid w:val="00854269"/>
    <w:rsid w:val="00854331"/>
    <w:rsid w:val="0085443E"/>
    <w:rsid w:val="008545D9"/>
    <w:rsid w:val="008549A8"/>
    <w:rsid w:val="008549EC"/>
    <w:rsid w:val="00854BA2"/>
    <w:rsid w:val="008550C5"/>
    <w:rsid w:val="0085514F"/>
    <w:rsid w:val="00855263"/>
    <w:rsid w:val="008552F5"/>
    <w:rsid w:val="008554A0"/>
    <w:rsid w:val="00855617"/>
    <w:rsid w:val="0085567D"/>
    <w:rsid w:val="00855AF6"/>
    <w:rsid w:val="00855CBF"/>
    <w:rsid w:val="008560F4"/>
    <w:rsid w:val="0085616F"/>
    <w:rsid w:val="0085628F"/>
    <w:rsid w:val="008564A0"/>
    <w:rsid w:val="00856509"/>
    <w:rsid w:val="00856646"/>
    <w:rsid w:val="008566C0"/>
    <w:rsid w:val="00857170"/>
    <w:rsid w:val="0085734B"/>
    <w:rsid w:val="00857454"/>
    <w:rsid w:val="00857703"/>
    <w:rsid w:val="00857F9D"/>
    <w:rsid w:val="00860039"/>
    <w:rsid w:val="008600A8"/>
    <w:rsid w:val="008602BC"/>
    <w:rsid w:val="00860386"/>
    <w:rsid w:val="00860627"/>
    <w:rsid w:val="008609EC"/>
    <w:rsid w:val="00860BCA"/>
    <w:rsid w:val="00860F80"/>
    <w:rsid w:val="0086102E"/>
    <w:rsid w:val="008612EF"/>
    <w:rsid w:val="0086159F"/>
    <w:rsid w:val="008615FE"/>
    <w:rsid w:val="00861D23"/>
    <w:rsid w:val="00861F14"/>
    <w:rsid w:val="0086242B"/>
    <w:rsid w:val="00862555"/>
    <w:rsid w:val="00862AC1"/>
    <w:rsid w:val="00862D19"/>
    <w:rsid w:val="00862F67"/>
    <w:rsid w:val="00862F7F"/>
    <w:rsid w:val="0086338E"/>
    <w:rsid w:val="00863582"/>
    <w:rsid w:val="0086359E"/>
    <w:rsid w:val="008636BC"/>
    <w:rsid w:val="00863AF9"/>
    <w:rsid w:val="00863E0B"/>
    <w:rsid w:val="00863E74"/>
    <w:rsid w:val="008642E4"/>
    <w:rsid w:val="00864A0E"/>
    <w:rsid w:val="00864C0F"/>
    <w:rsid w:val="00864DB7"/>
    <w:rsid w:val="00864E88"/>
    <w:rsid w:val="00864F54"/>
    <w:rsid w:val="00865063"/>
    <w:rsid w:val="00865119"/>
    <w:rsid w:val="0086516C"/>
    <w:rsid w:val="00865462"/>
    <w:rsid w:val="00865487"/>
    <w:rsid w:val="008656E0"/>
    <w:rsid w:val="00865CC7"/>
    <w:rsid w:val="00865E87"/>
    <w:rsid w:val="008660BB"/>
    <w:rsid w:val="0086610B"/>
    <w:rsid w:val="00866357"/>
    <w:rsid w:val="0086655B"/>
    <w:rsid w:val="008669AC"/>
    <w:rsid w:val="00866E97"/>
    <w:rsid w:val="0086722D"/>
    <w:rsid w:val="0086725A"/>
    <w:rsid w:val="00867430"/>
    <w:rsid w:val="008674AC"/>
    <w:rsid w:val="00867B09"/>
    <w:rsid w:val="00867C1B"/>
    <w:rsid w:val="00867F12"/>
    <w:rsid w:val="00868611"/>
    <w:rsid w:val="00870275"/>
    <w:rsid w:val="008704DA"/>
    <w:rsid w:val="0087096A"/>
    <w:rsid w:val="00870991"/>
    <w:rsid w:val="008711CD"/>
    <w:rsid w:val="00871324"/>
    <w:rsid w:val="00871469"/>
    <w:rsid w:val="00871473"/>
    <w:rsid w:val="0087166D"/>
    <w:rsid w:val="00871865"/>
    <w:rsid w:val="00871B7A"/>
    <w:rsid w:val="00871C0A"/>
    <w:rsid w:val="00872039"/>
    <w:rsid w:val="00872151"/>
    <w:rsid w:val="008721E5"/>
    <w:rsid w:val="008722CD"/>
    <w:rsid w:val="00872393"/>
    <w:rsid w:val="00872473"/>
    <w:rsid w:val="00872A8F"/>
    <w:rsid w:val="00872ADA"/>
    <w:rsid w:val="00872AE7"/>
    <w:rsid w:val="00872EDD"/>
    <w:rsid w:val="0087322A"/>
    <w:rsid w:val="0087323A"/>
    <w:rsid w:val="00873276"/>
    <w:rsid w:val="0087344F"/>
    <w:rsid w:val="00873685"/>
    <w:rsid w:val="008736A2"/>
    <w:rsid w:val="008738F6"/>
    <w:rsid w:val="00873A6A"/>
    <w:rsid w:val="00873B15"/>
    <w:rsid w:val="00873E33"/>
    <w:rsid w:val="00873E85"/>
    <w:rsid w:val="00873FBA"/>
    <w:rsid w:val="00874021"/>
    <w:rsid w:val="008740B7"/>
    <w:rsid w:val="00874116"/>
    <w:rsid w:val="0087412C"/>
    <w:rsid w:val="00874237"/>
    <w:rsid w:val="00874372"/>
    <w:rsid w:val="008743C5"/>
    <w:rsid w:val="008745AF"/>
    <w:rsid w:val="008746FD"/>
    <w:rsid w:val="00874724"/>
    <w:rsid w:val="00874AE7"/>
    <w:rsid w:val="00874BCD"/>
    <w:rsid w:val="00874E55"/>
    <w:rsid w:val="008752CF"/>
    <w:rsid w:val="008756CF"/>
    <w:rsid w:val="0087570A"/>
    <w:rsid w:val="0087572D"/>
    <w:rsid w:val="008757DB"/>
    <w:rsid w:val="008758C7"/>
    <w:rsid w:val="00875A72"/>
    <w:rsid w:val="00875C69"/>
    <w:rsid w:val="00875D2F"/>
    <w:rsid w:val="0087624B"/>
    <w:rsid w:val="008763BF"/>
    <w:rsid w:val="00876433"/>
    <w:rsid w:val="00876447"/>
    <w:rsid w:val="00876498"/>
    <w:rsid w:val="00876834"/>
    <w:rsid w:val="00876989"/>
    <w:rsid w:val="008769FB"/>
    <w:rsid w:val="00876CB2"/>
    <w:rsid w:val="00876D36"/>
    <w:rsid w:val="00876E44"/>
    <w:rsid w:val="00876FAB"/>
    <w:rsid w:val="00877231"/>
    <w:rsid w:val="0087728A"/>
    <w:rsid w:val="008772D5"/>
    <w:rsid w:val="008773AD"/>
    <w:rsid w:val="008773B9"/>
    <w:rsid w:val="008774C6"/>
    <w:rsid w:val="00877A78"/>
    <w:rsid w:val="00877D6A"/>
    <w:rsid w:val="00877F07"/>
    <w:rsid w:val="00880253"/>
    <w:rsid w:val="0088027F"/>
    <w:rsid w:val="0088060D"/>
    <w:rsid w:val="00880CA4"/>
    <w:rsid w:val="00880CC4"/>
    <w:rsid w:val="008811BF"/>
    <w:rsid w:val="0088129C"/>
    <w:rsid w:val="008812B9"/>
    <w:rsid w:val="008815D4"/>
    <w:rsid w:val="00881662"/>
    <w:rsid w:val="0088177B"/>
    <w:rsid w:val="0088183C"/>
    <w:rsid w:val="00881AAF"/>
    <w:rsid w:val="00881FD7"/>
    <w:rsid w:val="008821BB"/>
    <w:rsid w:val="008824DD"/>
    <w:rsid w:val="008829A9"/>
    <w:rsid w:val="00882DE0"/>
    <w:rsid w:val="00882E1F"/>
    <w:rsid w:val="00883011"/>
    <w:rsid w:val="00883197"/>
    <w:rsid w:val="008832B9"/>
    <w:rsid w:val="008833B0"/>
    <w:rsid w:val="008833C0"/>
    <w:rsid w:val="00883528"/>
    <w:rsid w:val="00883C8A"/>
    <w:rsid w:val="00883E87"/>
    <w:rsid w:val="00883F4B"/>
    <w:rsid w:val="00884038"/>
    <w:rsid w:val="0088413A"/>
    <w:rsid w:val="0088434D"/>
    <w:rsid w:val="00884399"/>
    <w:rsid w:val="00884724"/>
    <w:rsid w:val="00885115"/>
    <w:rsid w:val="008852B1"/>
    <w:rsid w:val="00885393"/>
    <w:rsid w:val="00885584"/>
    <w:rsid w:val="0088616A"/>
    <w:rsid w:val="008861B1"/>
    <w:rsid w:val="00886221"/>
    <w:rsid w:val="0088652B"/>
    <w:rsid w:val="0088661D"/>
    <w:rsid w:val="0088683E"/>
    <w:rsid w:val="0088687C"/>
    <w:rsid w:val="00886884"/>
    <w:rsid w:val="008868A3"/>
    <w:rsid w:val="008869D5"/>
    <w:rsid w:val="00886A8D"/>
    <w:rsid w:val="00886D8C"/>
    <w:rsid w:val="00886E35"/>
    <w:rsid w:val="00886EC7"/>
    <w:rsid w:val="0088711B"/>
    <w:rsid w:val="0088711E"/>
    <w:rsid w:val="0088721F"/>
    <w:rsid w:val="008872A2"/>
    <w:rsid w:val="00887545"/>
    <w:rsid w:val="00887888"/>
    <w:rsid w:val="0088791A"/>
    <w:rsid w:val="00887990"/>
    <w:rsid w:val="008879CE"/>
    <w:rsid w:val="00887AB0"/>
    <w:rsid w:val="00887B76"/>
    <w:rsid w:val="00887C0F"/>
    <w:rsid w:val="00887C91"/>
    <w:rsid w:val="00890053"/>
    <w:rsid w:val="008901EE"/>
    <w:rsid w:val="008902A6"/>
    <w:rsid w:val="008904DF"/>
    <w:rsid w:val="008905F7"/>
    <w:rsid w:val="00890646"/>
    <w:rsid w:val="0089065A"/>
    <w:rsid w:val="008906B1"/>
    <w:rsid w:val="0089083B"/>
    <w:rsid w:val="00890B64"/>
    <w:rsid w:val="00890B71"/>
    <w:rsid w:val="00890BDF"/>
    <w:rsid w:val="00890C36"/>
    <w:rsid w:val="00890D84"/>
    <w:rsid w:val="00890E65"/>
    <w:rsid w:val="0089106D"/>
    <w:rsid w:val="008913FE"/>
    <w:rsid w:val="00891494"/>
    <w:rsid w:val="008917D3"/>
    <w:rsid w:val="00891D6A"/>
    <w:rsid w:val="00892128"/>
    <w:rsid w:val="00892245"/>
    <w:rsid w:val="0089234C"/>
    <w:rsid w:val="008925B5"/>
    <w:rsid w:val="0089277A"/>
    <w:rsid w:val="008928DB"/>
    <w:rsid w:val="00892AB6"/>
    <w:rsid w:val="00892C2D"/>
    <w:rsid w:val="00892C5E"/>
    <w:rsid w:val="00892D6F"/>
    <w:rsid w:val="00892DA8"/>
    <w:rsid w:val="00892F8B"/>
    <w:rsid w:val="0089333E"/>
    <w:rsid w:val="008934F5"/>
    <w:rsid w:val="00893843"/>
    <w:rsid w:val="00893D8F"/>
    <w:rsid w:val="00893F93"/>
    <w:rsid w:val="0089420B"/>
    <w:rsid w:val="00894410"/>
    <w:rsid w:val="008946FD"/>
    <w:rsid w:val="0089480F"/>
    <w:rsid w:val="008948EC"/>
    <w:rsid w:val="00894A91"/>
    <w:rsid w:val="00894D4D"/>
    <w:rsid w:val="00894F5B"/>
    <w:rsid w:val="0089509F"/>
    <w:rsid w:val="0089516C"/>
    <w:rsid w:val="008953CC"/>
    <w:rsid w:val="00895452"/>
    <w:rsid w:val="008954CC"/>
    <w:rsid w:val="0089590A"/>
    <w:rsid w:val="00895B64"/>
    <w:rsid w:val="00895CDD"/>
    <w:rsid w:val="00895E34"/>
    <w:rsid w:val="0089600C"/>
    <w:rsid w:val="008961C7"/>
    <w:rsid w:val="0089626E"/>
    <w:rsid w:val="008962F2"/>
    <w:rsid w:val="0089663C"/>
    <w:rsid w:val="00896940"/>
    <w:rsid w:val="00896E0B"/>
    <w:rsid w:val="00896F35"/>
    <w:rsid w:val="00896FE6"/>
    <w:rsid w:val="00896FF3"/>
    <w:rsid w:val="0089720F"/>
    <w:rsid w:val="00897263"/>
    <w:rsid w:val="008972C9"/>
    <w:rsid w:val="008973DB"/>
    <w:rsid w:val="008977B5"/>
    <w:rsid w:val="008978E4"/>
    <w:rsid w:val="008A0260"/>
    <w:rsid w:val="008A04D3"/>
    <w:rsid w:val="008A05AF"/>
    <w:rsid w:val="008A08A5"/>
    <w:rsid w:val="008A0A5A"/>
    <w:rsid w:val="008A0AA6"/>
    <w:rsid w:val="008A1221"/>
    <w:rsid w:val="008A1454"/>
    <w:rsid w:val="008A191B"/>
    <w:rsid w:val="008A19D7"/>
    <w:rsid w:val="008A22BF"/>
    <w:rsid w:val="008A24E9"/>
    <w:rsid w:val="008A260F"/>
    <w:rsid w:val="008A263D"/>
    <w:rsid w:val="008A26F1"/>
    <w:rsid w:val="008A2911"/>
    <w:rsid w:val="008A2DD6"/>
    <w:rsid w:val="008A2EA0"/>
    <w:rsid w:val="008A2FD7"/>
    <w:rsid w:val="008A329F"/>
    <w:rsid w:val="008A3430"/>
    <w:rsid w:val="008A394E"/>
    <w:rsid w:val="008A3B10"/>
    <w:rsid w:val="008A3B1B"/>
    <w:rsid w:val="008A3E93"/>
    <w:rsid w:val="008A40FE"/>
    <w:rsid w:val="008A422E"/>
    <w:rsid w:val="008A4A75"/>
    <w:rsid w:val="008A4BBB"/>
    <w:rsid w:val="008A52C3"/>
    <w:rsid w:val="008A53B2"/>
    <w:rsid w:val="008A5684"/>
    <w:rsid w:val="008A56B1"/>
    <w:rsid w:val="008A5BB8"/>
    <w:rsid w:val="008A618C"/>
    <w:rsid w:val="008A63B7"/>
    <w:rsid w:val="008A6734"/>
    <w:rsid w:val="008A674C"/>
    <w:rsid w:val="008A69E1"/>
    <w:rsid w:val="008A6B76"/>
    <w:rsid w:val="008A6CEB"/>
    <w:rsid w:val="008A6D7E"/>
    <w:rsid w:val="008A6E14"/>
    <w:rsid w:val="008A6E37"/>
    <w:rsid w:val="008A6ECA"/>
    <w:rsid w:val="008A70BC"/>
    <w:rsid w:val="008A70D1"/>
    <w:rsid w:val="008A7432"/>
    <w:rsid w:val="008A758B"/>
    <w:rsid w:val="008A77F2"/>
    <w:rsid w:val="008A7A09"/>
    <w:rsid w:val="008A7AAA"/>
    <w:rsid w:val="008A7AFE"/>
    <w:rsid w:val="008A7C09"/>
    <w:rsid w:val="008B00B3"/>
    <w:rsid w:val="008B017D"/>
    <w:rsid w:val="008B072F"/>
    <w:rsid w:val="008B0869"/>
    <w:rsid w:val="008B089E"/>
    <w:rsid w:val="008B1019"/>
    <w:rsid w:val="008B141C"/>
    <w:rsid w:val="008B1634"/>
    <w:rsid w:val="008B1704"/>
    <w:rsid w:val="008B176A"/>
    <w:rsid w:val="008B183A"/>
    <w:rsid w:val="008B19A1"/>
    <w:rsid w:val="008B1CBA"/>
    <w:rsid w:val="008B1D15"/>
    <w:rsid w:val="008B20DC"/>
    <w:rsid w:val="008B22F8"/>
    <w:rsid w:val="008B241D"/>
    <w:rsid w:val="008B24D6"/>
    <w:rsid w:val="008B2A43"/>
    <w:rsid w:val="008B2DF2"/>
    <w:rsid w:val="008B2ECF"/>
    <w:rsid w:val="008B321D"/>
    <w:rsid w:val="008B325C"/>
    <w:rsid w:val="008B327F"/>
    <w:rsid w:val="008B33A0"/>
    <w:rsid w:val="008B3A53"/>
    <w:rsid w:val="008B3C02"/>
    <w:rsid w:val="008B3E42"/>
    <w:rsid w:val="008B42CA"/>
    <w:rsid w:val="008B4463"/>
    <w:rsid w:val="008B45BB"/>
    <w:rsid w:val="008B48D7"/>
    <w:rsid w:val="008B4A67"/>
    <w:rsid w:val="008B4B1A"/>
    <w:rsid w:val="008B4B2B"/>
    <w:rsid w:val="008B4E10"/>
    <w:rsid w:val="008B4F52"/>
    <w:rsid w:val="008B5052"/>
    <w:rsid w:val="008B5267"/>
    <w:rsid w:val="008B5405"/>
    <w:rsid w:val="008B554E"/>
    <w:rsid w:val="008B561C"/>
    <w:rsid w:val="008B5940"/>
    <w:rsid w:val="008B5AC9"/>
    <w:rsid w:val="008B5BFB"/>
    <w:rsid w:val="008B5D56"/>
    <w:rsid w:val="008B5FA3"/>
    <w:rsid w:val="008B665D"/>
    <w:rsid w:val="008B66DC"/>
    <w:rsid w:val="008B6A11"/>
    <w:rsid w:val="008B6A69"/>
    <w:rsid w:val="008B704E"/>
    <w:rsid w:val="008B743D"/>
    <w:rsid w:val="008B77BF"/>
    <w:rsid w:val="008B7AE3"/>
    <w:rsid w:val="008B7D86"/>
    <w:rsid w:val="008B7F37"/>
    <w:rsid w:val="008C05F6"/>
    <w:rsid w:val="008C0695"/>
    <w:rsid w:val="008C0717"/>
    <w:rsid w:val="008C0AAD"/>
    <w:rsid w:val="008C0BFC"/>
    <w:rsid w:val="008C0CFE"/>
    <w:rsid w:val="008C0E41"/>
    <w:rsid w:val="008C0E4D"/>
    <w:rsid w:val="008C0FA3"/>
    <w:rsid w:val="008C0FFC"/>
    <w:rsid w:val="008C116B"/>
    <w:rsid w:val="008C124D"/>
    <w:rsid w:val="008C14E4"/>
    <w:rsid w:val="008C1857"/>
    <w:rsid w:val="008C19AE"/>
    <w:rsid w:val="008C1B3A"/>
    <w:rsid w:val="008C1D08"/>
    <w:rsid w:val="008C1D6D"/>
    <w:rsid w:val="008C1F43"/>
    <w:rsid w:val="008C1FBB"/>
    <w:rsid w:val="008C227B"/>
    <w:rsid w:val="008C2963"/>
    <w:rsid w:val="008C29CF"/>
    <w:rsid w:val="008C2A26"/>
    <w:rsid w:val="008C2AF1"/>
    <w:rsid w:val="008C2BF2"/>
    <w:rsid w:val="008C2DE4"/>
    <w:rsid w:val="008C2F2B"/>
    <w:rsid w:val="008C2FB7"/>
    <w:rsid w:val="008C3100"/>
    <w:rsid w:val="008C3118"/>
    <w:rsid w:val="008C31C2"/>
    <w:rsid w:val="008C32AC"/>
    <w:rsid w:val="008C354D"/>
    <w:rsid w:val="008C38C9"/>
    <w:rsid w:val="008C3988"/>
    <w:rsid w:val="008C3B67"/>
    <w:rsid w:val="008C3BAB"/>
    <w:rsid w:val="008C3D90"/>
    <w:rsid w:val="008C3F8B"/>
    <w:rsid w:val="008C4150"/>
    <w:rsid w:val="008C41B4"/>
    <w:rsid w:val="008C42BB"/>
    <w:rsid w:val="008C460E"/>
    <w:rsid w:val="008C4680"/>
    <w:rsid w:val="008C4858"/>
    <w:rsid w:val="008C4876"/>
    <w:rsid w:val="008C4ADB"/>
    <w:rsid w:val="008C4C07"/>
    <w:rsid w:val="008C4CF8"/>
    <w:rsid w:val="008C4E17"/>
    <w:rsid w:val="008C4F43"/>
    <w:rsid w:val="008C50D6"/>
    <w:rsid w:val="008C50EE"/>
    <w:rsid w:val="008C5166"/>
    <w:rsid w:val="008C51E6"/>
    <w:rsid w:val="008C52FF"/>
    <w:rsid w:val="008C56A8"/>
    <w:rsid w:val="008C5832"/>
    <w:rsid w:val="008C5B22"/>
    <w:rsid w:val="008C5C36"/>
    <w:rsid w:val="008C61CB"/>
    <w:rsid w:val="008C62A1"/>
    <w:rsid w:val="008C64E3"/>
    <w:rsid w:val="008C6624"/>
    <w:rsid w:val="008C6726"/>
    <w:rsid w:val="008C6896"/>
    <w:rsid w:val="008C6AD6"/>
    <w:rsid w:val="008C6DC4"/>
    <w:rsid w:val="008C6EA4"/>
    <w:rsid w:val="008C6F4B"/>
    <w:rsid w:val="008C7060"/>
    <w:rsid w:val="008C725A"/>
    <w:rsid w:val="008C73F6"/>
    <w:rsid w:val="008C7881"/>
    <w:rsid w:val="008C7A07"/>
    <w:rsid w:val="008C7E40"/>
    <w:rsid w:val="008C7E68"/>
    <w:rsid w:val="008C7F2D"/>
    <w:rsid w:val="008D02BA"/>
    <w:rsid w:val="008D038F"/>
    <w:rsid w:val="008D04FF"/>
    <w:rsid w:val="008D0642"/>
    <w:rsid w:val="008D09B2"/>
    <w:rsid w:val="008D0B50"/>
    <w:rsid w:val="008D0D9A"/>
    <w:rsid w:val="008D0E94"/>
    <w:rsid w:val="008D0F8F"/>
    <w:rsid w:val="008D0FAC"/>
    <w:rsid w:val="008D1315"/>
    <w:rsid w:val="008D1327"/>
    <w:rsid w:val="008D135D"/>
    <w:rsid w:val="008D13BA"/>
    <w:rsid w:val="008D1632"/>
    <w:rsid w:val="008D17E2"/>
    <w:rsid w:val="008D191E"/>
    <w:rsid w:val="008D1A95"/>
    <w:rsid w:val="008D1DB7"/>
    <w:rsid w:val="008D1E37"/>
    <w:rsid w:val="008D1E85"/>
    <w:rsid w:val="008D1F53"/>
    <w:rsid w:val="008D24E3"/>
    <w:rsid w:val="008D26B6"/>
    <w:rsid w:val="008D293F"/>
    <w:rsid w:val="008D2E35"/>
    <w:rsid w:val="008D333F"/>
    <w:rsid w:val="008D3370"/>
    <w:rsid w:val="008D3449"/>
    <w:rsid w:val="008D35D3"/>
    <w:rsid w:val="008D3AD1"/>
    <w:rsid w:val="008D3C8B"/>
    <w:rsid w:val="008D3E9C"/>
    <w:rsid w:val="008D4111"/>
    <w:rsid w:val="008D4228"/>
    <w:rsid w:val="008D4BD4"/>
    <w:rsid w:val="008D4E1B"/>
    <w:rsid w:val="008D5103"/>
    <w:rsid w:val="008D525F"/>
    <w:rsid w:val="008D56A5"/>
    <w:rsid w:val="008D59B3"/>
    <w:rsid w:val="008D5B3B"/>
    <w:rsid w:val="008D5DC0"/>
    <w:rsid w:val="008D6A9C"/>
    <w:rsid w:val="008D6BF7"/>
    <w:rsid w:val="008D6CE2"/>
    <w:rsid w:val="008D6EC9"/>
    <w:rsid w:val="008D728D"/>
    <w:rsid w:val="008D74C7"/>
    <w:rsid w:val="008D7773"/>
    <w:rsid w:val="008D77E7"/>
    <w:rsid w:val="008D7900"/>
    <w:rsid w:val="008D79C5"/>
    <w:rsid w:val="008D7B4D"/>
    <w:rsid w:val="008D7C2F"/>
    <w:rsid w:val="008E003C"/>
    <w:rsid w:val="008E00DC"/>
    <w:rsid w:val="008E015B"/>
    <w:rsid w:val="008E0504"/>
    <w:rsid w:val="008E05D4"/>
    <w:rsid w:val="008E0969"/>
    <w:rsid w:val="008E0E98"/>
    <w:rsid w:val="008E0FC5"/>
    <w:rsid w:val="008E11B1"/>
    <w:rsid w:val="008E16F6"/>
    <w:rsid w:val="008E1A5D"/>
    <w:rsid w:val="008E1B4C"/>
    <w:rsid w:val="008E1C11"/>
    <w:rsid w:val="008E2325"/>
    <w:rsid w:val="008E236C"/>
    <w:rsid w:val="008E249D"/>
    <w:rsid w:val="008E25E3"/>
    <w:rsid w:val="008E29A0"/>
    <w:rsid w:val="008E2BE3"/>
    <w:rsid w:val="008E2BF8"/>
    <w:rsid w:val="008E2DC9"/>
    <w:rsid w:val="008E329A"/>
    <w:rsid w:val="008E3D30"/>
    <w:rsid w:val="008E3DF1"/>
    <w:rsid w:val="008E41CA"/>
    <w:rsid w:val="008E4688"/>
    <w:rsid w:val="008E46B5"/>
    <w:rsid w:val="008E49AB"/>
    <w:rsid w:val="008E4A86"/>
    <w:rsid w:val="008E4CB8"/>
    <w:rsid w:val="008E4CF7"/>
    <w:rsid w:val="008E4E17"/>
    <w:rsid w:val="008E4EF6"/>
    <w:rsid w:val="008E5074"/>
    <w:rsid w:val="008E5542"/>
    <w:rsid w:val="008E57DF"/>
    <w:rsid w:val="008E58D8"/>
    <w:rsid w:val="008E5B2A"/>
    <w:rsid w:val="008E5B73"/>
    <w:rsid w:val="008E5BA5"/>
    <w:rsid w:val="008E5BCC"/>
    <w:rsid w:val="008E5C07"/>
    <w:rsid w:val="008E5CFC"/>
    <w:rsid w:val="008E5FB3"/>
    <w:rsid w:val="008E61B0"/>
    <w:rsid w:val="008E65D9"/>
    <w:rsid w:val="008E678F"/>
    <w:rsid w:val="008E7B69"/>
    <w:rsid w:val="008E7C38"/>
    <w:rsid w:val="008E7DBD"/>
    <w:rsid w:val="008E7ED6"/>
    <w:rsid w:val="008F00EE"/>
    <w:rsid w:val="008F01ED"/>
    <w:rsid w:val="008F0400"/>
    <w:rsid w:val="008F0877"/>
    <w:rsid w:val="008F090D"/>
    <w:rsid w:val="008F096E"/>
    <w:rsid w:val="008F0A11"/>
    <w:rsid w:val="008F0C6F"/>
    <w:rsid w:val="008F0CCE"/>
    <w:rsid w:val="008F0D17"/>
    <w:rsid w:val="008F0E8E"/>
    <w:rsid w:val="008F111F"/>
    <w:rsid w:val="008F12B0"/>
    <w:rsid w:val="008F1349"/>
    <w:rsid w:val="008F13A3"/>
    <w:rsid w:val="008F15C9"/>
    <w:rsid w:val="008F21F4"/>
    <w:rsid w:val="008F2274"/>
    <w:rsid w:val="008F22D1"/>
    <w:rsid w:val="008F2346"/>
    <w:rsid w:val="008F2731"/>
    <w:rsid w:val="008F295C"/>
    <w:rsid w:val="008F2CD8"/>
    <w:rsid w:val="008F3279"/>
    <w:rsid w:val="008F34E3"/>
    <w:rsid w:val="008F351E"/>
    <w:rsid w:val="008F3899"/>
    <w:rsid w:val="008F3EB7"/>
    <w:rsid w:val="008F4018"/>
    <w:rsid w:val="008F4044"/>
    <w:rsid w:val="008F40E5"/>
    <w:rsid w:val="008F420D"/>
    <w:rsid w:val="008F4440"/>
    <w:rsid w:val="008F44B6"/>
    <w:rsid w:val="008F45FA"/>
    <w:rsid w:val="008F46D7"/>
    <w:rsid w:val="008F47C1"/>
    <w:rsid w:val="008F4863"/>
    <w:rsid w:val="008F4911"/>
    <w:rsid w:val="008F49A8"/>
    <w:rsid w:val="008F4A1C"/>
    <w:rsid w:val="008F4DEA"/>
    <w:rsid w:val="008F5004"/>
    <w:rsid w:val="008F5533"/>
    <w:rsid w:val="008F58CC"/>
    <w:rsid w:val="008F5928"/>
    <w:rsid w:val="008F5AC9"/>
    <w:rsid w:val="008F5C58"/>
    <w:rsid w:val="008F5FFE"/>
    <w:rsid w:val="008F6092"/>
    <w:rsid w:val="008F6254"/>
    <w:rsid w:val="008F6534"/>
    <w:rsid w:val="008F661F"/>
    <w:rsid w:val="008F66CB"/>
    <w:rsid w:val="008F68FE"/>
    <w:rsid w:val="008F69C0"/>
    <w:rsid w:val="008F6B04"/>
    <w:rsid w:val="008F6DCB"/>
    <w:rsid w:val="008F717A"/>
    <w:rsid w:val="008F71EA"/>
    <w:rsid w:val="008F73FA"/>
    <w:rsid w:val="008F7DA1"/>
    <w:rsid w:val="009009F2"/>
    <w:rsid w:val="00900B88"/>
    <w:rsid w:val="00900FC2"/>
    <w:rsid w:val="00901126"/>
    <w:rsid w:val="009011B6"/>
    <w:rsid w:val="009015C6"/>
    <w:rsid w:val="00901A20"/>
    <w:rsid w:val="00901BAD"/>
    <w:rsid w:val="00901D97"/>
    <w:rsid w:val="00901EEA"/>
    <w:rsid w:val="0090212B"/>
    <w:rsid w:val="00902394"/>
    <w:rsid w:val="0090256F"/>
    <w:rsid w:val="00902644"/>
    <w:rsid w:val="00902756"/>
    <w:rsid w:val="00902DB6"/>
    <w:rsid w:val="00902E4D"/>
    <w:rsid w:val="009030F0"/>
    <w:rsid w:val="00903138"/>
    <w:rsid w:val="00903A8F"/>
    <w:rsid w:val="00903BF6"/>
    <w:rsid w:val="00903EFD"/>
    <w:rsid w:val="00903F00"/>
    <w:rsid w:val="00903F53"/>
    <w:rsid w:val="00903F55"/>
    <w:rsid w:val="0090414A"/>
    <w:rsid w:val="0090415C"/>
    <w:rsid w:val="0090422C"/>
    <w:rsid w:val="009044AF"/>
    <w:rsid w:val="0090465F"/>
    <w:rsid w:val="00904726"/>
    <w:rsid w:val="00904875"/>
    <w:rsid w:val="00904959"/>
    <w:rsid w:val="0090495A"/>
    <w:rsid w:val="0090495F"/>
    <w:rsid w:val="00904CE0"/>
    <w:rsid w:val="00904D8F"/>
    <w:rsid w:val="00905372"/>
    <w:rsid w:val="00905856"/>
    <w:rsid w:val="00905888"/>
    <w:rsid w:val="00905934"/>
    <w:rsid w:val="00905B67"/>
    <w:rsid w:val="00905FD7"/>
    <w:rsid w:val="00905FEA"/>
    <w:rsid w:val="0090606A"/>
    <w:rsid w:val="009062D3"/>
    <w:rsid w:val="00906325"/>
    <w:rsid w:val="009067BA"/>
    <w:rsid w:val="009068B0"/>
    <w:rsid w:val="00906D45"/>
    <w:rsid w:val="009070B6"/>
    <w:rsid w:val="00907319"/>
    <w:rsid w:val="00907426"/>
    <w:rsid w:val="00907938"/>
    <w:rsid w:val="00907B85"/>
    <w:rsid w:val="00907C47"/>
    <w:rsid w:val="00907DDB"/>
    <w:rsid w:val="00907E9E"/>
    <w:rsid w:val="00910358"/>
    <w:rsid w:val="009103A0"/>
    <w:rsid w:val="009107C5"/>
    <w:rsid w:val="00910873"/>
    <w:rsid w:val="00910954"/>
    <w:rsid w:val="00910B93"/>
    <w:rsid w:val="00910F96"/>
    <w:rsid w:val="009110AA"/>
    <w:rsid w:val="0091125C"/>
    <w:rsid w:val="009112C7"/>
    <w:rsid w:val="00911323"/>
    <w:rsid w:val="00911433"/>
    <w:rsid w:val="00911467"/>
    <w:rsid w:val="00911691"/>
    <w:rsid w:val="00911834"/>
    <w:rsid w:val="00911867"/>
    <w:rsid w:val="009118F9"/>
    <w:rsid w:val="0091191D"/>
    <w:rsid w:val="00911A1D"/>
    <w:rsid w:val="00911BEA"/>
    <w:rsid w:val="00911F56"/>
    <w:rsid w:val="00912423"/>
    <w:rsid w:val="00912781"/>
    <w:rsid w:val="00912B7A"/>
    <w:rsid w:val="00912D13"/>
    <w:rsid w:val="00912D1A"/>
    <w:rsid w:val="00912D79"/>
    <w:rsid w:val="00912EF0"/>
    <w:rsid w:val="00912F1B"/>
    <w:rsid w:val="0091333F"/>
    <w:rsid w:val="00913408"/>
    <w:rsid w:val="00913489"/>
    <w:rsid w:val="009136FF"/>
    <w:rsid w:val="00913825"/>
    <w:rsid w:val="00913B6F"/>
    <w:rsid w:val="00913C3F"/>
    <w:rsid w:val="00913F14"/>
    <w:rsid w:val="009140B6"/>
    <w:rsid w:val="00914168"/>
    <w:rsid w:val="00914185"/>
    <w:rsid w:val="0091430B"/>
    <w:rsid w:val="0091438A"/>
    <w:rsid w:val="0091451A"/>
    <w:rsid w:val="009152C1"/>
    <w:rsid w:val="00915596"/>
    <w:rsid w:val="00915621"/>
    <w:rsid w:val="00915840"/>
    <w:rsid w:val="0091584A"/>
    <w:rsid w:val="00915983"/>
    <w:rsid w:val="00915AA7"/>
    <w:rsid w:val="00915BB4"/>
    <w:rsid w:val="00915C03"/>
    <w:rsid w:val="00915C3F"/>
    <w:rsid w:val="00915F47"/>
    <w:rsid w:val="009163A9"/>
    <w:rsid w:val="00916610"/>
    <w:rsid w:val="0091694D"/>
    <w:rsid w:val="00916ADF"/>
    <w:rsid w:val="00916C12"/>
    <w:rsid w:val="00916C97"/>
    <w:rsid w:val="00916D18"/>
    <w:rsid w:val="00916F32"/>
    <w:rsid w:val="009170E2"/>
    <w:rsid w:val="009171DD"/>
    <w:rsid w:val="009172D8"/>
    <w:rsid w:val="00917382"/>
    <w:rsid w:val="0091758D"/>
    <w:rsid w:val="009179F4"/>
    <w:rsid w:val="00917A56"/>
    <w:rsid w:val="00917B52"/>
    <w:rsid w:val="00917DAC"/>
    <w:rsid w:val="00917F58"/>
    <w:rsid w:val="009204D5"/>
    <w:rsid w:val="00920539"/>
    <w:rsid w:val="0092058E"/>
    <w:rsid w:val="009205A6"/>
    <w:rsid w:val="00920A82"/>
    <w:rsid w:val="00920BDB"/>
    <w:rsid w:val="00920DF2"/>
    <w:rsid w:val="00920E5A"/>
    <w:rsid w:val="00920F47"/>
    <w:rsid w:val="00920FE2"/>
    <w:rsid w:val="009210DD"/>
    <w:rsid w:val="009211B3"/>
    <w:rsid w:val="00921383"/>
    <w:rsid w:val="009214AE"/>
    <w:rsid w:val="0092158E"/>
    <w:rsid w:val="0092181C"/>
    <w:rsid w:val="00921A65"/>
    <w:rsid w:val="00921E2E"/>
    <w:rsid w:val="0092206F"/>
    <w:rsid w:val="009221F9"/>
    <w:rsid w:val="009223FC"/>
    <w:rsid w:val="009225AF"/>
    <w:rsid w:val="0092286D"/>
    <w:rsid w:val="009229F0"/>
    <w:rsid w:val="00922A84"/>
    <w:rsid w:val="00922CB7"/>
    <w:rsid w:val="00922E5F"/>
    <w:rsid w:val="0092313E"/>
    <w:rsid w:val="00923534"/>
    <w:rsid w:val="009235B8"/>
    <w:rsid w:val="009235D6"/>
    <w:rsid w:val="009237F5"/>
    <w:rsid w:val="009238D4"/>
    <w:rsid w:val="00923E3A"/>
    <w:rsid w:val="0092427E"/>
    <w:rsid w:val="009242E6"/>
    <w:rsid w:val="009243D1"/>
    <w:rsid w:val="00924421"/>
    <w:rsid w:val="009244AD"/>
    <w:rsid w:val="0092470B"/>
    <w:rsid w:val="0092482D"/>
    <w:rsid w:val="00924844"/>
    <w:rsid w:val="00924AA9"/>
    <w:rsid w:val="00924B25"/>
    <w:rsid w:val="00924CC3"/>
    <w:rsid w:val="009250E9"/>
    <w:rsid w:val="00925159"/>
    <w:rsid w:val="0092550B"/>
    <w:rsid w:val="009255C7"/>
    <w:rsid w:val="00925667"/>
    <w:rsid w:val="009257D2"/>
    <w:rsid w:val="00925858"/>
    <w:rsid w:val="009258E4"/>
    <w:rsid w:val="00925BB8"/>
    <w:rsid w:val="00925BCC"/>
    <w:rsid w:val="00925F61"/>
    <w:rsid w:val="009262D0"/>
    <w:rsid w:val="0092635A"/>
    <w:rsid w:val="0092642F"/>
    <w:rsid w:val="00926E25"/>
    <w:rsid w:val="00926ED4"/>
    <w:rsid w:val="00927090"/>
    <w:rsid w:val="009271CD"/>
    <w:rsid w:val="009272A1"/>
    <w:rsid w:val="0092759C"/>
    <w:rsid w:val="009275D7"/>
    <w:rsid w:val="009276F5"/>
    <w:rsid w:val="00930527"/>
    <w:rsid w:val="00930528"/>
    <w:rsid w:val="009305EF"/>
    <w:rsid w:val="009307E1"/>
    <w:rsid w:val="0093099A"/>
    <w:rsid w:val="009311D8"/>
    <w:rsid w:val="0093146C"/>
    <w:rsid w:val="0093188A"/>
    <w:rsid w:val="00931A81"/>
    <w:rsid w:val="00931CF7"/>
    <w:rsid w:val="00931DFD"/>
    <w:rsid w:val="00931FFD"/>
    <w:rsid w:val="00932034"/>
    <w:rsid w:val="009320E4"/>
    <w:rsid w:val="00932378"/>
    <w:rsid w:val="0093237D"/>
    <w:rsid w:val="00932406"/>
    <w:rsid w:val="00932492"/>
    <w:rsid w:val="009325A9"/>
    <w:rsid w:val="00932BBB"/>
    <w:rsid w:val="009331D9"/>
    <w:rsid w:val="00933391"/>
    <w:rsid w:val="0093351A"/>
    <w:rsid w:val="00933810"/>
    <w:rsid w:val="00933BDF"/>
    <w:rsid w:val="00933CD5"/>
    <w:rsid w:val="00933D9B"/>
    <w:rsid w:val="00933E4F"/>
    <w:rsid w:val="00934023"/>
    <w:rsid w:val="0093407B"/>
    <w:rsid w:val="0093419A"/>
    <w:rsid w:val="009341EB"/>
    <w:rsid w:val="00934562"/>
    <w:rsid w:val="0093459C"/>
    <w:rsid w:val="009345D0"/>
    <w:rsid w:val="0093460B"/>
    <w:rsid w:val="00934D5D"/>
    <w:rsid w:val="00934EE7"/>
    <w:rsid w:val="0093501F"/>
    <w:rsid w:val="00935179"/>
    <w:rsid w:val="00935360"/>
    <w:rsid w:val="0093554A"/>
    <w:rsid w:val="009355AA"/>
    <w:rsid w:val="009357E6"/>
    <w:rsid w:val="00935A34"/>
    <w:rsid w:val="009360C5"/>
    <w:rsid w:val="0093610F"/>
    <w:rsid w:val="00936188"/>
    <w:rsid w:val="00936352"/>
    <w:rsid w:val="0093696F"/>
    <w:rsid w:val="00936D4A"/>
    <w:rsid w:val="00936D9B"/>
    <w:rsid w:val="00937195"/>
    <w:rsid w:val="009378C1"/>
    <w:rsid w:val="00937BAF"/>
    <w:rsid w:val="00937D79"/>
    <w:rsid w:val="00937DB0"/>
    <w:rsid w:val="0093DA02"/>
    <w:rsid w:val="0094032A"/>
    <w:rsid w:val="009405CB"/>
    <w:rsid w:val="00940616"/>
    <w:rsid w:val="00940967"/>
    <w:rsid w:val="00940DC1"/>
    <w:rsid w:val="00940DFA"/>
    <w:rsid w:val="00940F30"/>
    <w:rsid w:val="00940FF3"/>
    <w:rsid w:val="00941369"/>
    <w:rsid w:val="00941622"/>
    <w:rsid w:val="0094163E"/>
    <w:rsid w:val="0094179C"/>
    <w:rsid w:val="00941877"/>
    <w:rsid w:val="0094189B"/>
    <w:rsid w:val="0094190E"/>
    <w:rsid w:val="00941C48"/>
    <w:rsid w:val="00941D03"/>
    <w:rsid w:val="00941DFC"/>
    <w:rsid w:val="009421C0"/>
    <w:rsid w:val="009424FB"/>
    <w:rsid w:val="00942527"/>
    <w:rsid w:val="0094264D"/>
    <w:rsid w:val="00942994"/>
    <w:rsid w:val="00942BD2"/>
    <w:rsid w:val="00942D13"/>
    <w:rsid w:val="009438DD"/>
    <w:rsid w:val="00943923"/>
    <w:rsid w:val="00943980"/>
    <w:rsid w:val="00943A35"/>
    <w:rsid w:val="00943BF4"/>
    <w:rsid w:val="009440AB"/>
    <w:rsid w:val="00944192"/>
    <w:rsid w:val="009444B8"/>
    <w:rsid w:val="00944773"/>
    <w:rsid w:val="009448D1"/>
    <w:rsid w:val="009449F0"/>
    <w:rsid w:val="00944B25"/>
    <w:rsid w:val="009454A1"/>
    <w:rsid w:val="00945B54"/>
    <w:rsid w:val="00945E38"/>
    <w:rsid w:val="00946167"/>
    <w:rsid w:val="009462F2"/>
    <w:rsid w:val="00946432"/>
    <w:rsid w:val="009464B0"/>
    <w:rsid w:val="00946576"/>
    <w:rsid w:val="0094692C"/>
    <w:rsid w:val="00946959"/>
    <w:rsid w:val="00946AB1"/>
    <w:rsid w:val="00946DB8"/>
    <w:rsid w:val="00947087"/>
    <w:rsid w:val="00947226"/>
    <w:rsid w:val="0094727A"/>
    <w:rsid w:val="009473DE"/>
    <w:rsid w:val="009473E6"/>
    <w:rsid w:val="00947A53"/>
    <w:rsid w:val="00947B29"/>
    <w:rsid w:val="00947DCB"/>
    <w:rsid w:val="00947EDD"/>
    <w:rsid w:val="009504C3"/>
    <w:rsid w:val="009506E1"/>
    <w:rsid w:val="00950864"/>
    <w:rsid w:val="00950963"/>
    <w:rsid w:val="00950A8C"/>
    <w:rsid w:val="00950AC5"/>
    <w:rsid w:val="00950B68"/>
    <w:rsid w:val="00950C91"/>
    <w:rsid w:val="00950ED2"/>
    <w:rsid w:val="00951824"/>
    <w:rsid w:val="00951A54"/>
    <w:rsid w:val="00951B81"/>
    <w:rsid w:val="00951BE2"/>
    <w:rsid w:val="00951E2D"/>
    <w:rsid w:val="00951FC9"/>
    <w:rsid w:val="009523C2"/>
    <w:rsid w:val="00952A48"/>
    <w:rsid w:val="00952A5A"/>
    <w:rsid w:val="00952AA5"/>
    <w:rsid w:val="00952AC9"/>
    <w:rsid w:val="00952DB0"/>
    <w:rsid w:val="0095303C"/>
    <w:rsid w:val="009533DF"/>
    <w:rsid w:val="00953A71"/>
    <w:rsid w:val="00953B7A"/>
    <w:rsid w:val="00953DC6"/>
    <w:rsid w:val="00953E09"/>
    <w:rsid w:val="00953FE3"/>
    <w:rsid w:val="009541A1"/>
    <w:rsid w:val="009543D3"/>
    <w:rsid w:val="009543E3"/>
    <w:rsid w:val="00954428"/>
    <w:rsid w:val="009549EC"/>
    <w:rsid w:val="00954B5E"/>
    <w:rsid w:val="00954C6C"/>
    <w:rsid w:val="00954D75"/>
    <w:rsid w:val="00954E74"/>
    <w:rsid w:val="009550D2"/>
    <w:rsid w:val="00955119"/>
    <w:rsid w:val="00955276"/>
    <w:rsid w:val="00955290"/>
    <w:rsid w:val="009552D0"/>
    <w:rsid w:val="00955356"/>
    <w:rsid w:val="0095567A"/>
    <w:rsid w:val="0095574C"/>
    <w:rsid w:val="00955825"/>
    <w:rsid w:val="0095598D"/>
    <w:rsid w:val="00955AA8"/>
    <w:rsid w:val="00955D5E"/>
    <w:rsid w:val="00955DE7"/>
    <w:rsid w:val="00955DF5"/>
    <w:rsid w:val="00956070"/>
    <w:rsid w:val="009563DC"/>
    <w:rsid w:val="009568BB"/>
    <w:rsid w:val="0095693A"/>
    <w:rsid w:val="0095695B"/>
    <w:rsid w:val="00956F3B"/>
    <w:rsid w:val="009570D3"/>
    <w:rsid w:val="00957382"/>
    <w:rsid w:val="009576FB"/>
    <w:rsid w:val="009577FE"/>
    <w:rsid w:val="009579E1"/>
    <w:rsid w:val="00957E41"/>
    <w:rsid w:val="00957F49"/>
    <w:rsid w:val="00960701"/>
    <w:rsid w:val="0096096A"/>
    <w:rsid w:val="00960B25"/>
    <w:rsid w:val="00960FC0"/>
    <w:rsid w:val="00961501"/>
    <w:rsid w:val="00961509"/>
    <w:rsid w:val="0096151E"/>
    <w:rsid w:val="009615D2"/>
    <w:rsid w:val="00961932"/>
    <w:rsid w:val="0096197A"/>
    <w:rsid w:val="00961AE3"/>
    <w:rsid w:val="00961B76"/>
    <w:rsid w:val="00961E1F"/>
    <w:rsid w:val="0096218F"/>
    <w:rsid w:val="009621BA"/>
    <w:rsid w:val="00962287"/>
    <w:rsid w:val="00962356"/>
    <w:rsid w:val="0096249C"/>
    <w:rsid w:val="009624CC"/>
    <w:rsid w:val="00962684"/>
    <w:rsid w:val="009626C9"/>
    <w:rsid w:val="00962742"/>
    <w:rsid w:val="009628CC"/>
    <w:rsid w:val="00962B7E"/>
    <w:rsid w:val="00962E8D"/>
    <w:rsid w:val="00963320"/>
    <w:rsid w:val="0096371D"/>
    <w:rsid w:val="00963764"/>
    <w:rsid w:val="00963842"/>
    <w:rsid w:val="0096399E"/>
    <w:rsid w:val="00963D1F"/>
    <w:rsid w:val="009640BE"/>
    <w:rsid w:val="00964103"/>
    <w:rsid w:val="009641B7"/>
    <w:rsid w:val="009642A3"/>
    <w:rsid w:val="0096436A"/>
    <w:rsid w:val="009644CE"/>
    <w:rsid w:val="009645C2"/>
    <w:rsid w:val="00964814"/>
    <w:rsid w:val="00964AB3"/>
    <w:rsid w:val="00964D39"/>
    <w:rsid w:val="00964D59"/>
    <w:rsid w:val="00964D72"/>
    <w:rsid w:val="00964EEA"/>
    <w:rsid w:val="0096511A"/>
    <w:rsid w:val="0096517A"/>
    <w:rsid w:val="009655DC"/>
    <w:rsid w:val="00965F29"/>
    <w:rsid w:val="009660DC"/>
    <w:rsid w:val="009665BD"/>
    <w:rsid w:val="00966B80"/>
    <w:rsid w:val="00966C2B"/>
    <w:rsid w:val="00966C97"/>
    <w:rsid w:val="00966CE4"/>
    <w:rsid w:val="009670A3"/>
    <w:rsid w:val="009674CC"/>
    <w:rsid w:val="009675C4"/>
    <w:rsid w:val="00967CDC"/>
    <w:rsid w:val="00967D6D"/>
    <w:rsid w:val="0097005E"/>
    <w:rsid w:val="00970162"/>
    <w:rsid w:val="0097097C"/>
    <w:rsid w:val="00970F35"/>
    <w:rsid w:val="00971050"/>
    <w:rsid w:val="00971145"/>
    <w:rsid w:val="00971630"/>
    <w:rsid w:val="00971B19"/>
    <w:rsid w:val="00971ED6"/>
    <w:rsid w:val="0097216E"/>
    <w:rsid w:val="00972405"/>
    <w:rsid w:val="009728CE"/>
    <w:rsid w:val="00972979"/>
    <w:rsid w:val="009729FB"/>
    <w:rsid w:val="00972AB1"/>
    <w:rsid w:val="00972C80"/>
    <w:rsid w:val="00972D07"/>
    <w:rsid w:val="00972DA0"/>
    <w:rsid w:val="00972E32"/>
    <w:rsid w:val="00972FAA"/>
    <w:rsid w:val="0097316B"/>
    <w:rsid w:val="009732ED"/>
    <w:rsid w:val="009733AC"/>
    <w:rsid w:val="00973663"/>
    <w:rsid w:val="00973C70"/>
    <w:rsid w:val="00973CDB"/>
    <w:rsid w:val="00973D11"/>
    <w:rsid w:val="00973EF8"/>
    <w:rsid w:val="00973F57"/>
    <w:rsid w:val="00973FD9"/>
    <w:rsid w:val="009749CE"/>
    <w:rsid w:val="0097513E"/>
    <w:rsid w:val="0097544D"/>
    <w:rsid w:val="00975BE5"/>
    <w:rsid w:val="00975C65"/>
    <w:rsid w:val="00975E8C"/>
    <w:rsid w:val="0097607E"/>
    <w:rsid w:val="0097609E"/>
    <w:rsid w:val="009761A4"/>
    <w:rsid w:val="00976716"/>
    <w:rsid w:val="009767FA"/>
    <w:rsid w:val="00976AFA"/>
    <w:rsid w:val="00976E20"/>
    <w:rsid w:val="00976F1C"/>
    <w:rsid w:val="00976F23"/>
    <w:rsid w:val="00976F79"/>
    <w:rsid w:val="00977004"/>
    <w:rsid w:val="00977174"/>
    <w:rsid w:val="009771A9"/>
    <w:rsid w:val="0097754F"/>
    <w:rsid w:val="009779F8"/>
    <w:rsid w:val="00977ADC"/>
    <w:rsid w:val="00977BDB"/>
    <w:rsid w:val="00977C37"/>
    <w:rsid w:val="00977C9F"/>
    <w:rsid w:val="00977CD6"/>
    <w:rsid w:val="0098019B"/>
    <w:rsid w:val="00980383"/>
    <w:rsid w:val="009803C7"/>
    <w:rsid w:val="00980572"/>
    <w:rsid w:val="00980587"/>
    <w:rsid w:val="00980C61"/>
    <w:rsid w:val="00980DB7"/>
    <w:rsid w:val="00980FD6"/>
    <w:rsid w:val="0098104C"/>
    <w:rsid w:val="00981293"/>
    <w:rsid w:val="00981737"/>
    <w:rsid w:val="00981A4F"/>
    <w:rsid w:val="00981D57"/>
    <w:rsid w:val="00981E12"/>
    <w:rsid w:val="0098201B"/>
    <w:rsid w:val="00982593"/>
    <w:rsid w:val="0098290E"/>
    <w:rsid w:val="00982E01"/>
    <w:rsid w:val="00982E59"/>
    <w:rsid w:val="009830C5"/>
    <w:rsid w:val="009834E1"/>
    <w:rsid w:val="00983AA3"/>
    <w:rsid w:val="00983C9E"/>
    <w:rsid w:val="00983F3F"/>
    <w:rsid w:val="009840AE"/>
    <w:rsid w:val="009841FB"/>
    <w:rsid w:val="00984439"/>
    <w:rsid w:val="00984560"/>
    <w:rsid w:val="00984EA1"/>
    <w:rsid w:val="00984EF7"/>
    <w:rsid w:val="00984F14"/>
    <w:rsid w:val="009851E1"/>
    <w:rsid w:val="0098545D"/>
    <w:rsid w:val="0098555B"/>
    <w:rsid w:val="009855CB"/>
    <w:rsid w:val="00985A30"/>
    <w:rsid w:val="00985B67"/>
    <w:rsid w:val="00985BE8"/>
    <w:rsid w:val="00985E75"/>
    <w:rsid w:val="009860E5"/>
    <w:rsid w:val="0098620A"/>
    <w:rsid w:val="00986382"/>
    <w:rsid w:val="00986437"/>
    <w:rsid w:val="0098662E"/>
    <w:rsid w:val="00986668"/>
    <w:rsid w:val="009866C5"/>
    <w:rsid w:val="00986791"/>
    <w:rsid w:val="00986B57"/>
    <w:rsid w:val="00986C85"/>
    <w:rsid w:val="00986E17"/>
    <w:rsid w:val="00986E94"/>
    <w:rsid w:val="009871B3"/>
    <w:rsid w:val="009871F3"/>
    <w:rsid w:val="009872A9"/>
    <w:rsid w:val="00987572"/>
    <w:rsid w:val="00987726"/>
    <w:rsid w:val="009877DD"/>
    <w:rsid w:val="00987A69"/>
    <w:rsid w:val="00987A89"/>
    <w:rsid w:val="00987C5F"/>
    <w:rsid w:val="00987C84"/>
    <w:rsid w:val="00987C9E"/>
    <w:rsid w:val="00990156"/>
    <w:rsid w:val="00990374"/>
    <w:rsid w:val="00990617"/>
    <w:rsid w:val="00990730"/>
    <w:rsid w:val="00990D42"/>
    <w:rsid w:val="00990E60"/>
    <w:rsid w:val="00991313"/>
    <w:rsid w:val="00991442"/>
    <w:rsid w:val="00991667"/>
    <w:rsid w:val="0099177F"/>
    <w:rsid w:val="0099194D"/>
    <w:rsid w:val="00991E50"/>
    <w:rsid w:val="00991F4A"/>
    <w:rsid w:val="00991FF6"/>
    <w:rsid w:val="009920BC"/>
    <w:rsid w:val="00992420"/>
    <w:rsid w:val="00992464"/>
    <w:rsid w:val="00992790"/>
    <w:rsid w:val="00992866"/>
    <w:rsid w:val="00992970"/>
    <w:rsid w:val="00992B3D"/>
    <w:rsid w:val="00992B96"/>
    <w:rsid w:val="00992D8A"/>
    <w:rsid w:val="00992E2B"/>
    <w:rsid w:val="00992E40"/>
    <w:rsid w:val="00992E97"/>
    <w:rsid w:val="009933F9"/>
    <w:rsid w:val="0099368D"/>
    <w:rsid w:val="00993998"/>
    <w:rsid w:val="00993BA5"/>
    <w:rsid w:val="00993F02"/>
    <w:rsid w:val="00993F06"/>
    <w:rsid w:val="00993F70"/>
    <w:rsid w:val="0099423F"/>
    <w:rsid w:val="00994284"/>
    <w:rsid w:val="00994388"/>
    <w:rsid w:val="009944D5"/>
    <w:rsid w:val="009947AC"/>
    <w:rsid w:val="00994D2D"/>
    <w:rsid w:val="00994DA5"/>
    <w:rsid w:val="00994DDA"/>
    <w:rsid w:val="00994F8F"/>
    <w:rsid w:val="00995167"/>
    <w:rsid w:val="00995273"/>
    <w:rsid w:val="00995557"/>
    <w:rsid w:val="009955E5"/>
    <w:rsid w:val="0099569B"/>
    <w:rsid w:val="00995769"/>
    <w:rsid w:val="00995A5C"/>
    <w:rsid w:val="00995DBF"/>
    <w:rsid w:val="00995E69"/>
    <w:rsid w:val="00995FF7"/>
    <w:rsid w:val="0099621C"/>
    <w:rsid w:val="009963A6"/>
    <w:rsid w:val="00996563"/>
    <w:rsid w:val="009966A5"/>
    <w:rsid w:val="00996856"/>
    <w:rsid w:val="00996DB8"/>
    <w:rsid w:val="00996E44"/>
    <w:rsid w:val="00996EA9"/>
    <w:rsid w:val="00996FF3"/>
    <w:rsid w:val="009973FC"/>
    <w:rsid w:val="00997433"/>
    <w:rsid w:val="0099759A"/>
    <w:rsid w:val="009977F8"/>
    <w:rsid w:val="00997AF1"/>
    <w:rsid w:val="00997C7E"/>
    <w:rsid w:val="00997D09"/>
    <w:rsid w:val="009A0331"/>
    <w:rsid w:val="009A0460"/>
    <w:rsid w:val="009A083C"/>
    <w:rsid w:val="009A0BCB"/>
    <w:rsid w:val="009A0BE9"/>
    <w:rsid w:val="009A1120"/>
    <w:rsid w:val="009A114E"/>
    <w:rsid w:val="009A1445"/>
    <w:rsid w:val="009A190A"/>
    <w:rsid w:val="009A1AB9"/>
    <w:rsid w:val="009A1B5C"/>
    <w:rsid w:val="009A1B61"/>
    <w:rsid w:val="009A1CFC"/>
    <w:rsid w:val="009A1D81"/>
    <w:rsid w:val="009A1F95"/>
    <w:rsid w:val="009A25D2"/>
    <w:rsid w:val="009A28EB"/>
    <w:rsid w:val="009A2B15"/>
    <w:rsid w:val="009A2B5A"/>
    <w:rsid w:val="009A2CD3"/>
    <w:rsid w:val="009A2DE2"/>
    <w:rsid w:val="009A2EE1"/>
    <w:rsid w:val="009A2FBD"/>
    <w:rsid w:val="009A30BF"/>
    <w:rsid w:val="009A317F"/>
    <w:rsid w:val="009A35F5"/>
    <w:rsid w:val="009A3918"/>
    <w:rsid w:val="009A3CC2"/>
    <w:rsid w:val="009A3E61"/>
    <w:rsid w:val="009A4231"/>
    <w:rsid w:val="009A4562"/>
    <w:rsid w:val="009A46DC"/>
    <w:rsid w:val="009A4727"/>
    <w:rsid w:val="009A49DD"/>
    <w:rsid w:val="009A4A19"/>
    <w:rsid w:val="009A4A76"/>
    <w:rsid w:val="009A4BCF"/>
    <w:rsid w:val="009A4C5A"/>
    <w:rsid w:val="009A4CA7"/>
    <w:rsid w:val="009A4D1E"/>
    <w:rsid w:val="009A4E36"/>
    <w:rsid w:val="009A4E6F"/>
    <w:rsid w:val="009A4E73"/>
    <w:rsid w:val="009A5061"/>
    <w:rsid w:val="009A506E"/>
    <w:rsid w:val="009A50EB"/>
    <w:rsid w:val="009A511B"/>
    <w:rsid w:val="009A52D2"/>
    <w:rsid w:val="009A5749"/>
    <w:rsid w:val="009A5C07"/>
    <w:rsid w:val="009A6317"/>
    <w:rsid w:val="009A6A52"/>
    <w:rsid w:val="009A6C1D"/>
    <w:rsid w:val="009A6C2B"/>
    <w:rsid w:val="009A6D66"/>
    <w:rsid w:val="009A6DB5"/>
    <w:rsid w:val="009A7639"/>
    <w:rsid w:val="009A7705"/>
    <w:rsid w:val="009A781A"/>
    <w:rsid w:val="009A79A8"/>
    <w:rsid w:val="009A7F54"/>
    <w:rsid w:val="009ABD25"/>
    <w:rsid w:val="009AF02D"/>
    <w:rsid w:val="009B00D7"/>
    <w:rsid w:val="009B024A"/>
    <w:rsid w:val="009B0437"/>
    <w:rsid w:val="009B054C"/>
    <w:rsid w:val="009B08FE"/>
    <w:rsid w:val="009B099D"/>
    <w:rsid w:val="009B0C82"/>
    <w:rsid w:val="009B0CF7"/>
    <w:rsid w:val="009B0F92"/>
    <w:rsid w:val="009B1084"/>
    <w:rsid w:val="009B1525"/>
    <w:rsid w:val="009B16EE"/>
    <w:rsid w:val="009B1780"/>
    <w:rsid w:val="009B1FC5"/>
    <w:rsid w:val="009B22CE"/>
    <w:rsid w:val="009B281B"/>
    <w:rsid w:val="009B2889"/>
    <w:rsid w:val="009B2C6C"/>
    <w:rsid w:val="009B3025"/>
    <w:rsid w:val="009B30E1"/>
    <w:rsid w:val="009B3279"/>
    <w:rsid w:val="009B3369"/>
    <w:rsid w:val="009B3785"/>
    <w:rsid w:val="009B394A"/>
    <w:rsid w:val="009B410B"/>
    <w:rsid w:val="009B44AE"/>
    <w:rsid w:val="009B498A"/>
    <w:rsid w:val="009B4C50"/>
    <w:rsid w:val="009B4DF6"/>
    <w:rsid w:val="009B4ECB"/>
    <w:rsid w:val="009B4F6B"/>
    <w:rsid w:val="009B5381"/>
    <w:rsid w:val="009B5421"/>
    <w:rsid w:val="009B56B2"/>
    <w:rsid w:val="009B5708"/>
    <w:rsid w:val="009B5AC5"/>
    <w:rsid w:val="009B5CD7"/>
    <w:rsid w:val="009B60C3"/>
    <w:rsid w:val="009B6242"/>
    <w:rsid w:val="009B68FD"/>
    <w:rsid w:val="009B69F1"/>
    <w:rsid w:val="009B6B49"/>
    <w:rsid w:val="009B6B53"/>
    <w:rsid w:val="009B6BB9"/>
    <w:rsid w:val="009B6CD5"/>
    <w:rsid w:val="009B6D45"/>
    <w:rsid w:val="009B6DEF"/>
    <w:rsid w:val="009B6E0B"/>
    <w:rsid w:val="009B7138"/>
    <w:rsid w:val="009B715A"/>
    <w:rsid w:val="009B7410"/>
    <w:rsid w:val="009B748F"/>
    <w:rsid w:val="009B74D4"/>
    <w:rsid w:val="009B74F6"/>
    <w:rsid w:val="009B7A66"/>
    <w:rsid w:val="009B7A83"/>
    <w:rsid w:val="009B7AED"/>
    <w:rsid w:val="009C0237"/>
    <w:rsid w:val="009C041A"/>
    <w:rsid w:val="009C0ABD"/>
    <w:rsid w:val="009C0CD1"/>
    <w:rsid w:val="009C0CE4"/>
    <w:rsid w:val="009C11F0"/>
    <w:rsid w:val="009C128B"/>
    <w:rsid w:val="009C1346"/>
    <w:rsid w:val="009C1439"/>
    <w:rsid w:val="009C1482"/>
    <w:rsid w:val="009C1877"/>
    <w:rsid w:val="009C19E8"/>
    <w:rsid w:val="009C19EE"/>
    <w:rsid w:val="009C1D6F"/>
    <w:rsid w:val="009C1F8D"/>
    <w:rsid w:val="009C2255"/>
    <w:rsid w:val="009C23B1"/>
    <w:rsid w:val="009C27DF"/>
    <w:rsid w:val="009C29CF"/>
    <w:rsid w:val="009C2AD1"/>
    <w:rsid w:val="009C2AE7"/>
    <w:rsid w:val="009C2B03"/>
    <w:rsid w:val="009C2B93"/>
    <w:rsid w:val="009C2DF0"/>
    <w:rsid w:val="009C2FAD"/>
    <w:rsid w:val="009C31A6"/>
    <w:rsid w:val="009C32BC"/>
    <w:rsid w:val="009C334F"/>
    <w:rsid w:val="009C33B6"/>
    <w:rsid w:val="009C3688"/>
    <w:rsid w:val="009C3A5D"/>
    <w:rsid w:val="009C3B01"/>
    <w:rsid w:val="009C3D71"/>
    <w:rsid w:val="009C3D93"/>
    <w:rsid w:val="009C3E46"/>
    <w:rsid w:val="009C447F"/>
    <w:rsid w:val="009C456C"/>
    <w:rsid w:val="009C45A9"/>
    <w:rsid w:val="009C45DA"/>
    <w:rsid w:val="009C4602"/>
    <w:rsid w:val="009C4BEC"/>
    <w:rsid w:val="009C4FF6"/>
    <w:rsid w:val="009C5018"/>
    <w:rsid w:val="009C519F"/>
    <w:rsid w:val="009C576A"/>
    <w:rsid w:val="009C5C13"/>
    <w:rsid w:val="009C5DFE"/>
    <w:rsid w:val="009C6055"/>
    <w:rsid w:val="009C6464"/>
    <w:rsid w:val="009C656C"/>
    <w:rsid w:val="009C658D"/>
    <w:rsid w:val="009C65B5"/>
    <w:rsid w:val="009C66A7"/>
    <w:rsid w:val="009C68CD"/>
    <w:rsid w:val="009C69C5"/>
    <w:rsid w:val="009C6A2B"/>
    <w:rsid w:val="009C6CC0"/>
    <w:rsid w:val="009C6CE4"/>
    <w:rsid w:val="009C6E78"/>
    <w:rsid w:val="009C715E"/>
    <w:rsid w:val="009C7243"/>
    <w:rsid w:val="009C7319"/>
    <w:rsid w:val="009C75C4"/>
    <w:rsid w:val="009C791C"/>
    <w:rsid w:val="009C7966"/>
    <w:rsid w:val="009C7985"/>
    <w:rsid w:val="009C7E20"/>
    <w:rsid w:val="009C7FAE"/>
    <w:rsid w:val="009D0018"/>
    <w:rsid w:val="009D006D"/>
    <w:rsid w:val="009D016F"/>
    <w:rsid w:val="009D025B"/>
    <w:rsid w:val="009D0408"/>
    <w:rsid w:val="009D0476"/>
    <w:rsid w:val="009D058D"/>
    <w:rsid w:val="009D06B6"/>
    <w:rsid w:val="009D0C86"/>
    <w:rsid w:val="009D0EE3"/>
    <w:rsid w:val="009D11F8"/>
    <w:rsid w:val="009D1372"/>
    <w:rsid w:val="009D1517"/>
    <w:rsid w:val="009D174D"/>
    <w:rsid w:val="009D181A"/>
    <w:rsid w:val="009D18B3"/>
    <w:rsid w:val="009D192B"/>
    <w:rsid w:val="009D1A7E"/>
    <w:rsid w:val="009D217B"/>
    <w:rsid w:val="009D2435"/>
    <w:rsid w:val="009D2578"/>
    <w:rsid w:val="009D25B3"/>
    <w:rsid w:val="009D25EC"/>
    <w:rsid w:val="009D25F2"/>
    <w:rsid w:val="009D2684"/>
    <w:rsid w:val="009D28C7"/>
    <w:rsid w:val="009D3279"/>
    <w:rsid w:val="009D33D5"/>
    <w:rsid w:val="009D34ED"/>
    <w:rsid w:val="009D381C"/>
    <w:rsid w:val="009D3B60"/>
    <w:rsid w:val="009D3D73"/>
    <w:rsid w:val="009D3D83"/>
    <w:rsid w:val="009D405A"/>
    <w:rsid w:val="009D4196"/>
    <w:rsid w:val="009D43BF"/>
    <w:rsid w:val="009D463D"/>
    <w:rsid w:val="009D4741"/>
    <w:rsid w:val="009D47F0"/>
    <w:rsid w:val="009D47F9"/>
    <w:rsid w:val="009D47FA"/>
    <w:rsid w:val="009D4929"/>
    <w:rsid w:val="009D4AD5"/>
    <w:rsid w:val="009D4C76"/>
    <w:rsid w:val="009D4E2F"/>
    <w:rsid w:val="009D4FC7"/>
    <w:rsid w:val="009D517F"/>
    <w:rsid w:val="009D5238"/>
    <w:rsid w:val="009D535D"/>
    <w:rsid w:val="009D5670"/>
    <w:rsid w:val="009D56BE"/>
    <w:rsid w:val="009D596F"/>
    <w:rsid w:val="009D5B7E"/>
    <w:rsid w:val="009D5D3C"/>
    <w:rsid w:val="009D5D44"/>
    <w:rsid w:val="009D5E00"/>
    <w:rsid w:val="009D5F8F"/>
    <w:rsid w:val="009D606F"/>
    <w:rsid w:val="009D613A"/>
    <w:rsid w:val="009D63F0"/>
    <w:rsid w:val="009D680D"/>
    <w:rsid w:val="009D690F"/>
    <w:rsid w:val="009D6B58"/>
    <w:rsid w:val="009D6E42"/>
    <w:rsid w:val="009D6EAF"/>
    <w:rsid w:val="009D6F59"/>
    <w:rsid w:val="009D702B"/>
    <w:rsid w:val="009D7486"/>
    <w:rsid w:val="009D78B7"/>
    <w:rsid w:val="009D79BE"/>
    <w:rsid w:val="009D7C0F"/>
    <w:rsid w:val="009D7DAD"/>
    <w:rsid w:val="009E0158"/>
    <w:rsid w:val="009E055B"/>
    <w:rsid w:val="009E0995"/>
    <w:rsid w:val="009E1027"/>
    <w:rsid w:val="009E106F"/>
    <w:rsid w:val="009E12ED"/>
    <w:rsid w:val="009E1474"/>
    <w:rsid w:val="009E1624"/>
    <w:rsid w:val="009E16F6"/>
    <w:rsid w:val="009E1847"/>
    <w:rsid w:val="009E19E0"/>
    <w:rsid w:val="009E1BFD"/>
    <w:rsid w:val="009E20E7"/>
    <w:rsid w:val="009E25FD"/>
    <w:rsid w:val="009E2801"/>
    <w:rsid w:val="009E2A98"/>
    <w:rsid w:val="009E2BF0"/>
    <w:rsid w:val="009E2C21"/>
    <w:rsid w:val="009E2CF7"/>
    <w:rsid w:val="009E2E51"/>
    <w:rsid w:val="009E2EF1"/>
    <w:rsid w:val="009E2F32"/>
    <w:rsid w:val="009E37C0"/>
    <w:rsid w:val="009E39D9"/>
    <w:rsid w:val="009E3B9C"/>
    <w:rsid w:val="009E3DAF"/>
    <w:rsid w:val="009E401C"/>
    <w:rsid w:val="009E435E"/>
    <w:rsid w:val="009E4425"/>
    <w:rsid w:val="009E4474"/>
    <w:rsid w:val="009E45EC"/>
    <w:rsid w:val="009E4957"/>
    <w:rsid w:val="009E4B76"/>
    <w:rsid w:val="009E4BAA"/>
    <w:rsid w:val="009E5147"/>
    <w:rsid w:val="009E523E"/>
    <w:rsid w:val="009E5809"/>
    <w:rsid w:val="009E5837"/>
    <w:rsid w:val="009E59DA"/>
    <w:rsid w:val="009E5FD7"/>
    <w:rsid w:val="009E61EA"/>
    <w:rsid w:val="009E64A8"/>
    <w:rsid w:val="009E688E"/>
    <w:rsid w:val="009E68D8"/>
    <w:rsid w:val="009E6B0F"/>
    <w:rsid w:val="009E6B17"/>
    <w:rsid w:val="009E719B"/>
    <w:rsid w:val="009E738D"/>
    <w:rsid w:val="009E7401"/>
    <w:rsid w:val="009E7459"/>
    <w:rsid w:val="009E7863"/>
    <w:rsid w:val="009E79E7"/>
    <w:rsid w:val="009E7A1A"/>
    <w:rsid w:val="009E7ABF"/>
    <w:rsid w:val="009E7D58"/>
    <w:rsid w:val="009F00E9"/>
    <w:rsid w:val="009F012A"/>
    <w:rsid w:val="009F02C8"/>
    <w:rsid w:val="009F02F4"/>
    <w:rsid w:val="009F043F"/>
    <w:rsid w:val="009F0867"/>
    <w:rsid w:val="009F0C5C"/>
    <w:rsid w:val="009F0F97"/>
    <w:rsid w:val="009F0FB3"/>
    <w:rsid w:val="009F0FD8"/>
    <w:rsid w:val="009F108B"/>
    <w:rsid w:val="009F10D9"/>
    <w:rsid w:val="009F11D3"/>
    <w:rsid w:val="009F1254"/>
    <w:rsid w:val="009F16D0"/>
    <w:rsid w:val="009F178F"/>
    <w:rsid w:val="009F1A0C"/>
    <w:rsid w:val="009F2EBD"/>
    <w:rsid w:val="009F2F27"/>
    <w:rsid w:val="009F341B"/>
    <w:rsid w:val="009F3525"/>
    <w:rsid w:val="009F357F"/>
    <w:rsid w:val="009F3E37"/>
    <w:rsid w:val="009F3EBD"/>
    <w:rsid w:val="009F4373"/>
    <w:rsid w:val="009F445C"/>
    <w:rsid w:val="009F4552"/>
    <w:rsid w:val="009F46C0"/>
    <w:rsid w:val="009F4930"/>
    <w:rsid w:val="009F4F76"/>
    <w:rsid w:val="009F506E"/>
    <w:rsid w:val="009F508B"/>
    <w:rsid w:val="009F50DB"/>
    <w:rsid w:val="009F54B3"/>
    <w:rsid w:val="009F5628"/>
    <w:rsid w:val="009F56F6"/>
    <w:rsid w:val="009F5731"/>
    <w:rsid w:val="009F578D"/>
    <w:rsid w:val="009F5966"/>
    <w:rsid w:val="009F5BEC"/>
    <w:rsid w:val="009F5EF7"/>
    <w:rsid w:val="009F5FF8"/>
    <w:rsid w:val="009F638E"/>
    <w:rsid w:val="009F64D2"/>
    <w:rsid w:val="009F66F0"/>
    <w:rsid w:val="009F6BD6"/>
    <w:rsid w:val="009F6CF2"/>
    <w:rsid w:val="009F6D31"/>
    <w:rsid w:val="009F6D74"/>
    <w:rsid w:val="009F6FBC"/>
    <w:rsid w:val="009F7574"/>
    <w:rsid w:val="009F75B3"/>
    <w:rsid w:val="009F795E"/>
    <w:rsid w:val="009F7AFA"/>
    <w:rsid w:val="009F7D6B"/>
    <w:rsid w:val="009F7DF2"/>
    <w:rsid w:val="009F7F4B"/>
    <w:rsid w:val="009F7FD5"/>
    <w:rsid w:val="00A00107"/>
    <w:rsid w:val="00A003EE"/>
    <w:rsid w:val="00A0044E"/>
    <w:rsid w:val="00A0054B"/>
    <w:rsid w:val="00A00A66"/>
    <w:rsid w:val="00A00BD2"/>
    <w:rsid w:val="00A00F4F"/>
    <w:rsid w:val="00A011A7"/>
    <w:rsid w:val="00A011D0"/>
    <w:rsid w:val="00A014DD"/>
    <w:rsid w:val="00A01630"/>
    <w:rsid w:val="00A01A54"/>
    <w:rsid w:val="00A01B38"/>
    <w:rsid w:val="00A01EB2"/>
    <w:rsid w:val="00A01F44"/>
    <w:rsid w:val="00A022C0"/>
    <w:rsid w:val="00A02596"/>
    <w:rsid w:val="00A02652"/>
    <w:rsid w:val="00A02707"/>
    <w:rsid w:val="00A0270C"/>
    <w:rsid w:val="00A02AF3"/>
    <w:rsid w:val="00A02C15"/>
    <w:rsid w:val="00A03792"/>
    <w:rsid w:val="00A037A9"/>
    <w:rsid w:val="00A03976"/>
    <w:rsid w:val="00A039AE"/>
    <w:rsid w:val="00A03AE0"/>
    <w:rsid w:val="00A03B8E"/>
    <w:rsid w:val="00A03C9A"/>
    <w:rsid w:val="00A03E33"/>
    <w:rsid w:val="00A0462C"/>
    <w:rsid w:val="00A0484A"/>
    <w:rsid w:val="00A04890"/>
    <w:rsid w:val="00A048C3"/>
    <w:rsid w:val="00A04E30"/>
    <w:rsid w:val="00A04E5A"/>
    <w:rsid w:val="00A055AD"/>
    <w:rsid w:val="00A056DC"/>
    <w:rsid w:val="00A0593C"/>
    <w:rsid w:val="00A05BD0"/>
    <w:rsid w:val="00A05D52"/>
    <w:rsid w:val="00A05ECD"/>
    <w:rsid w:val="00A05F50"/>
    <w:rsid w:val="00A06127"/>
    <w:rsid w:val="00A064B4"/>
    <w:rsid w:val="00A06925"/>
    <w:rsid w:val="00A069C2"/>
    <w:rsid w:val="00A06A92"/>
    <w:rsid w:val="00A06BAC"/>
    <w:rsid w:val="00A06FB8"/>
    <w:rsid w:val="00A07290"/>
    <w:rsid w:val="00A0743E"/>
    <w:rsid w:val="00A07550"/>
    <w:rsid w:val="00A0761D"/>
    <w:rsid w:val="00A07A13"/>
    <w:rsid w:val="00A07A78"/>
    <w:rsid w:val="00A07CD5"/>
    <w:rsid w:val="00A07E26"/>
    <w:rsid w:val="00A10376"/>
    <w:rsid w:val="00A105C4"/>
    <w:rsid w:val="00A10922"/>
    <w:rsid w:val="00A10A45"/>
    <w:rsid w:val="00A10B54"/>
    <w:rsid w:val="00A10C98"/>
    <w:rsid w:val="00A10CAD"/>
    <w:rsid w:val="00A10EE1"/>
    <w:rsid w:val="00A10F3F"/>
    <w:rsid w:val="00A1107F"/>
    <w:rsid w:val="00A11218"/>
    <w:rsid w:val="00A1137A"/>
    <w:rsid w:val="00A118F2"/>
    <w:rsid w:val="00A11988"/>
    <w:rsid w:val="00A11A16"/>
    <w:rsid w:val="00A11BBB"/>
    <w:rsid w:val="00A11F1C"/>
    <w:rsid w:val="00A12454"/>
    <w:rsid w:val="00A12474"/>
    <w:rsid w:val="00A12617"/>
    <w:rsid w:val="00A12661"/>
    <w:rsid w:val="00A1268F"/>
    <w:rsid w:val="00A128BA"/>
    <w:rsid w:val="00A12C3B"/>
    <w:rsid w:val="00A12DF7"/>
    <w:rsid w:val="00A1312F"/>
    <w:rsid w:val="00A13379"/>
    <w:rsid w:val="00A13495"/>
    <w:rsid w:val="00A13557"/>
    <w:rsid w:val="00A1384E"/>
    <w:rsid w:val="00A139E8"/>
    <w:rsid w:val="00A13BB6"/>
    <w:rsid w:val="00A13EE9"/>
    <w:rsid w:val="00A143FD"/>
    <w:rsid w:val="00A14566"/>
    <w:rsid w:val="00A146FB"/>
    <w:rsid w:val="00A149FB"/>
    <w:rsid w:val="00A14A50"/>
    <w:rsid w:val="00A14A9B"/>
    <w:rsid w:val="00A14B24"/>
    <w:rsid w:val="00A14C87"/>
    <w:rsid w:val="00A14D5C"/>
    <w:rsid w:val="00A1516A"/>
    <w:rsid w:val="00A1523C"/>
    <w:rsid w:val="00A15490"/>
    <w:rsid w:val="00A15521"/>
    <w:rsid w:val="00A15529"/>
    <w:rsid w:val="00A1564B"/>
    <w:rsid w:val="00A15674"/>
    <w:rsid w:val="00A1585A"/>
    <w:rsid w:val="00A1586B"/>
    <w:rsid w:val="00A15916"/>
    <w:rsid w:val="00A15932"/>
    <w:rsid w:val="00A1593A"/>
    <w:rsid w:val="00A15CF7"/>
    <w:rsid w:val="00A15F02"/>
    <w:rsid w:val="00A16329"/>
    <w:rsid w:val="00A164E8"/>
    <w:rsid w:val="00A168EC"/>
    <w:rsid w:val="00A169AD"/>
    <w:rsid w:val="00A16A1E"/>
    <w:rsid w:val="00A16DF4"/>
    <w:rsid w:val="00A16F61"/>
    <w:rsid w:val="00A17184"/>
    <w:rsid w:val="00A17291"/>
    <w:rsid w:val="00A17457"/>
    <w:rsid w:val="00A17569"/>
    <w:rsid w:val="00A1766B"/>
    <w:rsid w:val="00A1769B"/>
    <w:rsid w:val="00A17903"/>
    <w:rsid w:val="00A17CF3"/>
    <w:rsid w:val="00A17E60"/>
    <w:rsid w:val="00A17EFE"/>
    <w:rsid w:val="00A17F11"/>
    <w:rsid w:val="00A19CDF"/>
    <w:rsid w:val="00A20390"/>
    <w:rsid w:val="00A20710"/>
    <w:rsid w:val="00A20779"/>
    <w:rsid w:val="00A20921"/>
    <w:rsid w:val="00A20937"/>
    <w:rsid w:val="00A21247"/>
    <w:rsid w:val="00A2141D"/>
    <w:rsid w:val="00A2142E"/>
    <w:rsid w:val="00A21A74"/>
    <w:rsid w:val="00A21C8B"/>
    <w:rsid w:val="00A21DCA"/>
    <w:rsid w:val="00A21E5B"/>
    <w:rsid w:val="00A222D8"/>
    <w:rsid w:val="00A226E3"/>
    <w:rsid w:val="00A22A4B"/>
    <w:rsid w:val="00A22E29"/>
    <w:rsid w:val="00A22EBD"/>
    <w:rsid w:val="00A233FB"/>
    <w:rsid w:val="00A236A9"/>
    <w:rsid w:val="00A23820"/>
    <w:rsid w:val="00A23D4F"/>
    <w:rsid w:val="00A24042"/>
    <w:rsid w:val="00A24062"/>
    <w:rsid w:val="00A240A8"/>
    <w:rsid w:val="00A2425C"/>
    <w:rsid w:val="00A2444B"/>
    <w:rsid w:val="00A24817"/>
    <w:rsid w:val="00A24E76"/>
    <w:rsid w:val="00A2515C"/>
    <w:rsid w:val="00A25362"/>
    <w:rsid w:val="00A25BFB"/>
    <w:rsid w:val="00A25C48"/>
    <w:rsid w:val="00A25E68"/>
    <w:rsid w:val="00A25F94"/>
    <w:rsid w:val="00A2604E"/>
    <w:rsid w:val="00A26353"/>
    <w:rsid w:val="00A2640D"/>
    <w:rsid w:val="00A2646F"/>
    <w:rsid w:val="00A267EB"/>
    <w:rsid w:val="00A2681C"/>
    <w:rsid w:val="00A26B5C"/>
    <w:rsid w:val="00A26CB8"/>
    <w:rsid w:val="00A26D9C"/>
    <w:rsid w:val="00A26E90"/>
    <w:rsid w:val="00A27087"/>
    <w:rsid w:val="00A27321"/>
    <w:rsid w:val="00A274D1"/>
    <w:rsid w:val="00A27570"/>
    <w:rsid w:val="00A27D52"/>
    <w:rsid w:val="00A30067"/>
    <w:rsid w:val="00A301BB"/>
    <w:rsid w:val="00A3021E"/>
    <w:rsid w:val="00A304F2"/>
    <w:rsid w:val="00A3075B"/>
    <w:rsid w:val="00A30B30"/>
    <w:rsid w:val="00A30C25"/>
    <w:rsid w:val="00A310FF"/>
    <w:rsid w:val="00A31328"/>
    <w:rsid w:val="00A3138B"/>
    <w:rsid w:val="00A31640"/>
    <w:rsid w:val="00A31662"/>
    <w:rsid w:val="00A316D7"/>
    <w:rsid w:val="00A318DF"/>
    <w:rsid w:val="00A31C85"/>
    <w:rsid w:val="00A31CCB"/>
    <w:rsid w:val="00A31EC3"/>
    <w:rsid w:val="00A31F4A"/>
    <w:rsid w:val="00A321CD"/>
    <w:rsid w:val="00A32238"/>
    <w:rsid w:val="00A32380"/>
    <w:rsid w:val="00A3247C"/>
    <w:rsid w:val="00A324C3"/>
    <w:rsid w:val="00A3259B"/>
    <w:rsid w:val="00A32742"/>
    <w:rsid w:val="00A32DB8"/>
    <w:rsid w:val="00A3348E"/>
    <w:rsid w:val="00A33596"/>
    <w:rsid w:val="00A33642"/>
    <w:rsid w:val="00A3371C"/>
    <w:rsid w:val="00A33A7D"/>
    <w:rsid w:val="00A33ADF"/>
    <w:rsid w:val="00A33B13"/>
    <w:rsid w:val="00A33B9F"/>
    <w:rsid w:val="00A33EE5"/>
    <w:rsid w:val="00A34033"/>
    <w:rsid w:val="00A34089"/>
    <w:rsid w:val="00A3427D"/>
    <w:rsid w:val="00A346CB"/>
    <w:rsid w:val="00A34788"/>
    <w:rsid w:val="00A347D8"/>
    <w:rsid w:val="00A34830"/>
    <w:rsid w:val="00A34B5C"/>
    <w:rsid w:val="00A34BFD"/>
    <w:rsid w:val="00A357C4"/>
    <w:rsid w:val="00A35A80"/>
    <w:rsid w:val="00A35BC1"/>
    <w:rsid w:val="00A35D12"/>
    <w:rsid w:val="00A35D95"/>
    <w:rsid w:val="00A35E6A"/>
    <w:rsid w:val="00A35EF9"/>
    <w:rsid w:val="00A35FA8"/>
    <w:rsid w:val="00A35FFF"/>
    <w:rsid w:val="00A36327"/>
    <w:rsid w:val="00A36568"/>
    <w:rsid w:val="00A36B28"/>
    <w:rsid w:val="00A36BEF"/>
    <w:rsid w:val="00A36C0F"/>
    <w:rsid w:val="00A36D7A"/>
    <w:rsid w:val="00A36D89"/>
    <w:rsid w:val="00A36EA6"/>
    <w:rsid w:val="00A377D4"/>
    <w:rsid w:val="00A37986"/>
    <w:rsid w:val="00A37D22"/>
    <w:rsid w:val="00A37DD8"/>
    <w:rsid w:val="00A37F3F"/>
    <w:rsid w:val="00A39D46"/>
    <w:rsid w:val="00A400EE"/>
    <w:rsid w:val="00A402D8"/>
    <w:rsid w:val="00A40387"/>
    <w:rsid w:val="00A405B9"/>
    <w:rsid w:val="00A40753"/>
    <w:rsid w:val="00A409D5"/>
    <w:rsid w:val="00A40E2C"/>
    <w:rsid w:val="00A41018"/>
    <w:rsid w:val="00A4173F"/>
    <w:rsid w:val="00A41A9F"/>
    <w:rsid w:val="00A41C96"/>
    <w:rsid w:val="00A41D1C"/>
    <w:rsid w:val="00A41DA6"/>
    <w:rsid w:val="00A421DA"/>
    <w:rsid w:val="00A422A3"/>
    <w:rsid w:val="00A423E5"/>
    <w:rsid w:val="00A42699"/>
    <w:rsid w:val="00A42719"/>
    <w:rsid w:val="00A42B6D"/>
    <w:rsid w:val="00A4324A"/>
    <w:rsid w:val="00A4328D"/>
    <w:rsid w:val="00A4334F"/>
    <w:rsid w:val="00A43425"/>
    <w:rsid w:val="00A43A6D"/>
    <w:rsid w:val="00A43AB7"/>
    <w:rsid w:val="00A43B56"/>
    <w:rsid w:val="00A43BC1"/>
    <w:rsid w:val="00A43E2D"/>
    <w:rsid w:val="00A43E73"/>
    <w:rsid w:val="00A43E77"/>
    <w:rsid w:val="00A43EA7"/>
    <w:rsid w:val="00A43EFC"/>
    <w:rsid w:val="00A43F2C"/>
    <w:rsid w:val="00A44350"/>
    <w:rsid w:val="00A443B9"/>
    <w:rsid w:val="00A445C6"/>
    <w:rsid w:val="00A44AE1"/>
    <w:rsid w:val="00A44B0F"/>
    <w:rsid w:val="00A453C9"/>
    <w:rsid w:val="00A45A38"/>
    <w:rsid w:val="00A45B26"/>
    <w:rsid w:val="00A45C01"/>
    <w:rsid w:val="00A45D68"/>
    <w:rsid w:val="00A45DC3"/>
    <w:rsid w:val="00A45E37"/>
    <w:rsid w:val="00A45E74"/>
    <w:rsid w:val="00A45E8D"/>
    <w:rsid w:val="00A46406"/>
    <w:rsid w:val="00A46A7F"/>
    <w:rsid w:val="00A46BDD"/>
    <w:rsid w:val="00A46C99"/>
    <w:rsid w:val="00A46E20"/>
    <w:rsid w:val="00A46E37"/>
    <w:rsid w:val="00A46E3B"/>
    <w:rsid w:val="00A46FB6"/>
    <w:rsid w:val="00A470A7"/>
    <w:rsid w:val="00A47431"/>
    <w:rsid w:val="00A475CA"/>
    <w:rsid w:val="00A47659"/>
    <w:rsid w:val="00A4769A"/>
    <w:rsid w:val="00A47F8B"/>
    <w:rsid w:val="00A503FC"/>
    <w:rsid w:val="00A50710"/>
    <w:rsid w:val="00A50A50"/>
    <w:rsid w:val="00A50A51"/>
    <w:rsid w:val="00A50A9F"/>
    <w:rsid w:val="00A50CBC"/>
    <w:rsid w:val="00A50CF8"/>
    <w:rsid w:val="00A50DA3"/>
    <w:rsid w:val="00A50DE1"/>
    <w:rsid w:val="00A5119B"/>
    <w:rsid w:val="00A511AA"/>
    <w:rsid w:val="00A51597"/>
    <w:rsid w:val="00A515F5"/>
    <w:rsid w:val="00A51623"/>
    <w:rsid w:val="00A5162B"/>
    <w:rsid w:val="00A51AF1"/>
    <w:rsid w:val="00A51CF8"/>
    <w:rsid w:val="00A51D77"/>
    <w:rsid w:val="00A52259"/>
    <w:rsid w:val="00A5228A"/>
    <w:rsid w:val="00A52411"/>
    <w:rsid w:val="00A524D8"/>
    <w:rsid w:val="00A525CB"/>
    <w:rsid w:val="00A52F3E"/>
    <w:rsid w:val="00A53155"/>
    <w:rsid w:val="00A5316C"/>
    <w:rsid w:val="00A5323A"/>
    <w:rsid w:val="00A532B8"/>
    <w:rsid w:val="00A53355"/>
    <w:rsid w:val="00A53909"/>
    <w:rsid w:val="00A5396B"/>
    <w:rsid w:val="00A53E70"/>
    <w:rsid w:val="00A53E7A"/>
    <w:rsid w:val="00A53EE8"/>
    <w:rsid w:val="00A5409C"/>
    <w:rsid w:val="00A5430A"/>
    <w:rsid w:val="00A54348"/>
    <w:rsid w:val="00A54676"/>
    <w:rsid w:val="00A54766"/>
    <w:rsid w:val="00A54AF6"/>
    <w:rsid w:val="00A54BCE"/>
    <w:rsid w:val="00A54CAF"/>
    <w:rsid w:val="00A54D3E"/>
    <w:rsid w:val="00A558E2"/>
    <w:rsid w:val="00A55A30"/>
    <w:rsid w:val="00A55AD8"/>
    <w:rsid w:val="00A55D7E"/>
    <w:rsid w:val="00A5612F"/>
    <w:rsid w:val="00A56571"/>
    <w:rsid w:val="00A5673E"/>
    <w:rsid w:val="00A57327"/>
    <w:rsid w:val="00A579B1"/>
    <w:rsid w:val="00A57CA1"/>
    <w:rsid w:val="00A57CB3"/>
    <w:rsid w:val="00A57E27"/>
    <w:rsid w:val="00A57F1A"/>
    <w:rsid w:val="00A6000B"/>
    <w:rsid w:val="00A6023E"/>
    <w:rsid w:val="00A602C0"/>
    <w:rsid w:val="00A60343"/>
    <w:rsid w:val="00A60560"/>
    <w:rsid w:val="00A60626"/>
    <w:rsid w:val="00A60A56"/>
    <w:rsid w:val="00A60C1E"/>
    <w:rsid w:val="00A61263"/>
    <w:rsid w:val="00A6139B"/>
    <w:rsid w:val="00A615CA"/>
    <w:rsid w:val="00A62226"/>
    <w:rsid w:val="00A62321"/>
    <w:rsid w:val="00A623BD"/>
    <w:rsid w:val="00A62A0E"/>
    <w:rsid w:val="00A62B22"/>
    <w:rsid w:val="00A62C53"/>
    <w:rsid w:val="00A631BA"/>
    <w:rsid w:val="00A63ACA"/>
    <w:rsid w:val="00A63C81"/>
    <w:rsid w:val="00A63ECE"/>
    <w:rsid w:val="00A63F28"/>
    <w:rsid w:val="00A63F86"/>
    <w:rsid w:val="00A63FD3"/>
    <w:rsid w:val="00A64463"/>
    <w:rsid w:val="00A64586"/>
    <w:rsid w:val="00A645B2"/>
    <w:rsid w:val="00A649C0"/>
    <w:rsid w:val="00A64DA0"/>
    <w:rsid w:val="00A650C8"/>
    <w:rsid w:val="00A65474"/>
    <w:rsid w:val="00A654C8"/>
    <w:rsid w:val="00A65523"/>
    <w:rsid w:val="00A65981"/>
    <w:rsid w:val="00A659A4"/>
    <w:rsid w:val="00A65A06"/>
    <w:rsid w:val="00A65B54"/>
    <w:rsid w:val="00A65E45"/>
    <w:rsid w:val="00A661CF"/>
    <w:rsid w:val="00A662F7"/>
    <w:rsid w:val="00A663E9"/>
    <w:rsid w:val="00A66530"/>
    <w:rsid w:val="00A66581"/>
    <w:rsid w:val="00A6674E"/>
    <w:rsid w:val="00A66924"/>
    <w:rsid w:val="00A66997"/>
    <w:rsid w:val="00A66BBE"/>
    <w:rsid w:val="00A66EA6"/>
    <w:rsid w:val="00A673CB"/>
    <w:rsid w:val="00A673E2"/>
    <w:rsid w:val="00A678C9"/>
    <w:rsid w:val="00A6793C"/>
    <w:rsid w:val="00A6797B"/>
    <w:rsid w:val="00A67B4C"/>
    <w:rsid w:val="00A67D52"/>
    <w:rsid w:val="00A6B0AA"/>
    <w:rsid w:val="00A70188"/>
    <w:rsid w:val="00A703F7"/>
    <w:rsid w:val="00A705A2"/>
    <w:rsid w:val="00A70743"/>
    <w:rsid w:val="00A7092F"/>
    <w:rsid w:val="00A70AC3"/>
    <w:rsid w:val="00A70B42"/>
    <w:rsid w:val="00A70C1B"/>
    <w:rsid w:val="00A70CBB"/>
    <w:rsid w:val="00A70E5D"/>
    <w:rsid w:val="00A71278"/>
    <w:rsid w:val="00A71519"/>
    <w:rsid w:val="00A716CA"/>
    <w:rsid w:val="00A7191F"/>
    <w:rsid w:val="00A71A8C"/>
    <w:rsid w:val="00A71C24"/>
    <w:rsid w:val="00A71DD9"/>
    <w:rsid w:val="00A71E5B"/>
    <w:rsid w:val="00A71F4E"/>
    <w:rsid w:val="00A7205C"/>
    <w:rsid w:val="00A7215C"/>
    <w:rsid w:val="00A724CF"/>
    <w:rsid w:val="00A7270D"/>
    <w:rsid w:val="00A72720"/>
    <w:rsid w:val="00A72A44"/>
    <w:rsid w:val="00A72CD4"/>
    <w:rsid w:val="00A72FCA"/>
    <w:rsid w:val="00A73085"/>
    <w:rsid w:val="00A7323C"/>
    <w:rsid w:val="00A734CB"/>
    <w:rsid w:val="00A736ED"/>
    <w:rsid w:val="00A73707"/>
    <w:rsid w:val="00A73C33"/>
    <w:rsid w:val="00A73C5B"/>
    <w:rsid w:val="00A73CDB"/>
    <w:rsid w:val="00A74009"/>
    <w:rsid w:val="00A7400B"/>
    <w:rsid w:val="00A740F3"/>
    <w:rsid w:val="00A743B9"/>
    <w:rsid w:val="00A74534"/>
    <w:rsid w:val="00A74BA3"/>
    <w:rsid w:val="00A74CDE"/>
    <w:rsid w:val="00A74CE9"/>
    <w:rsid w:val="00A74D05"/>
    <w:rsid w:val="00A74DCB"/>
    <w:rsid w:val="00A7507E"/>
    <w:rsid w:val="00A7545A"/>
    <w:rsid w:val="00A7546B"/>
    <w:rsid w:val="00A75602"/>
    <w:rsid w:val="00A75AFF"/>
    <w:rsid w:val="00A75C54"/>
    <w:rsid w:val="00A75D3B"/>
    <w:rsid w:val="00A75E1B"/>
    <w:rsid w:val="00A75F52"/>
    <w:rsid w:val="00A76903"/>
    <w:rsid w:val="00A769AC"/>
    <w:rsid w:val="00A76B93"/>
    <w:rsid w:val="00A76BEF"/>
    <w:rsid w:val="00A76C5E"/>
    <w:rsid w:val="00A76C7B"/>
    <w:rsid w:val="00A76CA0"/>
    <w:rsid w:val="00A772CA"/>
    <w:rsid w:val="00A773C8"/>
    <w:rsid w:val="00A77636"/>
    <w:rsid w:val="00A7769C"/>
    <w:rsid w:val="00A778D9"/>
    <w:rsid w:val="00A77929"/>
    <w:rsid w:val="00A77A9B"/>
    <w:rsid w:val="00A77B21"/>
    <w:rsid w:val="00A77B35"/>
    <w:rsid w:val="00A77BE8"/>
    <w:rsid w:val="00A77F0C"/>
    <w:rsid w:val="00A77F74"/>
    <w:rsid w:val="00A80394"/>
    <w:rsid w:val="00A8042C"/>
    <w:rsid w:val="00A80491"/>
    <w:rsid w:val="00A804BB"/>
    <w:rsid w:val="00A804D2"/>
    <w:rsid w:val="00A807F0"/>
    <w:rsid w:val="00A80E75"/>
    <w:rsid w:val="00A816FC"/>
    <w:rsid w:val="00A81C92"/>
    <w:rsid w:val="00A820BA"/>
    <w:rsid w:val="00A821CF"/>
    <w:rsid w:val="00A8234A"/>
    <w:rsid w:val="00A825C5"/>
    <w:rsid w:val="00A827CB"/>
    <w:rsid w:val="00A827CF"/>
    <w:rsid w:val="00A82915"/>
    <w:rsid w:val="00A82998"/>
    <w:rsid w:val="00A82F44"/>
    <w:rsid w:val="00A82FC9"/>
    <w:rsid w:val="00A83030"/>
    <w:rsid w:val="00A831F7"/>
    <w:rsid w:val="00A832E0"/>
    <w:rsid w:val="00A832EC"/>
    <w:rsid w:val="00A8386D"/>
    <w:rsid w:val="00A83B04"/>
    <w:rsid w:val="00A83D32"/>
    <w:rsid w:val="00A84268"/>
    <w:rsid w:val="00A842B1"/>
    <w:rsid w:val="00A846B8"/>
    <w:rsid w:val="00A84D99"/>
    <w:rsid w:val="00A84DD9"/>
    <w:rsid w:val="00A84E5C"/>
    <w:rsid w:val="00A85236"/>
    <w:rsid w:val="00A853EE"/>
    <w:rsid w:val="00A85826"/>
    <w:rsid w:val="00A85851"/>
    <w:rsid w:val="00A85912"/>
    <w:rsid w:val="00A85F3B"/>
    <w:rsid w:val="00A8619C"/>
    <w:rsid w:val="00A8619D"/>
    <w:rsid w:val="00A86248"/>
    <w:rsid w:val="00A864FF"/>
    <w:rsid w:val="00A86538"/>
    <w:rsid w:val="00A8657A"/>
    <w:rsid w:val="00A87066"/>
    <w:rsid w:val="00A870A4"/>
    <w:rsid w:val="00A87121"/>
    <w:rsid w:val="00A871FE"/>
    <w:rsid w:val="00A87251"/>
    <w:rsid w:val="00A877FE"/>
    <w:rsid w:val="00A90002"/>
    <w:rsid w:val="00A90007"/>
    <w:rsid w:val="00A90088"/>
    <w:rsid w:val="00A902DE"/>
    <w:rsid w:val="00A907BB"/>
    <w:rsid w:val="00A9080D"/>
    <w:rsid w:val="00A90D3C"/>
    <w:rsid w:val="00A90E6C"/>
    <w:rsid w:val="00A90FC6"/>
    <w:rsid w:val="00A9101D"/>
    <w:rsid w:val="00A91119"/>
    <w:rsid w:val="00A91166"/>
    <w:rsid w:val="00A91267"/>
    <w:rsid w:val="00A9131B"/>
    <w:rsid w:val="00A9134A"/>
    <w:rsid w:val="00A9137F"/>
    <w:rsid w:val="00A913F5"/>
    <w:rsid w:val="00A9143D"/>
    <w:rsid w:val="00A91B2D"/>
    <w:rsid w:val="00A91B61"/>
    <w:rsid w:val="00A91B81"/>
    <w:rsid w:val="00A91C1B"/>
    <w:rsid w:val="00A91CF8"/>
    <w:rsid w:val="00A921C4"/>
    <w:rsid w:val="00A924FE"/>
    <w:rsid w:val="00A927F9"/>
    <w:rsid w:val="00A9293E"/>
    <w:rsid w:val="00A92BF3"/>
    <w:rsid w:val="00A92E4E"/>
    <w:rsid w:val="00A932BD"/>
    <w:rsid w:val="00A932CE"/>
    <w:rsid w:val="00A9330C"/>
    <w:rsid w:val="00A93B0D"/>
    <w:rsid w:val="00A93BE5"/>
    <w:rsid w:val="00A93FA3"/>
    <w:rsid w:val="00A94152"/>
    <w:rsid w:val="00A94291"/>
    <w:rsid w:val="00A943C0"/>
    <w:rsid w:val="00A94507"/>
    <w:rsid w:val="00A948C7"/>
    <w:rsid w:val="00A94B34"/>
    <w:rsid w:val="00A950BA"/>
    <w:rsid w:val="00A95495"/>
    <w:rsid w:val="00A954AA"/>
    <w:rsid w:val="00A95584"/>
    <w:rsid w:val="00A956B5"/>
    <w:rsid w:val="00A95711"/>
    <w:rsid w:val="00A957C9"/>
    <w:rsid w:val="00A958AF"/>
    <w:rsid w:val="00A958D1"/>
    <w:rsid w:val="00A95A0B"/>
    <w:rsid w:val="00A95B63"/>
    <w:rsid w:val="00A95C27"/>
    <w:rsid w:val="00A95CFD"/>
    <w:rsid w:val="00A95DDD"/>
    <w:rsid w:val="00A96002"/>
    <w:rsid w:val="00A962E4"/>
    <w:rsid w:val="00A962F2"/>
    <w:rsid w:val="00A96351"/>
    <w:rsid w:val="00A9643E"/>
    <w:rsid w:val="00A96532"/>
    <w:rsid w:val="00A9675C"/>
    <w:rsid w:val="00A96869"/>
    <w:rsid w:val="00A9699D"/>
    <w:rsid w:val="00A96AA3"/>
    <w:rsid w:val="00A96C8E"/>
    <w:rsid w:val="00A96DDA"/>
    <w:rsid w:val="00A96F97"/>
    <w:rsid w:val="00A971EB"/>
    <w:rsid w:val="00A9728B"/>
    <w:rsid w:val="00A97BD6"/>
    <w:rsid w:val="00A97E1E"/>
    <w:rsid w:val="00A98784"/>
    <w:rsid w:val="00AA0109"/>
    <w:rsid w:val="00AA0315"/>
    <w:rsid w:val="00AA0335"/>
    <w:rsid w:val="00AA04CE"/>
    <w:rsid w:val="00AA05FF"/>
    <w:rsid w:val="00AA0601"/>
    <w:rsid w:val="00AA061F"/>
    <w:rsid w:val="00AA06F9"/>
    <w:rsid w:val="00AA0878"/>
    <w:rsid w:val="00AA0900"/>
    <w:rsid w:val="00AA0994"/>
    <w:rsid w:val="00AA0D56"/>
    <w:rsid w:val="00AA1142"/>
    <w:rsid w:val="00AA168E"/>
    <w:rsid w:val="00AA1B0F"/>
    <w:rsid w:val="00AA1BDA"/>
    <w:rsid w:val="00AA1FFE"/>
    <w:rsid w:val="00AA206D"/>
    <w:rsid w:val="00AA209E"/>
    <w:rsid w:val="00AA2108"/>
    <w:rsid w:val="00AA21F0"/>
    <w:rsid w:val="00AA21F2"/>
    <w:rsid w:val="00AA2364"/>
    <w:rsid w:val="00AA2444"/>
    <w:rsid w:val="00AA2EAF"/>
    <w:rsid w:val="00AA3006"/>
    <w:rsid w:val="00AA321F"/>
    <w:rsid w:val="00AA36E8"/>
    <w:rsid w:val="00AA382D"/>
    <w:rsid w:val="00AA3924"/>
    <w:rsid w:val="00AA3FC1"/>
    <w:rsid w:val="00AA4217"/>
    <w:rsid w:val="00AA46C5"/>
    <w:rsid w:val="00AA46E4"/>
    <w:rsid w:val="00AA47F1"/>
    <w:rsid w:val="00AA4CF1"/>
    <w:rsid w:val="00AA4E61"/>
    <w:rsid w:val="00AA4EFF"/>
    <w:rsid w:val="00AA5190"/>
    <w:rsid w:val="00AA5528"/>
    <w:rsid w:val="00AA5760"/>
    <w:rsid w:val="00AA57E3"/>
    <w:rsid w:val="00AA58E6"/>
    <w:rsid w:val="00AA5A5F"/>
    <w:rsid w:val="00AA5DD6"/>
    <w:rsid w:val="00AA5FA2"/>
    <w:rsid w:val="00AA604F"/>
    <w:rsid w:val="00AA60E6"/>
    <w:rsid w:val="00AA646C"/>
    <w:rsid w:val="00AA64E9"/>
    <w:rsid w:val="00AA6682"/>
    <w:rsid w:val="00AA679C"/>
    <w:rsid w:val="00AA6813"/>
    <w:rsid w:val="00AA6877"/>
    <w:rsid w:val="00AA6CB2"/>
    <w:rsid w:val="00AA6DC8"/>
    <w:rsid w:val="00AA6DE0"/>
    <w:rsid w:val="00AA6ECB"/>
    <w:rsid w:val="00AA70F0"/>
    <w:rsid w:val="00AA74E3"/>
    <w:rsid w:val="00AA76CF"/>
    <w:rsid w:val="00AA7766"/>
    <w:rsid w:val="00AA790B"/>
    <w:rsid w:val="00AA7AD0"/>
    <w:rsid w:val="00AA7E81"/>
    <w:rsid w:val="00AA7EC8"/>
    <w:rsid w:val="00AB000E"/>
    <w:rsid w:val="00AB03FE"/>
    <w:rsid w:val="00AB048F"/>
    <w:rsid w:val="00AB05BA"/>
    <w:rsid w:val="00AB0622"/>
    <w:rsid w:val="00AB0636"/>
    <w:rsid w:val="00AB063E"/>
    <w:rsid w:val="00AB0A84"/>
    <w:rsid w:val="00AB166C"/>
    <w:rsid w:val="00AB16F6"/>
    <w:rsid w:val="00AB187B"/>
    <w:rsid w:val="00AB1D3D"/>
    <w:rsid w:val="00AB1E58"/>
    <w:rsid w:val="00AB1F45"/>
    <w:rsid w:val="00AB22F7"/>
    <w:rsid w:val="00AB2574"/>
    <w:rsid w:val="00AB2A04"/>
    <w:rsid w:val="00AB2AF4"/>
    <w:rsid w:val="00AB2B5F"/>
    <w:rsid w:val="00AB2C2D"/>
    <w:rsid w:val="00AB3188"/>
    <w:rsid w:val="00AB3276"/>
    <w:rsid w:val="00AB3E41"/>
    <w:rsid w:val="00AB4B1B"/>
    <w:rsid w:val="00AB4BCD"/>
    <w:rsid w:val="00AB4E9D"/>
    <w:rsid w:val="00AB4FBC"/>
    <w:rsid w:val="00AB5058"/>
    <w:rsid w:val="00AB5207"/>
    <w:rsid w:val="00AB53A5"/>
    <w:rsid w:val="00AB5665"/>
    <w:rsid w:val="00AB5719"/>
    <w:rsid w:val="00AB5A87"/>
    <w:rsid w:val="00AB5B21"/>
    <w:rsid w:val="00AB5B62"/>
    <w:rsid w:val="00AB5BAE"/>
    <w:rsid w:val="00AB5C41"/>
    <w:rsid w:val="00AB5C7A"/>
    <w:rsid w:val="00AB5DD7"/>
    <w:rsid w:val="00AB61FB"/>
    <w:rsid w:val="00AB62B7"/>
    <w:rsid w:val="00AB6AB0"/>
    <w:rsid w:val="00AB6B16"/>
    <w:rsid w:val="00AB6F9B"/>
    <w:rsid w:val="00AB6FBE"/>
    <w:rsid w:val="00AB7047"/>
    <w:rsid w:val="00AB70C8"/>
    <w:rsid w:val="00AB7109"/>
    <w:rsid w:val="00AB7132"/>
    <w:rsid w:val="00AB74DD"/>
    <w:rsid w:val="00AB76FB"/>
    <w:rsid w:val="00AB7860"/>
    <w:rsid w:val="00AB78C0"/>
    <w:rsid w:val="00AB7A96"/>
    <w:rsid w:val="00AB7D5D"/>
    <w:rsid w:val="00AC0043"/>
    <w:rsid w:val="00AC03A4"/>
    <w:rsid w:val="00AC046E"/>
    <w:rsid w:val="00AC0B01"/>
    <w:rsid w:val="00AC0D00"/>
    <w:rsid w:val="00AC0DB6"/>
    <w:rsid w:val="00AC0F00"/>
    <w:rsid w:val="00AC1004"/>
    <w:rsid w:val="00AC1188"/>
    <w:rsid w:val="00AC145F"/>
    <w:rsid w:val="00AC16E4"/>
    <w:rsid w:val="00AC1810"/>
    <w:rsid w:val="00AC1B99"/>
    <w:rsid w:val="00AC1F13"/>
    <w:rsid w:val="00AC1FD0"/>
    <w:rsid w:val="00AC20A7"/>
    <w:rsid w:val="00AC2444"/>
    <w:rsid w:val="00AC2946"/>
    <w:rsid w:val="00AC2C9D"/>
    <w:rsid w:val="00AC2D04"/>
    <w:rsid w:val="00AC3728"/>
    <w:rsid w:val="00AC37B7"/>
    <w:rsid w:val="00AC37ED"/>
    <w:rsid w:val="00AC3B27"/>
    <w:rsid w:val="00AC3B91"/>
    <w:rsid w:val="00AC3BCB"/>
    <w:rsid w:val="00AC3EA5"/>
    <w:rsid w:val="00AC4013"/>
    <w:rsid w:val="00AC43A2"/>
    <w:rsid w:val="00AC4410"/>
    <w:rsid w:val="00AC44B5"/>
    <w:rsid w:val="00AC44D4"/>
    <w:rsid w:val="00AC483B"/>
    <w:rsid w:val="00AC4A87"/>
    <w:rsid w:val="00AC4E21"/>
    <w:rsid w:val="00AC4E55"/>
    <w:rsid w:val="00AC4EBD"/>
    <w:rsid w:val="00AC4F1E"/>
    <w:rsid w:val="00AC5249"/>
    <w:rsid w:val="00AC541E"/>
    <w:rsid w:val="00AC5A3D"/>
    <w:rsid w:val="00AC5B30"/>
    <w:rsid w:val="00AC5E2B"/>
    <w:rsid w:val="00AC6055"/>
    <w:rsid w:val="00AC61C6"/>
    <w:rsid w:val="00AC65E7"/>
    <w:rsid w:val="00AC68CD"/>
    <w:rsid w:val="00AC690B"/>
    <w:rsid w:val="00AC69CA"/>
    <w:rsid w:val="00AC6A79"/>
    <w:rsid w:val="00AC6B2E"/>
    <w:rsid w:val="00AC6C86"/>
    <w:rsid w:val="00AC6DA9"/>
    <w:rsid w:val="00AC6EEA"/>
    <w:rsid w:val="00AC7030"/>
    <w:rsid w:val="00AC7357"/>
    <w:rsid w:val="00AC748B"/>
    <w:rsid w:val="00AC7C20"/>
    <w:rsid w:val="00AC7C31"/>
    <w:rsid w:val="00AC7CCF"/>
    <w:rsid w:val="00AC7D5A"/>
    <w:rsid w:val="00AC7DE8"/>
    <w:rsid w:val="00AD00DC"/>
    <w:rsid w:val="00AD0414"/>
    <w:rsid w:val="00AD0436"/>
    <w:rsid w:val="00AD04FE"/>
    <w:rsid w:val="00AD0738"/>
    <w:rsid w:val="00AD0B09"/>
    <w:rsid w:val="00AD0C3A"/>
    <w:rsid w:val="00AD0EC8"/>
    <w:rsid w:val="00AD0FC1"/>
    <w:rsid w:val="00AD0FF2"/>
    <w:rsid w:val="00AD1081"/>
    <w:rsid w:val="00AD13D4"/>
    <w:rsid w:val="00AD1A1C"/>
    <w:rsid w:val="00AD1B75"/>
    <w:rsid w:val="00AD1D65"/>
    <w:rsid w:val="00AD1F11"/>
    <w:rsid w:val="00AD231B"/>
    <w:rsid w:val="00AD2493"/>
    <w:rsid w:val="00AD252F"/>
    <w:rsid w:val="00AD2683"/>
    <w:rsid w:val="00AD2710"/>
    <w:rsid w:val="00AD2731"/>
    <w:rsid w:val="00AD2C24"/>
    <w:rsid w:val="00AD2D97"/>
    <w:rsid w:val="00AD30E8"/>
    <w:rsid w:val="00AD3257"/>
    <w:rsid w:val="00AD3415"/>
    <w:rsid w:val="00AD34F2"/>
    <w:rsid w:val="00AD370B"/>
    <w:rsid w:val="00AD3C01"/>
    <w:rsid w:val="00AD4661"/>
    <w:rsid w:val="00AD4792"/>
    <w:rsid w:val="00AD483D"/>
    <w:rsid w:val="00AD525E"/>
    <w:rsid w:val="00AD55F4"/>
    <w:rsid w:val="00AD5794"/>
    <w:rsid w:val="00AD59FA"/>
    <w:rsid w:val="00AD6036"/>
    <w:rsid w:val="00AD672E"/>
    <w:rsid w:val="00AD6732"/>
    <w:rsid w:val="00AD6945"/>
    <w:rsid w:val="00AD69B7"/>
    <w:rsid w:val="00AD6A4E"/>
    <w:rsid w:val="00AD6DDF"/>
    <w:rsid w:val="00AD6F4C"/>
    <w:rsid w:val="00AD702A"/>
    <w:rsid w:val="00AD7086"/>
    <w:rsid w:val="00AD70C8"/>
    <w:rsid w:val="00AD710F"/>
    <w:rsid w:val="00AD7158"/>
    <w:rsid w:val="00AD716F"/>
    <w:rsid w:val="00AD7296"/>
    <w:rsid w:val="00AD733A"/>
    <w:rsid w:val="00AD7502"/>
    <w:rsid w:val="00AD7680"/>
    <w:rsid w:val="00AD7796"/>
    <w:rsid w:val="00AD782E"/>
    <w:rsid w:val="00AD7953"/>
    <w:rsid w:val="00AD7B07"/>
    <w:rsid w:val="00AD7B4E"/>
    <w:rsid w:val="00AD7BA1"/>
    <w:rsid w:val="00AE00DE"/>
    <w:rsid w:val="00AE03CF"/>
    <w:rsid w:val="00AE04FE"/>
    <w:rsid w:val="00AE06D2"/>
    <w:rsid w:val="00AE087D"/>
    <w:rsid w:val="00AE0AF4"/>
    <w:rsid w:val="00AE0E46"/>
    <w:rsid w:val="00AE0EF2"/>
    <w:rsid w:val="00AE0FA9"/>
    <w:rsid w:val="00AE0FEA"/>
    <w:rsid w:val="00AE104A"/>
    <w:rsid w:val="00AE115B"/>
    <w:rsid w:val="00AE1221"/>
    <w:rsid w:val="00AE12A6"/>
    <w:rsid w:val="00AE1448"/>
    <w:rsid w:val="00AE1827"/>
    <w:rsid w:val="00AE198D"/>
    <w:rsid w:val="00AE1D0D"/>
    <w:rsid w:val="00AE2082"/>
    <w:rsid w:val="00AE20F9"/>
    <w:rsid w:val="00AE217F"/>
    <w:rsid w:val="00AE23FD"/>
    <w:rsid w:val="00AE24FE"/>
    <w:rsid w:val="00AE25F0"/>
    <w:rsid w:val="00AE263E"/>
    <w:rsid w:val="00AE27C2"/>
    <w:rsid w:val="00AE287B"/>
    <w:rsid w:val="00AE28AA"/>
    <w:rsid w:val="00AE295A"/>
    <w:rsid w:val="00AE2CCF"/>
    <w:rsid w:val="00AE2DE2"/>
    <w:rsid w:val="00AE2DF0"/>
    <w:rsid w:val="00AE2DF3"/>
    <w:rsid w:val="00AE2E01"/>
    <w:rsid w:val="00AE31DE"/>
    <w:rsid w:val="00AE32BE"/>
    <w:rsid w:val="00AE3888"/>
    <w:rsid w:val="00AE3AD5"/>
    <w:rsid w:val="00AE3E12"/>
    <w:rsid w:val="00AE3F3E"/>
    <w:rsid w:val="00AE40A1"/>
    <w:rsid w:val="00AE4263"/>
    <w:rsid w:val="00AE445B"/>
    <w:rsid w:val="00AE4469"/>
    <w:rsid w:val="00AE4655"/>
    <w:rsid w:val="00AE4762"/>
    <w:rsid w:val="00AE47B8"/>
    <w:rsid w:val="00AE4B0D"/>
    <w:rsid w:val="00AE4B66"/>
    <w:rsid w:val="00AE4CAB"/>
    <w:rsid w:val="00AE4D11"/>
    <w:rsid w:val="00AE565D"/>
    <w:rsid w:val="00AE5695"/>
    <w:rsid w:val="00AE57E0"/>
    <w:rsid w:val="00AE5A62"/>
    <w:rsid w:val="00AE5EA6"/>
    <w:rsid w:val="00AE5FE1"/>
    <w:rsid w:val="00AE63CB"/>
    <w:rsid w:val="00AE6430"/>
    <w:rsid w:val="00AE6564"/>
    <w:rsid w:val="00AE65DB"/>
    <w:rsid w:val="00AE66F2"/>
    <w:rsid w:val="00AE675D"/>
    <w:rsid w:val="00AE6780"/>
    <w:rsid w:val="00AE67A8"/>
    <w:rsid w:val="00AE67FF"/>
    <w:rsid w:val="00AE6847"/>
    <w:rsid w:val="00AE6B79"/>
    <w:rsid w:val="00AE7055"/>
    <w:rsid w:val="00AE7097"/>
    <w:rsid w:val="00AE720F"/>
    <w:rsid w:val="00AE740B"/>
    <w:rsid w:val="00AE7458"/>
    <w:rsid w:val="00AE74BA"/>
    <w:rsid w:val="00AE78BA"/>
    <w:rsid w:val="00AE7956"/>
    <w:rsid w:val="00AE797B"/>
    <w:rsid w:val="00AE7D29"/>
    <w:rsid w:val="00AE7D5C"/>
    <w:rsid w:val="00AE7F01"/>
    <w:rsid w:val="00AF03E6"/>
    <w:rsid w:val="00AF03F7"/>
    <w:rsid w:val="00AF04A2"/>
    <w:rsid w:val="00AF0648"/>
    <w:rsid w:val="00AF070E"/>
    <w:rsid w:val="00AF080E"/>
    <w:rsid w:val="00AF088F"/>
    <w:rsid w:val="00AF09C9"/>
    <w:rsid w:val="00AF0A00"/>
    <w:rsid w:val="00AF0A02"/>
    <w:rsid w:val="00AF0A27"/>
    <w:rsid w:val="00AF0AC4"/>
    <w:rsid w:val="00AF0BC6"/>
    <w:rsid w:val="00AF0D1F"/>
    <w:rsid w:val="00AF0F06"/>
    <w:rsid w:val="00AF0F16"/>
    <w:rsid w:val="00AF16A3"/>
    <w:rsid w:val="00AF1875"/>
    <w:rsid w:val="00AF1A5A"/>
    <w:rsid w:val="00AF1AAD"/>
    <w:rsid w:val="00AF1B7A"/>
    <w:rsid w:val="00AF1CA5"/>
    <w:rsid w:val="00AF22AC"/>
    <w:rsid w:val="00AF22CB"/>
    <w:rsid w:val="00AF2482"/>
    <w:rsid w:val="00AF29D4"/>
    <w:rsid w:val="00AF2CB7"/>
    <w:rsid w:val="00AF2D12"/>
    <w:rsid w:val="00AF2D4C"/>
    <w:rsid w:val="00AF2DB1"/>
    <w:rsid w:val="00AF31F7"/>
    <w:rsid w:val="00AF32A1"/>
    <w:rsid w:val="00AF33BE"/>
    <w:rsid w:val="00AF33CE"/>
    <w:rsid w:val="00AF35B6"/>
    <w:rsid w:val="00AF38D3"/>
    <w:rsid w:val="00AF3C60"/>
    <w:rsid w:val="00AF3D0C"/>
    <w:rsid w:val="00AF3D8D"/>
    <w:rsid w:val="00AF4B56"/>
    <w:rsid w:val="00AF4D83"/>
    <w:rsid w:val="00AF52F6"/>
    <w:rsid w:val="00AF53C2"/>
    <w:rsid w:val="00AF5616"/>
    <w:rsid w:val="00AF5738"/>
    <w:rsid w:val="00AF5E62"/>
    <w:rsid w:val="00AF5F80"/>
    <w:rsid w:val="00AF60FD"/>
    <w:rsid w:val="00AF6529"/>
    <w:rsid w:val="00AF666B"/>
    <w:rsid w:val="00AF6CAB"/>
    <w:rsid w:val="00AF6E4F"/>
    <w:rsid w:val="00AF703E"/>
    <w:rsid w:val="00AF7196"/>
    <w:rsid w:val="00AF76BE"/>
    <w:rsid w:val="00AF7777"/>
    <w:rsid w:val="00AF779C"/>
    <w:rsid w:val="00AF7A31"/>
    <w:rsid w:val="00AF7C6B"/>
    <w:rsid w:val="00AFE357"/>
    <w:rsid w:val="00B001FB"/>
    <w:rsid w:val="00B004AA"/>
    <w:rsid w:val="00B004C0"/>
    <w:rsid w:val="00B00625"/>
    <w:rsid w:val="00B009A2"/>
    <w:rsid w:val="00B00D1F"/>
    <w:rsid w:val="00B00D24"/>
    <w:rsid w:val="00B00D93"/>
    <w:rsid w:val="00B00F5D"/>
    <w:rsid w:val="00B011BC"/>
    <w:rsid w:val="00B012D5"/>
    <w:rsid w:val="00B01AEC"/>
    <w:rsid w:val="00B01B65"/>
    <w:rsid w:val="00B01B70"/>
    <w:rsid w:val="00B01BC0"/>
    <w:rsid w:val="00B01C58"/>
    <w:rsid w:val="00B01E38"/>
    <w:rsid w:val="00B02215"/>
    <w:rsid w:val="00B023FD"/>
    <w:rsid w:val="00B0242B"/>
    <w:rsid w:val="00B025BB"/>
    <w:rsid w:val="00B02636"/>
    <w:rsid w:val="00B0266C"/>
    <w:rsid w:val="00B02C28"/>
    <w:rsid w:val="00B0316D"/>
    <w:rsid w:val="00B03272"/>
    <w:rsid w:val="00B0341A"/>
    <w:rsid w:val="00B035BD"/>
    <w:rsid w:val="00B0394C"/>
    <w:rsid w:val="00B03A7B"/>
    <w:rsid w:val="00B03AE6"/>
    <w:rsid w:val="00B03B9F"/>
    <w:rsid w:val="00B03BC6"/>
    <w:rsid w:val="00B0407D"/>
    <w:rsid w:val="00B043E9"/>
    <w:rsid w:val="00B04891"/>
    <w:rsid w:val="00B04988"/>
    <w:rsid w:val="00B04AEC"/>
    <w:rsid w:val="00B04B3C"/>
    <w:rsid w:val="00B04B8C"/>
    <w:rsid w:val="00B04CC4"/>
    <w:rsid w:val="00B04CDB"/>
    <w:rsid w:val="00B04E5D"/>
    <w:rsid w:val="00B05409"/>
    <w:rsid w:val="00B05488"/>
    <w:rsid w:val="00B0560C"/>
    <w:rsid w:val="00B057B6"/>
    <w:rsid w:val="00B05853"/>
    <w:rsid w:val="00B05882"/>
    <w:rsid w:val="00B05AC4"/>
    <w:rsid w:val="00B05BB0"/>
    <w:rsid w:val="00B05F58"/>
    <w:rsid w:val="00B06360"/>
    <w:rsid w:val="00B06520"/>
    <w:rsid w:val="00B06841"/>
    <w:rsid w:val="00B06A19"/>
    <w:rsid w:val="00B06C43"/>
    <w:rsid w:val="00B06D76"/>
    <w:rsid w:val="00B0710E"/>
    <w:rsid w:val="00B0716F"/>
    <w:rsid w:val="00B0762F"/>
    <w:rsid w:val="00B079DC"/>
    <w:rsid w:val="00B07A6D"/>
    <w:rsid w:val="00B07B3E"/>
    <w:rsid w:val="00B07C55"/>
    <w:rsid w:val="00B07F76"/>
    <w:rsid w:val="00B10492"/>
    <w:rsid w:val="00B106A1"/>
    <w:rsid w:val="00B10886"/>
    <w:rsid w:val="00B1093D"/>
    <w:rsid w:val="00B10B47"/>
    <w:rsid w:val="00B10BDC"/>
    <w:rsid w:val="00B10DBB"/>
    <w:rsid w:val="00B10ECB"/>
    <w:rsid w:val="00B10F12"/>
    <w:rsid w:val="00B1101D"/>
    <w:rsid w:val="00B11829"/>
    <w:rsid w:val="00B119A6"/>
    <w:rsid w:val="00B11B2A"/>
    <w:rsid w:val="00B11B6A"/>
    <w:rsid w:val="00B11B6B"/>
    <w:rsid w:val="00B11E5E"/>
    <w:rsid w:val="00B11FCB"/>
    <w:rsid w:val="00B121E4"/>
    <w:rsid w:val="00B123BF"/>
    <w:rsid w:val="00B12509"/>
    <w:rsid w:val="00B1259F"/>
    <w:rsid w:val="00B12883"/>
    <w:rsid w:val="00B12BCC"/>
    <w:rsid w:val="00B12D54"/>
    <w:rsid w:val="00B1323B"/>
    <w:rsid w:val="00B13249"/>
    <w:rsid w:val="00B1332F"/>
    <w:rsid w:val="00B1345B"/>
    <w:rsid w:val="00B13763"/>
    <w:rsid w:val="00B13A08"/>
    <w:rsid w:val="00B13DD1"/>
    <w:rsid w:val="00B13E44"/>
    <w:rsid w:val="00B13E8E"/>
    <w:rsid w:val="00B13F72"/>
    <w:rsid w:val="00B1400D"/>
    <w:rsid w:val="00B1438C"/>
    <w:rsid w:val="00B14403"/>
    <w:rsid w:val="00B1474C"/>
    <w:rsid w:val="00B14A07"/>
    <w:rsid w:val="00B14D5A"/>
    <w:rsid w:val="00B14F5D"/>
    <w:rsid w:val="00B15689"/>
    <w:rsid w:val="00B1584B"/>
    <w:rsid w:val="00B15F73"/>
    <w:rsid w:val="00B15FFF"/>
    <w:rsid w:val="00B16074"/>
    <w:rsid w:val="00B160A5"/>
    <w:rsid w:val="00B160FA"/>
    <w:rsid w:val="00B1633B"/>
    <w:rsid w:val="00B1638C"/>
    <w:rsid w:val="00B1640A"/>
    <w:rsid w:val="00B1663B"/>
    <w:rsid w:val="00B16B74"/>
    <w:rsid w:val="00B16F01"/>
    <w:rsid w:val="00B174F3"/>
    <w:rsid w:val="00B1767A"/>
    <w:rsid w:val="00B176B4"/>
    <w:rsid w:val="00B177B0"/>
    <w:rsid w:val="00B17F23"/>
    <w:rsid w:val="00B1FCE7"/>
    <w:rsid w:val="00B20671"/>
    <w:rsid w:val="00B206BA"/>
    <w:rsid w:val="00B20C46"/>
    <w:rsid w:val="00B20D54"/>
    <w:rsid w:val="00B20FE3"/>
    <w:rsid w:val="00B21126"/>
    <w:rsid w:val="00B211F1"/>
    <w:rsid w:val="00B21339"/>
    <w:rsid w:val="00B214B2"/>
    <w:rsid w:val="00B217F2"/>
    <w:rsid w:val="00B21E6C"/>
    <w:rsid w:val="00B220F7"/>
    <w:rsid w:val="00B224EA"/>
    <w:rsid w:val="00B22588"/>
    <w:rsid w:val="00B22984"/>
    <w:rsid w:val="00B22CEB"/>
    <w:rsid w:val="00B22DA1"/>
    <w:rsid w:val="00B23016"/>
    <w:rsid w:val="00B2307B"/>
    <w:rsid w:val="00B237C4"/>
    <w:rsid w:val="00B238CE"/>
    <w:rsid w:val="00B23C74"/>
    <w:rsid w:val="00B23D02"/>
    <w:rsid w:val="00B240AE"/>
    <w:rsid w:val="00B2416E"/>
    <w:rsid w:val="00B24406"/>
    <w:rsid w:val="00B24470"/>
    <w:rsid w:val="00B247AA"/>
    <w:rsid w:val="00B24964"/>
    <w:rsid w:val="00B24CD9"/>
    <w:rsid w:val="00B24D6C"/>
    <w:rsid w:val="00B251C2"/>
    <w:rsid w:val="00B2522F"/>
    <w:rsid w:val="00B25676"/>
    <w:rsid w:val="00B257CD"/>
    <w:rsid w:val="00B25812"/>
    <w:rsid w:val="00B25B88"/>
    <w:rsid w:val="00B26274"/>
    <w:rsid w:val="00B263A2"/>
    <w:rsid w:val="00B2683A"/>
    <w:rsid w:val="00B26966"/>
    <w:rsid w:val="00B26A17"/>
    <w:rsid w:val="00B26BFE"/>
    <w:rsid w:val="00B26F4E"/>
    <w:rsid w:val="00B27391"/>
    <w:rsid w:val="00B27723"/>
    <w:rsid w:val="00B2784A"/>
    <w:rsid w:val="00B278D0"/>
    <w:rsid w:val="00B27A91"/>
    <w:rsid w:val="00B2CC38"/>
    <w:rsid w:val="00B30242"/>
    <w:rsid w:val="00B3063C"/>
    <w:rsid w:val="00B3078D"/>
    <w:rsid w:val="00B3084B"/>
    <w:rsid w:val="00B30AE8"/>
    <w:rsid w:val="00B30C95"/>
    <w:rsid w:val="00B30D59"/>
    <w:rsid w:val="00B31117"/>
    <w:rsid w:val="00B311DF"/>
    <w:rsid w:val="00B3130F"/>
    <w:rsid w:val="00B3156D"/>
    <w:rsid w:val="00B3170B"/>
    <w:rsid w:val="00B31737"/>
    <w:rsid w:val="00B31819"/>
    <w:rsid w:val="00B3181A"/>
    <w:rsid w:val="00B31839"/>
    <w:rsid w:val="00B31DC1"/>
    <w:rsid w:val="00B31F4A"/>
    <w:rsid w:val="00B3201E"/>
    <w:rsid w:val="00B320A5"/>
    <w:rsid w:val="00B320AD"/>
    <w:rsid w:val="00B320D7"/>
    <w:rsid w:val="00B3224E"/>
    <w:rsid w:val="00B32635"/>
    <w:rsid w:val="00B3266F"/>
    <w:rsid w:val="00B32965"/>
    <w:rsid w:val="00B32D53"/>
    <w:rsid w:val="00B32E0E"/>
    <w:rsid w:val="00B32E3C"/>
    <w:rsid w:val="00B330A5"/>
    <w:rsid w:val="00B335A8"/>
    <w:rsid w:val="00B338EA"/>
    <w:rsid w:val="00B33A8A"/>
    <w:rsid w:val="00B33CB6"/>
    <w:rsid w:val="00B33D24"/>
    <w:rsid w:val="00B33DA2"/>
    <w:rsid w:val="00B33EA5"/>
    <w:rsid w:val="00B344DC"/>
    <w:rsid w:val="00B347BB"/>
    <w:rsid w:val="00B3492A"/>
    <w:rsid w:val="00B34A0F"/>
    <w:rsid w:val="00B34A66"/>
    <w:rsid w:val="00B34B2D"/>
    <w:rsid w:val="00B34B6A"/>
    <w:rsid w:val="00B34C13"/>
    <w:rsid w:val="00B34EC6"/>
    <w:rsid w:val="00B34F46"/>
    <w:rsid w:val="00B350FA"/>
    <w:rsid w:val="00B35CD1"/>
    <w:rsid w:val="00B35DDE"/>
    <w:rsid w:val="00B35F66"/>
    <w:rsid w:val="00B35F7E"/>
    <w:rsid w:val="00B3606E"/>
    <w:rsid w:val="00B3612A"/>
    <w:rsid w:val="00B36444"/>
    <w:rsid w:val="00B366A2"/>
    <w:rsid w:val="00B3677C"/>
    <w:rsid w:val="00B36BCA"/>
    <w:rsid w:val="00B36DE0"/>
    <w:rsid w:val="00B36E2D"/>
    <w:rsid w:val="00B36F90"/>
    <w:rsid w:val="00B37104"/>
    <w:rsid w:val="00B3713F"/>
    <w:rsid w:val="00B37505"/>
    <w:rsid w:val="00B376B5"/>
    <w:rsid w:val="00B37C37"/>
    <w:rsid w:val="00B37C9C"/>
    <w:rsid w:val="00B37E18"/>
    <w:rsid w:val="00B40269"/>
    <w:rsid w:val="00B402FB"/>
    <w:rsid w:val="00B40425"/>
    <w:rsid w:val="00B40428"/>
    <w:rsid w:val="00B404D9"/>
    <w:rsid w:val="00B41655"/>
    <w:rsid w:val="00B4168B"/>
    <w:rsid w:val="00B417EC"/>
    <w:rsid w:val="00B418B2"/>
    <w:rsid w:val="00B4191D"/>
    <w:rsid w:val="00B41A8A"/>
    <w:rsid w:val="00B41ABE"/>
    <w:rsid w:val="00B41B5D"/>
    <w:rsid w:val="00B41E9B"/>
    <w:rsid w:val="00B42262"/>
    <w:rsid w:val="00B4284D"/>
    <w:rsid w:val="00B42949"/>
    <w:rsid w:val="00B4296E"/>
    <w:rsid w:val="00B42A0C"/>
    <w:rsid w:val="00B42A24"/>
    <w:rsid w:val="00B42BD6"/>
    <w:rsid w:val="00B42DC9"/>
    <w:rsid w:val="00B42F44"/>
    <w:rsid w:val="00B42F5C"/>
    <w:rsid w:val="00B432D3"/>
    <w:rsid w:val="00B43464"/>
    <w:rsid w:val="00B435C7"/>
    <w:rsid w:val="00B435FB"/>
    <w:rsid w:val="00B4382C"/>
    <w:rsid w:val="00B43B22"/>
    <w:rsid w:val="00B43EA3"/>
    <w:rsid w:val="00B44009"/>
    <w:rsid w:val="00B440C5"/>
    <w:rsid w:val="00B44470"/>
    <w:rsid w:val="00B4465A"/>
    <w:rsid w:val="00B44B3D"/>
    <w:rsid w:val="00B44E4B"/>
    <w:rsid w:val="00B44E6E"/>
    <w:rsid w:val="00B44EA8"/>
    <w:rsid w:val="00B4527B"/>
    <w:rsid w:val="00B45343"/>
    <w:rsid w:val="00B4536F"/>
    <w:rsid w:val="00B45674"/>
    <w:rsid w:val="00B45703"/>
    <w:rsid w:val="00B45742"/>
    <w:rsid w:val="00B45856"/>
    <w:rsid w:val="00B45B74"/>
    <w:rsid w:val="00B45BDE"/>
    <w:rsid w:val="00B45D93"/>
    <w:rsid w:val="00B45F04"/>
    <w:rsid w:val="00B46320"/>
    <w:rsid w:val="00B46458"/>
    <w:rsid w:val="00B4679F"/>
    <w:rsid w:val="00B46886"/>
    <w:rsid w:val="00B4698D"/>
    <w:rsid w:val="00B46A4D"/>
    <w:rsid w:val="00B46EE1"/>
    <w:rsid w:val="00B46FFF"/>
    <w:rsid w:val="00B471F2"/>
    <w:rsid w:val="00B4762D"/>
    <w:rsid w:val="00B47A3B"/>
    <w:rsid w:val="00B47CD0"/>
    <w:rsid w:val="00B4D341"/>
    <w:rsid w:val="00B50AF7"/>
    <w:rsid w:val="00B50B05"/>
    <w:rsid w:val="00B50C5E"/>
    <w:rsid w:val="00B50C6B"/>
    <w:rsid w:val="00B50CE5"/>
    <w:rsid w:val="00B50D4E"/>
    <w:rsid w:val="00B50F63"/>
    <w:rsid w:val="00B51000"/>
    <w:rsid w:val="00B5107C"/>
    <w:rsid w:val="00B511E2"/>
    <w:rsid w:val="00B51203"/>
    <w:rsid w:val="00B51447"/>
    <w:rsid w:val="00B51541"/>
    <w:rsid w:val="00B51544"/>
    <w:rsid w:val="00B51838"/>
    <w:rsid w:val="00B51A7E"/>
    <w:rsid w:val="00B51DA0"/>
    <w:rsid w:val="00B52084"/>
    <w:rsid w:val="00B520EB"/>
    <w:rsid w:val="00B52544"/>
    <w:rsid w:val="00B52612"/>
    <w:rsid w:val="00B52815"/>
    <w:rsid w:val="00B52927"/>
    <w:rsid w:val="00B52D49"/>
    <w:rsid w:val="00B52DD8"/>
    <w:rsid w:val="00B52F04"/>
    <w:rsid w:val="00B52F4E"/>
    <w:rsid w:val="00B53428"/>
    <w:rsid w:val="00B534F7"/>
    <w:rsid w:val="00B53934"/>
    <w:rsid w:val="00B53A77"/>
    <w:rsid w:val="00B53B0D"/>
    <w:rsid w:val="00B53B67"/>
    <w:rsid w:val="00B53BAB"/>
    <w:rsid w:val="00B53BC1"/>
    <w:rsid w:val="00B53E51"/>
    <w:rsid w:val="00B53F61"/>
    <w:rsid w:val="00B540AE"/>
    <w:rsid w:val="00B5420B"/>
    <w:rsid w:val="00B543C4"/>
    <w:rsid w:val="00B54E14"/>
    <w:rsid w:val="00B550B3"/>
    <w:rsid w:val="00B55137"/>
    <w:rsid w:val="00B5549A"/>
    <w:rsid w:val="00B55505"/>
    <w:rsid w:val="00B55902"/>
    <w:rsid w:val="00B55F46"/>
    <w:rsid w:val="00B5622C"/>
    <w:rsid w:val="00B5669A"/>
    <w:rsid w:val="00B56787"/>
    <w:rsid w:val="00B569D3"/>
    <w:rsid w:val="00B56BCA"/>
    <w:rsid w:val="00B56DD5"/>
    <w:rsid w:val="00B56DF6"/>
    <w:rsid w:val="00B57211"/>
    <w:rsid w:val="00B5798C"/>
    <w:rsid w:val="00B600F3"/>
    <w:rsid w:val="00B60341"/>
    <w:rsid w:val="00B604FA"/>
    <w:rsid w:val="00B607B4"/>
    <w:rsid w:val="00B6080C"/>
    <w:rsid w:val="00B6083E"/>
    <w:rsid w:val="00B60876"/>
    <w:rsid w:val="00B609EB"/>
    <w:rsid w:val="00B60F9B"/>
    <w:rsid w:val="00B6139C"/>
    <w:rsid w:val="00B614A1"/>
    <w:rsid w:val="00B615D4"/>
    <w:rsid w:val="00B6178F"/>
    <w:rsid w:val="00B617F1"/>
    <w:rsid w:val="00B61957"/>
    <w:rsid w:val="00B61CD0"/>
    <w:rsid w:val="00B61D95"/>
    <w:rsid w:val="00B61ECD"/>
    <w:rsid w:val="00B62022"/>
    <w:rsid w:val="00B626B1"/>
    <w:rsid w:val="00B627AC"/>
    <w:rsid w:val="00B627B4"/>
    <w:rsid w:val="00B62875"/>
    <w:rsid w:val="00B62AA2"/>
    <w:rsid w:val="00B62AC7"/>
    <w:rsid w:val="00B62E23"/>
    <w:rsid w:val="00B62FBD"/>
    <w:rsid w:val="00B62FEF"/>
    <w:rsid w:val="00B6327D"/>
    <w:rsid w:val="00B63596"/>
    <w:rsid w:val="00B63736"/>
    <w:rsid w:val="00B63745"/>
    <w:rsid w:val="00B6380D"/>
    <w:rsid w:val="00B6381D"/>
    <w:rsid w:val="00B63969"/>
    <w:rsid w:val="00B64097"/>
    <w:rsid w:val="00B64177"/>
    <w:rsid w:val="00B64356"/>
    <w:rsid w:val="00B643D9"/>
    <w:rsid w:val="00B643E5"/>
    <w:rsid w:val="00B64467"/>
    <w:rsid w:val="00B6449C"/>
    <w:rsid w:val="00B649A7"/>
    <w:rsid w:val="00B64BFA"/>
    <w:rsid w:val="00B64C69"/>
    <w:rsid w:val="00B64E6F"/>
    <w:rsid w:val="00B64F55"/>
    <w:rsid w:val="00B652FB"/>
    <w:rsid w:val="00B6550A"/>
    <w:rsid w:val="00B65638"/>
    <w:rsid w:val="00B65D54"/>
    <w:rsid w:val="00B65F13"/>
    <w:rsid w:val="00B6616D"/>
    <w:rsid w:val="00B663EA"/>
    <w:rsid w:val="00B66469"/>
    <w:rsid w:val="00B669B4"/>
    <w:rsid w:val="00B66A00"/>
    <w:rsid w:val="00B67046"/>
    <w:rsid w:val="00B670C1"/>
    <w:rsid w:val="00B670F5"/>
    <w:rsid w:val="00B6737A"/>
    <w:rsid w:val="00B6742F"/>
    <w:rsid w:val="00B675DF"/>
    <w:rsid w:val="00B67749"/>
    <w:rsid w:val="00B6781F"/>
    <w:rsid w:val="00B67BE5"/>
    <w:rsid w:val="00B67BFD"/>
    <w:rsid w:val="00B67F54"/>
    <w:rsid w:val="00B7001F"/>
    <w:rsid w:val="00B702E0"/>
    <w:rsid w:val="00B7030C"/>
    <w:rsid w:val="00B704E1"/>
    <w:rsid w:val="00B706FB"/>
    <w:rsid w:val="00B706FD"/>
    <w:rsid w:val="00B70999"/>
    <w:rsid w:val="00B70A6C"/>
    <w:rsid w:val="00B70B4E"/>
    <w:rsid w:val="00B70C07"/>
    <w:rsid w:val="00B70EE7"/>
    <w:rsid w:val="00B70FB8"/>
    <w:rsid w:val="00B710E0"/>
    <w:rsid w:val="00B713AE"/>
    <w:rsid w:val="00B716B9"/>
    <w:rsid w:val="00B71747"/>
    <w:rsid w:val="00B717CD"/>
    <w:rsid w:val="00B718C4"/>
    <w:rsid w:val="00B718E9"/>
    <w:rsid w:val="00B71AD6"/>
    <w:rsid w:val="00B71C24"/>
    <w:rsid w:val="00B71D34"/>
    <w:rsid w:val="00B71F74"/>
    <w:rsid w:val="00B72218"/>
    <w:rsid w:val="00B7229B"/>
    <w:rsid w:val="00B72428"/>
    <w:rsid w:val="00B727B5"/>
    <w:rsid w:val="00B727E6"/>
    <w:rsid w:val="00B72988"/>
    <w:rsid w:val="00B72DC7"/>
    <w:rsid w:val="00B730EE"/>
    <w:rsid w:val="00B732BF"/>
    <w:rsid w:val="00B732C4"/>
    <w:rsid w:val="00B73455"/>
    <w:rsid w:val="00B734D7"/>
    <w:rsid w:val="00B734E8"/>
    <w:rsid w:val="00B73984"/>
    <w:rsid w:val="00B73C05"/>
    <w:rsid w:val="00B73C3C"/>
    <w:rsid w:val="00B73C66"/>
    <w:rsid w:val="00B73C9F"/>
    <w:rsid w:val="00B73E44"/>
    <w:rsid w:val="00B73F42"/>
    <w:rsid w:val="00B7408B"/>
    <w:rsid w:val="00B74584"/>
    <w:rsid w:val="00B74660"/>
    <w:rsid w:val="00B74B0F"/>
    <w:rsid w:val="00B74EB7"/>
    <w:rsid w:val="00B74FF4"/>
    <w:rsid w:val="00B752CD"/>
    <w:rsid w:val="00B75503"/>
    <w:rsid w:val="00B755EA"/>
    <w:rsid w:val="00B756D5"/>
    <w:rsid w:val="00B759E0"/>
    <w:rsid w:val="00B75CA0"/>
    <w:rsid w:val="00B75DE0"/>
    <w:rsid w:val="00B75E81"/>
    <w:rsid w:val="00B7602B"/>
    <w:rsid w:val="00B761E4"/>
    <w:rsid w:val="00B7625A"/>
    <w:rsid w:val="00B76351"/>
    <w:rsid w:val="00B766C8"/>
    <w:rsid w:val="00B7672C"/>
    <w:rsid w:val="00B767D4"/>
    <w:rsid w:val="00B7690B"/>
    <w:rsid w:val="00B76ABB"/>
    <w:rsid w:val="00B76D66"/>
    <w:rsid w:val="00B76D96"/>
    <w:rsid w:val="00B76EFB"/>
    <w:rsid w:val="00B77201"/>
    <w:rsid w:val="00B773F7"/>
    <w:rsid w:val="00B7768E"/>
    <w:rsid w:val="00B77827"/>
    <w:rsid w:val="00B77CA0"/>
    <w:rsid w:val="00B77D3D"/>
    <w:rsid w:val="00B77E76"/>
    <w:rsid w:val="00B77FBC"/>
    <w:rsid w:val="00B77FBF"/>
    <w:rsid w:val="00B7DE26"/>
    <w:rsid w:val="00B80064"/>
    <w:rsid w:val="00B8037F"/>
    <w:rsid w:val="00B8050D"/>
    <w:rsid w:val="00B80540"/>
    <w:rsid w:val="00B807EC"/>
    <w:rsid w:val="00B808A5"/>
    <w:rsid w:val="00B80C0F"/>
    <w:rsid w:val="00B80C68"/>
    <w:rsid w:val="00B80F1D"/>
    <w:rsid w:val="00B80FB8"/>
    <w:rsid w:val="00B816C5"/>
    <w:rsid w:val="00B8177F"/>
    <w:rsid w:val="00B8189B"/>
    <w:rsid w:val="00B818FD"/>
    <w:rsid w:val="00B81925"/>
    <w:rsid w:val="00B81D3C"/>
    <w:rsid w:val="00B81F79"/>
    <w:rsid w:val="00B82224"/>
    <w:rsid w:val="00B822FD"/>
    <w:rsid w:val="00B823A0"/>
    <w:rsid w:val="00B823BD"/>
    <w:rsid w:val="00B827BD"/>
    <w:rsid w:val="00B82CBE"/>
    <w:rsid w:val="00B82D6E"/>
    <w:rsid w:val="00B82E65"/>
    <w:rsid w:val="00B82FB6"/>
    <w:rsid w:val="00B8314C"/>
    <w:rsid w:val="00B83272"/>
    <w:rsid w:val="00B835CC"/>
    <w:rsid w:val="00B83A28"/>
    <w:rsid w:val="00B83BAB"/>
    <w:rsid w:val="00B83C66"/>
    <w:rsid w:val="00B83C9E"/>
    <w:rsid w:val="00B83E25"/>
    <w:rsid w:val="00B83EAF"/>
    <w:rsid w:val="00B83EDD"/>
    <w:rsid w:val="00B8408B"/>
    <w:rsid w:val="00B840D9"/>
    <w:rsid w:val="00B8431E"/>
    <w:rsid w:val="00B8444B"/>
    <w:rsid w:val="00B84797"/>
    <w:rsid w:val="00B849A4"/>
    <w:rsid w:val="00B84A20"/>
    <w:rsid w:val="00B84BA9"/>
    <w:rsid w:val="00B84D73"/>
    <w:rsid w:val="00B84DCC"/>
    <w:rsid w:val="00B84DED"/>
    <w:rsid w:val="00B851A3"/>
    <w:rsid w:val="00B85209"/>
    <w:rsid w:val="00B8531F"/>
    <w:rsid w:val="00B853D8"/>
    <w:rsid w:val="00B8549C"/>
    <w:rsid w:val="00B855C3"/>
    <w:rsid w:val="00B8597C"/>
    <w:rsid w:val="00B85D7D"/>
    <w:rsid w:val="00B862B7"/>
    <w:rsid w:val="00B865AD"/>
    <w:rsid w:val="00B86630"/>
    <w:rsid w:val="00B867CA"/>
    <w:rsid w:val="00B86ADD"/>
    <w:rsid w:val="00B86C5D"/>
    <w:rsid w:val="00B86E7C"/>
    <w:rsid w:val="00B871F3"/>
    <w:rsid w:val="00B8724C"/>
    <w:rsid w:val="00B87277"/>
    <w:rsid w:val="00B872C9"/>
    <w:rsid w:val="00B873A9"/>
    <w:rsid w:val="00B8767E"/>
    <w:rsid w:val="00B877A2"/>
    <w:rsid w:val="00B87928"/>
    <w:rsid w:val="00B87B7A"/>
    <w:rsid w:val="00B87CC0"/>
    <w:rsid w:val="00B87E92"/>
    <w:rsid w:val="00B87E9E"/>
    <w:rsid w:val="00B90139"/>
    <w:rsid w:val="00B902BF"/>
    <w:rsid w:val="00B903EF"/>
    <w:rsid w:val="00B90727"/>
    <w:rsid w:val="00B908CF"/>
    <w:rsid w:val="00B908E0"/>
    <w:rsid w:val="00B90EE6"/>
    <w:rsid w:val="00B90F0C"/>
    <w:rsid w:val="00B910B6"/>
    <w:rsid w:val="00B91327"/>
    <w:rsid w:val="00B91535"/>
    <w:rsid w:val="00B9190C"/>
    <w:rsid w:val="00B91991"/>
    <w:rsid w:val="00B91A45"/>
    <w:rsid w:val="00B91A57"/>
    <w:rsid w:val="00B91BD7"/>
    <w:rsid w:val="00B91D52"/>
    <w:rsid w:val="00B92005"/>
    <w:rsid w:val="00B921D7"/>
    <w:rsid w:val="00B92694"/>
    <w:rsid w:val="00B9272A"/>
    <w:rsid w:val="00B927B2"/>
    <w:rsid w:val="00B927D9"/>
    <w:rsid w:val="00B92A95"/>
    <w:rsid w:val="00B92C7F"/>
    <w:rsid w:val="00B92EBB"/>
    <w:rsid w:val="00B9327C"/>
    <w:rsid w:val="00B93673"/>
    <w:rsid w:val="00B93813"/>
    <w:rsid w:val="00B93970"/>
    <w:rsid w:val="00B93B44"/>
    <w:rsid w:val="00B93DB2"/>
    <w:rsid w:val="00B9426A"/>
    <w:rsid w:val="00B943B9"/>
    <w:rsid w:val="00B9443F"/>
    <w:rsid w:val="00B94501"/>
    <w:rsid w:val="00B94580"/>
    <w:rsid w:val="00B947AB"/>
    <w:rsid w:val="00B94920"/>
    <w:rsid w:val="00B94BFF"/>
    <w:rsid w:val="00B94D33"/>
    <w:rsid w:val="00B954A7"/>
    <w:rsid w:val="00B956E8"/>
    <w:rsid w:val="00B956FA"/>
    <w:rsid w:val="00B95770"/>
    <w:rsid w:val="00B95821"/>
    <w:rsid w:val="00B958AB"/>
    <w:rsid w:val="00B95DBD"/>
    <w:rsid w:val="00B96052"/>
    <w:rsid w:val="00B960AD"/>
    <w:rsid w:val="00B9641D"/>
    <w:rsid w:val="00B9642D"/>
    <w:rsid w:val="00B96982"/>
    <w:rsid w:val="00B969DA"/>
    <w:rsid w:val="00B969F4"/>
    <w:rsid w:val="00B96F13"/>
    <w:rsid w:val="00B97066"/>
    <w:rsid w:val="00B9713B"/>
    <w:rsid w:val="00B972D7"/>
    <w:rsid w:val="00B97375"/>
    <w:rsid w:val="00B976D4"/>
    <w:rsid w:val="00B977B8"/>
    <w:rsid w:val="00B97961"/>
    <w:rsid w:val="00B97FA9"/>
    <w:rsid w:val="00BA0028"/>
    <w:rsid w:val="00BA01A5"/>
    <w:rsid w:val="00BA03E8"/>
    <w:rsid w:val="00BA051A"/>
    <w:rsid w:val="00BA05C2"/>
    <w:rsid w:val="00BA05F7"/>
    <w:rsid w:val="00BA0860"/>
    <w:rsid w:val="00BA0B79"/>
    <w:rsid w:val="00BA0F7D"/>
    <w:rsid w:val="00BA1027"/>
    <w:rsid w:val="00BA1091"/>
    <w:rsid w:val="00BA126B"/>
    <w:rsid w:val="00BA1BDF"/>
    <w:rsid w:val="00BA1D2B"/>
    <w:rsid w:val="00BA1FFF"/>
    <w:rsid w:val="00BA22E2"/>
    <w:rsid w:val="00BA2471"/>
    <w:rsid w:val="00BA275B"/>
    <w:rsid w:val="00BA2854"/>
    <w:rsid w:val="00BA285B"/>
    <w:rsid w:val="00BA28F4"/>
    <w:rsid w:val="00BA2981"/>
    <w:rsid w:val="00BA302D"/>
    <w:rsid w:val="00BA3040"/>
    <w:rsid w:val="00BA3388"/>
    <w:rsid w:val="00BA373E"/>
    <w:rsid w:val="00BA3819"/>
    <w:rsid w:val="00BA3B44"/>
    <w:rsid w:val="00BA3C67"/>
    <w:rsid w:val="00BA3CE6"/>
    <w:rsid w:val="00BA3D9B"/>
    <w:rsid w:val="00BA3E4D"/>
    <w:rsid w:val="00BA41E5"/>
    <w:rsid w:val="00BA44BD"/>
    <w:rsid w:val="00BA487C"/>
    <w:rsid w:val="00BA497C"/>
    <w:rsid w:val="00BA50DC"/>
    <w:rsid w:val="00BA5326"/>
    <w:rsid w:val="00BA53C5"/>
    <w:rsid w:val="00BA53DB"/>
    <w:rsid w:val="00BA54BF"/>
    <w:rsid w:val="00BA58C2"/>
    <w:rsid w:val="00BA5B78"/>
    <w:rsid w:val="00BA5C3D"/>
    <w:rsid w:val="00BA5D06"/>
    <w:rsid w:val="00BA5DE4"/>
    <w:rsid w:val="00BA62DC"/>
    <w:rsid w:val="00BA64F1"/>
    <w:rsid w:val="00BA6A19"/>
    <w:rsid w:val="00BA6A1D"/>
    <w:rsid w:val="00BA6A96"/>
    <w:rsid w:val="00BA6BF9"/>
    <w:rsid w:val="00BA6C9D"/>
    <w:rsid w:val="00BA7071"/>
    <w:rsid w:val="00BA719A"/>
    <w:rsid w:val="00BA7531"/>
    <w:rsid w:val="00BA79F9"/>
    <w:rsid w:val="00BA7AB5"/>
    <w:rsid w:val="00BA7BE5"/>
    <w:rsid w:val="00BA7D16"/>
    <w:rsid w:val="00BA7DD3"/>
    <w:rsid w:val="00BB0229"/>
    <w:rsid w:val="00BB02B8"/>
    <w:rsid w:val="00BB0419"/>
    <w:rsid w:val="00BB062D"/>
    <w:rsid w:val="00BB07F1"/>
    <w:rsid w:val="00BB0A69"/>
    <w:rsid w:val="00BB0AE9"/>
    <w:rsid w:val="00BB0B2E"/>
    <w:rsid w:val="00BB0BA5"/>
    <w:rsid w:val="00BB0D36"/>
    <w:rsid w:val="00BB123E"/>
    <w:rsid w:val="00BB12EF"/>
    <w:rsid w:val="00BB13C5"/>
    <w:rsid w:val="00BB18E8"/>
    <w:rsid w:val="00BB19AE"/>
    <w:rsid w:val="00BB1C54"/>
    <w:rsid w:val="00BB26D6"/>
    <w:rsid w:val="00BB2717"/>
    <w:rsid w:val="00BB27F8"/>
    <w:rsid w:val="00BB2FAB"/>
    <w:rsid w:val="00BB2FC7"/>
    <w:rsid w:val="00BB2FFF"/>
    <w:rsid w:val="00BB32E5"/>
    <w:rsid w:val="00BB3C9B"/>
    <w:rsid w:val="00BB406B"/>
    <w:rsid w:val="00BB40D6"/>
    <w:rsid w:val="00BB426D"/>
    <w:rsid w:val="00BB42AD"/>
    <w:rsid w:val="00BB44CB"/>
    <w:rsid w:val="00BB45F0"/>
    <w:rsid w:val="00BB4707"/>
    <w:rsid w:val="00BB4795"/>
    <w:rsid w:val="00BB4D61"/>
    <w:rsid w:val="00BB4E44"/>
    <w:rsid w:val="00BB500A"/>
    <w:rsid w:val="00BB504A"/>
    <w:rsid w:val="00BB5A6F"/>
    <w:rsid w:val="00BB5C52"/>
    <w:rsid w:val="00BB5E38"/>
    <w:rsid w:val="00BB6022"/>
    <w:rsid w:val="00BB6142"/>
    <w:rsid w:val="00BB6371"/>
    <w:rsid w:val="00BB64F7"/>
    <w:rsid w:val="00BB65E2"/>
    <w:rsid w:val="00BB66AD"/>
    <w:rsid w:val="00BB673C"/>
    <w:rsid w:val="00BB67B6"/>
    <w:rsid w:val="00BB683B"/>
    <w:rsid w:val="00BB6BFE"/>
    <w:rsid w:val="00BB6F58"/>
    <w:rsid w:val="00BB6FD7"/>
    <w:rsid w:val="00BB6FF5"/>
    <w:rsid w:val="00BB7064"/>
    <w:rsid w:val="00BB71AE"/>
    <w:rsid w:val="00BB7859"/>
    <w:rsid w:val="00BB7B1D"/>
    <w:rsid w:val="00BB7D65"/>
    <w:rsid w:val="00BB7FA4"/>
    <w:rsid w:val="00BB7FB8"/>
    <w:rsid w:val="00BC0199"/>
    <w:rsid w:val="00BC090C"/>
    <w:rsid w:val="00BC0970"/>
    <w:rsid w:val="00BC0E70"/>
    <w:rsid w:val="00BC0F54"/>
    <w:rsid w:val="00BC143C"/>
    <w:rsid w:val="00BC15ED"/>
    <w:rsid w:val="00BC15EF"/>
    <w:rsid w:val="00BC16E0"/>
    <w:rsid w:val="00BC1769"/>
    <w:rsid w:val="00BC180E"/>
    <w:rsid w:val="00BC1AB5"/>
    <w:rsid w:val="00BC1B19"/>
    <w:rsid w:val="00BC1CB7"/>
    <w:rsid w:val="00BC1EFE"/>
    <w:rsid w:val="00BC1F9E"/>
    <w:rsid w:val="00BC218A"/>
    <w:rsid w:val="00BC2509"/>
    <w:rsid w:val="00BC285C"/>
    <w:rsid w:val="00BC2AD6"/>
    <w:rsid w:val="00BC2B76"/>
    <w:rsid w:val="00BC2BFE"/>
    <w:rsid w:val="00BC2EB4"/>
    <w:rsid w:val="00BC3079"/>
    <w:rsid w:val="00BC318C"/>
    <w:rsid w:val="00BC3377"/>
    <w:rsid w:val="00BC36FE"/>
    <w:rsid w:val="00BC3B65"/>
    <w:rsid w:val="00BC3BF0"/>
    <w:rsid w:val="00BC4101"/>
    <w:rsid w:val="00BC42C0"/>
    <w:rsid w:val="00BC43A6"/>
    <w:rsid w:val="00BC448F"/>
    <w:rsid w:val="00BC466A"/>
    <w:rsid w:val="00BC49ED"/>
    <w:rsid w:val="00BC4D36"/>
    <w:rsid w:val="00BC51DE"/>
    <w:rsid w:val="00BC5836"/>
    <w:rsid w:val="00BC5BA1"/>
    <w:rsid w:val="00BC5C4B"/>
    <w:rsid w:val="00BC5C89"/>
    <w:rsid w:val="00BC5CBC"/>
    <w:rsid w:val="00BC5CE5"/>
    <w:rsid w:val="00BC5CF9"/>
    <w:rsid w:val="00BC5D9A"/>
    <w:rsid w:val="00BC5DC1"/>
    <w:rsid w:val="00BC600B"/>
    <w:rsid w:val="00BC6052"/>
    <w:rsid w:val="00BC616D"/>
    <w:rsid w:val="00BC6749"/>
    <w:rsid w:val="00BC680E"/>
    <w:rsid w:val="00BC69E8"/>
    <w:rsid w:val="00BC6AA8"/>
    <w:rsid w:val="00BC6BE2"/>
    <w:rsid w:val="00BC71C3"/>
    <w:rsid w:val="00BC72FD"/>
    <w:rsid w:val="00BC740B"/>
    <w:rsid w:val="00BC74F3"/>
    <w:rsid w:val="00BC7512"/>
    <w:rsid w:val="00BC756D"/>
    <w:rsid w:val="00BC75FF"/>
    <w:rsid w:val="00BC77F9"/>
    <w:rsid w:val="00BC7944"/>
    <w:rsid w:val="00BC7E2B"/>
    <w:rsid w:val="00BC7FC4"/>
    <w:rsid w:val="00BD008F"/>
    <w:rsid w:val="00BD0305"/>
    <w:rsid w:val="00BD081D"/>
    <w:rsid w:val="00BD0902"/>
    <w:rsid w:val="00BD0C1B"/>
    <w:rsid w:val="00BD0C77"/>
    <w:rsid w:val="00BD0D02"/>
    <w:rsid w:val="00BD0DF9"/>
    <w:rsid w:val="00BD143A"/>
    <w:rsid w:val="00BD175F"/>
    <w:rsid w:val="00BD1A7F"/>
    <w:rsid w:val="00BD1B6A"/>
    <w:rsid w:val="00BD20D6"/>
    <w:rsid w:val="00BD25F0"/>
    <w:rsid w:val="00BD273A"/>
    <w:rsid w:val="00BD278F"/>
    <w:rsid w:val="00BD27C5"/>
    <w:rsid w:val="00BD2976"/>
    <w:rsid w:val="00BD2AAE"/>
    <w:rsid w:val="00BD2E56"/>
    <w:rsid w:val="00BD2FA6"/>
    <w:rsid w:val="00BD3043"/>
    <w:rsid w:val="00BD3126"/>
    <w:rsid w:val="00BD3407"/>
    <w:rsid w:val="00BD3522"/>
    <w:rsid w:val="00BD3615"/>
    <w:rsid w:val="00BD3988"/>
    <w:rsid w:val="00BD3AF4"/>
    <w:rsid w:val="00BD3D21"/>
    <w:rsid w:val="00BD4253"/>
    <w:rsid w:val="00BD43B6"/>
    <w:rsid w:val="00BD4532"/>
    <w:rsid w:val="00BD4689"/>
    <w:rsid w:val="00BD4839"/>
    <w:rsid w:val="00BD4DED"/>
    <w:rsid w:val="00BD4F06"/>
    <w:rsid w:val="00BD4F3F"/>
    <w:rsid w:val="00BD532D"/>
    <w:rsid w:val="00BD53A7"/>
    <w:rsid w:val="00BD5540"/>
    <w:rsid w:val="00BD5944"/>
    <w:rsid w:val="00BD6329"/>
    <w:rsid w:val="00BD6473"/>
    <w:rsid w:val="00BD64D6"/>
    <w:rsid w:val="00BD6760"/>
    <w:rsid w:val="00BD6A2D"/>
    <w:rsid w:val="00BD70C6"/>
    <w:rsid w:val="00BD70CC"/>
    <w:rsid w:val="00BD7241"/>
    <w:rsid w:val="00BD730A"/>
    <w:rsid w:val="00BD7D3A"/>
    <w:rsid w:val="00BD7F30"/>
    <w:rsid w:val="00BE00DD"/>
    <w:rsid w:val="00BE01CD"/>
    <w:rsid w:val="00BE0FA4"/>
    <w:rsid w:val="00BE1068"/>
    <w:rsid w:val="00BE12BE"/>
    <w:rsid w:val="00BE15C4"/>
    <w:rsid w:val="00BE186B"/>
    <w:rsid w:val="00BE196A"/>
    <w:rsid w:val="00BE1A06"/>
    <w:rsid w:val="00BE1AAE"/>
    <w:rsid w:val="00BE1B25"/>
    <w:rsid w:val="00BE1D40"/>
    <w:rsid w:val="00BE1E61"/>
    <w:rsid w:val="00BE1EBF"/>
    <w:rsid w:val="00BE211E"/>
    <w:rsid w:val="00BE2173"/>
    <w:rsid w:val="00BE22DD"/>
    <w:rsid w:val="00BE238E"/>
    <w:rsid w:val="00BE24BC"/>
    <w:rsid w:val="00BE265C"/>
    <w:rsid w:val="00BE2684"/>
    <w:rsid w:val="00BE27BA"/>
    <w:rsid w:val="00BE2B89"/>
    <w:rsid w:val="00BE3229"/>
    <w:rsid w:val="00BE3521"/>
    <w:rsid w:val="00BE3896"/>
    <w:rsid w:val="00BE3A50"/>
    <w:rsid w:val="00BE3EE5"/>
    <w:rsid w:val="00BE4096"/>
    <w:rsid w:val="00BE430F"/>
    <w:rsid w:val="00BE44F5"/>
    <w:rsid w:val="00BE45A3"/>
    <w:rsid w:val="00BE46DE"/>
    <w:rsid w:val="00BE49CB"/>
    <w:rsid w:val="00BE4BFF"/>
    <w:rsid w:val="00BE4E6B"/>
    <w:rsid w:val="00BE5056"/>
    <w:rsid w:val="00BE51A1"/>
    <w:rsid w:val="00BE5322"/>
    <w:rsid w:val="00BE5601"/>
    <w:rsid w:val="00BE58A8"/>
    <w:rsid w:val="00BE5D1A"/>
    <w:rsid w:val="00BE61A6"/>
    <w:rsid w:val="00BE61FE"/>
    <w:rsid w:val="00BE69F1"/>
    <w:rsid w:val="00BE6BC6"/>
    <w:rsid w:val="00BE6E77"/>
    <w:rsid w:val="00BE73C6"/>
    <w:rsid w:val="00BE746E"/>
    <w:rsid w:val="00BE766B"/>
    <w:rsid w:val="00BE7865"/>
    <w:rsid w:val="00BE78BA"/>
    <w:rsid w:val="00BE7927"/>
    <w:rsid w:val="00BE7B8B"/>
    <w:rsid w:val="00BE7C1E"/>
    <w:rsid w:val="00BE7D50"/>
    <w:rsid w:val="00BF0957"/>
    <w:rsid w:val="00BF0A40"/>
    <w:rsid w:val="00BF0B08"/>
    <w:rsid w:val="00BF0F5A"/>
    <w:rsid w:val="00BF1114"/>
    <w:rsid w:val="00BF128C"/>
    <w:rsid w:val="00BF16D5"/>
    <w:rsid w:val="00BF1788"/>
    <w:rsid w:val="00BF1C31"/>
    <w:rsid w:val="00BF1D71"/>
    <w:rsid w:val="00BF1EF4"/>
    <w:rsid w:val="00BF1FAD"/>
    <w:rsid w:val="00BF21DC"/>
    <w:rsid w:val="00BF21FE"/>
    <w:rsid w:val="00BF2344"/>
    <w:rsid w:val="00BF24A1"/>
    <w:rsid w:val="00BF29FF"/>
    <w:rsid w:val="00BF2A74"/>
    <w:rsid w:val="00BF32B8"/>
    <w:rsid w:val="00BF3354"/>
    <w:rsid w:val="00BF3367"/>
    <w:rsid w:val="00BF3377"/>
    <w:rsid w:val="00BF3441"/>
    <w:rsid w:val="00BF36ED"/>
    <w:rsid w:val="00BF3856"/>
    <w:rsid w:val="00BF38E3"/>
    <w:rsid w:val="00BF3A14"/>
    <w:rsid w:val="00BF3BEC"/>
    <w:rsid w:val="00BF3ED1"/>
    <w:rsid w:val="00BF3ED3"/>
    <w:rsid w:val="00BF40C3"/>
    <w:rsid w:val="00BF42D2"/>
    <w:rsid w:val="00BF43B6"/>
    <w:rsid w:val="00BF443E"/>
    <w:rsid w:val="00BF483C"/>
    <w:rsid w:val="00BF4867"/>
    <w:rsid w:val="00BF4FDE"/>
    <w:rsid w:val="00BF51FF"/>
    <w:rsid w:val="00BF52E2"/>
    <w:rsid w:val="00BF56C0"/>
    <w:rsid w:val="00BF5852"/>
    <w:rsid w:val="00BF5BAD"/>
    <w:rsid w:val="00BF5BDF"/>
    <w:rsid w:val="00BF5F44"/>
    <w:rsid w:val="00BF61D4"/>
    <w:rsid w:val="00BF65E3"/>
    <w:rsid w:val="00BF6748"/>
    <w:rsid w:val="00BF69D5"/>
    <w:rsid w:val="00BF6AF8"/>
    <w:rsid w:val="00BF6B7B"/>
    <w:rsid w:val="00BF6E00"/>
    <w:rsid w:val="00BF7450"/>
    <w:rsid w:val="00BF764F"/>
    <w:rsid w:val="00BF778E"/>
    <w:rsid w:val="00BF779E"/>
    <w:rsid w:val="00BF77D3"/>
    <w:rsid w:val="00BF78AD"/>
    <w:rsid w:val="00BF79C5"/>
    <w:rsid w:val="00BF7A0C"/>
    <w:rsid w:val="00BF7B54"/>
    <w:rsid w:val="00BF7CC4"/>
    <w:rsid w:val="00BF7E20"/>
    <w:rsid w:val="00BF7E56"/>
    <w:rsid w:val="00BF7F13"/>
    <w:rsid w:val="00C0002A"/>
    <w:rsid w:val="00C000B7"/>
    <w:rsid w:val="00C00153"/>
    <w:rsid w:val="00C001CA"/>
    <w:rsid w:val="00C00344"/>
    <w:rsid w:val="00C005A4"/>
    <w:rsid w:val="00C012CC"/>
    <w:rsid w:val="00C01903"/>
    <w:rsid w:val="00C019C8"/>
    <w:rsid w:val="00C01B3F"/>
    <w:rsid w:val="00C01BD6"/>
    <w:rsid w:val="00C01E7D"/>
    <w:rsid w:val="00C022CF"/>
    <w:rsid w:val="00C023B9"/>
    <w:rsid w:val="00C025A3"/>
    <w:rsid w:val="00C02728"/>
    <w:rsid w:val="00C028B9"/>
    <w:rsid w:val="00C02AA6"/>
    <w:rsid w:val="00C02DBA"/>
    <w:rsid w:val="00C02EC5"/>
    <w:rsid w:val="00C0306F"/>
    <w:rsid w:val="00C03195"/>
    <w:rsid w:val="00C0331C"/>
    <w:rsid w:val="00C0334E"/>
    <w:rsid w:val="00C0340E"/>
    <w:rsid w:val="00C0359A"/>
    <w:rsid w:val="00C03662"/>
    <w:rsid w:val="00C039B4"/>
    <w:rsid w:val="00C03D86"/>
    <w:rsid w:val="00C040C8"/>
    <w:rsid w:val="00C0423E"/>
    <w:rsid w:val="00C042BA"/>
    <w:rsid w:val="00C042EC"/>
    <w:rsid w:val="00C0431A"/>
    <w:rsid w:val="00C04841"/>
    <w:rsid w:val="00C04928"/>
    <w:rsid w:val="00C049E2"/>
    <w:rsid w:val="00C04AA7"/>
    <w:rsid w:val="00C04D70"/>
    <w:rsid w:val="00C04EE8"/>
    <w:rsid w:val="00C050CA"/>
    <w:rsid w:val="00C05224"/>
    <w:rsid w:val="00C052DA"/>
    <w:rsid w:val="00C053CD"/>
    <w:rsid w:val="00C0564E"/>
    <w:rsid w:val="00C05796"/>
    <w:rsid w:val="00C05876"/>
    <w:rsid w:val="00C05DFD"/>
    <w:rsid w:val="00C05EF0"/>
    <w:rsid w:val="00C05F6A"/>
    <w:rsid w:val="00C05F76"/>
    <w:rsid w:val="00C0610E"/>
    <w:rsid w:val="00C06196"/>
    <w:rsid w:val="00C06254"/>
    <w:rsid w:val="00C0687B"/>
    <w:rsid w:val="00C06ACB"/>
    <w:rsid w:val="00C06C17"/>
    <w:rsid w:val="00C06EA5"/>
    <w:rsid w:val="00C06EB0"/>
    <w:rsid w:val="00C06EB1"/>
    <w:rsid w:val="00C06FED"/>
    <w:rsid w:val="00C07116"/>
    <w:rsid w:val="00C0713F"/>
    <w:rsid w:val="00C071C9"/>
    <w:rsid w:val="00C074AE"/>
    <w:rsid w:val="00C076AC"/>
    <w:rsid w:val="00C07C35"/>
    <w:rsid w:val="00C07F81"/>
    <w:rsid w:val="00C10104"/>
    <w:rsid w:val="00C104EC"/>
    <w:rsid w:val="00C105BE"/>
    <w:rsid w:val="00C10691"/>
    <w:rsid w:val="00C10985"/>
    <w:rsid w:val="00C10C50"/>
    <w:rsid w:val="00C10D00"/>
    <w:rsid w:val="00C10D0D"/>
    <w:rsid w:val="00C10FE9"/>
    <w:rsid w:val="00C1105A"/>
    <w:rsid w:val="00C110A5"/>
    <w:rsid w:val="00C111DD"/>
    <w:rsid w:val="00C112AB"/>
    <w:rsid w:val="00C11466"/>
    <w:rsid w:val="00C1151B"/>
    <w:rsid w:val="00C11600"/>
    <w:rsid w:val="00C11699"/>
    <w:rsid w:val="00C11BDB"/>
    <w:rsid w:val="00C11C83"/>
    <w:rsid w:val="00C11CBB"/>
    <w:rsid w:val="00C11E03"/>
    <w:rsid w:val="00C11E90"/>
    <w:rsid w:val="00C11F33"/>
    <w:rsid w:val="00C12075"/>
    <w:rsid w:val="00C120B8"/>
    <w:rsid w:val="00C120C6"/>
    <w:rsid w:val="00C12170"/>
    <w:rsid w:val="00C1228E"/>
    <w:rsid w:val="00C1270D"/>
    <w:rsid w:val="00C12742"/>
    <w:rsid w:val="00C127A1"/>
    <w:rsid w:val="00C128FC"/>
    <w:rsid w:val="00C12B5A"/>
    <w:rsid w:val="00C12D75"/>
    <w:rsid w:val="00C130E9"/>
    <w:rsid w:val="00C13341"/>
    <w:rsid w:val="00C134A7"/>
    <w:rsid w:val="00C1362C"/>
    <w:rsid w:val="00C13AB5"/>
    <w:rsid w:val="00C13B17"/>
    <w:rsid w:val="00C13B26"/>
    <w:rsid w:val="00C13C54"/>
    <w:rsid w:val="00C13D5A"/>
    <w:rsid w:val="00C14139"/>
    <w:rsid w:val="00C1460D"/>
    <w:rsid w:val="00C1499D"/>
    <w:rsid w:val="00C149A8"/>
    <w:rsid w:val="00C149D9"/>
    <w:rsid w:val="00C14B76"/>
    <w:rsid w:val="00C14ECC"/>
    <w:rsid w:val="00C1505D"/>
    <w:rsid w:val="00C150B2"/>
    <w:rsid w:val="00C151B1"/>
    <w:rsid w:val="00C15227"/>
    <w:rsid w:val="00C1536A"/>
    <w:rsid w:val="00C15546"/>
    <w:rsid w:val="00C155E6"/>
    <w:rsid w:val="00C15701"/>
    <w:rsid w:val="00C1587D"/>
    <w:rsid w:val="00C15AAF"/>
    <w:rsid w:val="00C15B88"/>
    <w:rsid w:val="00C166B6"/>
    <w:rsid w:val="00C1693B"/>
    <w:rsid w:val="00C169BA"/>
    <w:rsid w:val="00C1725B"/>
    <w:rsid w:val="00C17397"/>
    <w:rsid w:val="00C1743E"/>
    <w:rsid w:val="00C174F8"/>
    <w:rsid w:val="00C17569"/>
    <w:rsid w:val="00C17AC5"/>
    <w:rsid w:val="00C17C56"/>
    <w:rsid w:val="00C17CA8"/>
    <w:rsid w:val="00C17F9C"/>
    <w:rsid w:val="00C17FC1"/>
    <w:rsid w:val="00C1A2EB"/>
    <w:rsid w:val="00C20172"/>
    <w:rsid w:val="00C20890"/>
    <w:rsid w:val="00C2097E"/>
    <w:rsid w:val="00C209FF"/>
    <w:rsid w:val="00C20A16"/>
    <w:rsid w:val="00C20DDB"/>
    <w:rsid w:val="00C20FCC"/>
    <w:rsid w:val="00C21252"/>
    <w:rsid w:val="00C21371"/>
    <w:rsid w:val="00C2139A"/>
    <w:rsid w:val="00C21438"/>
    <w:rsid w:val="00C214C2"/>
    <w:rsid w:val="00C2153F"/>
    <w:rsid w:val="00C21659"/>
    <w:rsid w:val="00C2170A"/>
    <w:rsid w:val="00C217E4"/>
    <w:rsid w:val="00C2181E"/>
    <w:rsid w:val="00C2191F"/>
    <w:rsid w:val="00C219B0"/>
    <w:rsid w:val="00C21FFF"/>
    <w:rsid w:val="00C22252"/>
    <w:rsid w:val="00C2238D"/>
    <w:rsid w:val="00C22443"/>
    <w:rsid w:val="00C22481"/>
    <w:rsid w:val="00C225F7"/>
    <w:rsid w:val="00C22800"/>
    <w:rsid w:val="00C22809"/>
    <w:rsid w:val="00C22992"/>
    <w:rsid w:val="00C22AB3"/>
    <w:rsid w:val="00C22B80"/>
    <w:rsid w:val="00C22BC4"/>
    <w:rsid w:val="00C22E40"/>
    <w:rsid w:val="00C23243"/>
    <w:rsid w:val="00C233DB"/>
    <w:rsid w:val="00C234A1"/>
    <w:rsid w:val="00C2361D"/>
    <w:rsid w:val="00C23A03"/>
    <w:rsid w:val="00C23AF7"/>
    <w:rsid w:val="00C23C67"/>
    <w:rsid w:val="00C23F99"/>
    <w:rsid w:val="00C23FDF"/>
    <w:rsid w:val="00C24151"/>
    <w:rsid w:val="00C2434E"/>
    <w:rsid w:val="00C2481B"/>
    <w:rsid w:val="00C249B6"/>
    <w:rsid w:val="00C249F5"/>
    <w:rsid w:val="00C24A77"/>
    <w:rsid w:val="00C24B7B"/>
    <w:rsid w:val="00C24C91"/>
    <w:rsid w:val="00C24E7A"/>
    <w:rsid w:val="00C25252"/>
    <w:rsid w:val="00C253F0"/>
    <w:rsid w:val="00C25407"/>
    <w:rsid w:val="00C25430"/>
    <w:rsid w:val="00C25806"/>
    <w:rsid w:val="00C2582D"/>
    <w:rsid w:val="00C25988"/>
    <w:rsid w:val="00C25A98"/>
    <w:rsid w:val="00C25C1D"/>
    <w:rsid w:val="00C25C9B"/>
    <w:rsid w:val="00C25CD6"/>
    <w:rsid w:val="00C25D47"/>
    <w:rsid w:val="00C25D51"/>
    <w:rsid w:val="00C26020"/>
    <w:rsid w:val="00C261AF"/>
    <w:rsid w:val="00C26347"/>
    <w:rsid w:val="00C2677F"/>
    <w:rsid w:val="00C26BBA"/>
    <w:rsid w:val="00C26E34"/>
    <w:rsid w:val="00C27177"/>
    <w:rsid w:val="00C2723E"/>
    <w:rsid w:val="00C27605"/>
    <w:rsid w:val="00C27915"/>
    <w:rsid w:val="00C27DAB"/>
    <w:rsid w:val="00C27E48"/>
    <w:rsid w:val="00C27F6C"/>
    <w:rsid w:val="00C302FB"/>
    <w:rsid w:val="00C30419"/>
    <w:rsid w:val="00C31130"/>
    <w:rsid w:val="00C31309"/>
    <w:rsid w:val="00C319AF"/>
    <w:rsid w:val="00C31A72"/>
    <w:rsid w:val="00C31B47"/>
    <w:rsid w:val="00C31CFA"/>
    <w:rsid w:val="00C321DB"/>
    <w:rsid w:val="00C326FA"/>
    <w:rsid w:val="00C3284C"/>
    <w:rsid w:val="00C3287D"/>
    <w:rsid w:val="00C32C00"/>
    <w:rsid w:val="00C32C8D"/>
    <w:rsid w:val="00C32DB9"/>
    <w:rsid w:val="00C32FFD"/>
    <w:rsid w:val="00C333AD"/>
    <w:rsid w:val="00C3371C"/>
    <w:rsid w:val="00C3379A"/>
    <w:rsid w:val="00C338FF"/>
    <w:rsid w:val="00C33CBD"/>
    <w:rsid w:val="00C33F21"/>
    <w:rsid w:val="00C33FB6"/>
    <w:rsid w:val="00C342E1"/>
    <w:rsid w:val="00C34322"/>
    <w:rsid w:val="00C34701"/>
    <w:rsid w:val="00C3473D"/>
    <w:rsid w:val="00C348C2"/>
    <w:rsid w:val="00C34B5E"/>
    <w:rsid w:val="00C34C36"/>
    <w:rsid w:val="00C34E03"/>
    <w:rsid w:val="00C350E8"/>
    <w:rsid w:val="00C35278"/>
    <w:rsid w:val="00C354BC"/>
    <w:rsid w:val="00C354CA"/>
    <w:rsid w:val="00C354F2"/>
    <w:rsid w:val="00C35A0F"/>
    <w:rsid w:val="00C35ADC"/>
    <w:rsid w:val="00C35BC5"/>
    <w:rsid w:val="00C35E41"/>
    <w:rsid w:val="00C360FC"/>
    <w:rsid w:val="00C3614E"/>
    <w:rsid w:val="00C3621A"/>
    <w:rsid w:val="00C36547"/>
    <w:rsid w:val="00C3723E"/>
    <w:rsid w:val="00C37252"/>
    <w:rsid w:val="00C3732B"/>
    <w:rsid w:val="00C3746E"/>
    <w:rsid w:val="00C374A0"/>
    <w:rsid w:val="00C374DA"/>
    <w:rsid w:val="00C37990"/>
    <w:rsid w:val="00C37EDF"/>
    <w:rsid w:val="00C37F18"/>
    <w:rsid w:val="00C40339"/>
    <w:rsid w:val="00C4062D"/>
    <w:rsid w:val="00C40677"/>
    <w:rsid w:val="00C4072E"/>
    <w:rsid w:val="00C40D5E"/>
    <w:rsid w:val="00C410E5"/>
    <w:rsid w:val="00C4132D"/>
    <w:rsid w:val="00C413B0"/>
    <w:rsid w:val="00C414B0"/>
    <w:rsid w:val="00C4169F"/>
    <w:rsid w:val="00C419D6"/>
    <w:rsid w:val="00C41C91"/>
    <w:rsid w:val="00C41EB6"/>
    <w:rsid w:val="00C41EE0"/>
    <w:rsid w:val="00C420F1"/>
    <w:rsid w:val="00C42209"/>
    <w:rsid w:val="00C4249E"/>
    <w:rsid w:val="00C42A49"/>
    <w:rsid w:val="00C42A96"/>
    <w:rsid w:val="00C42D5F"/>
    <w:rsid w:val="00C42FEE"/>
    <w:rsid w:val="00C430AC"/>
    <w:rsid w:val="00C434A6"/>
    <w:rsid w:val="00C435BD"/>
    <w:rsid w:val="00C435E2"/>
    <w:rsid w:val="00C4367D"/>
    <w:rsid w:val="00C43C0B"/>
    <w:rsid w:val="00C43CCE"/>
    <w:rsid w:val="00C440CD"/>
    <w:rsid w:val="00C44774"/>
    <w:rsid w:val="00C44AB3"/>
    <w:rsid w:val="00C44BD7"/>
    <w:rsid w:val="00C44C11"/>
    <w:rsid w:val="00C44D5D"/>
    <w:rsid w:val="00C44ED7"/>
    <w:rsid w:val="00C44FF5"/>
    <w:rsid w:val="00C45186"/>
    <w:rsid w:val="00C45265"/>
    <w:rsid w:val="00C453FE"/>
    <w:rsid w:val="00C45415"/>
    <w:rsid w:val="00C4554F"/>
    <w:rsid w:val="00C457BD"/>
    <w:rsid w:val="00C457F6"/>
    <w:rsid w:val="00C45AE7"/>
    <w:rsid w:val="00C45CA8"/>
    <w:rsid w:val="00C46006"/>
    <w:rsid w:val="00C46187"/>
    <w:rsid w:val="00C461E4"/>
    <w:rsid w:val="00C462C8"/>
    <w:rsid w:val="00C4641B"/>
    <w:rsid w:val="00C46454"/>
    <w:rsid w:val="00C4694A"/>
    <w:rsid w:val="00C476AE"/>
    <w:rsid w:val="00C47A1A"/>
    <w:rsid w:val="00C47A25"/>
    <w:rsid w:val="00C47B58"/>
    <w:rsid w:val="00C47F27"/>
    <w:rsid w:val="00C47F77"/>
    <w:rsid w:val="00C4D2AD"/>
    <w:rsid w:val="00C503C1"/>
    <w:rsid w:val="00C504CA"/>
    <w:rsid w:val="00C506BE"/>
    <w:rsid w:val="00C50833"/>
    <w:rsid w:val="00C50A3A"/>
    <w:rsid w:val="00C50FBB"/>
    <w:rsid w:val="00C51273"/>
    <w:rsid w:val="00C512C1"/>
    <w:rsid w:val="00C51954"/>
    <w:rsid w:val="00C51976"/>
    <w:rsid w:val="00C51E34"/>
    <w:rsid w:val="00C51E6D"/>
    <w:rsid w:val="00C525DA"/>
    <w:rsid w:val="00C52890"/>
    <w:rsid w:val="00C5295A"/>
    <w:rsid w:val="00C52992"/>
    <w:rsid w:val="00C52E09"/>
    <w:rsid w:val="00C52F39"/>
    <w:rsid w:val="00C53128"/>
    <w:rsid w:val="00C5312A"/>
    <w:rsid w:val="00C53150"/>
    <w:rsid w:val="00C53593"/>
    <w:rsid w:val="00C536CE"/>
    <w:rsid w:val="00C53AD5"/>
    <w:rsid w:val="00C53B09"/>
    <w:rsid w:val="00C53BD3"/>
    <w:rsid w:val="00C53E71"/>
    <w:rsid w:val="00C5424E"/>
    <w:rsid w:val="00C54388"/>
    <w:rsid w:val="00C545CE"/>
    <w:rsid w:val="00C549CC"/>
    <w:rsid w:val="00C54A78"/>
    <w:rsid w:val="00C54C30"/>
    <w:rsid w:val="00C54C60"/>
    <w:rsid w:val="00C54DDA"/>
    <w:rsid w:val="00C54DE9"/>
    <w:rsid w:val="00C550DC"/>
    <w:rsid w:val="00C5536C"/>
    <w:rsid w:val="00C554B5"/>
    <w:rsid w:val="00C5552F"/>
    <w:rsid w:val="00C55666"/>
    <w:rsid w:val="00C55B47"/>
    <w:rsid w:val="00C55C79"/>
    <w:rsid w:val="00C55C88"/>
    <w:rsid w:val="00C567A1"/>
    <w:rsid w:val="00C56A45"/>
    <w:rsid w:val="00C56A4D"/>
    <w:rsid w:val="00C57294"/>
    <w:rsid w:val="00C572AC"/>
    <w:rsid w:val="00C572FD"/>
    <w:rsid w:val="00C573C0"/>
    <w:rsid w:val="00C574FA"/>
    <w:rsid w:val="00C578A0"/>
    <w:rsid w:val="00C57BF1"/>
    <w:rsid w:val="00C57D55"/>
    <w:rsid w:val="00C600E6"/>
    <w:rsid w:val="00C6013F"/>
    <w:rsid w:val="00C604A1"/>
    <w:rsid w:val="00C604DF"/>
    <w:rsid w:val="00C60674"/>
    <w:rsid w:val="00C6085A"/>
    <w:rsid w:val="00C60AEC"/>
    <w:rsid w:val="00C60B49"/>
    <w:rsid w:val="00C60BD6"/>
    <w:rsid w:val="00C60C40"/>
    <w:rsid w:val="00C61117"/>
    <w:rsid w:val="00C611DC"/>
    <w:rsid w:val="00C612A8"/>
    <w:rsid w:val="00C612AB"/>
    <w:rsid w:val="00C612C5"/>
    <w:rsid w:val="00C612C8"/>
    <w:rsid w:val="00C612E1"/>
    <w:rsid w:val="00C6137C"/>
    <w:rsid w:val="00C61473"/>
    <w:rsid w:val="00C6157F"/>
    <w:rsid w:val="00C617F2"/>
    <w:rsid w:val="00C6196F"/>
    <w:rsid w:val="00C619C6"/>
    <w:rsid w:val="00C619EA"/>
    <w:rsid w:val="00C61B0A"/>
    <w:rsid w:val="00C61F29"/>
    <w:rsid w:val="00C61F4D"/>
    <w:rsid w:val="00C6220A"/>
    <w:rsid w:val="00C623C4"/>
    <w:rsid w:val="00C6269B"/>
    <w:rsid w:val="00C62B33"/>
    <w:rsid w:val="00C62D8E"/>
    <w:rsid w:val="00C630C8"/>
    <w:rsid w:val="00C638C9"/>
    <w:rsid w:val="00C63A69"/>
    <w:rsid w:val="00C63B91"/>
    <w:rsid w:val="00C63C4B"/>
    <w:rsid w:val="00C63CE1"/>
    <w:rsid w:val="00C63CEA"/>
    <w:rsid w:val="00C6401E"/>
    <w:rsid w:val="00C64463"/>
    <w:rsid w:val="00C64514"/>
    <w:rsid w:val="00C646EB"/>
    <w:rsid w:val="00C64D01"/>
    <w:rsid w:val="00C64D8A"/>
    <w:rsid w:val="00C64E25"/>
    <w:rsid w:val="00C64EB0"/>
    <w:rsid w:val="00C64EEE"/>
    <w:rsid w:val="00C6505F"/>
    <w:rsid w:val="00C650AD"/>
    <w:rsid w:val="00C652D3"/>
    <w:rsid w:val="00C657F9"/>
    <w:rsid w:val="00C658F8"/>
    <w:rsid w:val="00C65963"/>
    <w:rsid w:val="00C65A04"/>
    <w:rsid w:val="00C65BB5"/>
    <w:rsid w:val="00C65C8B"/>
    <w:rsid w:val="00C66001"/>
    <w:rsid w:val="00C6619D"/>
    <w:rsid w:val="00C663E1"/>
    <w:rsid w:val="00C6647B"/>
    <w:rsid w:val="00C66491"/>
    <w:rsid w:val="00C66779"/>
    <w:rsid w:val="00C66840"/>
    <w:rsid w:val="00C6694C"/>
    <w:rsid w:val="00C66957"/>
    <w:rsid w:val="00C66982"/>
    <w:rsid w:val="00C669B0"/>
    <w:rsid w:val="00C66AF3"/>
    <w:rsid w:val="00C66E8E"/>
    <w:rsid w:val="00C66EE8"/>
    <w:rsid w:val="00C67302"/>
    <w:rsid w:val="00C67341"/>
    <w:rsid w:val="00C6743C"/>
    <w:rsid w:val="00C67641"/>
    <w:rsid w:val="00C6794A"/>
    <w:rsid w:val="00C6795F"/>
    <w:rsid w:val="00C679F2"/>
    <w:rsid w:val="00C67C4B"/>
    <w:rsid w:val="00C67D43"/>
    <w:rsid w:val="00C67DDA"/>
    <w:rsid w:val="00C67F13"/>
    <w:rsid w:val="00C7012E"/>
    <w:rsid w:val="00C702F8"/>
    <w:rsid w:val="00C70481"/>
    <w:rsid w:val="00C704AB"/>
    <w:rsid w:val="00C7051B"/>
    <w:rsid w:val="00C70BD5"/>
    <w:rsid w:val="00C70C2A"/>
    <w:rsid w:val="00C70CE6"/>
    <w:rsid w:val="00C70D12"/>
    <w:rsid w:val="00C70EB3"/>
    <w:rsid w:val="00C715E7"/>
    <w:rsid w:val="00C719B1"/>
    <w:rsid w:val="00C71B35"/>
    <w:rsid w:val="00C71C02"/>
    <w:rsid w:val="00C71C9F"/>
    <w:rsid w:val="00C71F5A"/>
    <w:rsid w:val="00C725BB"/>
    <w:rsid w:val="00C726A4"/>
    <w:rsid w:val="00C7277C"/>
    <w:rsid w:val="00C727A8"/>
    <w:rsid w:val="00C729B1"/>
    <w:rsid w:val="00C729EE"/>
    <w:rsid w:val="00C72B14"/>
    <w:rsid w:val="00C72D72"/>
    <w:rsid w:val="00C72F54"/>
    <w:rsid w:val="00C73415"/>
    <w:rsid w:val="00C734D0"/>
    <w:rsid w:val="00C735A0"/>
    <w:rsid w:val="00C735AE"/>
    <w:rsid w:val="00C738D2"/>
    <w:rsid w:val="00C738ED"/>
    <w:rsid w:val="00C73A14"/>
    <w:rsid w:val="00C73C3A"/>
    <w:rsid w:val="00C73F79"/>
    <w:rsid w:val="00C74126"/>
    <w:rsid w:val="00C745FB"/>
    <w:rsid w:val="00C746AF"/>
    <w:rsid w:val="00C74D4B"/>
    <w:rsid w:val="00C75419"/>
    <w:rsid w:val="00C75650"/>
    <w:rsid w:val="00C75822"/>
    <w:rsid w:val="00C75947"/>
    <w:rsid w:val="00C75C0E"/>
    <w:rsid w:val="00C76077"/>
    <w:rsid w:val="00C762BE"/>
    <w:rsid w:val="00C763BB"/>
    <w:rsid w:val="00C76455"/>
    <w:rsid w:val="00C76ACC"/>
    <w:rsid w:val="00C76E0B"/>
    <w:rsid w:val="00C76F5D"/>
    <w:rsid w:val="00C76FAD"/>
    <w:rsid w:val="00C770A2"/>
    <w:rsid w:val="00C7713D"/>
    <w:rsid w:val="00C7720E"/>
    <w:rsid w:val="00C7734C"/>
    <w:rsid w:val="00C7775B"/>
    <w:rsid w:val="00C7776A"/>
    <w:rsid w:val="00C77966"/>
    <w:rsid w:val="00C77BC7"/>
    <w:rsid w:val="00C77C57"/>
    <w:rsid w:val="00C77D52"/>
    <w:rsid w:val="00C77E0B"/>
    <w:rsid w:val="00C8024C"/>
    <w:rsid w:val="00C80272"/>
    <w:rsid w:val="00C80306"/>
    <w:rsid w:val="00C805A3"/>
    <w:rsid w:val="00C807B2"/>
    <w:rsid w:val="00C80A6D"/>
    <w:rsid w:val="00C80B42"/>
    <w:rsid w:val="00C80E4F"/>
    <w:rsid w:val="00C810FA"/>
    <w:rsid w:val="00C81446"/>
    <w:rsid w:val="00C816C7"/>
    <w:rsid w:val="00C81928"/>
    <w:rsid w:val="00C8194D"/>
    <w:rsid w:val="00C81B56"/>
    <w:rsid w:val="00C81C09"/>
    <w:rsid w:val="00C81D80"/>
    <w:rsid w:val="00C81DFA"/>
    <w:rsid w:val="00C8212F"/>
    <w:rsid w:val="00C8259C"/>
    <w:rsid w:val="00C82D22"/>
    <w:rsid w:val="00C82D82"/>
    <w:rsid w:val="00C82DA0"/>
    <w:rsid w:val="00C82EB5"/>
    <w:rsid w:val="00C8330A"/>
    <w:rsid w:val="00C83418"/>
    <w:rsid w:val="00C834C1"/>
    <w:rsid w:val="00C8362C"/>
    <w:rsid w:val="00C83709"/>
    <w:rsid w:val="00C839D6"/>
    <w:rsid w:val="00C83B4E"/>
    <w:rsid w:val="00C83E1A"/>
    <w:rsid w:val="00C83EC9"/>
    <w:rsid w:val="00C83F85"/>
    <w:rsid w:val="00C841F0"/>
    <w:rsid w:val="00C844DB"/>
    <w:rsid w:val="00C84523"/>
    <w:rsid w:val="00C84F9E"/>
    <w:rsid w:val="00C85265"/>
    <w:rsid w:val="00C85469"/>
    <w:rsid w:val="00C8574D"/>
    <w:rsid w:val="00C8587F"/>
    <w:rsid w:val="00C85A4D"/>
    <w:rsid w:val="00C85BA8"/>
    <w:rsid w:val="00C85D1E"/>
    <w:rsid w:val="00C85D58"/>
    <w:rsid w:val="00C85D6D"/>
    <w:rsid w:val="00C85E38"/>
    <w:rsid w:val="00C86711"/>
    <w:rsid w:val="00C86B76"/>
    <w:rsid w:val="00C86BFA"/>
    <w:rsid w:val="00C86C17"/>
    <w:rsid w:val="00C86C64"/>
    <w:rsid w:val="00C86E61"/>
    <w:rsid w:val="00C86FB1"/>
    <w:rsid w:val="00C8701F"/>
    <w:rsid w:val="00C87148"/>
    <w:rsid w:val="00C871AE"/>
    <w:rsid w:val="00C873A4"/>
    <w:rsid w:val="00C876FC"/>
    <w:rsid w:val="00C87880"/>
    <w:rsid w:val="00C87895"/>
    <w:rsid w:val="00C87CAD"/>
    <w:rsid w:val="00C9073F"/>
    <w:rsid w:val="00C90770"/>
    <w:rsid w:val="00C90982"/>
    <w:rsid w:val="00C909E1"/>
    <w:rsid w:val="00C90B11"/>
    <w:rsid w:val="00C90CD6"/>
    <w:rsid w:val="00C90FA2"/>
    <w:rsid w:val="00C9105E"/>
    <w:rsid w:val="00C915CA"/>
    <w:rsid w:val="00C91B60"/>
    <w:rsid w:val="00C91EA4"/>
    <w:rsid w:val="00C92092"/>
    <w:rsid w:val="00C9240D"/>
    <w:rsid w:val="00C924A1"/>
    <w:rsid w:val="00C925E8"/>
    <w:rsid w:val="00C926FF"/>
    <w:rsid w:val="00C927C5"/>
    <w:rsid w:val="00C92876"/>
    <w:rsid w:val="00C928BB"/>
    <w:rsid w:val="00C92A35"/>
    <w:rsid w:val="00C92B7E"/>
    <w:rsid w:val="00C92C10"/>
    <w:rsid w:val="00C92C83"/>
    <w:rsid w:val="00C92CD8"/>
    <w:rsid w:val="00C92D7D"/>
    <w:rsid w:val="00C92E75"/>
    <w:rsid w:val="00C92E9E"/>
    <w:rsid w:val="00C92F42"/>
    <w:rsid w:val="00C932BC"/>
    <w:rsid w:val="00C93494"/>
    <w:rsid w:val="00C9367A"/>
    <w:rsid w:val="00C937CC"/>
    <w:rsid w:val="00C93909"/>
    <w:rsid w:val="00C9394D"/>
    <w:rsid w:val="00C93A6C"/>
    <w:rsid w:val="00C93E22"/>
    <w:rsid w:val="00C93F2C"/>
    <w:rsid w:val="00C93F57"/>
    <w:rsid w:val="00C94025"/>
    <w:rsid w:val="00C940BE"/>
    <w:rsid w:val="00C941D4"/>
    <w:rsid w:val="00C94287"/>
    <w:rsid w:val="00C94429"/>
    <w:rsid w:val="00C944E0"/>
    <w:rsid w:val="00C945CF"/>
    <w:rsid w:val="00C94938"/>
    <w:rsid w:val="00C94B43"/>
    <w:rsid w:val="00C94B6E"/>
    <w:rsid w:val="00C94C56"/>
    <w:rsid w:val="00C95091"/>
    <w:rsid w:val="00C953A2"/>
    <w:rsid w:val="00C953FE"/>
    <w:rsid w:val="00C955E7"/>
    <w:rsid w:val="00C956F9"/>
    <w:rsid w:val="00C958B6"/>
    <w:rsid w:val="00C958F2"/>
    <w:rsid w:val="00C95CF1"/>
    <w:rsid w:val="00C95D51"/>
    <w:rsid w:val="00C96191"/>
    <w:rsid w:val="00C96220"/>
    <w:rsid w:val="00C965E5"/>
    <w:rsid w:val="00C96B40"/>
    <w:rsid w:val="00C96C16"/>
    <w:rsid w:val="00C96DBD"/>
    <w:rsid w:val="00C96EE8"/>
    <w:rsid w:val="00C97027"/>
    <w:rsid w:val="00C975E4"/>
    <w:rsid w:val="00C97723"/>
    <w:rsid w:val="00C97C11"/>
    <w:rsid w:val="00CA0427"/>
    <w:rsid w:val="00CA0570"/>
    <w:rsid w:val="00CA06F6"/>
    <w:rsid w:val="00CA08D0"/>
    <w:rsid w:val="00CA0B17"/>
    <w:rsid w:val="00CA0D20"/>
    <w:rsid w:val="00CA11D6"/>
    <w:rsid w:val="00CA128D"/>
    <w:rsid w:val="00CA130A"/>
    <w:rsid w:val="00CA13B6"/>
    <w:rsid w:val="00CA173B"/>
    <w:rsid w:val="00CA187A"/>
    <w:rsid w:val="00CA1D24"/>
    <w:rsid w:val="00CA1DDC"/>
    <w:rsid w:val="00CA23F2"/>
    <w:rsid w:val="00CA2649"/>
    <w:rsid w:val="00CA2667"/>
    <w:rsid w:val="00CA2670"/>
    <w:rsid w:val="00CA27E8"/>
    <w:rsid w:val="00CA28B0"/>
    <w:rsid w:val="00CA296E"/>
    <w:rsid w:val="00CA2974"/>
    <w:rsid w:val="00CA2A12"/>
    <w:rsid w:val="00CA2D15"/>
    <w:rsid w:val="00CA2E1B"/>
    <w:rsid w:val="00CA351D"/>
    <w:rsid w:val="00CA390C"/>
    <w:rsid w:val="00CA39C5"/>
    <w:rsid w:val="00CA3A6A"/>
    <w:rsid w:val="00CA3B34"/>
    <w:rsid w:val="00CA3DCD"/>
    <w:rsid w:val="00CA3DDB"/>
    <w:rsid w:val="00CA4092"/>
    <w:rsid w:val="00CA427B"/>
    <w:rsid w:val="00CA4406"/>
    <w:rsid w:val="00CA447C"/>
    <w:rsid w:val="00CA45BF"/>
    <w:rsid w:val="00CA45E5"/>
    <w:rsid w:val="00CA45EE"/>
    <w:rsid w:val="00CA4631"/>
    <w:rsid w:val="00CA466E"/>
    <w:rsid w:val="00CA46DC"/>
    <w:rsid w:val="00CA4965"/>
    <w:rsid w:val="00CA4999"/>
    <w:rsid w:val="00CA4A63"/>
    <w:rsid w:val="00CA4D11"/>
    <w:rsid w:val="00CA5083"/>
    <w:rsid w:val="00CA5388"/>
    <w:rsid w:val="00CA540B"/>
    <w:rsid w:val="00CA5542"/>
    <w:rsid w:val="00CA562E"/>
    <w:rsid w:val="00CA590F"/>
    <w:rsid w:val="00CA5BF3"/>
    <w:rsid w:val="00CA64ED"/>
    <w:rsid w:val="00CA670A"/>
    <w:rsid w:val="00CA682D"/>
    <w:rsid w:val="00CA68E8"/>
    <w:rsid w:val="00CA6945"/>
    <w:rsid w:val="00CA7231"/>
    <w:rsid w:val="00CA72FA"/>
    <w:rsid w:val="00CA759C"/>
    <w:rsid w:val="00CA7613"/>
    <w:rsid w:val="00CA7756"/>
    <w:rsid w:val="00CA783D"/>
    <w:rsid w:val="00CA79D6"/>
    <w:rsid w:val="00CA7A23"/>
    <w:rsid w:val="00CA7A91"/>
    <w:rsid w:val="00CA7C05"/>
    <w:rsid w:val="00CA7D6E"/>
    <w:rsid w:val="00CA7ECE"/>
    <w:rsid w:val="00CB09FA"/>
    <w:rsid w:val="00CB0B2C"/>
    <w:rsid w:val="00CB0BEA"/>
    <w:rsid w:val="00CB0D11"/>
    <w:rsid w:val="00CB0DB1"/>
    <w:rsid w:val="00CB10EE"/>
    <w:rsid w:val="00CB1206"/>
    <w:rsid w:val="00CB12ED"/>
    <w:rsid w:val="00CB1300"/>
    <w:rsid w:val="00CB1389"/>
    <w:rsid w:val="00CB15B5"/>
    <w:rsid w:val="00CB1C4F"/>
    <w:rsid w:val="00CB1C55"/>
    <w:rsid w:val="00CB1D0A"/>
    <w:rsid w:val="00CB1DC3"/>
    <w:rsid w:val="00CB1E6A"/>
    <w:rsid w:val="00CB1EB1"/>
    <w:rsid w:val="00CB1FEB"/>
    <w:rsid w:val="00CB2169"/>
    <w:rsid w:val="00CB227F"/>
    <w:rsid w:val="00CB2710"/>
    <w:rsid w:val="00CB31AF"/>
    <w:rsid w:val="00CB33CF"/>
    <w:rsid w:val="00CB350F"/>
    <w:rsid w:val="00CB42C7"/>
    <w:rsid w:val="00CB4358"/>
    <w:rsid w:val="00CB43EA"/>
    <w:rsid w:val="00CB4647"/>
    <w:rsid w:val="00CB4693"/>
    <w:rsid w:val="00CB4898"/>
    <w:rsid w:val="00CB4ACD"/>
    <w:rsid w:val="00CB4B62"/>
    <w:rsid w:val="00CB4FD6"/>
    <w:rsid w:val="00CB50DF"/>
    <w:rsid w:val="00CB51D6"/>
    <w:rsid w:val="00CB51DC"/>
    <w:rsid w:val="00CB5313"/>
    <w:rsid w:val="00CB53B8"/>
    <w:rsid w:val="00CB546F"/>
    <w:rsid w:val="00CB5509"/>
    <w:rsid w:val="00CB553E"/>
    <w:rsid w:val="00CB5541"/>
    <w:rsid w:val="00CB5582"/>
    <w:rsid w:val="00CB5CA9"/>
    <w:rsid w:val="00CB5FF6"/>
    <w:rsid w:val="00CB6079"/>
    <w:rsid w:val="00CB6269"/>
    <w:rsid w:val="00CB6360"/>
    <w:rsid w:val="00CB64ED"/>
    <w:rsid w:val="00CB682A"/>
    <w:rsid w:val="00CB6A52"/>
    <w:rsid w:val="00CB6C46"/>
    <w:rsid w:val="00CB6C73"/>
    <w:rsid w:val="00CB6DDF"/>
    <w:rsid w:val="00CB71DE"/>
    <w:rsid w:val="00CB73F5"/>
    <w:rsid w:val="00CB75CC"/>
    <w:rsid w:val="00CB773E"/>
    <w:rsid w:val="00CB7796"/>
    <w:rsid w:val="00CB7910"/>
    <w:rsid w:val="00CB7B36"/>
    <w:rsid w:val="00CB7D69"/>
    <w:rsid w:val="00CB7E68"/>
    <w:rsid w:val="00CB7F0F"/>
    <w:rsid w:val="00CC0675"/>
    <w:rsid w:val="00CC0A11"/>
    <w:rsid w:val="00CC10D7"/>
    <w:rsid w:val="00CC18F5"/>
    <w:rsid w:val="00CC1ABB"/>
    <w:rsid w:val="00CC2602"/>
    <w:rsid w:val="00CC26B9"/>
    <w:rsid w:val="00CC29B8"/>
    <w:rsid w:val="00CC2A43"/>
    <w:rsid w:val="00CC2E5A"/>
    <w:rsid w:val="00CC30B6"/>
    <w:rsid w:val="00CC33ED"/>
    <w:rsid w:val="00CC34AA"/>
    <w:rsid w:val="00CC353F"/>
    <w:rsid w:val="00CC36C2"/>
    <w:rsid w:val="00CC3895"/>
    <w:rsid w:val="00CC399C"/>
    <w:rsid w:val="00CC3D0A"/>
    <w:rsid w:val="00CC3D58"/>
    <w:rsid w:val="00CC404B"/>
    <w:rsid w:val="00CC45C5"/>
    <w:rsid w:val="00CC4711"/>
    <w:rsid w:val="00CC47D0"/>
    <w:rsid w:val="00CC4867"/>
    <w:rsid w:val="00CC48DC"/>
    <w:rsid w:val="00CC4ADA"/>
    <w:rsid w:val="00CC4B22"/>
    <w:rsid w:val="00CC4B36"/>
    <w:rsid w:val="00CC4CFD"/>
    <w:rsid w:val="00CC4DBB"/>
    <w:rsid w:val="00CC4ECA"/>
    <w:rsid w:val="00CC4F5D"/>
    <w:rsid w:val="00CC4FB6"/>
    <w:rsid w:val="00CC5421"/>
    <w:rsid w:val="00CC5D60"/>
    <w:rsid w:val="00CC5E02"/>
    <w:rsid w:val="00CC5F25"/>
    <w:rsid w:val="00CC610D"/>
    <w:rsid w:val="00CC6410"/>
    <w:rsid w:val="00CC6492"/>
    <w:rsid w:val="00CC64F9"/>
    <w:rsid w:val="00CC6500"/>
    <w:rsid w:val="00CC66AE"/>
    <w:rsid w:val="00CC675A"/>
    <w:rsid w:val="00CC67D3"/>
    <w:rsid w:val="00CC68D6"/>
    <w:rsid w:val="00CC6A95"/>
    <w:rsid w:val="00CC6EFA"/>
    <w:rsid w:val="00CC717B"/>
    <w:rsid w:val="00CC72B4"/>
    <w:rsid w:val="00CC7425"/>
    <w:rsid w:val="00CC7816"/>
    <w:rsid w:val="00CC7866"/>
    <w:rsid w:val="00CC7A62"/>
    <w:rsid w:val="00CC7A86"/>
    <w:rsid w:val="00CC7B4E"/>
    <w:rsid w:val="00CC7C1A"/>
    <w:rsid w:val="00CC7D02"/>
    <w:rsid w:val="00CC7F8C"/>
    <w:rsid w:val="00CC8526"/>
    <w:rsid w:val="00CD00D1"/>
    <w:rsid w:val="00CD0646"/>
    <w:rsid w:val="00CD0899"/>
    <w:rsid w:val="00CD0A2D"/>
    <w:rsid w:val="00CD0B62"/>
    <w:rsid w:val="00CD0D3D"/>
    <w:rsid w:val="00CD0F4D"/>
    <w:rsid w:val="00CD1171"/>
    <w:rsid w:val="00CD145D"/>
    <w:rsid w:val="00CD15FB"/>
    <w:rsid w:val="00CD16AB"/>
    <w:rsid w:val="00CD17B6"/>
    <w:rsid w:val="00CD1898"/>
    <w:rsid w:val="00CD1908"/>
    <w:rsid w:val="00CD1A8A"/>
    <w:rsid w:val="00CD1BB2"/>
    <w:rsid w:val="00CD1DC1"/>
    <w:rsid w:val="00CD2099"/>
    <w:rsid w:val="00CD2381"/>
    <w:rsid w:val="00CD2767"/>
    <w:rsid w:val="00CD2893"/>
    <w:rsid w:val="00CD2D5E"/>
    <w:rsid w:val="00CD2F4C"/>
    <w:rsid w:val="00CD31B3"/>
    <w:rsid w:val="00CD32F5"/>
    <w:rsid w:val="00CD3427"/>
    <w:rsid w:val="00CD35F4"/>
    <w:rsid w:val="00CD38E5"/>
    <w:rsid w:val="00CD39FA"/>
    <w:rsid w:val="00CD3E35"/>
    <w:rsid w:val="00CD3EAC"/>
    <w:rsid w:val="00CD4007"/>
    <w:rsid w:val="00CD4165"/>
    <w:rsid w:val="00CD4480"/>
    <w:rsid w:val="00CD48CB"/>
    <w:rsid w:val="00CD4A3B"/>
    <w:rsid w:val="00CD4C93"/>
    <w:rsid w:val="00CD4CEB"/>
    <w:rsid w:val="00CD4D62"/>
    <w:rsid w:val="00CD4D8B"/>
    <w:rsid w:val="00CD52A1"/>
    <w:rsid w:val="00CD532B"/>
    <w:rsid w:val="00CD5484"/>
    <w:rsid w:val="00CD5843"/>
    <w:rsid w:val="00CD5A02"/>
    <w:rsid w:val="00CD5C6E"/>
    <w:rsid w:val="00CD5DF3"/>
    <w:rsid w:val="00CD5EC7"/>
    <w:rsid w:val="00CD5F68"/>
    <w:rsid w:val="00CD6197"/>
    <w:rsid w:val="00CD6327"/>
    <w:rsid w:val="00CD645F"/>
    <w:rsid w:val="00CD653F"/>
    <w:rsid w:val="00CD65B2"/>
    <w:rsid w:val="00CD66A9"/>
    <w:rsid w:val="00CD67E3"/>
    <w:rsid w:val="00CD70A5"/>
    <w:rsid w:val="00CD71BC"/>
    <w:rsid w:val="00CD7288"/>
    <w:rsid w:val="00CD72C8"/>
    <w:rsid w:val="00CD7555"/>
    <w:rsid w:val="00CD7767"/>
    <w:rsid w:val="00CD7D1D"/>
    <w:rsid w:val="00CD7E1C"/>
    <w:rsid w:val="00CD7EF3"/>
    <w:rsid w:val="00CE02DF"/>
    <w:rsid w:val="00CE0333"/>
    <w:rsid w:val="00CE0623"/>
    <w:rsid w:val="00CE09EF"/>
    <w:rsid w:val="00CE0A60"/>
    <w:rsid w:val="00CE0BB2"/>
    <w:rsid w:val="00CE0C6E"/>
    <w:rsid w:val="00CE12A7"/>
    <w:rsid w:val="00CE141A"/>
    <w:rsid w:val="00CE15EE"/>
    <w:rsid w:val="00CE169E"/>
    <w:rsid w:val="00CE169F"/>
    <w:rsid w:val="00CE16E3"/>
    <w:rsid w:val="00CE193D"/>
    <w:rsid w:val="00CE1A29"/>
    <w:rsid w:val="00CE1B61"/>
    <w:rsid w:val="00CE1D67"/>
    <w:rsid w:val="00CE2308"/>
    <w:rsid w:val="00CE24EF"/>
    <w:rsid w:val="00CE26D5"/>
    <w:rsid w:val="00CE288C"/>
    <w:rsid w:val="00CE295B"/>
    <w:rsid w:val="00CE2E24"/>
    <w:rsid w:val="00CE2F87"/>
    <w:rsid w:val="00CE3008"/>
    <w:rsid w:val="00CE317E"/>
    <w:rsid w:val="00CE31AE"/>
    <w:rsid w:val="00CE3452"/>
    <w:rsid w:val="00CE35FF"/>
    <w:rsid w:val="00CE3927"/>
    <w:rsid w:val="00CE39D2"/>
    <w:rsid w:val="00CE3AE2"/>
    <w:rsid w:val="00CE3BCF"/>
    <w:rsid w:val="00CE3F4C"/>
    <w:rsid w:val="00CE4205"/>
    <w:rsid w:val="00CE4ABA"/>
    <w:rsid w:val="00CE4BB8"/>
    <w:rsid w:val="00CE4F68"/>
    <w:rsid w:val="00CE515D"/>
    <w:rsid w:val="00CE569F"/>
    <w:rsid w:val="00CE5AD7"/>
    <w:rsid w:val="00CE5B53"/>
    <w:rsid w:val="00CE5BF2"/>
    <w:rsid w:val="00CE5C16"/>
    <w:rsid w:val="00CE5D81"/>
    <w:rsid w:val="00CE5EE6"/>
    <w:rsid w:val="00CE5FCE"/>
    <w:rsid w:val="00CE6153"/>
    <w:rsid w:val="00CE6ADD"/>
    <w:rsid w:val="00CE6B9F"/>
    <w:rsid w:val="00CE6D2A"/>
    <w:rsid w:val="00CE6DEE"/>
    <w:rsid w:val="00CE6F41"/>
    <w:rsid w:val="00CE70E2"/>
    <w:rsid w:val="00CE71B2"/>
    <w:rsid w:val="00CE72E7"/>
    <w:rsid w:val="00CE7305"/>
    <w:rsid w:val="00CE7385"/>
    <w:rsid w:val="00CE7913"/>
    <w:rsid w:val="00CE7980"/>
    <w:rsid w:val="00CE7B47"/>
    <w:rsid w:val="00CE7B9B"/>
    <w:rsid w:val="00CE7F27"/>
    <w:rsid w:val="00CF00F0"/>
    <w:rsid w:val="00CF0155"/>
    <w:rsid w:val="00CF0193"/>
    <w:rsid w:val="00CF07C6"/>
    <w:rsid w:val="00CF120C"/>
    <w:rsid w:val="00CF1398"/>
    <w:rsid w:val="00CF1469"/>
    <w:rsid w:val="00CF16E9"/>
    <w:rsid w:val="00CF1757"/>
    <w:rsid w:val="00CF176D"/>
    <w:rsid w:val="00CF1D67"/>
    <w:rsid w:val="00CF1EB0"/>
    <w:rsid w:val="00CF22B7"/>
    <w:rsid w:val="00CF23BA"/>
    <w:rsid w:val="00CF29D1"/>
    <w:rsid w:val="00CF2D57"/>
    <w:rsid w:val="00CF328F"/>
    <w:rsid w:val="00CF3481"/>
    <w:rsid w:val="00CF36B7"/>
    <w:rsid w:val="00CF3A9E"/>
    <w:rsid w:val="00CF3B41"/>
    <w:rsid w:val="00CF3D5B"/>
    <w:rsid w:val="00CF3E83"/>
    <w:rsid w:val="00CF3E90"/>
    <w:rsid w:val="00CF3EED"/>
    <w:rsid w:val="00CF40B2"/>
    <w:rsid w:val="00CF4164"/>
    <w:rsid w:val="00CF434C"/>
    <w:rsid w:val="00CF4531"/>
    <w:rsid w:val="00CF4611"/>
    <w:rsid w:val="00CF4706"/>
    <w:rsid w:val="00CF4B80"/>
    <w:rsid w:val="00CF4C31"/>
    <w:rsid w:val="00CF4EBA"/>
    <w:rsid w:val="00CF5058"/>
    <w:rsid w:val="00CF5987"/>
    <w:rsid w:val="00CF5CD7"/>
    <w:rsid w:val="00CF5E36"/>
    <w:rsid w:val="00CF5E9E"/>
    <w:rsid w:val="00CF5F24"/>
    <w:rsid w:val="00CF6870"/>
    <w:rsid w:val="00CF6C58"/>
    <w:rsid w:val="00CF6C76"/>
    <w:rsid w:val="00CF6D0C"/>
    <w:rsid w:val="00CF72B2"/>
    <w:rsid w:val="00CF7628"/>
    <w:rsid w:val="00CF77B2"/>
    <w:rsid w:val="00CF7FD8"/>
    <w:rsid w:val="00CFBDAF"/>
    <w:rsid w:val="00D0043F"/>
    <w:rsid w:val="00D00502"/>
    <w:rsid w:val="00D0052B"/>
    <w:rsid w:val="00D00543"/>
    <w:rsid w:val="00D00581"/>
    <w:rsid w:val="00D006CC"/>
    <w:rsid w:val="00D00B30"/>
    <w:rsid w:val="00D00C6A"/>
    <w:rsid w:val="00D00E34"/>
    <w:rsid w:val="00D00EAE"/>
    <w:rsid w:val="00D0124F"/>
    <w:rsid w:val="00D01524"/>
    <w:rsid w:val="00D01549"/>
    <w:rsid w:val="00D01743"/>
    <w:rsid w:val="00D01A60"/>
    <w:rsid w:val="00D01C79"/>
    <w:rsid w:val="00D01E78"/>
    <w:rsid w:val="00D01E7F"/>
    <w:rsid w:val="00D02431"/>
    <w:rsid w:val="00D02572"/>
    <w:rsid w:val="00D02590"/>
    <w:rsid w:val="00D0274B"/>
    <w:rsid w:val="00D02AB0"/>
    <w:rsid w:val="00D02D9B"/>
    <w:rsid w:val="00D0324A"/>
    <w:rsid w:val="00D0326C"/>
    <w:rsid w:val="00D0334B"/>
    <w:rsid w:val="00D034C7"/>
    <w:rsid w:val="00D03529"/>
    <w:rsid w:val="00D03536"/>
    <w:rsid w:val="00D03B54"/>
    <w:rsid w:val="00D03D4F"/>
    <w:rsid w:val="00D03E07"/>
    <w:rsid w:val="00D04024"/>
    <w:rsid w:val="00D04186"/>
    <w:rsid w:val="00D04187"/>
    <w:rsid w:val="00D044C8"/>
    <w:rsid w:val="00D04678"/>
    <w:rsid w:val="00D04AFF"/>
    <w:rsid w:val="00D04FB0"/>
    <w:rsid w:val="00D05079"/>
    <w:rsid w:val="00D0543C"/>
    <w:rsid w:val="00D05455"/>
    <w:rsid w:val="00D0569C"/>
    <w:rsid w:val="00D05768"/>
    <w:rsid w:val="00D0576E"/>
    <w:rsid w:val="00D059A8"/>
    <w:rsid w:val="00D05B4D"/>
    <w:rsid w:val="00D05E86"/>
    <w:rsid w:val="00D05EE1"/>
    <w:rsid w:val="00D06191"/>
    <w:rsid w:val="00D06259"/>
    <w:rsid w:val="00D0673E"/>
    <w:rsid w:val="00D06F52"/>
    <w:rsid w:val="00D06FF0"/>
    <w:rsid w:val="00D07353"/>
    <w:rsid w:val="00D076B1"/>
    <w:rsid w:val="00D07940"/>
    <w:rsid w:val="00D07DA1"/>
    <w:rsid w:val="00D07E57"/>
    <w:rsid w:val="00D07E60"/>
    <w:rsid w:val="00D0D34B"/>
    <w:rsid w:val="00D10066"/>
    <w:rsid w:val="00D10156"/>
    <w:rsid w:val="00D1024B"/>
    <w:rsid w:val="00D102F5"/>
    <w:rsid w:val="00D1039B"/>
    <w:rsid w:val="00D10407"/>
    <w:rsid w:val="00D108D8"/>
    <w:rsid w:val="00D109F7"/>
    <w:rsid w:val="00D10ADC"/>
    <w:rsid w:val="00D10BB2"/>
    <w:rsid w:val="00D10D7F"/>
    <w:rsid w:val="00D10F1A"/>
    <w:rsid w:val="00D11312"/>
    <w:rsid w:val="00D11352"/>
    <w:rsid w:val="00D11713"/>
    <w:rsid w:val="00D11728"/>
    <w:rsid w:val="00D117FA"/>
    <w:rsid w:val="00D1209A"/>
    <w:rsid w:val="00D126D0"/>
    <w:rsid w:val="00D126FA"/>
    <w:rsid w:val="00D12724"/>
    <w:rsid w:val="00D128C7"/>
    <w:rsid w:val="00D128C8"/>
    <w:rsid w:val="00D12961"/>
    <w:rsid w:val="00D12D36"/>
    <w:rsid w:val="00D12DB4"/>
    <w:rsid w:val="00D12E5E"/>
    <w:rsid w:val="00D1332B"/>
    <w:rsid w:val="00D1380E"/>
    <w:rsid w:val="00D13ADE"/>
    <w:rsid w:val="00D13C84"/>
    <w:rsid w:val="00D14023"/>
    <w:rsid w:val="00D140AA"/>
    <w:rsid w:val="00D140C2"/>
    <w:rsid w:val="00D14485"/>
    <w:rsid w:val="00D145CA"/>
    <w:rsid w:val="00D147D7"/>
    <w:rsid w:val="00D1492F"/>
    <w:rsid w:val="00D149B0"/>
    <w:rsid w:val="00D14AE6"/>
    <w:rsid w:val="00D14C09"/>
    <w:rsid w:val="00D14E42"/>
    <w:rsid w:val="00D14E43"/>
    <w:rsid w:val="00D14F3F"/>
    <w:rsid w:val="00D152F4"/>
    <w:rsid w:val="00D1535A"/>
    <w:rsid w:val="00D1576F"/>
    <w:rsid w:val="00D15B34"/>
    <w:rsid w:val="00D15B81"/>
    <w:rsid w:val="00D15D42"/>
    <w:rsid w:val="00D15D73"/>
    <w:rsid w:val="00D15E64"/>
    <w:rsid w:val="00D169B0"/>
    <w:rsid w:val="00D16B74"/>
    <w:rsid w:val="00D16B8B"/>
    <w:rsid w:val="00D16BFF"/>
    <w:rsid w:val="00D16CA6"/>
    <w:rsid w:val="00D16D7B"/>
    <w:rsid w:val="00D16E24"/>
    <w:rsid w:val="00D16E6F"/>
    <w:rsid w:val="00D16FD1"/>
    <w:rsid w:val="00D1707D"/>
    <w:rsid w:val="00D17325"/>
    <w:rsid w:val="00D175A7"/>
    <w:rsid w:val="00D17B1D"/>
    <w:rsid w:val="00D20014"/>
    <w:rsid w:val="00D200C6"/>
    <w:rsid w:val="00D20274"/>
    <w:rsid w:val="00D20824"/>
    <w:rsid w:val="00D20A82"/>
    <w:rsid w:val="00D20B09"/>
    <w:rsid w:val="00D20D12"/>
    <w:rsid w:val="00D20DEF"/>
    <w:rsid w:val="00D20E99"/>
    <w:rsid w:val="00D21327"/>
    <w:rsid w:val="00D213EA"/>
    <w:rsid w:val="00D21485"/>
    <w:rsid w:val="00D215C8"/>
    <w:rsid w:val="00D215D1"/>
    <w:rsid w:val="00D21619"/>
    <w:rsid w:val="00D216AC"/>
    <w:rsid w:val="00D219B6"/>
    <w:rsid w:val="00D219F9"/>
    <w:rsid w:val="00D21A2D"/>
    <w:rsid w:val="00D21A79"/>
    <w:rsid w:val="00D21AF2"/>
    <w:rsid w:val="00D21B3F"/>
    <w:rsid w:val="00D21B59"/>
    <w:rsid w:val="00D21D2F"/>
    <w:rsid w:val="00D2230D"/>
    <w:rsid w:val="00D2266F"/>
    <w:rsid w:val="00D22903"/>
    <w:rsid w:val="00D22D96"/>
    <w:rsid w:val="00D22EF4"/>
    <w:rsid w:val="00D231AF"/>
    <w:rsid w:val="00D2381C"/>
    <w:rsid w:val="00D238A7"/>
    <w:rsid w:val="00D23959"/>
    <w:rsid w:val="00D23B6F"/>
    <w:rsid w:val="00D23F6C"/>
    <w:rsid w:val="00D24182"/>
    <w:rsid w:val="00D24561"/>
    <w:rsid w:val="00D24815"/>
    <w:rsid w:val="00D2491C"/>
    <w:rsid w:val="00D24DC8"/>
    <w:rsid w:val="00D24E67"/>
    <w:rsid w:val="00D251BC"/>
    <w:rsid w:val="00D25658"/>
    <w:rsid w:val="00D25A68"/>
    <w:rsid w:val="00D25E42"/>
    <w:rsid w:val="00D26207"/>
    <w:rsid w:val="00D263D4"/>
    <w:rsid w:val="00D2653E"/>
    <w:rsid w:val="00D2678D"/>
    <w:rsid w:val="00D26792"/>
    <w:rsid w:val="00D26B6B"/>
    <w:rsid w:val="00D26CE5"/>
    <w:rsid w:val="00D26CFB"/>
    <w:rsid w:val="00D26D77"/>
    <w:rsid w:val="00D26EE0"/>
    <w:rsid w:val="00D26F0C"/>
    <w:rsid w:val="00D274FA"/>
    <w:rsid w:val="00D2769B"/>
    <w:rsid w:val="00D30073"/>
    <w:rsid w:val="00D300FB"/>
    <w:rsid w:val="00D305CE"/>
    <w:rsid w:val="00D30A4E"/>
    <w:rsid w:val="00D30C63"/>
    <w:rsid w:val="00D30DF3"/>
    <w:rsid w:val="00D310D8"/>
    <w:rsid w:val="00D3129F"/>
    <w:rsid w:val="00D313BC"/>
    <w:rsid w:val="00D314E8"/>
    <w:rsid w:val="00D31AF7"/>
    <w:rsid w:val="00D31B06"/>
    <w:rsid w:val="00D31B6B"/>
    <w:rsid w:val="00D31C28"/>
    <w:rsid w:val="00D31D3E"/>
    <w:rsid w:val="00D31DCA"/>
    <w:rsid w:val="00D31E96"/>
    <w:rsid w:val="00D31FFA"/>
    <w:rsid w:val="00D32041"/>
    <w:rsid w:val="00D32146"/>
    <w:rsid w:val="00D326A6"/>
    <w:rsid w:val="00D32977"/>
    <w:rsid w:val="00D32D89"/>
    <w:rsid w:val="00D32E39"/>
    <w:rsid w:val="00D330F6"/>
    <w:rsid w:val="00D33153"/>
    <w:rsid w:val="00D331C0"/>
    <w:rsid w:val="00D332C3"/>
    <w:rsid w:val="00D33613"/>
    <w:rsid w:val="00D33B82"/>
    <w:rsid w:val="00D33DB2"/>
    <w:rsid w:val="00D33DF2"/>
    <w:rsid w:val="00D33F73"/>
    <w:rsid w:val="00D343DE"/>
    <w:rsid w:val="00D344AD"/>
    <w:rsid w:val="00D345E8"/>
    <w:rsid w:val="00D34B72"/>
    <w:rsid w:val="00D34C69"/>
    <w:rsid w:val="00D34CA5"/>
    <w:rsid w:val="00D352DD"/>
    <w:rsid w:val="00D355E7"/>
    <w:rsid w:val="00D35601"/>
    <w:rsid w:val="00D3583E"/>
    <w:rsid w:val="00D3599E"/>
    <w:rsid w:val="00D35B13"/>
    <w:rsid w:val="00D35D9E"/>
    <w:rsid w:val="00D35EB4"/>
    <w:rsid w:val="00D36146"/>
    <w:rsid w:val="00D3626A"/>
    <w:rsid w:val="00D36410"/>
    <w:rsid w:val="00D365A4"/>
    <w:rsid w:val="00D36682"/>
    <w:rsid w:val="00D3670E"/>
    <w:rsid w:val="00D36831"/>
    <w:rsid w:val="00D369B2"/>
    <w:rsid w:val="00D36BDD"/>
    <w:rsid w:val="00D36F64"/>
    <w:rsid w:val="00D3742B"/>
    <w:rsid w:val="00D37483"/>
    <w:rsid w:val="00D3750D"/>
    <w:rsid w:val="00D37BF7"/>
    <w:rsid w:val="00D37EBF"/>
    <w:rsid w:val="00D4010E"/>
    <w:rsid w:val="00D4013D"/>
    <w:rsid w:val="00D404ED"/>
    <w:rsid w:val="00D4070A"/>
    <w:rsid w:val="00D407C7"/>
    <w:rsid w:val="00D40814"/>
    <w:rsid w:val="00D40832"/>
    <w:rsid w:val="00D408C3"/>
    <w:rsid w:val="00D4097F"/>
    <w:rsid w:val="00D409DE"/>
    <w:rsid w:val="00D409FA"/>
    <w:rsid w:val="00D40E83"/>
    <w:rsid w:val="00D4106D"/>
    <w:rsid w:val="00D41832"/>
    <w:rsid w:val="00D41AE3"/>
    <w:rsid w:val="00D42373"/>
    <w:rsid w:val="00D425C9"/>
    <w:rsid w:val="00D42726"/>
    <w:rsid w:val="00D42790"/>
    <w:rsid w:val="00D42C39"/>
    <w:rsid w:val="00D42C64"/>
    <w:rsid w:val="00D42E95"/>
    <w:rsid w:val="00D42FEC"/>
    <w:rsid w:val="00D4316A"/>
    <w:rsid w:val="00D432A6"/>
    <w:rsid w:val="00D435CE"/>
    <w:rsid w:val="00D439CE"/>
    <w:rsid w:val="00D439DE"/>
    <w:rsid w:val="00D43B52"/>
    <w:rsid w:val="00D43CB7"/>
    <w:rsid w:val="00D43CBF"/>
    <w:rsid w:val="00D43CFB"/>
    <w:rsid w:val="00D440F7"/>
    <w:rsid w:val="00D44425"/>
    <w:rsid w:val="00D4463C"/>
    <w:rsid w:val="00D44747"/>
    <w:rsid w:val="00D44A72"/>
    <w:rsid w:val="00D44D49"/>
    <w:rsid w:val="00D44E48"/>
    <w:rsid w:val="00D44ECC"/>
    <w:rsid w:val="00D44FC2"/>
    <w:rsid w:val="00D45140"/>
    <w:rsid w:val="00D4518C"/>
    <w:rsid w:val="00D452EB"/>
    <w:rsid w:val="00D454C0"/>
    <w:rsid w:val="00D456CC"/>
    <w:rsid w:val="00D456E8"/>
    <w:rsid w:val="00D45A0E"/>
    <w:rsid w:val="00D45B62"/>
    <w:rsid w:val="00D46353"/>
    <w:rsid w:val="00D464BF"/>
    <w:rsid w:val="00D466E6"/>
    <w:rsid w:val="00D46C35"/>
    <w:rsid w:val="00D46F2C"/>
    <w:rsid w:val="00D47245"/>
    <w:rsid w:val="00D4727A"/>
    <w:rsid w:val="00D47425"/>
    <w:rsid w:val="00D476C9"/>
    <w:rsid w:val="00D47794"/>
    <w:rsid w:val="00D47A45"/>
    <w:rsid w:val="00D47D13"/>
    <w:rsid w:val="00D47DE0"/>
    <w:rsid w:val="00D5044B"/>
    <w:rsid w:val="00D50896"/>
    <w:rsid w:val="00D50A39"/>
    <w:rsid w:val="00D50A4A"/>
    <w:rsid w:val="00D50B18"/>
    <w:rsid w:val="00D50C71"/>
    <w:rsid w:val="00D50D7E"/>
    <w:rsid w:val="00D510F7"/>
    <w:rsid w:val="00D512C9"/>
    <w:rsid w:val="00D512F9"/>
    <w:rsid w:val="00D51336"/>
    <w:rsid w:val="00D515E4"/>
    <w:rsid w:val="00D516EF"/>
    <w:rsid w:val="00D51A4B"/>
    <w:rsid w:val="00D51DCC"/>
    <w:rsid w:val="00D51F42"/>
    <w:rsid w:val="00D522CE"/>
    <w:rsid w:val="00D52601"/>
    <w:rsid w:val="00D526CC"/>
    <w:rsid w:val="00D528B1"/>
    <w:rsid w:val="00D529FD"/>
    <w:rsid w:val="00D52AA7"/>
    <w:rsid w:val="00D52B8D"/>
    <w:rsid w:val="00D52C1D"/>
    <w:rsid w:val="00D530AD"/>
    <w:rsid w:val="00D530DD"/>
    <w:rsid w:val="00D5318D"/>
    <w:rsid w:val="00D532F0"/>
    <w:rsid w:val="00D537CA"/>
    <w:rsid w:val="00D5382B"/>
    <w:rsid w:val="00D53971"/>
    <w:rsid w:val="00D539DE"/>
    <w:rsid w:val="00D53A6C"/>
    <w:rsid w:val="00D53C59"/>
    <w:rsid w:val="00D53F88"/>
    <w:rsid w:val="00D53FEE"/>
    <w:rsid w:val="00D54048"/>
    <w:rsid w:val="00D542DC"/>
    <w:rsid w:val="00D54324"/>
    <w:rsid w:val="00D54645"/>
    <w:rsid w:val="00D54785"/>
    <w:rsid w:val="00D5485A"/>
    <w:rsid w:val="00D549C6"/>
    <w:rsid w:val="00D54DE3"/>
    <w:rsid w:val="00D550A5"/>
    <w:rsid w:val="00D550D5"/>
    <w:rsid w:val="00D5511D"/>
    <w:rsid w:val="00D557E7"/>
    <w:rsid w:val="00D559FB"/>
    <w:rsid w:val="00D55F93"/>
    <w:rsid w:val="00D56145"/>
    <w:rsid w:val="00D56309"/>
    <w:rsid w:val="00D56884"/>
    <w:rsid w:val="00D569D1"/>
    <w:rsid w:val="00D56A27"/>
    <w:rsid w:val="00D5723F"/>
    <w:rsid w:val="00D57255"/>
    <w:rsid w:val="00D57370"/>
    <w:rsid w:val="00D574C1"/>
    <w:rsid w:val="00D576FC"/>
    <w:rsid w:val="00D577B1"/>
    <w:rsid w:val="00D578F1"/>
    <w:rsid w:val="00D579C4"/>
    <w:rsid w:val="00D57C08"/>
    <w:rsid w:val="00D57E86"/>
    <w:rsid w:val="00D57F86"/>
    <w:rsid w:val="00D60125"/>
    <w:rsid w:val="00D6034D"/>
    <w:rsid w:val="00D603AC"/>
    <w:rsid w:val="00D603AD"/>
    <w:rsid w:val="00D604B4"/>
    <w:rsid w:val="00D60518"/>
    <w:rsid w:val="00D60567"/>
    <w:rsid w:val="00D606DA"/>
    <w:rsid w:val="00D60B96"/>
    <w:rsid w:val="00D60C3F"/>
    <w:rsid w:val="00D60DD6"/>
    <w:rsid w:val="00D61088"/>
    <w:rsid w:val="00D61276"/>
    <w:rsid w:val="00D613B1"/>
    <w:rsid w:val="00D6144E"/>
    <w:rsid w:val="00D616B3"/>
    <w:rsid w:val="00D61C07"/>
    <w:rsid w:val="00D61C9D"/>
    <w:rsid w:val="00D61DF9"/>
    <w:rsid w:val="00D61ED5"/>
    <w:rsid w:val="00D6247D"/>
    <w:rsid w:val="00D62A42"/>
    <w:rsid w:val="00D62AFB"/>
    <w:rsid w:val="00D62BDF"/>
    <w:rsid w:val="00D62CE0"/>
    <w:rsid w:val="00D62F2D"/>
    <w:rsid w:val="00D6300A"/>
    <w:rsid w:val="00D63A91"/>
    <w:rsid w:val="00D63EFE"/>
    <w:rsid w:val="00D63F78"/>
    <w:rsid w:val="00D640A0"/>
    <w:rsid w:val="00D641A7"/>
    <w:rsid w:val="00D64820"/>
    <w:rsid w:val="00D6484B"/>
    <w:rsid w:val="00D64D4B"/>
    <w:rsid w:val="00D64DAB"/>
    <w:rsid w:val="00D64E46"/>
    <w:rsid w:val="00D64FD3"/>
    <w:rsid w:val="00D65188"/>
    <w:rsid w:val="00D6522B"/>
    <w:rsid w:val="00D6596A"/>
    <w:rsid w:val="00D65A73"/>
    <w:rsid w:val="00D65AAF"/>
    <w:rsid w:val="00D65B91"/>
    <w:rsid w:val="00D662DC"/>
    <w:rsid w:val="00D66579"/>
    <w:rsid w:val="00D66869"/>
    <w:rsid w:val="00D66B27"/>
    <w:rsid w:val="00D66BD9"/>
    <w:rsid w:val="00D66D7F"/>
    <w:rsid w:val="00D66F54"/>
    <w:rsid w:val="00D66FC6"/>
    <w:rsid w:val="00D67359"/>
    <w:rsid w:val="00D6742E"/>
    <w:rsid w:val="00D674D7"/>
    <w:rsid w:val="00D67702"/>
    <w:rsid w:val="00D67729"/>
    <w:rsid w:val="00D6775A"/>
    <w:rsid w:val="00D677EA"/>
    <w:rsid w:val="00D67862"/>
    <w:rsid w:val="00D67A04"/>
    <w:rsid w:val="00D67B28"/>
    <w:rsid w:val="00D67BD9"/>
    <w:rsid w:val="00D67CE6"/>
    <w:rsid w:val="00D67EE4"/>
    <w:rsid w:val="00D67F65"/>
    <w:rsid w:val="00D67F66"/>
    <w:rsid w:val="00D70028"/>
    <w:rsid w:val="00D70A4A"/>
    <w:rsid w:val="00D71159"/>
    <w:rsid w:val="00D7173F"/>
    <w:rsid w:val="00D71916"/>
    <w:rsid w:val="00D71C45"/>
    <w:rsid w:val="00D71E1A"/>
    <w:rsid w:val="00D71EC1"/>
    <w:rsid w:val="00D7209A"/>
    <w:rsid w:val="00D726D1"/>
    <w:rsid w:val="00D72A7C"/>
    <w:rsid w:val="00D72B46"/>
    <w:rsid w:val="00D72C4E"/>
    <w:rsid w:val="00D72CC3"/>
    <w:rsid w:val="00D72CF3"/>
    <w:rsid w:val="00D7303E"/>
    <w:rsid w:val="00D73095"/>
    <w:rsid w:val="00D731F6"/>
    <w:rsid w:val="00D7343B"/>
    <w:rsid w:val="00D735C1"/>
    <w:rsid w:val="00D738CD"/>
    <w:rsid w:val="00D739E3"/>
    <w:rsid w:val="00D73ABC"/>
    <w:rsid w:val="00D73AD8"/>
    <w:rsid w:val="00D73B76"/>
    <w:rsid w:val="00D73CE7"/>
    <w:rsid w:val="00D73D05"/>
    <w:rsid w:val="00D73FD2"/>
    <w:rsid w:val="00D74610"/>
    <w:rsid w:val="00D7469B"/>
    <w:rsid w:val="00D74A49"/>
    <w:rsid w:val="00D74A9D"/>
    <w:rsid w:val="00D74AA2"/>
    <w:rsid w:val="00D74BAD"/>
    <w:rsid w:val="00D74BEF"/>
    <w:rsid w:val="00D74D98"/>
    <w:rsid w:val="00D74DEB"/>
    <w:rsid w:val="00D74F6E"/>
    <w:rsid w:val="00D750D5"/>
    <w:rsid w:val="00D75295"/>
    <w:rsid w:val="00D753A2"/>
    <w:rsid w:val="00D75DDF"/>
    <w:rsid w:val="00D75E03"/>
    <w:rsid w:val="00D766DC"/>
    <w:rsid w:val="00D76813"/>
    <w:rsid w:val="00D76A6A"/>
    <w:rsid w:val="00D76B5F"/>
    <w:rsid w:val="00D7711C"/>
    <w:rsid w:val="00D7719D"/>
    <w:rsid w:val="00D7746B"/>
    <w:rsid w:val="00D77A10"/>
    <w:rsid w:val="00D77A1D"/>
    <w:rsid w:val="00D77A75"/>
    <w:rsid w:val="00D77B4F"/>
    <w:rsid w:val="00D77C13"/>
    <w:rsid w:val="00D77D1B"/>
    <w:rsid w:val="00D77F6E"/>
    <w:rsid w:val="00D80085"/>
    <w:rsid w:val="00D805AD"/>
    <w:rsid w:val="00D805F2"/>
    <w:rsid w:val="00D80EA2"/>
    <w:rsid w:val="00D8141F"/>
    <w:rsid w:val="00D8142C"/>
    <w:rsid w:val="00D81851"/>
    <w:rsid w:val="00D8196A"/>
    <w:rsid w:val="00D81A20"/>
    <w:rsid w:val="00D81ADB"/>
    <w:rsid w:val="00D81BE2"/>
    <w:rsid w:val="00D81F1D"/>
    <w:rsid w:val="00D821E1"/>
    <w:rsid w:val="00D824A6"/>
    <w:rsid w:val="00D82530"/>
    <w:rsid w:val="00D826F3"/>
    <w:rsid w:val="00D82722"/>
    <w:rsid w:val="00D82731"/>
    <w:rsid w:val="00D82779"/>
    <w:rsid w:val="00D82823"/>
    <w:rsid w:val="00D82D11"/>
    <w:rsid w:val="00D83178"/>
    <w:rsid w:val="00D83585"/>
    <w:rsid w:val="00D83D4C"/>
    <w:rsid w:val="00D83EBA"/>
    <w:rsid w:val="00D8405C"/>
    <w:rsid w:val="00D841BE"/>
    <w:rsid w:val="00D841EB"/>
    <w:rsid w:val="00D8425C"/>
    <w:rsid w:val="00D84331"/>
    <w:rsid w:val="00D8435E"/>
    <w:rsid w:val="00D84588"/>
    <w:rsid w:val="00D84622"/>
    <w:rsid w:val="00D84C58"/>
    <w:rsid w:val="00D84CC6"/>
    <w:rsid w:val="00D856BE"/>
    <w:rsid w:val="00D8574B"/>
    <w:rsid w:val="00D85774"/>
    <w:rsid w:val="00D85D05"/>
    <w:rsid w:val="00D86055"/>
    <w:rsid w:val="00D862EB"/>
    <w:rsid w:val="00D86C0C"/>
    <w:rsid w:val="00D86EA3"/>
    <w:rsid w:val="00D86F47"/>
    <w:rsid w:val="00D8715D"/>
    <w:rsid w:val="00D8759A"/>
    <w:rsid w:val="00D875A1"/>
    <w:rsid w:val="00D875FD"/>
    <w:rsid w:val="00D87759"/>
    <w:rsid w:val="00D8781A"/>
    <w:rsid w:val="00D87CDD"/>
    <w:rsid w:val="00D87F6F"/>
    <w:rsid w:val="00D8E621"/>
    <w:rsid w:val="00D90150"/>
    <w:rsid w:val="00D90791"/>
    <w:rsid w:val="00D90AAB"/>
    <w:rsid w:val="00D90ACE"/>
    <w:rsid w:val="00D912CB"/>
    <w:rsid w:val="00D91559"/>
    <w:rsid w:val="00D916F2"/>
    <w:rsid w:val="00D92233"/>
    <w:rsid w:val="00D9224F"/>
    <w:rsid w:val="00D92443"/>
    <w:rsid w:val="00D925D5"/>
    <w:rsid w:val="00D9284F"/>
    <w:rsid w:val="00D929F8"/>
    <w:rsid w:val="00D92C12"/>
    <w:rsid w:val="00D92DF2"/>
    <w:rsid w:val="00D92EBB"/>
    <w:rsid w:val="00D92F46"/>
    <w:rsid w:val="00D93142"/>
    <w:rsid w:val="00D93147"/>
    <w:rsid w:val="00D933D2"/>
    <w:rsid w:val="00D933E4"/>
    <w:rsid w:val="00D93633"/>
    <w:rsid w:val="00D93D8A"/>
    <w:rsid w:val="00D9402B"/>
    <w:rsid w:val="00D941FF"/>
    <w:rsid w:val="00D94E89"/>
    <w:rsid w:val="00D95619"/>
    <w:rsid w:val="00D956FB"/>
    <w:rsid w:val="00D95894"/>
    <w:rsid w:val="00D95CF2"/>
    <w:rsid w:val="00D96083"/>
    <w:rsid w:val="00D963AC"/>
    <w:rsid w:val="00D96B6C"/>
    <w:rsid w:val="00D96CDF"/>
    <w:rsid w:val="00D96D76"/>
    <w:rsid w:val="00D9708B"/>
    <w:rsid w:val="00D971BA"/>
    <w:rsid w:val="00D974D4"/>
    <w:rsid w:val="00D97B20"/>
    <w:rsid w:val="00D97B73"/>
    <w:rsid w:val="00DA010F"/>
    <w:rsid w:val="00DA0143"/>
    <w:rsid w:val="00DA0199"/>
    <w:rsid w:val="00DA01D1"/>
    <w:rsid w:val="00DA0332"/>
    <w:rsid w:val="00DA0486"/>
    <w:rsid w:val="00DA06A8"/>
    <w:rsid w:val="00DA0B51"/>
    <w:rsid w:val="00DA0C1A"/>
    <w:rsid w:val="00DA10D5"/>
    <w:rsid w:val="00DA1158"/>
    <w:rsid w:val="00DA132E"/>
    <w:rsid w:val="00DA14E4"/>
    <w:rsid w:val="00DA163A"/>
    <w:rsid w:val="00DA18EE"/>
    <w:rsid w:val="00DA18F1"/>
    <w:rsid w:val="00DA1984"/>
    <w:rsid w:val="00DA1B63"/>
    <w:rsid w:val="00DA1F50"/>
    <w:rsid w:val="00DA2069"/>
    <w:rsid w:val="00DA21EF"/>
    <w:rsid w:val="00DA2657"/>
    <w:rsid w:val="00DA2956"/>
    <w:rsid w:val="00DA2F27"/>
    <w:rsid w:val="00DA2FF9"/>
    <w:rsid w:val="00DA30CC"/>
    <w:rsid w:val="00DA313D"/>
    <w:rsid w:val="00DA34D1"/>
    <w:rsid w:val="00DA371D"/>
    <w:rsid w:val="00DA3742"/>
    <w:rsid w:val="00DA3A36"/>
    <w:rsid w:val="00DA3A57"/>
    <w:rsid w:val="00DA3B98"/>
    <w:rsid w:val="00DA3CBE"/>
    <w:rsid w:val="00DA4376"/>
    <w:rsid w:val="00DA4380"/>
    <w:rsid w:val="00DA4BE4"/>
    <w:rsid w:val="00DA4C60"/>
    <w:rsid w:val="00DA4E77"/>
    <w:rsid w:val="00DA5109"/>
    <w:rsid w:val="00DA5562"/>
    <w:rsid w:val="00DA55A8"/>
    <w:rsid w:val="00DA56B7"/>
    <w:rsid w:val="00DA5786"/>
    <w:rsid w:val="00DA5E18"/>
    <w:rsid w:val="00DA6066"/>
    <w:rsid w:val="00DA60C3"/>
    <w:rsid w:val="00DA6196"/>
    <w:rsid w:val="00DA644A"/>
    <w:rsid w:val="00DA6689"/>
    <w:rsid w:val="00DA71DC"/>
    <w:rsid w:val="00DA73E0"/>
    <w:rsid w:val="00DA73F0"/>
    <w:rsid w:val="00DA76BB"/>
    <w:rsid w:val="00DA76CC"/>
    <w:rsid w:val="00DA76CD"/>
    <w:rsid w:val="00DA7777"/>
    <w:rsid w:val="00DA7AD0"/>
    <w:rsid w:val="00DA7CA2"/>
    <w:rsid w:val="00DA7DD7"/>
    <w:rsid w:val="00DA8161"/>
    <w:rsid w:val="00DB02DC"/>
    <w:rsid w:val="00DB0348"/>
    <w:rsid w:val="00DB051F"/>
    <w:rsid w:val="00DB0543"/>
    <w:rsid w:val="00DB0629"/>
    <w:rsid w:val="00DB064B"/>
    <w:rsid w:val="00DB0784"/>
    <w:rsid w:val="00DB07EF"/>
    <w:rsid w:val="00DB0A16"/>
    <w:rsid w:val="00DB0BED"/>
    <w:rsid w:val="00DB0CB3"/>
    <w:rsid w:val="00DB0EB1"/>
    <w:rsid w:val="00DB0EBA"/>
    <w:rsid w:val="00DB0F43"/>
    <w:rsid w:val="00DB137B"/>
    <w:rsid w:val="00DB15CD"/>
    <w:rsid w:val="00DB163F"/>
    <w:rsid w:val="00DB16EE"/>
    <w:rsid w:val="00DB1850"/>
    <w:rsid w:val="00DB19A5"/>
    <w:rsid w:val="00DB1B4B"/>
    <w:rsid w:val="00DB1CDE"/>
    <w:rsid w:val="00DB1DFA"/>
    <w:rsid w:val="00DB1F00"/>
    <w:rsid w:val="00DB1FCA"/>
    <w:rsid w:val="00DB2092"/>
    <w:rsid w:val="00DB21DD"/>
    <w:rsid w:val="00DB249A"/>
    <w:rsid w:val="00DB24B5"/>
    <w:rsid w:val="00DB2898"/>
    <w:rsid w:val="00DB2A12"/>
    <w:rsid w:val="00DB2AAD"/>
    <w:rsid w:val="00DB2AF3"/>
    <w:rsid w:val="00DB2BEC"/>
    <w:rsid w:val="00DB2F4A"/>
    <w:rsid w:val="00DB36DF"/>
    <w:rsid w:val="00DB3723"/>
    <w:rsid w:val="00DB3A96"/>
    <w:rsid w:val="00DB3BAA"/>
    <w:rsid w:val="00DB3C64"/>
    <w:rsid w:val="00DB3C8A"/>
    <w:rsid w:val="00DB3CFE"/>
    <w:rsid w:val="00DB4259"/>
    <w:rsid w:val="00DB4276"/>
    <w:rsid w:val="00DB4367"/>
    <w:rsid w:val="00DB44F9"/>
    <w:rsid w:val="00DB4758"/>
    <w:rsid w:val="00DB480D"/>
    <w:rsid w:val="00DB48FD"/>
    <w:rsid w:val="00DB4971"/>
    <w:rsid w:val="00DB4B3F"/>
    <w:rsid w:val="00DB5650"/>
    <w:rsid w:val="00DB5B23"/>
    <w:rsid w:val="00DB5ED8"/>
    <w:rsid w:val="00DB63F7"/>
    <w:rsid w:val="00DB6674"/>
    <w:rsid w:val="00DB67EB"/>
    <w:rsid w:val="00DB6AC7"/>
    <w:rsid w:val="00DB6CAA"/>
    <w:rsid w:val="00DB6CAB"/>
    <w:rsid w:val="00DB71B5"/>
    <w:rsid w:val="00DB7287"/>
    <w:rsid w:val="00DB73D0"/>
    <w:rsid w:val="00DB74A5"/>
    <w:rsid w:val="00DB74F5"/>
    <w:rsid w:val="00DB7775"/>
    <w:rsid w:val="00DB7831"/>
    <w:rsid w:val="00DB78D4"/>
    <w:rsid w:val="00DB79D9"/>
    <w:rsid w:val="00DB79E4"/>
    <w:rsid w:val="00DB7A15"/>
    <w:rsid w:val="00DB7B19"/>
    <w:rsid w:val="00DB7E11"/>
    <w:rsid w:val="00DB7FAF"/>
    <w:rsid w:val="00DC00A8"/>
    <w:rsid w:val="00DC0200"/>
    <w:rsid w:val="00DC03E0"/>
    <w:rsid w:val="00DC0883"/>
    <w:rsid w:val="00DC091E"/>
    <w:rsid w:val="00DC093F"/>
    <w:rsid w:val="00DC149F"/>
    <w:rsid w:val="00DC1905"/>
    <w:rsid w:val="00DC1BF6"/>
    <w:rsid w:val="00DC1DC9"/>
    <w:rsid w:val="00DC214E"/>
    <w:rsid w:val="00DC2180"/>
    <w:rsid w:val="00DC2249"/>
    <w:rsid w:val="00DC2377"/>
    <w:rsid w:val="00DC24FF"/>
    <w:rsid w:val="00DC2645"/>
    <w:rsid w:val="00DC2CB6"/>
    <w:rsid w:val="00DC315A"/>
    <w:rsid w:val="00DC32FC"/>
    <w:rsid w:val="00DC3542"/>
    <w:rsid w:val="00DC363E"/>
    <w:rsid w:val="00DC3964"/>
    <w:rsid w:val="00DC3E30"/>
    <w:rsid w:val="00DC3FE6"/>
    <w:rsid w:val="00DC406C"/>
    <w:rsid w:val="00DC4131"/>
    <w:rsid w:val="00DC4393"/>
    <w:rsid w:val="00DC44D8"/>
    <w:rsid w:val="00DC47B9"/>
    <w:rsid w:val="00DC4B4F"/>
    <w:rsid w:val="00DC507B"/>
    <w:rsid w:val="00DC5101"/>
    <w:rsid w:val="00DC53CD"/>
    <w:rsid w:val="00DC5578"/>
    <w:rsid w:val="00DC5858"/>
    <w:rsid w:val="00DC58C6"/>
    <w:rsid w:val="00DC5C50"/>
    <w:rsid w:val="00DC5EA7"/>
    <w:rsid w:val="00DC6076"/>
    <w:rsid w:val="00DC60E7"/>
    <w:rsid w:val="00DC60F3"/>
    <w:rsid w:val="00DC6178"/>
    <w:rsid w:val="00DC618F"/>
    <w:rsid w:val="00DC61EE"/>
    <w:rsid w:val="00DC6339"/>
    <w:rsid w:val="00DC66CE"/>
    <w:rsid w:val="00DC66F9"/>
    <w:rsid w:val="00DC679C"/>
    <w:rsid w:val="00DC6B5F"/>
    <w:rsid w:val="00DC6C99"/>
    <w:rsid w:val="00DC6D89"/>
    <w:rsid w:val="00DC716C"/>
    <w:rsid w:val="00DC7463"/>
    <w:rsid w:val="00DC753D"/>
    <w:rsid w:val="00DC75A5"/>
    <w:rsid w:val="00DC765F"/>
    <w:rsid w:val="00DC77EB"/>
    <w:rsid w:val="00DC784E"/>
    <w:rsid w:val="00DD002E"/>
    <w:rsid w:val="00DD009C"/>
    <w:rsid w:val="00DD04E4"/>
    <w:rsid w:val="00DD0550"/>
    <w:rsid w:val="00DD06C9"/>
    <w:rsid w:val="00DD0970"/>
    <w:rsid w:val="00DD0C09"/>
    <w:rsid w:val="00DD102C"/>
    <w:rsid w:val="00DD10D5"/>
    <w:rsid w:val="00DD10E5"/>
    <w:rsid w:val="00DD1125"/>
    <w:rsid w:val="00DD11A9"/>
    <w:rsid w:val="00DD11B7"/>
    <w:rsid w:val="00DD1329"/>
    <w:rsid w:val="00DD13DE"/>
    <w:rsid w:val="00DD1544"/>
    <w:rsid w:val="00DD1683"/>
    <w:rsid w:val="00DD1740"/>
    <w:rsid w:val="00DD19B8"/>
    <w:rsid w:val="00DD1B09"/>
    <w:rsid w:val="00DD1EB3"/>
    <w:rsid w:val="00DD1EED"/>
    <w:rsid w:val="00DD23E6"/>
    <w:rsid w:val="00DD24ED"/>
    <w:rsid w:val="00DD2597"/>
    <w:rsid w:val="00DD26EC"/>
    <w:rsid w:val="00DD283A"/>
    <w:rsid w:val="00DD2885"/>
    <w:rsid w:val="00DD29C1"/>
    <w:rsid w:val="00DD2FFB"/>
    <w:rsid w:val="00DD3023"/>
    <w:rsid w:val="00DD3164"/>
    <w:rsid w:val="00DD3316"/>
    <w:rsid w:val="00DD3365"/>
    <w:rsid w:val="00DD34CA"/>
    <w:rsid w:val="00DD36FC"/>
    <w:rsid w:val="00DD3EA8"/>
    <w:rsid w:val="00DD3EBF"/>
    <w:rsid w:val="00DD4151"/>
    <w:rsid w:val="00DD4826"/>
    <w:rsid w:val="00DD4C76"/>
    <w:rsid w:val="00DD531E"/>
    <w:rsid w:val="00DD53CF"/>
    <w:rsid w:val="00DD55F4"/>
    <w:rsid w:val="00DD56B1"/>
    <w:rsid w:val="00DD577A"/>
    <w:rsid w:val="00DD57B8"/>
    <w:rsid w:val="00DD5BAB"/>
    <w:rsid w:val="00DD5FAB"/>
    <w:rsid w:val="00DD6581"/>
    <w:rsid w:val="00DD668F"/>
    <w:rsid w:val="00DD6A8A"/>
    <w:rsid w:val="00DD6BE5"/>
    <w:rsid w:val="00DD6D43"/>
    <w:rsid w:val="00DD79DC"/>
    <w:rsid w:val="00DD7BCF"/>
    <w:rsid w:val="00DD7D94"/>
    <w:rsid w:val="00DD7DAC"/>
    <w:rsid w:val="00DD7FCF"/>
    <w:rsid w:val="00DDCBB1"/>
    <w:rsid w:val="00DDFC47"/>
    <w:rsid w:val="00DE0043"/>
    <w:rsid w:val="00DE007B"/>
    <w:rsid w:val="00DE01F8"/>
    <w:rsid w:val="00DE03B7"/>
    <w:rsid w:val="00DE03D2"/>
    <w:rsid w:val="00DE0469"/>
    <w:rsid w:val="00DE04FB"/>
    <w:rsid w:val="00DE08F9"/>
    <w:rsid w:val="00DE0923"/>
    <w:rsid w:val="00DE09F4"/>
    <w:rsid w:val="00DE0A09"/>
    <w:rsid w:val="00DE0AB9"/>
    <w:rsid w:val="00DE0CCB"/>
    <w:rsid w:val="00DE0F53"/>
    <w:rsid w:val="00DE10E3"/>
    <w:rsid w:val="00DE12CD"/>
    <w:rsid w:val="00DE15E7"/>
    <w:rsid w:val="00DE15FF"/>
    <w:rsid w:val="00DE1872"/>
    <w:rsid w:val="00DE187C"/>
    <w:rsid w:val="00DE19AA"/>
    <w:rsid w:val="00DE1DAF"/>
    <w:rsid w:val="00DE1E27"/>
    <w:rsid w:val="00DE1F56"/>
    <w:rsid w:val="00DE2112"/>
    <w:rsid w:val="00DE2159"/>
    <w:rsid w:val="00DE21EE"/>
    <w:rsid w:val="00DE23F9"/>
    <w:rsid w:val="00DE2562"/>
    <w:rsid w:val="00DE2882"/>
    <w:rsid w:val="00DE28CE"/>
    <w:rsid w:val="00DE2CB8"/>
    <w:rsid w:val="00DE2EAF"/>
    <w:rsid w:val="00DE33BA"/>
    <w:rsid w:val="00DE3488"/>
    <w:rsid w:val="00DE35A5"/>
    <w:rsid w:val="00DE389A"/>
    <w:rsid w:val="00DE3A18"/>
    <w:rsid w:val="00DE3C4B"/>
    <w:rsid w:val="00DE3EF5"/>
    <w:rsid w:val="00DE41CA"/>
    <w:rsid w:val="00DE4573"/>
    <w:rsid w:val="00DE4637"/>
    <w:rsid w:val="00DE46F4"/>
    <w:rsid w:val="00DE4767"/>
    <w:rsid w:val="00DE4A64"/>
    <w:rsid w:val="00DE4D09"/>
    <w:rsid w:val="00DE4D2D"/>
    <w:rsid w:val="00DE54BD"/>
    <w:rsid w:val="00DE54E8"/>
    <w:rsid w:val="00DE554D"/>
    <w:rsid w:val="00DE561E"/>
    <w:rsid w:val="00DE57C9"/>
    <w:rsid w:val="00DE5AE3"/>
    <w:rsid w:val="00DE5C91"/>
    <w:rsid w:val="00DE5CD9"/>
    <w:rsid w:val="00DE6101"/>
    <w:rsid w:val="00DE6609"/>
    <w:rsid w:val="00DE66EA"/>
    <w:rsid w:val="00DE766F"/>
    <w:rsid w:val="00DE781A"/>
    <w:rsid w:val="00DE79F8"/>
    <w:rsid w:val="00DE7A9A"/>
    <w:rsid w:val="00DF012A"/>
    <w:rsid w:val="00DF015B"/>
    <w:rsid w:val="00DF0289"/>
    <w:rsid w:val="00DF0DA7"/>
    <w:rsid w:val="00DF1075"/>
    <w:rsid w:val="00DF10BE"/>
    <w:rsid w:val="00DF1192"/>
    <w:rsid w:val="00DF1441"/>
    <w:rsid w:val="00DF15E2"/>
    <w:rsid w:val="00DF1881"/>
    <w:rsid w:val="00DF1B6A"/>
    <w:rsid w:val="00DF1BA0"/>
    <w:rsid w:val="00DF1D51"/>
    <w:rsid w:val="00DF217A"/>
    <w:rsid w:val="00DF22E8"/>
    <w:rsid w:val="00DF2352"/>
    <w:rsid w:val="00DF24DE"/>
    <w:rsid w:val="00DF25C4"/>
    <w:rsid w:val="00DF2C9A"/>
    <w:rsid w:val="00DF300D"/>
    <w:rsid w:val="00DF35E8"/>
    <w:rsid w:val="00DF37C6"/>
    <w:rsid w:val="00DF382A"/>
    <w:rsid w:val="00DF387A"/>
    <w:rsid w:val="00DF399F"/>
    <w:rsid w:val="00DF3A55"/>
    <w:rsid w:val="00DF3AD0"/>
    <w:rsid w:val="00DF3AFC"/>
    <w:rsid w:val="00DF3D38"/>
    <w:rsid w:val="00DF3D50"/>
    <w:rsid w:val="00DF40C5"/>
    <w:rsid w:val="00DF44E6"/>
    <w:rsid w:val="00DF47B2"/>
    <w:rsid w:val="00DF4925"/>
    <w:rsid w:val="00DF4C76"/>
    <w:rsid w:val="00DF4CDB"/>
    <w:rsid w:val="00DF4E75"/>
    <w:rsid w:val="00DF4FD3"/>
    <w:rsid w:val="00DF509E"/>
    <w:rsid w:val="00DF50CC"/>
    <w:rsid w:val="00DF5259"/>
    <w:rsid w:val="00DF526E"/>
    <w:rsid w:val="00DF574D"/>
    <w:rsid w:val="00DF57A1"/>
    <w:rsid w:val="00DF57BC"/>
    <w:rsid w:val="00DF5A3A"/>
    <w:rsid w:val="00DF5B60"/>
    <w:rsid w:val="00DF5C75"/>
    <w:rsid w:val="00DF5CF4"/>
    <w:rsid w:val="00DF5ECD"/>
    <w:rsid w:val="00DF6062"/>
    <w:rsid w:val="00DF626B"/>
    <w:rsid w:val="00DF6674"/>
    <w:rsid w:val="00DF692B"/>
    <w:rsid w:val="00DF6B4B"/>
    <w:rsid w:val="00DF6B96"/>
    <w:rsid w:val="00DF6CD5"/>
    <w:rsid w:val="00DF70FA"/>
    <w:rsid w:val="00DF72EE"/>
    <w:rsid w:val="00DF7470"/>
    <w:rsid w:val="00DF7567"/>
    <w:rsid w:val="00DF769F"/>
    <w:rsid w:val="00DF76BA"/>
    <w:rsid w:val="00DF7723"/>
    <w:rsid w:val="00DF7783"/>
    <w:rsid w:val="00DF77EE"/>
    <w:rsid w:val="00DF7947"/>
    <w:rsid w:val="00DF7D15"/>
    <w:rsid w:val="00DF7EBF"/>
    <w:rsid w:val="00DF7F36"/>
    <w:rsid w:val="00E00371"/>
    <w:rsid w:val="00E0044E"/>
    <w:rsid w:val="00E0049D"/>
    <w:rsid w:val="00E00550"/>
    <w:rsid w:val="00E00761"/>
    <w:rsid w:val="00E008E6"/>
    <w:rsid w:val="00E0097B"/>
    <w:rsid w:val="00E00CED"/>
    <w:rsid w:val="00E00E21"/>
    <w:rsid w:val="00E00E27"/>
    <w:rsid w:val="00E00EA0"/>
    <w:rsid w:val="00E00FD0"/>
    <w:rsid w:val="00E00FD4"/>
    <w:rsid w:val="00E00FEC"/>
    <w:rsid w:val="00E01038"/>
    <w:rsid w:val="00E010E6"/>
    <w:rsid w:val="00E01249"/>
    <w:rsid w:val="00E013FB"/>
    <w:rsid w:val="00E015C7"/>
    <w:rsid w:val="00E01655"/>
    <w:rsid w:val="00E01677"/>
    <w:rsid w:val="00E01B74"/>
    <w:rsid w:val="00E02503"/>
    <w:rsid w:val="00E02A08"/>
    <w:rsid w:val="00E02D81"/>
    <w:rsid w:val="00E02E53"/>
    <w:rsid w:val="00E0346D"/>
    <w:rsid w:val="00E0352F"/>
    <w:rsid w:val="00E035DF"/>
    <w:rsid w:val="00E03DDD"/>
    <w:rsid w:val="00E03ED7"/>
    <w:rsid w:val="00E03FF9"/>
    <w:rsid w:val="00E04049"/>
    <w:rsid w:val="00E0405D"/>
    <w:rsid w:val="00E04069"/>
    <w:rsid w:val="00E0449B"/>
    <w:rsid w:val="00E0452B"/>
    <w:rsid w:val="00E047DB"/>
    <w:rsid w:val="00E047E1"/>
    <w:rsid w:val="00E04C5C"/>
    <w:rsid w:val="00E04CA2"/>
    <w:rsid w:val="00E0503D"/>
    <w:rsid w:val="00E050AA"/>
    <w:rsid w:val="00E051DD"/>
    <w:rsid w:val="00E052B4"/>
    <w:rsid w:val="00E052F0"/>
    <w:rsid w:val="00E05687"/>
    <w:rsid w:val="00E05732"/>
    <w:rsid w:val="00E05930"/>
    <w:rsid w:val="00E06193"/>
    <w:rsid w:val="00E06477"/>
    <w:rsid w:val="00E066D7"/>
    <w:rsid w:val="00E06A81"/>
    <w:rsid w:val="00E06B23"/>
    <w:rsid w:val="00E06C3F"/>
    <w:rsid w:val="00E06C60"/>
    <w:rsid w:val="00E06C79"/>
    <w:rsid w:val="00E06E53"/>
    <w:rsid w:val="00E06FBD"/>
    <w:rsid w:val="00E0715F"/>
    <w:rsid w:val="00E074A3"/>
    <w:rsid w:val="00E07965"/>
    <w:rsid w:val="00E07E38"/>
    <w:rsid w:val="00E07EF0"/>
    <w:rsid w:val="00E100EC"/>
    <w:rsid w:val="00E10414"/>
    <w:rsid w:val="00E104F9"/>
    <w:rsid w:val="00E104FA"/>
    <w:rsid w:val="00E1097F"/>
    <w:rsid w:val="00E10DAD"/>
    <w:rsid w:val="00E11267"/>
    <w:rsid w:val="00E11383"/>
    <w:rsid w:val="00E1154E"/>
    <w:rsid w:val="00E1173E"/>
    <w:rsid w:val="00E11855"/>
    <w:rsid w:val="00E118E1"/>
    <w:rsid w:val="00E11CF9"/>
    <w:rsid w:val="00E1211D"/>
    <w:rsid w:val="00E1219D"/>
    <w:rsid w:val="00E122A3"/>
    <w:rsid w:val="00E12528"/>
    <w:rsid w:val="00E12830"/>
    <w:rsid w:val="00E1286B"/>
    <w:rsid w:val="00E12B4F"/>
    <w:rsid w:val="00E12E88"/>
    <w:rsid w:val="00E132C4"/>
    <w:rsid w:val="00E13623"/>
    <w:rsid w:val="00E13640"/>
    <w:rsid w:val="00E13900"/>
    <w:rsid w:val="00E13995"/>
    <w:rsid w:val="00E139FE"/>
    <w:rsid w:val="00E13B0F"/>
    <w:rsid w:val="00E13B31"/>
    <w:rsid w:val="00E13BC7"/>
    <w:rsid w:val="00E13F68"/>
    <w:rsid w:val="00E1406E"/>
    <w:rsid w:val="00E140CC"/>
    <w:rsid w:val="00E1452C"/>
    <w:rsid w:val="00E148F7"/>
    <w:rsid w:val="00E14A2E"/>
    <w:rsid w:val="00E14D6E"/>
    <w:rsid w:val="00E14E79"/>
    <w:rsid w:val="00E1517B"/>
    <w:rsid w:val="00E151C5"/>
    <w:rsid w:val="00E1547C"/>
    <w:rsid w:val="00E15541"/>
    <w:rsid w:val="00E15A6B"/>
    <w:rsid w:val="00E15A8F"/>
    <w:rsid w:val="00E15AD1"/>
    <w:rsid w:val="00E15AE2"/>
    <w:rsid w:val="00E15BF7"/>
    <w:rsid w:val="00E15CF7"/>
    <w:rsid w:val="00E15D51"/>
    <w:rsid w:val="00E15F2A"/>
    <w:rsid w:val="00E1610A"/>
    <w:rsid w:val="00E1616B"/>
    <w:rsid w:val="00E162A8"/>
    <w:rsid w:val="00E162E7"/>
    <w:rsid w:val="00E1658F"/>
    <w:rsid w:val="00E1667F"/>
    <w:rsid w:val="00E16772"/>
    <w:rsid w:val="00E16C62"/>
    <w:rsid w:val="00E16D41"/>
    <w:rsid w:val="00E16D5C"/>
    <w:rsid w:val="00E16D6E"/>
    <w:rsid w:val="00E16D8C"/>
    <w:rsid w:val="00E16F23"/>
    <w:rsid w:val="00E16FA8"/>
    <w:rsid w:val="00E1706E"/>
    <w:rsid w:val="00E1711E"/>
    <w:rsid w:val="00E17201"/>
    <w:rsid w:val="00E1750F"/>
    <w:rsid w:val="00E17548"/>
    <w:rsid w:val="00E17626"/>
    <w:rsid w:val="00E17CF4"/>
    <w:rsid w:val="00E17FD0"/>
    <w:rsid w:val="00E20294"/>
    <w:rsid w:val="00E202C3"/>
    <w:rsid w:val="00E20374"/>
    <w:rsid w:val="00E203F7"/>
    <w:rsid w:val="00E20A22"/>
    <w:rsid w:val="00E20BE8"/>
    <w:rsid w:val="00E20ECC"/>
    <w:rsid w:val="00E210DB"/>
    <w:rsid w:val="00E21191"/>
    <w:rsid w:val="00E211FE"/>
    <w:rsid w:val="00E21233"/>
    <w:rsid w:val="00E21358"/>
    <w:rsid w:val="00E215B6"/>
    <w:rsid w:val="00E21E08"/>
    <w:rsid w:val="00E2243F"/>
    <w:rsid w:val="00E224C8"/>
    <w:rsid w:val="00E22597"/>
    <w:rsid w:val="00E22781"/>
    <w:rsid w:val="00E22865"/>
    <w:rsid w:val="00E228DB"/>
    <w:rsid w:val="00E22C8F"/>
    <w:rsid w:val="00E23108"/>
    <w:rsid w:val="00E231D7"/>
    <w:rsid w:val="00E23213"/>
    <w:rsid w:val="00E23562"/>
    <w:rsid w:val="00E235D0"/>
    <w:rsid w:val="00E2387F"/>
    <w:rsid w:val="00E23904"/>
    <w:rsid w:val="00E23D12"/>
    <w:rsid w:val="00E23E07"/>
    <w:rsid w:val="00E24569"/>
    <w:rsid w:val="00E24580"/>
    <w:rsid w:val="00E24630"/>
    <w:rsid w:val="00E2481C"/>
    <w:rsid w:val="00E248BC"/>
    <w:rsid w:val="00E248F7"/>
    <w:rsid w:val="00E2506C"/>
    <w:rsid w:val="00E252B3"/>
    <w:rsid w:val="00E25511"/>
    <w:rsid w:val="00E2552B"/>
    <w:rsid w:val="00E25548"/>
    <w:rsid w:val="00E25565"/>
    <w:rsid w:val="00E25BF9"/>
    <w:rsid w:val="00E25F1A"/>
    <w:rsid w:val="00E26141"/>
    <w:rsid w:val="00E263CB"/>
    <w:rsid w:val="00E26879"/>
    <w:rsid w:val="00E26903"/>
    <w:rsid w:val="00E26A6E"/>
    <w:rsid w:val="00E26AB9"/>
    <w:rsid w:val="00E26EAA"/>
    <w:rsid w:val="00E272BE"/>
    <w:rsid w:val="00E27404"/>
    <w:rsid w:val="00E2757B"/>
    <w:rsid w:val="00E275C1"/>
    <w:rsid w:val="00E2786E"/>
    <w:rsid w:val="00E278B8"/>
    <w:rsid w:val="00E2790D"/>
    <w:rsid w:val="00E27B17"/>
    <w:rsid w:val="00E27BFF"/>
    <w:rsid w:val="00E27D30"/>
    <w:rsid w:val="00E27D60"/>
    <w:rsid w:val="00E27F59"/>
    <w:rsid w:val="00E27FC2"/>
    <w:rsid w:val="00E3000A"/>
    <w:rsid w:val="00E300E2"/>
    <w:rsid w:val="00E30306"/>
    <w:rsid w:val="00E30375"/>
    <w:rsid w:val="00E304B3"/>
    <w:rsid w:val="00E306D9"/>
    <w:rsid w:val="00E30720"/>
    <w:rsid w:val="00E30C1D"/>
    <w:rsid w:val="00E30C8B"/>
    <w:rsid w:val="00E30D19"/>
    <w:rsid w:val="00E30F06"/>
    <w:rsid w:val="00E30F7B"/>
    <w:rsid w:val="00E31251"/>
    <w:rsid w:val="00E314C9"/>
    <w:rsid w:val="00E31614"/>
    <w:rsid w:val="00E31692"/>
    <w:rsid w:val="00E3185F"/>
    <w:rsid w:val="00E31903"/>
    <w:rsid w:val="00E3191B"/>
    <w:rsid w:val="00E3196D"/>
    <w:rsid w:val="00E31B43"/>
    <w:rsid w:val="00E31F49"/>
    <w:rsid w:val="00E31FB5"/>
    <w:rsid w:val="00E32157"/>
    <w:rsid w:val="00E3218C"/>
    <w:rsid w:val="00E321DC"/>
    <w:rsid w:val="00E32355"/>
    <w:rsid w:val="00E324A3"/>
    <w:rsid w:val="00E324C7"/>
    <w:rsid w:val="00E32AC3"/>
    <w:rsid w:val="00E32B45"/>
    <w:rsid w:val="00E330A1"/>
    <w:rsid w:val="00E33358"/>
    <w:rsid w:val="00E33560"/>
    <w:rsid w:val="00E33E1C"/>
    <w:rsid w:val="00E33E33"/>
    <w:rsid w:val="00E3401A"/>
    <w:rsid w:val="00E340D1"/>
    <w:rsid w:val="00E34104"/>
    <w:rsid w:val="00E341BD"/>
    <w:rsid w:val="00E34228"/>
    <w:rsid w:val="00E343B5"/>
    <w:rsid w:val="00E3440D"/>
    <w:rsid w:val="00E345C8"/>
    <w:rsid w:val="00E34707"/>
    <w:rsid w:val="00E34964"/>
    <w:rsid w:val="00E3496B"/>
    <w:rsid w:val="00E34975"/>
    <w:rsid w:val="00E34A22"/>
    <w:rsid w:val="00E34CBA"/>
    <w:rsid w:val="00E35002"/>
    <w:rsid w:val="00E35099"/>
    <w:rsid w:val="00E3513B"/>
    <w:rsid w:val="00E35224"/>
    <w:rsid w:val="00E35255"/>
    <w:rsid w:val="00E3528D"/>
    <w:rsid w:val="00E3592F"/>
    <w:rsid w:val="00E35BFA"/>
    <w:rsid w:val="00E362AE"/>
    <w:rsid w:val="00E3649F"/>
    <w:rsid w:val="00E366C4"/>
    <w:rsid w:val="00E370AD"/>
    <w:rsid w:val="00E37268"/>
    <w:rsid w:val="00E37336"/>
    <w:rsid w:val="00E374F7"/>
    <w:rsid w:val="00E3756E"/>
    <w:rsid w:val="00E37597"/>
    <w:rsid w:val="00E37817"/>
    <w:rsid w:val="00E37AB5"/>
    <w:rsid w:val="00E37D64"/>
    <w:rsid w:val="00E400A3"/>
    <w:rsid w:val="00E40369"/>
    <w:rsid w:val="00E40B69"/>
    <w:rsid w:val="00E40BC7"/>
    <w:rsid w:val="00E40E97"/>
    <w:rsid w:val="00E413E9"/>
    <w:rsid w:val="00E4173D"/>
    <w:rsid w:val="00E417AB"/>
    <w:rsid w:val="00E41EAA"/>
    <w:rsid w:val="00E41F30"/>
    <w:rsid w:val="00E42102"/>
    <w:rsid w:val="00E422C9"/>
    <w:rsid w:val="00E42545"/>
    <w:rsid w:val="00E429FA"/>
    <w:rsid w:val="00E42C92"/>
    <w:rsid w:val="00E42D7C"/>
    <w:rsid w:val="00E42DBD"/>
    <w:rsid w:val="00E42FFE"/>
    <w:rsid w:val="00E430FC"/>
    <w:rsid w:val="00E43764"/>
    <w:rsid w:val="00E4377A"/>
    <w:rsid w:val="00E439ED"/>
    <w:rsid w:val="00E43B29"/>
    <w:rsid w:val="00E43CB0"/>
    <w:rsid w:val="00E43E61"/>
    <w:rsid w:val="00E440AA"/>
    <w:rsid w:val="00E442BC"/>
    <w:rsid w:val="00E443DC"/>
    <w:rsid w:val="00E44508"/>
    <w:rsid w:val="00E44583"/>
    <w:rsid w:val="00E4477A"/>
    <w:rsid w:val="00E44B37"/>
    <w:rsid w:val="00E44B4C"/>
    <w:rsid w:val="00E44D4F"/>
    <w:rsid w:val="00E451DD"/>
    <w:rsid w:val="00E456C9"/>
    <w:rsid w:val="00E45858"/>
    <w:rsid w:val="00E45937"/>
    <w:rsid w:val="00E459D9"/>
    <w:rsid w:val="00E45AA6"/>
    <w:rsid w:val="00E45C59"/>
    <w:rsid w:val="00E45C5F"/>
    <w:rsid w:val="00E46482"/>
    <w:rsid w:val="00E46830"/>
    <w:rsid w:val="00E46AC5"/>
    <w:rsid w:val="00E46F95"/>
    <w:rsid w:val="00E4705B"/>
    <w:rsid w:val="00E472D9"/>
    <w:rsid w:val="00E4731F"/>
    <w:rsid w:val="00E47411"/>
    <w:rsid w:val="00E474FC"/>
    <w:rsid w:val="00E47648"/>
    <w:rsid w:val="00E47915"/>
    <w:rsid w:val="00E47925"/>
    <w:rsid w:val="00E47D68"/>
    <w:rsid w:val="00E47E20"/>
    <w:rsid w:val="00E4F87D"/>
    <w:rsid w:val="00E5004F"/>
    <w:rsid w:val="00E503A3"/>
    <w:rsid w:val="00E506D8"/>
    <w:rsid w:val="00E50981"/>
    <w:rsid w:val="00E509B9"/>
    <w:rsid w:val="00E50BD4"/>
    <w:rsid w:val="00E51125"/>
    <w:rsid w:val="00E51222"/>
    <w:rsid w:val="00E5145F"/>
    <w:rsid w:val="00E51644"/>
    <w:rsid w:val="00E516A7"/>
    <w:rsid w:val="00E51945"/>
    <w:rsid w:val="00E51B94"/>
    <w:rsid w:val="00E51DCE"/>
    <w:rsid w:val="00E52281"/>
    <w:rsid w:val="00E523DF"/>
    <w:rsid w:val="00E52425"/>
    <w:rsid w:val="00E524D7"/>
    <w:rsid w:val="00E52655"/>
    <w:rsid w:val="00E52737"/>
    <w:rsid w:val="00E52902"/>
    <w:rsid w:val="00E52B09"/>
    <w:rsid w:val="00E52F6B"/>
    <w:rsid w:val="00E530CC"/>
    <w:rsid w:val="00E530E5"/>
    <w:rsid w:val="00E532EC"/>
    <w:rsid w:val="00E538F1"/>
    <w:rsid w:val="00E539E0"/>
    <w:rsid w:val="00E53B29"/>
    <w:rsid w:val="00E53BFD"/>
    <w:rsid w:val="00E53E9C"/>
    <w:rsid w:val="00E54083"/>
    <w:rsid w:val="00E545F7"/>
    <w:rsid w:val="00E54AAF"/>
    <w:rsid w:val="00E54C66"/>
    <w:rsid w:val="00E54DD6"/>
    <w:rsid w:val="00E54E11"/>
    <w:rsid w:val="00E55187"/>
    <w:rsid w:val="00E555AF"/>
    <w:rsid w:val="00E557F9"/>
    <w:rsid w:val="00E55988"/>
    <w:rsid w:val="00E55DAD"/>
    <w:rsid w:val="00E55F67"/>
    <w:rsid w:val="00E56162"/>
    <w:rsid w:val="00E5620B"/>
    <w:rsid w:val="00E564E4"/>
    <w:rsid w:val="00E567FB"/>
    <w:rsid w:val="00E56A0A"/>
    <w:rsid w:val="00E56CD5"/>
    <w:rsid w:val="00E56E54"/>
    <w:rsid w:val="00E56EAC"/>
    <w:rsid w:val="00E56F3C"/>
    <w:rsid w:val="00E5703C"/>
    <w:rsid w:val="00E57086"/>
    <w:rsid w:val="00E57273"/>
    <w:rsid w:val="00E57651"/>
    <w:rsid w:val="00E57965"/>
    <w:rsid w:val="00E579FA"/>
    <w:rsid w:val="00E57D7D"/>
    <w:rsid w:val="00E57FE6"/>
    <w:rsid w:val="00E6004B"/>
    <w:rsid w:val="00E601A9"/>
    <w:rsid w:val="00E6042A"/>
    <w:rsid w:val="00E606A9"/>
    <w:rsid w:val="00E6078F"/>
    <w:rsid w:val="00E60885"/>
    <w:rsid w:val="00E608A8"/>
    <w:rsid w:val="00E60908"/>
    <w:rsid w:val="00E60B8A"/>
    <w:rsid w:val="00E610A0"/>
    <w:rsid w:val="00E61413"/>
    <w:rsid w:val="00E61668"/>
    <w:rsid w:val="00E61B7F"/>
    <w:rsid w:val="00E61BA4"/>
    <w:rsid w:val="00E61CBD"/>
    <w:rsid w:val="00E61D34"/>
    <w:rsid w:val="00E61D77"/>
    <w:rsid w:val="00E61EA8"/>
    <w:rsid w:val="00E61F67"/>
    <w:rsid w:val="00E6219C"/>
    <w:rsid w:val="00E62201"/>
    <w:rsid w:val="00E625BB"/>
    <w:rsid w:val="00E62A4A"/>
    <w:rsid w:val="00E62C8E"/>
    <w:rsid w:val="00E62E2F"/>
    <w:rsid w:val="00E62EA8"/>
    <w:rsid w:val="00E62F62"/>
    <w:rsid w:val="00E62F84"/>
    <w:rsid w:val="00E633B8"/>
    <w:rsid w:val="00E63447"/>
    <w:rsid w:val="00E637BA"/>
    <w:rsid w:val="00E63872"/>
    <w:rsid w:val="00E638BE"/>
    <w:rsid w:val="00E63A6B"/>
    <w:rsid w:val="00E63D1F"/>
    <w:rsid w:val="00E64312"/>
    <w:rsid w:val="00E643F1"/>
    <w:rsid w:val="00E64801"/>
    <w:rsid w:val="00E648BA"/>
    <w:rsid w:val="00E650AF"/>
    <w:rsid w:val="00E650B2"/>
    <w:rsid w:val="00E65135"/>
    <w:rsid w:val="00E65139"/>
    <w:rsid w:val="00E6513F"/>
    <w:rsid w:val="00E652AF"/>
    <w:rsid w:val="00E652BF"/>
    <w:rsid w:val="00E65A96"/>
    <w:rsid w:val="00E65B77"/>
    <w:rsid w:val="00E65F66"/>
    <w:rsid w:val="00E65F90"/>
    <w:rsid w:val="00E6601D"/>
    <w:rsid w:val="00E6601F"/>
    <w:rsid w:val="00E663C1"/>
    <w:rsid w:val="00E663F3"/>
    <w:rsid w:val="00E66402"/>
    <w:rsid w:val="00E6643F"/>
    <w:rsid w:val="00E66645"/>
    <w:rsid w:val="00E66866"/>
    <w:rsid w:val="00E66A74"/>
    <w:rsid w:val="00E66C20"/>
    <w:rsid w:val="00E66C56"/>
    <w:rsid w:val="00E66CC8"/>
    <w:rsid w:val="00E66D22"/>
    <w:rsid w:val="00E66DEE"/>
    <w:rsid w:val="00E671DF"/>
    <w:rsid w:val="00E67243"/>
    <w:rsid w:val="00E67370"/>
    <w:rsid w:val="00E6737F"/>
    <w:rsid w:val="00E673E2"/>
    <w:rsid w:val="00E67426"/>
    <w:rsid w:val="00E675D1"/>
    <w:rsid w:val="00E67855"/>
    <w:rsid w:val="00E678C2"/>
    <w:rsid w:val="00E67A71"/>
    <w:rsid w:val="00E67E56"/>
    <w:rsid w:val="00E67EF8"/>
    <w:rsid w:val="00E69B5B"/>
    <w:rsid w:val="00E701F7"/>
    <w:rsid w:val="00E7038A"/>
    <w:rsid w:val="00E704BE"/>
    <w:rsid w:val="00E7073E"/>
    <w:rsid w:val="00E708A8"/>
    <w:rsid w:val="00E70936"/>
    <w:rsid w:val="00E70C5F"/>
    <w:rsid w:val="00E70CC4"/>
    <w:rsid w:val="00E70D82"/>
    <w:rsid w:val="00E70F0F"/>
    <w:rsid w:val="00E70F26"/>
    <w:rsid w:val="00E70F39"/>
    <w:rsid w:val="00E71944"/>
    <w:rsid w:val="00E71B91"/>
    <w:rsid w:val="00E71C6D"/>
    <w:rsid w:val="00E71C91"/>
    <w:rsid w:val="00E71F1E"/>
    <w:rsid w:val="00E72087"/>
    <w:rsid w:val="00E72178"/>
    <w:rsid w:val="00E7221C"/>
    <w:rsid w:val="00E7225D"/>
    <w:rsid w:val="00E723B6"/>
    <w:rsid w:val="00E726C9"/>
    <w:rsid w:val="00E72C0C"/>
    <w:rsid w:val="00E72DA0"/>
    <w:rsid w:val="00E72E4B"/>
    <w:rsid w:val="00E73198"/>
    <w:rsid w:val="00E731E4"/>
    <w:rsid w:val="00E73232"/>
    <w:rsid w:val="00E73745"/>
    <w:rsid w:val="00E73EFE"/>
    <w:rsid w:val="00E742A4"/>
    <w:rsid w:val="00E74631"/>
    <w:rsid w:val="00E749BE"/>
    <w:rsid w:val="00E74A99"/>
    <w:rsid w:val="00E7512E"/>
    <w:rsid w:val="00E7579C"/>
    <w:rsid w:val="00E75A5B"/>
    <w:rsid w:val="00E75D33"/>
    <w:rsid w:val="00E75EFA"/>
    <w:rsid w:val="00E75F55"/>
    <w:rsid w:val="00E762F6"/>
    <w:rsid w:val="00E769EC"/>
    <w:rsid w:val="00E76C23"/>
    <w:rsid w:val="00E76ED5"/>
    <w:rsid w:val="00E76FA0"/>
    <w:rsid w:val="00E7702C"/>
    <w:rsid w:val="00E770CB"/>
    <w:rsid w:val="00E7714B"/>
    <w:rsid w:val="00E77186"/>
    <w:rsid w:val="00E772A9"/>
    <w:rsid w:val="00E77539"/>
    <w:rsid w:val="00E778B0"/>
    <w:rsid w:val="00E77AAC"/>
    <w:rsid w:val="00E77AD7"/>
    <w:rsid w:val="00E801E9"/>
    <w:rsid w:val="00E802F8"/>
    <w:rsid w:val="00E803F8"/>
    <w:rsid w:val="00E804E2"/>
    <w:rsid w:val="00E80A9F"/>
    <w:rsid w:val="00E80DF7"/>
    <w:rsid w:val="00E80E43"/>
    <w:rsid w:val="00E80F69"/>
    <w:rsid w:val="00E81175"/>
    <w:rsid w:val="00E813A2"/>
    <w:rsid w:val="00E8157F"/>
    <w:rsid w:val="00E8175D"/>
    <w:rsid w:val="00E81BDF"/>
    <w:rsid w:val="00E81CB6"/>
    <w:rsid w:val="00E81E3B"/>
    <w:rsid w:val="00E820B2"/>
    <w:rsid w:val="00E826DC"/>
    <w:rsid w:val="00E83058"/>
    <w:rsid w:val="00E8357C"/>
    <w:rsid w:val="00E83660"/>
    <w:rsid w:val="00E83C29"/>
    <w:rsid w:val="00E83E55"/>
    <w:rsid w:val="00E842A2"/>
    <w:rsid w:val="00E847AD"/>
    <w:rsid w:val="00E847ED"/>
    <w:rsid w:val="00E84851"/>
    <w:rsid w:val="00E84B2C"/>
    <w:rsid w:val="00E84B4B"/>
    <w:rsid w:val="00E84C00"/>
    <w:rsid w:val="00E84C63"/>
    <w:rsid w:val="00E84C70"/>
    <w:rsid w:val="00E84CA7"/>
    <w:rsid w:val="00E84DCD"/>
    <w:rsid w:val="00E8516E"/>
    <w:rsid w:val="00E85241"/>
    <w:rsid w:val="00E85282"/>
    <w:rsid w:val="00E8530F"/>
    <w:rsid w:val="00E853B8"/>
    <w:rsid w:val="00E857D8"/>
    <w:rsid w:val="00E85929"/>
    <w:rsid w:val="00E8599B"/>
    <w:rsid w:val="00E859A4"/>
    <w:rsid w:val="00E85F84"/>
    <w:rsid w:val="00E860AA"/>
    <w:rsid w:val="00E860B9"/>
    <w:rsid w:val="00E860F7"/>
    <w:rsid w:val="00E8610C"/>
    <w:rsid w:val="00E863A7"/>
    <w:rsid w:val="00E865FE"/>
    <w:rsid w:val="00E866A9"/>
    <w:rsid w:val="00E86976"/>
    <w:rsid w:val="00E86EE1"/>
    <w:rsid w:val="00E871E1"/>
    <w:rsid w:val="00E874D2"/>
    <w:rsid w:val="00E87566"/>
    <w:rsid w:val="00E87593"/>
    <w:rsid w:val="00E87631"/>
    <w:rsid w:val="00E876B5"/>
    <w:rsid w:val="00E87AE5"/>
    <w:rsid w:val="00E87C28"/>
    <w:rsid w:val="00E90096"/>
    <w:rsid w:val="00E9018B"/>
    <w:rsid w:val="00E901F6"/>
    <w:rsid w:val="00E90437"/>
    <w:rsid w:val="00E90676"/>
    <w:rsid w:val="00E9083E"/>
    <w:rsid w:val="00E90B0D"/>
    <w:rsid w:val="00E90B8F"/>
    <w:rsid w:val="00E90EA5"/>
    <w:rsid w:val="00E90FE1"/>
    <w:rsid w:val="00E91230"/>
    <w:rsid w:val="00E91242"/>
    <w:rsid w:val="00E9186A"/>
    <w:rsid w:val="00E91871"/>
    <w:rsid w:val="00E91D1C"/>
    <w:rsid w:val="00E91D80"/>
    <w:rsid w:val="00E91E14"/>
    <w:rsid w:val="00E9220C"/>
    <w:rsid w:val="00E92994"/>
    <w:rsid w:val="00E92C52"/>
    <w:rsid w:val="00E92FBE"/>
    <w:rsid w:val="00E93005"/>
    <w:rsid w:val="00E9368B"/>
    <w:rsid w:val="00E93A79"/>
    <w:rsid w:val="00E93E04"/>
    <w:rsid w:val="00E93EF1"/>
    <w:rsid w:val="00E93F26"/>
    <w:rsid w:val="00E94669"/>
    <w:rsid w:val="00E94910"/>
    <w:rsid w:val="00E94B5D"/>
    <w:rsid w:val="00E94EA1"/>
    <w:rsid w:val="00E950B7"/>
    <w:rsid w:val="00E950FB"/>
    <w:rsid w:val="00E953FC"/>
    <w:rsid w:val="00E95B01"/>
    <w:rsid w:val="00E95B1B"/>
    <w:rsid w:val="00E95C43"/>
    <w:rsid w:val="00E95DA7"/>
    <w:rsid w:val="00E95DEA"/>
    <w:rsid w:val="00E9618F"/>
    <w:rsid w:val="00E96AC0"/>
    <w:rsid w:val="00E96BCF"/>
    <w:rsid w:val="00E96C0F"/>
    <w:rsid w:val="00E96CCA"/>
    <w:rsid w:val="00E9723C"/>
    <w:rsid w:val="00E97591"/>
    <w:rsid w:val="00E97621"/>
    <w:rsid w:val="00E97A93"/>
    <w:rsid w:val="00E97B72"/>
    <w:rsid w:val="00EA02DF"/>
    <w:rsid w:val="00EA05CA"/>
    <w:rsid w:val="00EA069E"/>
    <w:rsid w:val="00EA06B4"/>
    <w:rsid w:val="00EA0A9A"/>
    <w:rsid w:val="00EA111C"/>
    <w:rsid w:val="00EA12B3"/>
    <w:rsid w:val="00EA1EFA"/>
    <w:rsid w:val="00EA2017"/>
    <w:rsid w:val="00EA20DB"/>
    <w:rsid w:val="00EA224B"/>
    <w:rsid w:val="00EA2576"/>
    <w:rsid w:val="00EA2601"/>
    <w:rsid w:val="00EA275A"/>
    <w:rsid w:val="00EA27AA"/>
    <w:rsid w:val="00EA28CA"/>
    <w:rsid w:val="00EA2961"/>
    <w:rsid w:val="00EA2962"/>
    <w:rsid w:val="00EA2AD9"/>
    <w:rsid w:val="00EA2BB7"/>
    <w:rsid w:val="00EA2C2E"/>
    <w:rsid w:val="00EA2CAD"/>
    <w:rsid w:val="00EA3290"/>
    <w:rsid w:val="00EA3727"/>
    <w:rsid w:val="00EA38B1"/>
    <w:rsid w:val="00EA3DB1"/>
    <w:rsid w:val="00EA45F1"/>
    <w:rsid w:val="00EA4A34"/>
    <w:rsid w:val="00EA4ADA"/>
    <w:rsid w:val="00EA4AF8"/>
    <w:rsid w:val="00EA4B18"/>
    <w:rsid w:val="00EA4C82"/>
    <w:rsid w:val="00EA4E8B"/>
    <w:rsid w:val="00EA4F8A"/>
    <w:rsid w:val="00EA4FAE"/>
    <w:rsid w:val="00EA5385"/>
    <w:rsid w:val="00EA53A5"/>
    <w:rsid w:val="00EA59A6"/>
    <w:rsid w:val="00EA5A22"/>
    <w:rsid w:val="00EA5AFD"/>
    <w:rsid w:val="00EA5B72"/>
    <w:rsid w:val="00EA5BB7"/>
    <w:rsid w:val="00EA5EC5"/>
    <w:rsid w:val="00EA60DD"/>
    <w:rsid w:val="00EA61CA"/>
    <w:rsid w:val="00EA61D9"/>
    <w:rsid w:val="00EA6455"/>
    <w:rsid w:val="00EA65A1"/>
    <w:rsid w:val="00EA6AA6"/>
    <w:rsid w:val="00EA6BA9"/>
    <w:rsid w:val="00EA77BA"/>
    <w:rsid w:val="00EA7AFA"/>
    <w:rsid w:val="00EA7B47"/>
    <w:rsid w:val="00EA7C0A"/>
    <w:rsid w:val="00EA7F9A"/>
    <w:rsid w:val="00EAC2CF"/>
    <w:rsid w:val="00EB038B"/>
    <w:rsid w:val="00EB03BF"/>
    <w:rsid w:val="00EB04FE"/>
    <w:rsid w:val="00EB08E7"/>
    <w:rsid w:val="00EB0E79"/>
    <w:rsid w:val="00EB1207"/>
    <w:rsid w:val="00EB184D"/>
    <w:rsid w:val="00EB1BC6"/>
    <w:rsid w:val="00EB1DD3"/>
    <w:rsid w:val="00EB1EB5"/>
    <w:rsid w:val="00EB1EE4"/>
    <w:rsid w:val="00EB1EF5"/>
    <w:rsid w:val="00EB1F7C"/>
    <w:rsid w:val="00EB2017"/>
    <w:rsid w:val="00EB20FC"/>
    <w:rsid w:val="00EB237E"/>
    <w:rsid w:val="00EB27A7"/>
    <w:rsid w:val="00EB3057"/>
    <w:rsid w:val="00EB34FD"/>
    <w:rsid w:val="00EB3565"/>
    <w:rsid w:val="00EB35A2"/>
    <w:rsid w:val="00EB3820"/>
    <w:rsid w:val="00EB3917"/>
    <w:rsid w:val="00EB39FB"/>
    <w:rsid w:val="00EB3A41"/>
    <w:rsid w:val="00EB3A74"/>
    <w:rsid w:val="00EB4006"/>
    <w:rsid w:val="00EB41BA"/>
    <w:rsid w:val="00EB45F9"/>
    <w:rsid w:val="00EB5205"/>
    <w:rsid w:val="00EB52DE"/>
    <w:rsid w:val="00EB5479"/>
    <w:rsid w:val="00EB5673"/>
    <w:rsid w:val="00EB5E4A"/>
    <w:rsid w:val="00EB5E59"/>
    <w:rsid w:val="00EB6065"/>
    <w:rsid w:val="00EB61D2"/>
    <w:rsid w:val="00EB62A6"/>
    <w:rsid w:val="00EB6455"/>
    <w:rsid w:val="00EB65FB"/>
    <w:rsid w:val="00EB6AB5"/>
    <w:rsid w:val="00EB6CB5"/>
    <w:rsid w:val="00EB6E56"/>
    <w:rsid w:val="00EB6F51"/>
    <w:rsid w:val="00EB6F67"/>
    <w:rsid w:val="00EB71DD"/>
    <w:rsid w:val="00EB724B"/>
    <w:rsid w:val="00EB72E2"/>
    <w:rsid w:val="00EB76BB"/>
    <w:rsid w:val="00EB77E4"/>
    <w:rsid w:val="00EB78FA"/>
    <w:rsid w:val="00EB7A8B"/>
    <w:rsid w:val="00EB7DB7"/>
    <w:rsid w:val="00EB7FD9"/>
    <w:rsid w:val="00EC02A5"/>
    <w:rsid w:val="00EC0626"/>
    <w:rsid w:val="00EC0627"/>
    <w:rsid w:val="00EC0C55"/>
    <w:rsid w:val="00EC1230"/>
    <w:rsid w:val="00EC1AA4"/>
    <w:rsid w:val="00EC1ACA"/>
    <w:rsid w:val="00EC1EB0"/>
    <w:rsid w:val="00EC224F"/>
    <w:rsid w:val="00EC267E"/>
    <w:rsid w:val="00EC278D"/>
    <w:rsid w:val="00EC27D4"/>
    <w:rsid w:val="00EC2B0F"/>
    <w:rsid w:val="00EC2B7C"/>
    <w:rsid w:val="00EC2BFB"/>
    <w:rsid w:val="00EC2E74"/>
    <w:rsid w:val="00EC2E84"/>
    <w:rsid w:val="00EC2F12"/>
    <w:rsid w:val="00EC2F39"/>
    <w:rsid w:val="00EC312A"/>
    <w:rsid w:val="00EC3227"/>
    <w:rsid w:val="00EC3465"/>
    <w:rsid w:val="00EC3572"/>
    <w:rsid w:val="00EC35A6"/>
    <w:rsid w:val="00EC3710"/>
    <w:rsid w:val="00EC3973"/>
    <w:rsid w:val="00EC3A7E"/>
    <w:rsid w:val="00EC3C71"/>
    <w:rsid w:val="00EC3D64"/>
    <w:rsid w:val="00EC3E31"/>
    <w:rsid w:val="00EC3F29"/>
    <w:rsid w:val="00EC4051"/>
    <w:rsid w:val="00EC429E"/>
    <w:rsid w:val="00EC4456"/>
    <w:rsid w:val="00EC4F5E"/>
    <w:rsid w:val="00EC533B"/>
    <w:rsid w:val="00EC55AF"/>
    <w:rsid w:val="00EC561F"/>
    <w:rsid w:val="00EC5BE6"/>
    <w:rsid w:val="00EC5CC3"/>
    <w:rsid w:val="00EC5CE7"/>
    <w:rsid w:val="00EC5DC4"/>
    <w:rsid w:val="00EC62CC"/>
    <w:rsid w:val="00EC6350"/>
    <w:rsid w:val="00EC6367"/>
    <w:rsid w:val="00EC65D1"/>
    <w:rsid w:val="00EC6653"/>
    <w:rsid w:val="00EC6722"/>
    <w:rsid w:val="00EC6A74"/>
    <w:rsid w:val="00EC6B8F"/>
    <w:rsid w:val="00EC6E25"/>
    <w:rsid w:val="00EC6ECE"/>
    <w:rsid w:val="00EC6FC1"/>
    <w:rsid w:val="00EC7317"/>
    <w:rsid w:val="00EC77BB"/>
    <w:rsid w:val="00EC78E7"/>
    <w:rsid w:val="00EC7B38"/>
    <w:rsid w:val="00EC7B86"/>
    <w:rsid w:val="00EC7BA9"/>
    <w:rsid w:val="00EC7BD1"/>
    <w:rsid w:val="00EC7C79"/>
    <w:rsid w:val="00EC7CA2"/>
    <w:rsid w:val="00EC7E5E"/>
    <w:rsid w:val="00EC7ECF"/>
    <w:rsid w:val="00EC7EE5"/>
    <w:rsid w:val="00ED0789"/>
    <w:rsid w:val="00ED07EE"/>
    <w:rsid w:val="00ED082F"/>
    <w:rsid w:val="00ED0884"/>
    <w:rsid w:val="00ED0B5D"/>
    <w:rsid w:val="00ED0DDC"/>
    <w:rsid w:val="00ED16F7"/>
    <w:rsid w:val="00ED17EC"/>
    <w:rsid w:val="00ED1813"/>
    <w:rsid w:val="00ED1A53"/>
    <w:rsid w:val="00ED2135"/>
    <w:rsid w:val="00ED21E1"/>
    <w:rsid w:val="00ED2286"/>
    <w:rsid w:val="00ED23F7"/>
    <w:rsid w:val="00ED24E0"/>
    <w:rsid w:val="00ED2965"/>
    <w:rsid w:val="00ED296B"/>
    <w:rsid w:val="00ED29D8"/>
    <w:rsid w:val="00ED2CA5"/>
    <w:rsid w:val="00ED2DBC"/>
    <w:rsid w:val="00ED3313"/>
    <w:rsid w:val="00ED3613"/>
    <w:rsid w:val="00ED378D"/>
    <w:rsid w:val="00ED3BB6"/>
    <w:rsid w:val="00ED3BDF"/>
    <w:rsid w:val="00ED3C37"/>
    <w:rsid w:val="00ED3E3E"/>
    <w:rsid w:val="00ED3EC5"/>
    <w:rsid w:val="00ED3ECF"/>
    <w:rsid w:val="00ED40BE"/>
    <w:rsid w:val="00ED4379"/>
    <w:rsid w:val="00ED48DF"/>
    <w:rsid w:val="00ED4B84"/>
    <w:rsid w:val="00ED4BA8"/>
    <w:rsid w:val="00ED4BF8"/>
    <w:rsid w:val="00ED4D94"/>
    <w:rsid w:val="00ED4F28"/>
    <w:rsid w:val="00ED4F61"/>
    <w:rsid w:val="00ED5004"/>
    <w:rsid w:val="00ED5160"/>
    <w:rsid w:val="00ED54D1"/>
    <w:rsid w:val="00ED554E"/>
    <w:rsid w:val="00ED559B"/>
    <w:rsid w:val="00ED5792"/>
    <w:rsid w:val="00ED5D4B"/>
    <w:rsid w:val="00ED5DCE"/>
    <w:rsid w:val="00ED5E1B"/>
    <w:rsid w:val="00ED5EC1"/>
    <w:rsid w:val="00ED6014"/>
    <w:rsid w:val="00ED6274"/>
    <w:rsid w:val="00ED652C"/>
    <w:rsid w:val="00ED6861"/>
    <w:rsid w:val="00ED6F15"/>
    <w:rsid w:val="00ED7012"/>
    <w:rsid w:val="00ED701A"/>
    <w:rsid w:val="00ED7234"/>
    <w:rsid w:val="00ED7258"/>
    <w:rsid w:val="00ED72CE"/>
    <w:rsid w:val="00ED7475"/>
    <w:rsid w:val="00ED74D5"/>
    <w:rsid w:val="00ED75E9"/>
    <w:rsid w:val="00ED76D1"/>
    <w:rsid w:val="00ED7FC5"/>
    <w:rsid w:val="00EDECCE"/>
    <w:rsid w:val="00EE041B"/>
    <w:rsid w:val="00EE0CE8"/>
    <w:rsid w:val="00EE0FF8"/>
    <w:rsid w:val="00EE1436"/>
    <w:rsid w:val="00EE17E3"/>
    <w:rsid w:val="00EE19AF"/>
    <w:rsid w:val="00EE1EDA"/>
    <w:rsid w:val="00EE2304"/>
    <w:rsid w:val="00EE23C7"/>
    <w:rsid w:val="00EE255A"/>
    <w:rsid w:val="00EE25BD"/>
    <w:rsid w:val="00EE26F2"/>
    <w:rsid w:val="00EE2820"/>
    <w:rsid w:val="00EE2AC4"/>
    <w:rsid w:val="00EE2BEB"/>
    <w:rsid w:val="00EE2D44"/>
    <w:rsid w:val="00EE39EA"/>
    <w:rsid w:val="00EE3C4F"/>
    <w:rsid w:val="00EE3CDE"/>
    <w:rsid w:val="00EE3DF4"/>
    <w:rsid w:val="00EE3E8E"/>
    <w:rsid w:val="00EE3F07"/>
    <w:rsid w:val="00EE4168"/>
    <w:rsid w:val="00EE488A"/>
    <w:rsid w:val="00EE517D"/>
    <w:rsid w:val="00EE520A"/>
    <w:rsid w:val="00EE5381"/>
    <w:rsid w:val="00EE53F9"/>
    <w:rsid w:val="00EE54EC"/>
    <w:rsid w:val="00EE564C"/>
    <w:rsid w:val="00EE5A14"/>
    <w:rsid w:val="00EE5BB7"/>
    <w:rsid w:val="00EE603C"/>
    <w:rsid w:val="00EE6061"/>
    <w:rsid w:val="00EE615A"/>
    <w:rsid w:val="00EE6168"/>
    <w:rsid w:val="00EE61C6"/>
    <w:rsid w:val="00EE6255"/>
    <w:rsid w:val="00EE628E"/>
    <w:rsid w:val="00EE65D7"/>
    <w:rsid w:val="00EE6D1A"/>
    <w:rsid w:val="00EE703B"/>
    <w:rsid w:val="00EE765C"/>
    <w:rsid w:val="00EE77AA"/>
    <w:rsid w:val="00EE77C3"/>
    <w:rsid w:val="00EE7997"/>
    <w:rsid w:val="00EE7A48"/>
    <w:rsid w:val="00EE7D13"/>
    <w:rsid w:val="00EF04D8"/>
    <w:rsid w:val="00EF06C3"/>
    <w:rsid w:val="00EF0A91"/>
    <w:rsid w:val="00EF0AA3"/>
    <w:rsid w:val="00EF0D6F"/>
    <w:rsid w:val="00EF0F8D"/>
    <w:rsid w:val="00EF1053"/>
    <w:rsid w:val="00EF1122"/>
    <w:rsid w:val="00EF115F"/>
    <w:rsid w:val="00EF12D0"/>
    <w:rsid w:val="00EF1448"/>
    <w:rsid w:val="00EF15F7"/>
    <w:rsid w:val="00EF1BBD"/>
    <w:rsid w:val="00EF1C78"/>
    <w:rsid w:val="00EF1E1B"/>
    <w:rsid w:val="00EF1EA0"/>
    <w:rsid w:val="00EF2300"/>
    <w:rsid w:val="00EF23E3"/>
    <w:rsid w:val="00EF26F0"/>
    <w:rsid w:val="00EF2871"/>
    <w:rsid w:val="00EF287A"/>
    <w:rsid w:val="00EF29A7"/>
    <w:rsid w:val="00EF2B43"/>
    <w:rsid w:val="00EF2BD0"/>
    <w:rsid w:val="00EF2DC4"/>
    <w:rsid w:val="00EF372B"/>
    <w:rsid w:val="00EF37B9"/>
    <w:rsid w:val="00EF3904"/>
    <w:rsid w:val="00EF3C1D"/>
    <w:rsid w:val="00EF3CB3"/>
    <w:rsid w:val="00EF3D05"/>
    <w:rsid w:val="00EF3FF6"/>
    <w:rsid w:val="00EF4152"/>
    <w:rsid w:val="00EF4180"/>
    <w:rsid w:val="00EF4191"/>
    <w:rsid w:val="00EF4238"/>
    <w:rsid w:val="00EF4240"/>
    <w:rsid w:val="00EF425C"/>
    <w:rsid w:val="00EF4661"/>
    <w:rsid w:val="00EF4764"/>
    <w:rsid w:val="00EF4CA0"/>
    <w:rsid w:val="00EF4EA5"/>
    <w:rsid w:val="00EF52DA"/>
    <w:rsid w:val="00EF53AA"/>
    <w:rsid w:val="00EF542B"/>
    <w:rsid w:val="00EF57E1"/>
    <w:rsid w:val="00EF58BE"/>
    <w:rsid w:val="00EF596A"/>
    <w:rsid w:val="00EF5B7A"/>
    <w:rsid w:val="00EF5F0F"/>
    <w:rsid w:val="00EF5F51"/>
    <w:rsid w:val="00EF668D"/>
    <w:rsid w:val="00EF6748"/>
    <w:rsid w:val="00EF6753"/>
    <w:rsid w:val="00EF6773"/>
    <w:rsid w:val="00EF6CD3"/>
    <w:rsid w:val="00EF6D23"/>
    <w:rsid w:val="00EF6E1F"/>
    <w:rsid w:val="00EF7712"/>
    <w:rsid w:val="00EF779B"/>
    <w:rsid w:val="00EF7AD7"/>
    <w:rsid w:val="00EF7CC9"/>
    <w:rsid w:val="00EF7D29"/>
    <w:rsid w:val="00F00132"/>
    <w:rsid w:val="00F0080B"/>
    <w:rsid w:val="00F008D6"/>
    <w:rsid w:val="00F0090D"/>
    <w:rsid w:val="00F00E6B"/>
    <w:rsid w:val="00F01064"/>
    <w:rsid w:val="00F010EE"/>
    <w:rsid w:val="00F01140"/>
    <w:rsid w:val="00F01E1E"/>
    <w:rsid w:val="00F01E2A"/>
    <w:rsid w:val="00F01F78"/>
    <w:rsid w:val="00F02393"/>
    <w:rsid w:val="00F02671"/>
    <w:rsid w:val="00F026B8"/>
    <w:rsid w:val="00F028E5"/>
    <w:rsid w:val="00F029C9"/>
    <w:rsid w:val="00F02C24"/>
    <w:rsid w:val="00F02DDB"/>
    <w:rsid w:val="00F03207"/>
    <w:rsid w:val="00F033F0"/>
    <w:rsid w:val="00F03401"/>
    <w:rsid w:val="00F0347E"/>
    <w:rsid w:val="00F0376D"/>
    <w:rsid w:val="00F03F29"/>
    <w:rsid w:val="00F03F86"/>
    <w:rsid w:val="00F03FC1"/>
    <w:rsid w:val="00F04397"/>
    <w:rsid w:val="00F043CD"/>
    <w:rsid w:val="00F043E5"/>
    <w:rsid w:val="00F0478D"/>
    <w:rsid w:val="00F04887"/>
    <w:rsid w:val="00F048C9"/>
    <w:rsid w:val="00F04ADD"/>
    <w:rsid w:val="00F04C1F"/>
    <w:rsid w:val="00F054B3"/>
    <w:rsid w:val="00F054FD"/>
    <w:rsid w:val="00F05527"/>
    <w:rsid w:val="00F05658"/>
    <w:rsid w:val="00F0587E"/>
    <w:rsid w:val="00F05AAA"/>
    <w:rsid w:val="00F0616C"/>
    <w:rsid w:val="00F061CF"/>
    <w:rsid w:val="00F062DA"/>
    <w:rsid w:val="00F062E0"/>
    <w:rsid w:val="00F0650B"/>
    <w:rsid w:val="00F06B40"/>
    <w:rsid w:val="00F07088"/>
    <w:rsid w:val="00F07279"/>
    <w:rsid w:val="00F0745C"/>
    <w:rsid w:val="00F074A7"/>
    <w:rsid w:val="00F07544"/>
    <w:rsid w:val="00F07565"/>
    <w:rsid w:val="00F075CF"/>
    <w:rsid w:val="00F07C17"/>
    <w:rsid w:val="00F07CEA"/>
    <w:rsid w:val="00F100F1"/>
    <w:rsid w:val="00F1020B"/>
    <w:rsid w:val="00F10264"/>
    <w:rsid w:val="00F103EF"/>
    <w:rsid w:val="00F104E1"/>
    <w:rsid w:val="00F105EE"/>
    <w:rsid w:val="00F10A84"/>
    <w:rsid w:val="00F10BA3"/>
    <w:rsid w:val="00F10C7B"/>
    <w:rsid w:val="00F1100A"/>
    <w:rsid w:val="00F1116A"/>
    <w:rsid w:val="00F1125C"/>
    <w:rsid w:val="00F114BD"/>
    <w:rsid w:val="00F11533"/>
    <w:rsid w:val="00F115E5"/>
    <w:rsid w:val="00F1169B"/>
    <w:rsid w:val="00F116D8"/>
    <w:rsid w:val="00F11932"/>
    <w:rsid w:val="00F11D48"/>
    <w:rsid w:val="00F11F03"/>
    <w:rsid w:val="00F1205A"/>
    <w:rsid w:val="00F120CD"/>
    <w:rsid w:val="00F1229C"/>
    <w:rsid w:val="00F122A3"/>
    <w:rsid w:val="00F1274C"/>
    <w:rsid w:val="00F12B7D"/>
    <w:rsid w:val="00F12BD5"/>
    <w:rsid w:val="00F12C0A"/>
    <w:rsid w:val="00F1314C"/>
    <w:rsid w:val="00F1320F"/>
    <w:rsid w:val="00F134F9"/>
    <w:rsid w:val="00F13576"/>
    <w:rsid w:val="00F13655"/>
    <w:rsid w:val="00F13794"/>
    <w:rsid w:val="00F139D7"/>
    <w:rsid w:val="00F13ACC"/>
    <w:rsid w:val="00F13DAD"/>
    <w:rsid w:val="00F13E9D"/>
    <w:rsid w:val="00F13F03"/>
    <w:rsid w:val="00F13F40"/>
    <w:rsid w:val="00F13FD5"/>
    <w:rsid w:val="00F14116"/>
    <w:rsid w:val="00F1470C"/>
    <w:rsid w:val="00F1480C"/>
    <w:rsid w:val="00F14C00"/>
    <w:rsid w:val="00F14CFE"/>
    <w:rsid w:val="00F14EAE"/>
    <w:rsid w:val="00F14EDD"/>
    <w:rsid w:val="00F151BD"/>
    <w:rsid w:val="00F15587"/>
    <w:rsid w:val="00F155BB"/>
    <w:rsid w:val="00F15875"/>
    <w:rsid w:val="00F1592E"/>
    <w:rsid w:val="00F1597A"/>
    <w:rsid w:val="00F15CB8"/>
    <w:rsid w:val="00F15F75"/>
    <w:rsid w:val="00F163DE"/>
    <w:rsid w:val="00F16415"/>
    <w:rsid w:val="00F16435"/>
    <w:rsid w:val="00F16F6A"/>
    <w:rsid w:val="00F176AE"/>
    <w:rsid w:val="00F17D59"/>
    <w:rsid w:val="00F17DB4"/>
    <w:rsid w:val="00F17DFE"/>
    <w:rsid w:val="00F17F4D"/>
    <w:rsid w:val="00F20135"/>
    <w:rsid w:val="00F2044B"/>
    <w:rsid w:val="00F20530"/>
    <w:rsid w:val="00F209EA"/>
    <w:rsid w:val="00F20FC1"/>
    <w:rsid w:val="00F212A1"/>
    <w:rsid w:val="00F21332"/>
    <w:rsid w:val="00F21A97"/>
    <w:rsid w:val="00F21AC9"/>
    <w:rsid w:val="00F21B94"/>
    <w:rsid w:val="00F22170"/>
    <w:rsid w:val="00F2231B"/>
    <w:rsid w:val="00F22477"/>
    <w:rsid w:val="00F228E2"/>
    <w:rsid w:val="00F228EC"/>
    <w:rsid w:val="00F22BEF"/>
    <w:rsid w:val="00F22DC9"/>
    <w:rsid w:val="00F22F89"/>
    <w:rsid w:val="00F22FC5"/>
    <w:rsid w:val="00F2303A"/>
    <w:rsid w:val="00F2352F"/>
    <w:rsid w:val="00F236F8"/>
    <w:rsid w:val="00F237CC"/>
    <w:rsid w:val="00F238BE"/>
    <w:rsid w:val="00F23A80"/>
    <w:rsid w:val="00F23CB6"/>
    <w:rsid w:val="00F23E09"/>
    <w:rsid w:val="00F24072"/>
    <w:rsid w:val="00F24266"/>
    <w:rsid w:val="00F24534"/>
    <w:rsid w:val="00F2459B"/>
    <w:rsid w:val="00F24868"/>
    <w:rsid w:val="00F24C83"/>
    <w:rsid w:val="00F24DAB"/>
    <w:rsid w:val="00F250F8"/>
    <w:rsid w:val="00F25258"/>
    <w:rsid w:val="00F2546A"/>
    <w:rsid w:val="00F25722"/>
    <w:rsid w:val="00F25E88"/>
    <w:rsid w:val="00F25FA5"/>
    <w:rsid w:val="00F26033"/>
    <w:rsid w:val="00F261DC"/>
    <w:rsid w:val="00F2621E"/>
    <w:rsid w:val="00F26402"/>
    <w:rsid w:val="00F264FF"/>
    <w:rsid w:val="00F2676F"/>
    <w:rsid w:val="00F267BF"/>
    <w:rsid w:val="00F26BC6"/>
    <w:rsid w:val="00F26D88"/>
    <w:rsid w:val="00F273CB"/>
    <w:rsid w:val="00F2741D"/>
    <w:rsid w:val="00F27423"/>
    <w:rsid w:val="00F27490"/>
    <w:rsid w:val="00F2769C"/>
    <w:rsid w:val="00F2786C"/>
    <w:rsid w:val="00F27B32"/>
    <w:rsid w:val="00F27CBC"/>
    <w:rsid w:val="00F27D07"/>
    <w:rsid w:val="00F30033"/>
    <w:rsid w:val="00F30188"/>
    <w:rsid w:val="00F30296"/>
    <w:rsid w:val="00F302EE"/>
    <w:rsid w:val="00F3039F"/>
    <w:rsid w:val="00F30420"/>
    <w:rsid w:val="00F304D9"/>
    <w:rsid w:val="00F30595"/>
    <w:rsid w:val="00F3064B"/>
    <w:rsid w:val="00F30B4C"/>
    <w:rsid w:val="00F30C8A"/>
    <w:rsid w:val="00F30D82"/>
    <w:rsid w:val="00F30F7A"/>
    <w:rsid w:val="00F31120"/>
    <w:rsid w:val="00F313A1"/>
    <w:rsid w:val="00F313C1"/>
    <w:rsid w:val="00F313D1"/>
    <w:rsid w:val="00F317E6"/>
    <w:rsid w:val="00F319BB"/>
    <w:rsid w:val="00F31E35"/>
    <w:rsid w:val="00F31E38"/>
    <w:rsid w:val="00F32002"/>
    <w:rsid w:val="00F32104"/>
    <w:rsid w:val="00F321F1"/>
    <w:rsid w:val="00F323B3"/>
    <w:rsid w:val="00F32490"/>
    <w:rsid w:val="00F327F6"/>
    <w:rsid w:val="00F32869"/>
    <w:rsid w:val="00F32882"/>
    <w:rsid w:val="00F3307A"/>
    <w:rsid w:val="00F33388"/>
    <w:rsid w:val="00F334A3"/>
    <w:rsid w:val="00F33865"/>
    <w:rsid w:val="00F338D0"/>
    <w:rsid w:val="00F33D39"/>
    <w:rsid w:val="00F33EE8"/>
    <w:rsid w:val="00F340B4"/>
    <w:rsid w:val="00F3432E"/>
    <w:rsid w:val="00F3455D"/>
    <w:rsid w:val="00F34A12"/>
    <w:rsid w:val="00F34BB5"/>
    <w:rsid w:val="00F350DE"/>
    <w:rsid w:val="00F35335"/>
    <w:rsid w:val="00F35438"/>
    <w:rsid w:val="00F3584A"/>
    <w:rsid w:val="00F359E4"/>
    <w:rsid w:val="00F35A34"/>
    <w:rsid w:val="00F35B8B"/>
    <w:rsid w:val="00F35FE0"/>
    <w:rsid w:val="00F36025"/>
    <w:rsid w:val="00F360D5"/>
    <w:rsid w:val="00F360F3"/>
    <w:rsid w:val="00F366CD"/>
    <w:rsid w:val="00F36AE1"/>
    <w:rsid w:val="00F36C57"/>
    <w:rsid w:val="00F36CAC"/>
    <w:rsid w:val="00F3708F"/>
    <w:rsid w:val="00F370F6"/>
    <w:rsid w:val="00F372CD"/>
    <w:rsid w:val="00F37356"/>
    <w:rsid w:val="00F375B6"/>
    <w:rsid w:val="00F37ED1"/>
    <w:rsid w:val="00F40099"/>
    <w:rsid w:val="00F40133"/>
    <w:rsid w:val="00F40188"/>
    <w:rsid w:val="00F40963"/>
    <w:rsid w:val="00F40C8E"/>
    <w:rsid w:val="00F40E41"/>
    <w:rsid w:val="00F40ECB"/>
    <w:rsid w:val="00F41342"/>
    <w:rsid w:val="00F414AD"/>
    <w:rsid w:val="00F415F2"/>
    <w:rsid w:val="00F41637"/>
    <w:rsid w:val="00F41641"/>
    <w:rsid w:val="00F41975"/>
    <w:rsid w:val="00F41BB2"/>
    <w:rsid w:val="00F41C49"/>
    <w:rsid w:val="00F41E93"/>
    <w:rsid w:val="00F41F10"/>
    <w:rsid w:val="00F42326"/>
    <w:rsid w:val="00F42355"/>
    <w:rsid w:val="00F42369"/>
    <w:rsid w:val="00F42847"/>
    <w:rsid w:val="00F429AF"/>
    <w:rsid w:val="00F42A57"/>
    <w:rsid w:val="00F42B11"/>
    <w:rsid w:val="00F42CEF"/>
    <w:rsid w:val="00F42D09"/>
    <w:rsid w:val="00F42E02"/>
    <w:rsid w:val="00F42E2E"/>
    <w:rsid w:val="00F43768"/>
    <w:rsid w:val="00F439BB"/>
    <w:rsid w:val="00F43C19"/>
    <w:rsid w:val="00F4400B"/>
    <w:rsid w:val="00F440D2"/>
    <w:rsid w:val="00F441B9"/>
    <w:rsid w:val="00F443AD"/>
    <w:rsid w:val="00F44710"/>
    <w:rsid w:val="00F449FA"/>
    <w:rsid w:val="00F449FD"/>
    <w:rsid w:val="00F44E37"/>
    <w:rsid w:val="00F44FED"/>
    <w:rsid w:val="00F45022"/>
    <w:rsid w:val="00F4523F"/>
    <w:rsid w:val="00F452B3"/>
    <w:rsid w:val="00F457A5"/>
    <w:rsid w:val="00F45CCE"/>
    <w:rsid w:val="00F4616D"/>
    <w:rsid w:val="00F4640E"/>
    <w:rsid w:val="00F464C8"/>
    <w:rsid w:val="00F464F8"/>
    <w:rsid w:val="00F46526"/>
    <w:rsid w:val="00F46782"/>
    <w:rsid w:val="00F467DB"/>
    <w:rsid w:val="00F46907"/>
    <w:rsid w:val="00F46AA2"/>
    <w:rsid w:val="00F46D15"/>
    <w:rsid w:val="00F46E74"/>
    <w:rsid w:val="00F46F22"/>
    <w:rsid w:val="00F4717C"/>
    <w:rsid w:val="00F47480"/>
    <w:rsid w:val="00F47505"/>
    <w:rsid w:val="00F47690"/>
    <w:rsid w:val="00F47706"/>
    <w:rsid w:val="00F47887"/>
    <w:rsid w:val="00F47A9A"/>
    <w:rsid w:val="00F47BA6"/>
    <w:rsid w:val="00F47F18"/>
    <w:rsid w:val="00F500F2"/>
    <w:rsid w:val="00F5012F"/>
    <w:rsid w:val="00F5019F"/>
    <w:rsid w:val="00F501B4"/>
    <w:rsid w:val="00F509A0"/>
    <w:rsid w:val="00F509ED"/>
    <w:rsid w:val="00F50A4C"/>
    <w:rsid w:val="00F51186"/>
    <w:rsid w:val="00F51251"/>
    <w:rsid w:val="00F512D9"/>
    <w:rsid w:val="00F5139B"/>
    <w:rsid w:val="00F513F4"/>
    <w:rsid w:val="00F51475"/>
    <w:rsid w:val="00F51A50"/>
    <w:rsid w:val="00F51BBF"/>
    <w:rsid w:val="00F51EE0"/>
    <w:rsid w:val="00F51FB6"/>
    <w:rsid w:val="00F52215"/>
    <w:rsid w:val="00F5243A"/>
    <w:rsid w:val="00F524A1"/>
    <w:rsid w:val="00F5254F"/>
    <w:rsid w:val="00F52864"/>
    <w:rsid w:val="00F528E7"/>
    <w:rsid w:val="00F52BC6"/>
    <w:rsid w:val="00F52BF9"/>
    <w:rsid w:val="00F531AD"/>
    <w:rsid w:val="00F5324F"/>
    <w:rsid w:val="00F53688"/>
    <w:rsid w:val="00F53A7C"/>
    <w:rsid w:val="00F53C0D"/>
    <w:rsid w:val="00F53C34"/>
    <w:rsid w:val="00F53E2D"/>
    <w:rsid w:val="00F53E44"/>
    <w:rsid w:val="00F5484D"/>
    <w:rsid w:val="00F54B4C"/>
    <w:rsid w:val="00F54BDB"/>
    <w:rsid w:val="00F55102"/>
    <w:rsid w:val="00F5514D"/>
    <w:rsid w:val="00F55242"/>
    <w:rsid w:val="00F553CB"/>
    <w:rsid w:val="00F55497"/>
    <w:rsid w:val="00F555EE"/>
    <w:rsid w:val="00F558D9"/>
    <w:rsid w:val="00F55FD8"/>
    <w:rsid w:val="00F56263"/>
    <w:rsid w:val="00F569FC"/>
    <w:rsid w:val="00F56C6D"/>
    <w:rsid w:val="00F56F85"/>
    <w:rsid w:val="00F57040"/>
    <w:rsid w:val="00F570B9"/>
    <w:rsid w:val="00F5735B"/>
    <w:rsid w:val="00F57759"/>
    <w:rsid w:val="00F578F3"/>
    <w:rsid w:val="00F57C0A"/>
    <w:rsid w:val="00F57E2D"/>
    <w:rsid w:val="00F60289"/>
    <w:rsid w:val="00F60362"/>
    <w:rsid w:val="00F6055E"/>
    <w:rsid w:val="00F606D9"/>
    <w:rsid w:val="00F609F4"/>
    <w:rsid w:val="00F60CD3"/>
    <w:rsid w:val="00F60D9B"/>
    <w:rsid w:val="00F60E62"/>
    <w:rsid w:val="00F60F95"/>
    <w:rsid w:val="00F610A7"/>
    <w:rsid w:val="00F614A9"/>
    <w:rsid w:val="00F6176E"/>
    <w:rsid w:val="00F6180C"/>
    <w:rsid w:val="00F619A8"/>
    <w:rsid w:val="00F61B84"/>
    <w:rsid w:val="00F62168"/>
    <w:rsid w:val="00F621CB"/>
    <w:rsid w:val="00F6285C"/>
    <w:rsid w:val="00F6293A"/>
    <w:rsid w:val="00F62AA7"/>
    <w:rsid w:val="00F62C66"/>
    <w:rsid w:val="00F62FFB"/>
    <w:rsid w:val="00F631B2"/>
    <w:rsid w:val="00F63359"/>
    <w:rsid w:val="00F63B5D"/>
    <w:rsid w:val="00F63D25"/>
    <w:rsid w:val="00F63D66"/>
    <w:rsid w:val="00F6436B"/>
    <w:rsid w:val="00F643C9"/>
    <w:rsid w:val="00F64457"/>
    <w:rsid w:val="00F6455D"/>
    <w:rsid w:val="00F64566"/>
    <w:rsid w:val="00F64996"/>
    <w:rsid w:val="00F64A62"/>
    <w:rsid w:val="00F64B79"/>
    <w:rsid w:val="00F64CE4"/>
    <w:rsid w:val="00F651E6"/>
    <w:rsid w:val="00F6535D"/>
    <w:rsid w:val="00F655DE"/>
    <w:rsid w:val="00F6560A"/>
    <w:rsid w:val="00F656FB"/>
    <w:rsid w:val="00F658F7"/>
    <w:rsid w:val="00F65B93"/>
    <w:rsid w:val="00F65CDA"/>
    <w:rsid w:val="00F65E6C"/>
    <w:rsid w:val="00F65E81"/>
    <w:rsid w:val="00F65F14"/>
    <w:rsid w:val="00F66061"/>
    <w:rsid w:val="00F6614C"/>
    <w:rsid w:val="00F66150"/>
    <w:rsid w:val="00F6666E"/>
    <w:rsid w:val="00F6669D"/>
    <w:rsid w:val="00F66771"/>
    <w:rsid w:val="00F667CA"/>
    <w:rsid w:val="00F66911"/>
    <w:rsid w:val="00F66B8B"/>
    <w:rsid w:val="00F66B9A"/>
    <w:rsid w:val="00F66C28"/>
    <w:rsid w:val="00F670F2"/>
    <w:rsid w:val="00F672E0"/>
    <w:rsid w:val="00F67358"/>
    <w:rsid w:val="00F674F9"/>
    <w:rsid w:val="00F67546"/>
    <w:rsid w:val="00F676D8"/>
    <w:rsid w:val="00F6771C"/>
    <w:rsid w:val="00F6797C"/>
    <w:rsid w:val="00F67A3D"/>
    <w:rsid w:val="00F67B7D"/>
    <w:rsid w:val="00F67D03"/>
    <w:rsid w:val="00F67F2E"/>
    <w:rsid w:val="00F69F8B"/>
    <w:rsid w:val="00F700A5"/>
    <w:rsid w:val="00F7015C"/>
    <w:rsid w:val="00F70301"/>
    <w:rsid w:val="00F705AF"/>
    <w:rsid w:val="00F706E9"/>
    <w:rsid w:val="00F7077E"/>
    <w:rsid w:val="00F707CB"/>
    <w:rsid w:val="00F70BF8"/>
    <w:rsid w:val="00F70CB6"/>
    <w:rsid w:val="00F70D4A"/>
    <w:rsid w:val="00F70E3D"/>
    <w:rsid w:val="00F70E50"/>
    <w:rsid w:val="00F70E78"/>
    <w:rsid w:val="00F70FDC"/>
    <w:rsid w:val="00F7103A"/>
    <w:rsid w:val="00F71382"/>
    <w:rsid w:val="00F723ED"/>
    <w:rsid w:val="00F72447"/>
    <w:rsid w:val="00F72803"/>
    <w:rsid w:val="00F72866"/>
    <w:rsid w:val="00F72A6F"/>
    <w:rsid w:val="00F72B5E"/>
    <w:rsid w:val="00F72C20"/>
    <w:rsid w:val="00F72D5B"/>
    <w:rsid w:val="00F732BD"/>
    <w:rsid w:val="00F732EF"/>
    <w:rsid w:val="00F7332A"/>
    <w:rsid w:val="00F7337E"/>
    <w:rsid w:val="00F73592"/>
    <w:rsid w:val="00F736C7"/>
    <w:rsid w:val="00F738DF"/>
    <w:rsid w:val="00F73937"/>
    <w:rsid w:val="00F739FF"/>
    <w:rsid w:val="00F73CEE"/>
    <w:rsid w:val="00F73DD9"/>
    <w:rsid w:val="00F74091"/>
    <w:rsid w:val="00F74157"/>
    <w:rsid w:val="00F74579"/>
    <w:rsid w:val="00F74774"/>
    <w:rsid w:val="00F74819"/>
    <w:rsid w:val="00F74944"/>
    <w:rsid w:val="00F74971"/>
    <w:rsid w:val="00F74A42"/>
    <w:rsid w:val="00F74B80"/>
    <w:rsid w:val="00F74BF9"/>
    <w:rsid w:val="00F74FF4"/>
    <w:rsid w:val="00F751B7"/>
    <w:rsid w:val="00F753C6"/>
    <w:rsid w:val="00F7577E"/>
    <w:rsid w:val="00F758C7"/>
    <w:rsid w:val="00F75B4C"/>
    <w:rsid w:val="00F75C2F"/>
    <w:rsid w:val="00F75E07"/>
    <w:rsid w:val="00F75E48"/>
    <w:rsid w:val="00F75F16"/>
    <w:rsid w:val="00F7609A"/>
    <w:rsid w:val="00F76140"/>
    <w:rsid w:val="00F764BC"/>
    <w:rsid w:val="00F76848"/>
    <w:rsid w:val="00F769FC"/>
    <w:rsid w:val="00F76EA1"/>
    <w:rsid w:val="00F76FFD"/>
    <w:rsid w:val="00F77230"/>
    <w:rsid w:val="00F77267"/>
    <w:rsid w:val="00F773D1"/>
    <w:rsid w:val="00F77747"/>
    <w:rsid w:val="00F77864"/>
    <w:rsid w:val="00F77930"/>
    <w:rsid w:val="00F77ACF"/>
    <w:rsid w:val="00F77B69"/>
    <w:rsid w:val="00F8020B"/>
    <w:rsid w:val="00F806DA"/>
    <w:rsid w:val="00F80A90"/>
    <w:rsid w:val="00F80AB8"/>
    <w:rsid w:val="00F80ABF"/>
    <w:rsid w:val="00F80FB6"/>
    <w:rsid w:val="00F81334"/>
    <w:rsid w:val="00F816B5"/>
    <w:rsid w:val="00F81A8C"/>
    <w:rsid w:val="00F81D7F"/>
    <w:rsid w:val="00F81ED0"/>
    <w:rsid w:val="00F82079"/>
    <w:rsid w:val="00F8218C"/>
    <w:rsid w:val="00F8238A"/>
    <w:rsid w:val="00F82453"/>
    <w:rsid w:val="00F826D1"/>
    <w:rsid w:val="00F826D4"/>
    <w:rsid w:val="00F827C9"/>
    <w:rsid w:val="00F82951"/>
    <w:rsid w:val="00F82A54"/>
    <w:rsid w:val="00F82AB0"/>
    <w:rsid w:val="00F82CC0"/>
    <w:rsid w:val="00F83199"/>
    <w:rsid w:val="00F832D2"/>
    <w:rsid w:val="00F832E7"/>
    <w:rsid w:val="00F8355F"/>
    <w:rsid w:val="00F8359B"/>
    <w:rsid w:val="00F8360E"/>
    <w:rsid w:val="00F837E1"/>
    <w:rsid w:val="00F83907"/>
    <w:rsid w:val="00F8399E"/>
    <w:rsid w:val="00F83B8C"/>
    <w:rsid w:val="00F83BC4"/>
    <w:rsid w:val="00F83D99"/>
    <w:rsid w:val="00F83DB0"/>
    <w:rsid w:val="00F83E16"/>
    <w:rsid w:val="00F841EC"/>
    <w:rsid w:val="00F84238"/>
    <w:rsid w:val="00F84242"/>
    <w:rsid w:val="00F8431C"/>
    <w:rsid w:val="00F848EB"/>
    <w:rsid w:val="00F849BD"/>
    <w:rsid w:val="00F84B9B"/>
    <w:rsid w:val="00F84D9B"/>
    <w:rsid w:val="00F852CC"/>
    <w:rsid w:val="00F85351"/>
    <w:rsid w:val="00F85694"/>
    <w:rsid w:val="00F85777"/>
    <w:rsid w:val="00F85789"/>
    <w:rsid w:val="00F85D91"/>
    <w:rsid w:val="00F85E14"/>
    <w:rsid w:val="00F85E90"/>
    <w:rsid w:val="00F86526"/>
    <w:rsid w:val="00F865BE"/>
    <w:rsid w:val="00F868BF"/>
    <w:rsid w:val="00F86B1E"/>
    <w:rsid w:val="00F86CB0"/>
    <w:rsid w:val="00F86E12"/>
    <w:rsid w:val="00F870C7"/>
    <w:rsid w:val="00F873A3"/>
    <w:rsid w:val="00F874FB"/>
    <w:rsid w:val="00F875EA"/>
    <w:rsid w:val="00F8784E"/>
    <w:rsid w:val="00F87A84"/>
    <w:rsid w:val="00F87B10"/>
    <w:rsid w:val="00F87C77"/>
    <w:rsid w:val="00F87FA2"/>
    <w:rsid w:val="00F900D9"/>
    <w:rsid w:val="00F90305"/>
    <w:rsid w:val="00F90444"/>
    <w:rsid w:val="00F907DD"/>
    <w:rsid w:val="00F9088B"/>
    <w:rsid w:val="00F909AB"/>
    <w:rsid w:val="00F90CFB"/>
    <w:rsid w:val="00F910C1"/>
    <w:rsid w:val="00F9110C"/>
    <w:rsid w:val="00F9147C"/>
    <w:rsid w:val="00F914D4"/>
    <w:rsid w:val="00F920D3"/>
    <w:rsid w:val="00F92134"/>
    <w:rsid w:val="00F921A4"/>
    <w:rsid w:val="00F92207"/>
    <w:rsid w:val="00F92533"/>
    <w:rsid w:val="00F9294A"/>
    <w:rsid w:val="00F92AED"/>
    <w:rsid w:val="00F92D1B"/>
    <w:rsid w:val="00F93101"/>
    <w:rsid w:val="00F934E9"/>
    <w:rsid w:val="00F939E1"/>
    <w:rsid w:val="00F93B27"/>
    <w:rsid w:val="00F94162"/>
    <w:rsid w:val="00F942E7"/>
    <w:rsid w:val="00F94482"/>
    <w:rsid w:val="00F94485"/>
    <w:rsid w:val="00F9470B"/>
    <w:rsid w:val="00F94A55"/>
    <w:rsid w:val="00F94BBD"/>
    <w:rsid w:val="00F94EF0"/>
    <w:rsid w:val="00F95261"/>
    <w:rsid w:val="00F9562D"/>
    <w:rsid w:val="00F95821"/>
    <w:rsid w:val="00F95A71"/>
    <w:rsid w:val="00F96984"/>
    <w:rsid w:val="00F96BAE"/>
    <w:rsid w:val="00F96C88"/>
    <w:rsid w:val="00F96E72"/>
    <w:rsid w:val="00F96F21"/>
    <w:rsid w:val="00F96FCF"/>
    <w:rsid w:val="00F96FFC"/>
    <w:rsid w:val="00F9700F"/>
    <w:rsid w:val="00F9707F"/>
    <w:rsid w:val="00F972F5"/>
    <w:rsid w:val="00F97361"/>
    <w:rsid w:val="00F97576"/>
    <w:rsid w:val="00F97D04"/>
    <w:rsid w:val="00F97DF5"/>
    <w:rsid w:val="00FA03FF"/>
    <w:rsid w:val="00FA05BC"/>
    <w:rsid w:val="00FA09C6"/>
    <w:rsid w:val="00FA0A36"/>
    <w:rsid w:val="00FA0D39"/>
    <w:rsid w:val="00FA0E0F"/>
    <w:rsid w:val="00FA10D7"/>
    <w:rsid w:val="00FA12BF"/>
    <w:rsid w:val="00FA1405"/>
    <w:rsid w:val="00FA186C"/>
    <w:rsid w:val="00FA1B46"/>
    <w:rsid w:val="00FA1C32"/>
    <w:rsid w:val="00FA1D64"/>
    <w:rsid w:val="00FA1DE2"/>
    <w:rsid w:val="00FA2215"/>
    <w:rsid w:val="00FA2426"/>
    <w:rsid w:val="00FA2557"/>
    <w:rsid w:val="00FA261E"/>
    <w:rsid w:val="00FA262A"/>
    <w:rsid w:val="00FA2BD5"/>
    <w:rsid w:val="00FA2C5C"/>
    <w:rsid w:val="00FA2D9A"/>
    <w:rsid w:val="00FA2E7D"/>
    <w:rsid w:val="00FA2F4B"/>
    <w:rsid w:val="00FA31FB"/>
    <w:rsid w:val="00FA337F"/>
    <w:rsid w:val="00FA35B7"/>
    <w:rsid w:val="00FA3ADC"/>
    <w:rsid w:val="00FA40D1"/>
    <w:rsid w:val="00FA40DD"/>
    <w:rsid w:val="00FA44DC"/>
    <w:rsid w:val="00FA45DE"/>
    <w:rsid w:val="00FA46A8"/>
    <w:rsid w:val="00FA4826"/>
    <w:rsid w:val="00FA48D6"/>
    <w:rsid w:val="00FA4961"/>
    <w:rsid w:val="00FA4E67"/>
    <w:rsid w:val="00FA52C8"/>
    <w:rsid w:val="00FA5605"/>
    <w:rsid w:val="00FA57AB"/>
    <w:rsid w:val="00FA57D3"/>
    <w:rsid w:val="00FA586D"/>
    <w:rsid w:val="00FA58FE"/>
    <w:rsid w:val="00FA5CB6"/>
    <w:rsid w:val="00FA5FCE"/>
    <w:rsid w:val="00FA6A5D"/>
    <w:rsid w:val="00FA6B9A"/>
    <w:rsid w:val="00FA6EF4"/>
    <w:rsid w:val="00FA6F68"/>
    <w:rsid w:val="00FA6FED"/>
    <w:rsid w:val="00FA7124"/>
    <w:rsid w:val="00FA7281"/>
    <w:rsid w:val="00FA7646"/>
    <w:rsid w:val="00FA7B27"/>
    <w:rsid w:val="00FA7C8F"/>
    <w:rsid w:val="00FA7CD0"/>
    <w:rsid w:val="00FA7DC2"/>
    <w:rsid w:val="00FB005A"/>
    <w:rsid w:val="00FB0063"/>
    <w:rsid w:val="00FB02B2"/>
    <w:rsid w:val="00FB049C"/>
    <w:rsid w:val="00FB0636"/>
    <w:rsid w:val="00FB06C0"/>
    <w:rsid w:val="00FB09B6"/>
    <w:rsid w:val="00FB0EAB"/>
    <w:rsid w:val="00FB0F51"/>
    <w:rsid w:val="00FB1742"/>
    <w:rsid w:val="00FB18F3"/>
    <w:rsid w:val="00FB1945"/>
    <w:rsid w:val="00FB1BDC"/>
    <w:rsid w:val="00FB1CB1"/>
    <w:rsid w:val="00FB1CD8"/>
    <w:rsid w:val="00FB2789"/>
    <w:rsid w:val="00FB2894"/>
    <w:rsid w:val="00FB28A3"/>
    <w:rsid w:val="00FB2A68"/>
    <w:rsid w:val="00FB2AA1"/>
    <w:rsid w:val="00FB2DFE"/>
    <w:rsid w:val="00FB2F0F"/>
    <w:rsid w:val="00FB322B"/>
    <w:rsid w:val="00FB337B"/>
    <w:rsid w:val="00FB33AA"/>
    <w:rsid w:val="00FB3462"/>
    <w:rsid w:val="00FB35E9"/>
    <w:rsid w:val="00FB3894"/>
    <w:rsid w:val="00FB38CC"/>
    <w:rsid w:val="00FB38DC"/>
    <w:rsid w:val="00FB3B84"/>
    <w:rsid w:val="00FB3CA6"/>
    <w:rsid w:val="00FB3E63"/>
    <w:rsid w:val="00FB4146"/>
    <w:rsid w:val="00FB418E"/>
    <w:rsid w:val="00FB41AE"/>
    <w:rsid w:val="00FB4263"/>
    <w:rsid w:val="00FB47E6"/>
    <w:rsid w:val="00FB481A"/>
    <w:rsid w:val="00FB4FDC"/>
    <w:rsid w:val="00FB50C5"/>
    <w:rsid w:val="00FB51F3"/>
    <w:rsid w:val="00FB5A52"/>
    <w:rsid w:val="00FB5F61"/>
    <w:rsid w:val="00FB6030"/>
    <w:rsid w:val="00FB6285"/>
    <w:rsid w:val="00FB62D9"/>
    <w:rsid w:val="00FB64E6"/>
    <w:rsid w:val="00FB683F"/>
    <w:rsid w:val="00FB68B7"/>
    <w:rsid w:val="00FB6AE9"/>
    <w:rsid w:val="00FB6D97"/>
    <w:rsid w:val="00FB6EC2"/>
    <w:rsid w:val="00FB7030"/>
    <w:rsid w:val="00FB704A"/>
    <w:rsid w:val="00FB74E0"/>
    <w:rsid w:val="00FB7787"/>
    <w:rsid w:val="00FB7CD0"/>
    <w:rsid w:val="00FC020F"/>
    <w:rsid w:val="00FC0663"/>
    <w:rsid w:val="00FC0A23"/>
    <w:rsid w:val="00FC0A25"/>
    <w:rsid w:val="00FC0CAF"/>
    <w:rsid w:val="00FC0F02"/>
    <w:rsid w:val="00FC129E"/>
    <w:rsid w:val="00FC1345"/>
    <w:rsid w:val="00FC1510"/>
    <w:rsid w:val="00FC1541"/>
    <w:rsid w:val="00FC15B5"/>
    <w:rsid w:val="00FC1688"/>
    <w:rsid w:val="00FC1C1E"/>
    <w:rsid w:val="00FC21A8"/>
    <w:rsid w:val="00FC2280"/>
    <w:rsid w:val="00FC24C5"/>
    <w:rsid w:val="00FC26A7"/>
    <w:rsid w:val="00FC26C0"/>
    <w:rsid w:val="00FC28CA"/>
    <w:rsid w:val="00FC29E6"/>
    <w:rsid w:val="00FC2A55"/>
    <w:rsid w:val="00FC2A9F"/>
    <w:rsid w:val="00FC2CA8"/>
    <w:rsid w:val="00FC2D71"/>
    <w:rsid w:val="00FC2DE1"/>
    <w:rsid w:val="00FC32D0"/>
    <w:rsid w:val="00FC33BA"/>
    <w:rsid w:val="00FC36CC"/>
    <w:rsid w:val="00FC3A4E"/>
    <w:rsid w:val="00FC3A5D"/>
    <w:rsid w:val="00FC3ABD"/>
    <w:rsid w:val="00FC3B64"/>
    <w:rsid w:val="00FC3C2C"/>
    <w:rsid w:val="00FC3CD0"/>
    <w:rsid w:val="00FC3D93"/>
    <w:rsid w:val="00FC4335"/>
    <w:rsid w:val="00FC46EC"/>
    <w:rsid w:val="00FC4B61"/>
    <w:rsid w:val="00FC4DA4"/>
    <w:rsid w:val="00FC5232"/>
    <w:rsid w:val="00FC5508"/>
    <w:rsid w:val="00FC5866"/>
    <w:rsid w:val="00FC58A3"/>
    <w:rsid w:val="00FC5934"/>
    <w:rsid w:val="00FC5B08"/>
    <w:rsid w:val="00FC5B8A"/>
    <w:rsid w:val="00FC5C15"/>
    <w:rsid w:val="00FC5CCA"/>
    <w:rsid w:val="00FC5CD3"/>
    <w:rsid w:val="00FC5F9E"/>
    <w:rsid w:val="00FC6086"/>
    <w:rsid w:val="00FC622D"/>
    <w:rsid w:val="00FC6737"/>
    <w:rsid w:val="00FC686B"/>
    <w:rsid w:val="00FC6A24"/>
    <w:rsid w:val="00FC6CB3"/>
    <w:rsid w:val="00FC6D56"/>
    <w:rsid w:val="00FC797A"/>
    <w:rsid w:val="00FC79D4"/>
    <w:rsid w:val="00FC7AA5"/>
    <w:rsid w:val="00FC7B9D"/>
    <w:rsid w:val="00FC7BE4"/>
    <w:rsid w:val="00FD00B0"/>
    <w:rsid w:val="00FD0217"/>
    <w:rsid w:val="00FD03E9"/>
    <w:rsid w:val="00FD0536"/>
    <w:rsid w:val="00FD066C"/>
    <w:rsid w:val="00FD0A28"/>
    <w:rsid w:val="00FD10F7"/>
    <w:rsid w:val="00FD1289"/>
    <w:rsid w:val="00FD17D2"/>
    <w:rsid w:val="00FD18FF"/>
    <w:rsid w:val="00FD1D68"/>
    <w:rsid w:val="00FD1E7B"/>
    <w:rsid w:val="00FD271B"/>
    <w:rsid w:val="00FD2853"/>
    <w:rsid w:val="00FD2A66"/>
    <w:rsid w:val="00FD2B49"/>
    <w:rsid w:val="00FD3215"/>
    <w:rsid w:val="00FD32F7"/>
    <w:rsid w:val="00FD3445"/>
    <w:rsid w:val="00FD34BA"/>
    <w:rsid w:val="00FD350B"/>
    <w:rsid w:val="00FD359E"/>
    <w:rsid w:val="00FD3763"/>
    <w:rsid w:val="00FD3803"/>
    <w:rsid w:val="00FD3888"/>
    <w:rsid w:val="00FD3BF4"/>
    <w:rsid w:val="00FD3D77"/>
    <w:rsid w:val="00FD40B7"/>
    <w:rsid w:val="00FD40ED"/>
    <w:rsid w:val="00FD4129"/>
    <w:rsid w:val="00FD464D"/>
    <w:rsid w:val="00FD47FF"/>
    <w:rsid w:val="00FD4AD6"/>
    <w:rsid w:val="00FD4B82"/>
    <w:rsid w:val="00FD4E9D"/>
    <w:rsid w:val="00FD50B6"/>
    <w:rsid w:val="00FD539E"/>
    <w:rsid w:val="00FD541A"/>
    <w:rsid w:val="00FD5473"/>
    <w:rsid w:val="00FD54B8"/>
    <w:rsid w:val="00FD5556"/>
    <w:rsid w:val="00FD5569"/>
    <w:rsid w:val="00FD5649"/>
    <w:rsid w:val="00FD566D"/>
    <w:rsid w:val="00FD5BA5"/>
    <w:rsid w:val="00FD5C67"/>
    <w:rsid w:val="00FD5D36"/>
    <w:rsid w:val="00FD5EB4"/>
    <w:rsid w:val="00FD668C"/>
    <w:rsid w:val="00FD68E2"/>
    <w:rsid w:val="00FD69C3"/>
    <w:rsid w:val="00FD6A83"/>
    <w:rsid w:val="00FD6BC1"/>
    <w:rsid w:val="00FD6C20"/>
    <w:rsid w:val="00FD6CB7"/>
    <w:rsid w:val="00FD6CD8"/>
    <w:rsid w:val="00FD6E90"/>
    <w:rsid w:val="00FD6EA1"/>
    <w:rsid w:val="00FD6F9E"/>
    <w:rsid w:val="00FD7103"/>
    <w:rsid w:val="00FD71BE"/>
    <w:rsid w:val="00FD71F1"/>
    <w:rsid w:val="00FD72A5"/>
    <w:rsid w:val="00FD73C5"/>
    <w:rsid w:val="00FD73DA"/>
    <w:rsid w:val="00FD761E"/>
    <w:rsid w:val="00FD7A47"/>
    <w:rsid w:val="00FD7A64"/>
    <w:rsid w:val="00FD7B84"/>
    <w:rsid w:val="00FE0486"/>
    <w:rsid w:val="00FE0612"/>
    <w:rsid w:val="00FE0779"/>
    <w:rsid w:val="00FE0A8C"/>
    <w:rsid w:val="00FE0AF5"/>
    <w:rsid w:val="00FE0B2A"/>
    <w:rsid w:val="00FE0EF6"/>
    <w:rsid w:val="00FE0FF9"/>
    <w:rsid w:val="00FE1176"/>
    <w:rsid w:val="00FE135B"/>
    <w:rsid w:val="00FE13A3"/>
    <w:rsid w:val="00FE1509"/>
    <w:rsid w:val="00FE18AA"/>
    <w:rsid w:val="00FE192B"/>
    <w:rsid w:val="00FE1A48"/>
    <w:rsid w:val="00FE1B00"/>
    <w:rsid w:val="00FE1E27"/>
    <w:rsid w:val="00FE1E8D"/>
    <w:rsid w:val="00FE1FC5"/>
    <w:rsid w:val="00FE2133"/>
    <w:rsid w:val="00FE2447"/>
    <w:rsid w:val="00FE2799"/>
    <w:rsid w:val="00FE2AC9"/>
    <w:rsid w:val="00FE2B07"/>
    <w:rsid w:val="00FE2CC0"/>
    <w:rsid w:val="00FE2CFA"/>
    <w:rsid w:val="00FE2D43"/>
    <w:rsid w:val="00FE2F36"/>
    <w:rsid w:val="00FE3016"/>
    <w:rsid w:val="00FE32E6"/>
    <w:rsid w:val="00FE3536"/>
    <w:rsid w:val="00FE3610"/>
    <w:rsid w:val="00FE36C4"/>
    <w:rsid w:val="00FE3916"/>
    <w:rsid w:val="00FE39D6"/>
    <w:rsid w:val="00FE3B11"/>
    <w:rsid w:val="00FE3BB7"/>
    <w:rsid w:val="00FE3CF0"/>
    <w:rsid w:val="00FE3D35"/>
    <w:rsid w:val="00FE3F88"/>
    <w:rsid w:val="00FE3FB0"/>
    <w:rsid w:val="00FE4235"/>
    <w:rsid w:val="00FE45CC"/>
    <w:rsid w:val="00FE465A"/>
    <w:rsid w:val="00FE4779"/>
    <w:rsid w:val="00FE4F55"/>
    <w:rsid w:val="00FE532C"/>
    <w:rsid w:val="00FE537B"/>
    <w:rsid w:val="00FE53BC"/>
    <w:rsid w:val="00FE54D2"/>
    <w:rsid w:val="00FE55ED"/>
    <w:rsid w:val="00FE5677"/>
    <w:rsid w:val="00FE5CAD"/>
    <w:rsid w:val="00FE60F4"/>
    <w:rsid w:val="00FE6460"/>
    <w:rsid w:val="00FE6675"/>
    <w:rsid w:val="00FE6801"/>
    <w:rsid w:val="00FE6CB5"/>
    <w:rsid w:val="00FE6D73"/>
    <w:rsid w:val="00FE6E98"/>
    <w:rsid w:val="00FE7013"/>
    <w:rsid w:val="00FE70D3"/>
    <w:rsid w:val="00FE71F9"/>
    <w:rsid w:val="00FE72F6"/>
    <w:rsid w:val="00FE7774"/>
    <w:rsid w:val="00FE7C42"/>
    <w:rsid w:val="00FF021B"/>
    <w:rsid w:val="00FF02A2"/>
    <w:rsid w:val="00FF03CE"/>
    <w:rsid w:val="00FF0496"/>
    <w:rsid w:val="00FF07E1"/>
    <w:rsid w:val="00FF08AA"/>
    <w:rsid w:val="00FF09D8"/>
    <w:rsid w:val="00FF0E39"/>
    <w:rsid w:val="00FF1117"/>
    <w:rsid w:val="00FF1350"/>
    <w:rsid w:val="00FF16C4"/>
    <w:rsid w:val="00FF1792"/>
    <w:rsid w:val="00FF1898"/>
    <w:rsid w:val="00FF1BC9"/>
    <w:rsid w:val="00FF1E0A"/>
    <w:rsid w:val="00FF1E9D"/>
    <w:rsid w:val="00FF1F18"/>
    <w:rsid w:val="00FF210E"/>
    <w:rsid w:val="00FF23FE"/>
    <w:rsid w:val="00FF2456"/>
    <w:rsid w:val="00FF248C"/>
    <w:rsid w:val="00FF2814"/>
    <w:rsid w:val="00FF29B8"/>
    <w:rsid w:val="00FF2A5E"/>
    <w:rsid w:val="00FF2C84"/>
    <w:rsid w:val="00FF2D5F"/>
    <w:rsid w:val="00FF3112"/>
    <w:rsid w:val="00FF34D2"/>
    <w:rsid w:val="00FF3857"/>
    <w:rsid w:val="00FF3909"/>
    <w:rsid w:val="00FF3A6E"/>
    <w:rsid w:val="00FF3B75"/>
    <w:rsid w:val="00FF3C33"/>
    <w:rsid w:val="00FF3C57"/>
    <w:rsid w:val="00FF3CAB"/>
    <w:rsid w:val="00FF3E66"/>
    <w:rsid w:val="00FF3F87"/>
    <w:rsid w:val="00FF4281"/>
    <w:rsid w:val="00FF4347"/>
    <w:rsid w:val="00FF43EB"/>
    <w:rsid w:val="00FF4423"/>
    <w:rsid w:val="00FF4C5F"/>
    <w:rsid w:val="00FF4CA2"/>
    <w:rsid w:val="00FF4CEE"/>
    <w:rsid w:val="00FF4E03"/>
    <w:rsid w:val="00FF52B1"/>
    <w:rsid w:val="00FF53EE"/>
    <w:rsid w:val="00FF5674"/>
    <w:rsid w:val="00FF571A"/>
    <w:rsid w:val="00FF58AF"/>
    <w:rsid w:val="00FF5B10"/>
    <w:rsid w:val="00FF5D27"/>
    <w:rsid w:val="00FF64B5"/>
    <w:rsid w:val="00FF657D"/>
    <w:rsid w:val="00FF6612"/>
    <w:rsid w:val="00FF674C"/>
    <w:rsid w:val="00FF67B2"/>
    <w:rsid w:val="00FF7408"/>
    <w:rsid w:val="00FF78C9"/>
    <w:rsid w:val="00FF7ADF"/>
    <w:rsid w:val="00FF7DD3"/>
    <w:rsid w:val="00FF7DEE"/>
    <w:rsid w:val="01029B9D"/>
    <w:rsid w:val="01030C7C"/>
    <w:rsid w:val="01068F4E"/>
    <w:rsid w:val="01074A24"/>
    <w:rsid w:val="01089CAA"/>
    <w:rsid w:val="01096A6D"/>
    <w:rsid w:val="010AE424"/>
    <w:rsid w:val="010C3CCE"/>
    <w:rsid w:val="010D1C9B"/>
    <w:rsid w:val="010F9358"/>
    <w:rsid w:val="0112382E"/>
    <w:rsid w:val="01140D0A"/>
    <w:rsid w:val="0114AC8C"/>
    <w:rsid w:val="01157743"/>
    <w:rsid w:val="01163270"/>
    <w:rsid w:val="011780F2"/>
    <w:rsid w:val="0118A718"/>
    <w:rsid w:val="0118C730"/>
    <w:rsid w:val="0119AFC1"/>
    <w:rsid w:val="011A8BA7"/>
    <w:rsid w:val="011D3DC8"/>
    <w:rsid w:val="011DEE8F"/>
    <w:rsid w:val="011E2EF8"/>
    <w:rsid w:val="011E8AB3"/>
    <w:rsid w:val="011EA084"/>
    <w:rsid w:val="012152F0"/>
    <w:rsid w:val="0121F287"/>
    <w:rsid w:val="0126E849"/>
    <w:rsid w:val="012D79CB"/>
    <w:rsid w:val="012FF8DE"/>
    <w:rsid w:val="01307BF3"/>
    <w:rsid w:val="0131FDCA"/>
    <w:rsid w:val="0138DEB4"/>
    <w:rsid w:val="01395492"/>
    <w:rsid w:val="013E4F84"/>
    <w:rsid w:val="01407EF8"/>
    <w:rsid w:val="0140B657"/>
    <w:rsid w:val="01410FF5"/>
    <w:rsid w:val="01412620"/>
    <w:rsid w:val="01430421"/>
    <w:rsid w:val="014652C5"/>
    <w:rsid w:val="014661A2"/>
    <w:rsid w:val="0148578F"/>
    <w:rsid w:val="01494013"/>
    <w:rsid w:val="014A8A34"/>
    <w:rsid w:val="014AA9ED"/>
    <w:rsid w:val="014B9DC1"/>
    <w:rsid w:val="014F33C7"/>
    <w:rsid w:val="014F54E8"/>
    <w:rsid w:val="01508A65"/>
    <w:rsid w:val="0152C7AE"/>
    <w:rsid w:val="0152E8BB"/>
    <w:rsid w:val="0157F7E7"/>
    <w:rsid w:val="0158A1CF"/>
    <w:rsid w:val="015A2FB4"/>
    <w:rsid w:val="01616EBD"/>
    <w:rsid w:val="016196B0"/>
    <w:rsid w:val="0161F244"/>
    <w:rsid w:val="01626C0F"/>
    <w:rsid w:val="0162943A"/>
    <w:rsid w:val="0168A251"/>
    <w:rsid w:val="016D04B7"/>
    <w:rsid w:val="0171550B"/>
    <w:rsid w:val="01733F58"/>
    <w:rsid w:val="0173CAF7"/>
    <w:rsid w:val="0175ABE5"/>
    <w:rsid w:val="017ACCA5"/>
    <w:rsid w:val="017B26B2"/>
    <w:rsid w:val="017FA439"/>
    <w:rsid w:val="0183759F"/>
    <w:rsid w:val="0186C121"/>
    <w:rsid w:val="018734C8"/>
    <w:rsid w:val="018917C0"/>
    <w:rsid w:val="018A43CC"/>
    <w:rsid w:val="018FF21A"/>
    <w:rsid w:val="0190563B"/>
    <w:rsid w:val="0193ADC3"/>
    <w:rsid w:val="0194437C"/>
    <w:rsid w:val="01956438"/>
    <w:rsid w:val="01976AD1"/>
    <w:rsid w:val="0199828A"/>
    <w:rsid w:val="019A6E67"/>
    <w:rsid w:val="019AE7BA"/>
    <w:rsid w:val="019D0DB2"/>
    <w:rsid w:val="01A26F39"/>
    <w:rsid w:val="01A81967"/>
    <w:rsid w:val="01A91219"/>
    <w:rsid w:val="01A9F1BC"/>
    <w:rsid w:val="01AA906D"/>
    <w:rsid w:val="01AAF2CC"/>
    <w:rsid w:val="01AAFCCE"/>
    <w:rsid w:val="01ACECB8"/>
    <w:rsid w:val="01ADE73F"/>
    <w:rsid w:val="01B47779"/>
    <w:rsid w:val="01B7ABA1"/>
    <w:rsid w:val="01BAF485"/>
    <w:rsid w:val="01BC5E0E"/>
    <w:rsid w:val="01C2E1E2"/>
    <w:rsid w:val="01C2EC39"/>
    <w:rsid w:val="01C3F240"/>
    <w:rsid w:val="01C72FC3"/>
    <w:rsid w:val="01C83AC6"/>
    <w:rsid w:val="01C96880"/>
    <w:rsid w:val="01CF432C"/>
    <w:rsid w:val="01CF8B92"/>
    <w:rsid w:val="01D06DEC"/>
    <w:rsid w:val="01D3AE86"/>
    <w:rsid w:val="01D3AEDE"/>
    <w:rsid w:val="01D41CBE"/>
    <w:rsid w:val="01E13E32"/>
    <w:rsid w:val="01E15257"/>
    <w:rsid w:val="01E2AC56"/>
    <w:rsid w:val="01E35A10"/>
    <w:rsid w:val="01E5041B"/>
    <w:rsid w:val="01E513AE"/>
    <w:rsid w:val="01E555D1"/>
    <w:rsid w:val="01E85FD6"/>
    <w:rsid w:val="01E99B32"/>
    <w:rsid w:val="01EB842D"/>
    <w:rsid w:val="01EFFFED"/>
    <w:rsid w:val="01F03E43"/>
    <w:rsid w:val="01F0D1D8"/>
    <w:rsid w:val="01F12686"/>
    <w:rsid w:val="01F2019F"/>
    <w:rsid w:val="01F38F94"/>
    <w:rsid w:val="01F61393"/>
    <w:rsid w:val="01F6A62A"/>
    <w:rsid w:val="01F74B6E"/>
    <w:rsid w:val="01FDAB7E"/>
    <w:rsid w:val="02012E03"/>
    <w:rsid w:val="02020857"/>
    <w:rsid w:val="0203A837"/>
    <w:rsid w:val="0204604F"/>
    <w:rsid w:val="0204AA85"/>
    <w:rsid w:val="0205C287"/>
    <w:rsid w:val="02061DA4"/>
    <w:rsid w:val="0208F7FD"/>
    <w:rsid w:val="0208F8F7"/>
    <w:rsid w:val="020BD552"/>
    <w:rsid w:val="020BFADD"/>
    <w:rsid w:val="020C3B08"/>
    <w:rsid w:val="020F81E7"/>
    <w:rsid w:val="020FE426"/>
    <w:rsid w:val="0210D1DF"/>
    <w:rsid w:val="0212CAF7"/>
    <w:rsid w:val="0215ADE8"/>
    <w:rsid w:val="0219FB55"/>
    <w:rsid w:val="021BB816"/>
    <w:rsid w:val="02228273"/>
    <w:rsid w:val="022FB8D2"/>
    <w:rsid w:val="0232E7F6"/>
    <w:rsid w:val="02338C81"/>
    <w:rsid w:val="02341247"/>
    <w:rsid w:val="0234D8D4"/>
    <w:rsid w:val="0236969E"/>
    <w:rsid w:val="02389680"/>
    <w:rsid w:val="02389D44"/>
    <w:rsid w:val="023BB367"/>
    <w:rsid w:val="023BD3FA"/>
    <w:rsid w:val="023D1C2E"/>
    <w:rsid w:val="023E81F9"/>
    <w:rsid w:val="023EBE48"/>
    <w:rsid w:val="023F9BFF"/>
    <w:rsid w:val="023FF8AF"/>
    <w:rsid w:val="0240133A"/>
    <w:rsid w:val="024066D9"/>
    <w:rsid w:val="024590AB"/>
    <w:rsid w:val="0246CB13"/>
    <w:rsid w:val="02473972"/>
    <w:rsid w:val="024A4CFF"/>
    <w:rsid w:val="024A6472"/>
    <w:rsid w:val="024BF57B"/>
    <w:rsid w:val="02577E0F"/>
    <w:rsid w:val="025B8FDF"/>
    <w:rsid w:val="025CF2F7"/>
    <w:rsid w:val="025FAE1A"/>
    <w:rsid w:val="0260AD0D"/>
    <w:rsid w:val="02616D98"/>
    <w:rsid w:val="0262391D"/>
    <w:rsid w:val="02637F7E"/>
    <w:rsid w:val="0264652D"/>
    <w:rsid w:val="02680239"/>
    <w:rsid w:val="026864C5"/>
    <w:rsid w:val="0269216E"/>
    <w:rsid w:val="026AA03C"/>
    <w:rsid w:val="026CC46D"/>
    <w:rsid w:val="026D8DD6"/>
    <w:rsid w:val="0272601F"/>
    <w:rsid w:val="0272FD92"/>
    <w:rsid w:val="0273EF88"/>
    <w:rsid w:val="02765024"/>
    <w:rsid w:val="02791077"/>
    <w:rsid w:val="027B7920"/>
    <w:rsid w:val="027DE061"/>
    <w:rsid w:val="027F4CFA"/>
    <w:rsid w:val="02823D15"/>
    <w:rsid w:val="02828B84"/>
    <w:rsid w:val="0286A5AD"/>
    <w:rsid w:val="02874231"/>
    <w:rsid w:val="0288301F"/>
    <w:rsid w:val="028CFCC2"/>
    <w:rsid w:val="028D062E"/>
    <w:rsid w:val="028E8172"/>
    <w:rsid w:val="0292F527"/>
    <w:rsid w:val="02930347"/>
    <w:rsid w:val="0293B5E9"/>
    <w:rsid w:val="029559B1"/>
    <w:rsid w:val="02961396"/>
    <w:rsid w:val="0296932F"/>
    <w:rsid w:val="029B3DBA"/>
    <w:rsid w:val="029DB973"/>
    <w:rsid w:val="029F7865"/>
    <w:rsid w:val="02A36D73"/>
    <w:rsid w:val="02A36DB0"/>
    <w:rsid w:val="02A52BE3"/>
    <w:rsid w:val="02A7431E"/>
    <w:rsid w:val="02A8A631"/>
    <w:rsid w:val="02AB8FDA"/>
    <w:rsid w:val="02B0CC7E"/>
    <w:rsid w:val="02B62AD6"/>
    <w:rsid w:val="02B8C040"/>
    <w:rsid w:val="02BBC797"/>
    <w:rsid w:val="02BDE246"/>
    <w:rsid w:val="02C0825B"/>
    <w:rsid w:val="02C1DAA2"/>
    <w:rsid w:val="02C23779"/>
    <w:rsid w:val="02C3E741"/>
    <w:rsid w:val="02C72C91"/>
    <w:rsid w:val="02C7A9AD"/>
    <w:rsid w:val="02C87998"/>
    <w:rsid w:val="02CD2D32"/>
    <w:rsid w:val="02CD9ED3"/>
    <w:rsid w:val="02CEA248"/>
    <w:rsid w:val="02D078E4"/>
    <w:rsid w:val="02D417AD"/>
    <w:rsid w:val="02D43C98"/>
    <w:rsid w:val="02D8120A"/>
    <w:rsid w:val="02D879F1"/>
    <w:rsid w:val="02D9E41B"/>
    <w:rsid w:val="02DA9FEB"/>
    <w:rsid w:val="02DB480B"/>
    <w:rsid w:val="02DC8C55"/>
    <w:rsid w:val="02E3BF6B"/>
    <w:rsid w:val="02E52237"/>
    <w:rsid w:val="02E5F010"/>
    <w:rsid w:val="02E812B1"/>
    <w:rsid w:val="02E8B26A"/>
    <w:rsid w:val="02E94612"/>
    <w:rsid w:val="02ECA532"/>
    <w:rsid w:val="02EFC4E3"/>
    <w:rsid w:val="02F3777F"/>
    <w:rsid w:val="02F962C4"/>
    <w:rsid w:val="02FACB72"/>
    <w:rsid w:val="02FD1EC3"/>
    <w:rsid w:val="02FDBE31"/>
    <w:rsid w:val="03016E1E"/>
    <w:rsid w:val="0304C724"/>
    <w:rsid w:val="03051603"/>
    <w:rsid w:val="030861FF"/>
    <w:rsid w:val="030B12ED"/>
    <w:rsid w:val="030BA5BC"/>
    <w:rsid w:val="030F6B3C"/>
    <w:rsid w:val="031045F9"/>
    <w:rsid w:val="03128064"/>
    <w:rsid w:val="0312D035"/>
    <w:rsid w:val="03141DD8"/>
    <w:rsid w:val="0314F51E"/>
    <w:rsid w:val="03166CA7"/>
    <w:rsid w:val="03167866"/>
    <w:rsid w:val="0316EB80"/>
    <w:rsid w:val="03183607"/>
    <w:rsid w:val="031A1B52"/>
    <w:rsid w:val="031BFC52"/>
    <w:rsid w:val="031CB378"/>
    <w:rsid w:val="031FCFF6"/>
    <w:rsid w:val="032098BE"/>
    <w:rsid w:val="03241B99"/>
    <w:rsid w:val="0324B9E6"/>
    <w:rsid w:val="03252111"/>
    <w:rsid w:val="0325CB15"/>
    <w:rsid w:val="03282A8D"/>
    <w:rsid w:val="032A14A0"/>
    <w:rsid w:val="032A809C"/>
    <w:rsid w:val="032B6FD6"/>
    <w:rsid w:val="032C269C"/>
    <w:rsid w:val="032E86EB"/>
    <w:rsid w:val="032EED7D"/>
    <w:rsid w:val="032F2FBA"/>
    <w:rsid w:val="032F7115"/>
    <w:rsid w:val="033160E1"/>
    <w:rsid w:val="03323848"/>
    <w:rsid w:val="0332A629"/>
    <w:rsid w:val="0334FE76"/>
    <w:rsid w:val="0336722F"/>
    <w:rsid w:val="033AEA2A"/>
    <w:rsid w:val="033B678E"/>
    <w:rsid w:val="033D28F0"/>
    <w:rsid w:val="033D5C81"/>
    <w:rsid w:val="0341C518"/>
    <w:rsid w:val="03498C18"/>
    <w:rsid w:val="034C15F0"/>
    <w:rsid w:val="03525B9D"/>
    <w:rsid w:val="035360AE"/>
    <w:rsid w:val="0353EA6B"/>
    <w:rsid w:val="0354DB4A"/>
    <w:rsid w:val="0355A383"/>
    <w:rsid w:val="0355CC7D"/>
    <w:rsid w:val="0357849D"/>
    <w:rsid w:val="0357D96A"/>
    <w:rsid w:val="035835E9"/>
    <w:rsid w:val="035F1E51"/>
    <w:rsid w:val="0362A17E"/>
    <w:rsid w:val="0366547C"/>
    <w:rsid w:val="03665676"/>
    <w:rsid w:val="036718D3"/>
    <w:rsid w:val="03676FF9"/>
    <w:rsid w:val="0368006C"/>
    <w:rsid w:val="036BF933"/>
    <w:rsid w:val="036D5222"/>
    <w:rsid w:val="036EC3FD"/>
    <w:rsid w:val="036FA6DA"/>
    <w:rsid w:val="037821D7"/>
    <w:rsid w:val="037A3877"/>
    <w:rsid w:val="037D2D63"/>
    <w:rsid w:val="0380145E"/>
    <w:rsid w:val="03833E80"/>
    <w:rsid w:val="03876393"/>
    <w:rsid w:val="0387F947"/>
    <w:rsid w:val="038B29B8"/>
    <w:rsid w:val="038F3241"/>
    <w:rsid w:val="038FC096"/>
    <w:rsid w:val="039066D4"/>
    <w:rsid w:val="0390B92C"/>
    <w:rsid w:val="03956733"/>
    <w:rsid w:val="039CD2D6"/>
    <w:rsid w:val="03A03545"/>
    <w:rsid w:val="03A03F2E"/>
    <w:rsid w:val="03A1D346"/>
    <w:rsid w:val="03A20C4A"/>
    <w:rsid w:val="03A2822E"/>
    <w:rsid w:val="03A79CEA"/>
    <w:rsid w:val="03AAEB5A"/>
    <w:rsid w:val="03AEF19A"/>
    <w:rsid w:val="03B19318"/>
    <w:rsid w:val="03B1CA29"/>
    <w:rsid w:val="03B28BD7"/>
    <w:rsid w:val="03B2A55B"/>
    <w:rsid w:val="03B414A4"/>
    <w:rsid w:val="03B65998"/>
    <w:rsid w:val="03B7E89D"/>
    <w:rsid w:val="03B9F67C"/>
    <w:rsid w:val="03BA355A"/>
    <w:rsid w:val="03C26254"/>
    <w:rsid w:val="03C92360"/>
    <w:rsid w:val="03C94DFA"/>
    <w:rsid w:val="03CA4E3F"/>
    <w:rsid w:val="03CA9FEC"/>
    <w:rsid w:val="03CBF31C"/>
    <w:rsid w:val="03CCE9F2"/>
    <w:rsid w:val="03CE80C1"/>
    <w:rsid w:val="03D0B4CB"/>
    <w:rsid w:val="03D533B6"/>
    <w:rsid w:val="03D65BFF"/>
    <w:rsid w:val="03DED018"/>
    <w:rsid w:val="03DF0E79"/>
    <w:rsid w:val="03E1BD37"/>
    <w:rsid w:val="03E281E1"/>
    <w:rsid w:val="03E2ED73"/>
    <w:rsid w:val="03E38868"/>
    <w:rsid w:val="03E83770"/>
    <w:rsid w:val="03E8B89A"/>
    <w:rsid w:val="03EBEC2D"/>
    <w:rsid w:val="03F23C7F"/>
    <w:rsid w:val="03F29760"/>
    <w:rsid w:val="03F82360"/>
    <w:rsid w:val="03FC4D28"/>
    <w:rsid w:val="03FD2077"/>
    <w:rsid w:val="03FEAAF2"/>
    <w:rsid w:val="03FF37D4"/>
    <w:rsid w:val="03FF4614"/>
    <w:rsid w:val="04045592"/>
    <w:rsid w:val="0405AFA0"/>
    <w:rsid w:val="0405F531"/>
    <w:rsid w:val="0407B623"/>
    <w:rsid w:val="04080109"/>
    <w:rsid w:val="04084F9A"/>
    <w:rsid w:val="0408BF0B"/>
    <w:rsid w:val="0408DD1D"/>
    <w:rsid w:val="0409D162"/>
    <w:rsid w:val="040A8342"/>
    <w:rsid w:val="040BC241"/>
    <w:rsid w:val="040C1B0F"/>
    <w:rsid w:val="040E0D59"/>
    <w:rsid w:val="040F16F3"/>
    <w:rsid w:val="040F78FC"/>
    <w:rsid w:val="040F7D6E"/>
    <w:rsid w:val="04117AD0"/>
    <w:rsid w:val="04154E49"/>
    <w:rsid w:val="04164615"/>
    <w:rsid w:val="0419CD8C"/>
    <w:rsid w:val="041A6209"/>
    <w:rsid w:val="041ED1C8"/>
    <w:rsid w:val="0422EB05"/>
    <w:rsid w:val="0422F8D3"/>
    <w:rsid w:val="0424A0A1"/>
    <w:rsid w:val="042555F8"/>
    <w:rsid w:val="04266B30"/>
    <w:rsid w:val="0426FD4F"/>
    <w:rsid w:val="0427ECC0"/>
    <w:rsid w:val="0429390E"/>
    <w:rsid w:val="0429B733"/>
    <w:rsid w:val="0429FC12"/>
    <w:rsid w:val="042CF3C4"/>
    <w:rsid w:val="042E0BBD"/>
    <w:rsid w:val="042F1C7A"/>
    <w:rsid w:val="0430E4E2"/>
    <w:rsid w:val="043412E7"/>
    <w:rsid w:val="043652A7"/>
    <w:rsid w:val="0438F697"/>
    <w:rsid w:val="04399740"/>
    <w:rsid w:val="043BFD44"/>
    <w:rsid w:val="043CEA3A"/>
    <w:rsid w:val="043F902E"/>
    <w:rsid w:val="04426D4F"/>
    <w:rsid w:val="0443E72D"/>
    <w:rsid w:val="044412E3"/>
    <w:rsid w:val="044967D7"/>
    <w:rsid w:val="0449DF22"/>
    <w:rsid w:val="0449E5B3"/>
    <w:rsid w:val="044B2FA3"/>
    <w:rsid w:val="045475AB"/>
    <w:rsid w:val="0454C7DD"/>
    <w:rsid w:val="0456E10F"/>
    <w:rsid w:val="04589470"/>
    <w:rsid w:val="0461ADBD"/>
    <w:rsid w:val="0462ABB6"/>
    <w:rsid w:val="0464123F"/>
    <w:rsid w:val="04642BBE"/>
    <w:rsid w:val="04645963"/>
    <w:rsid w:val="0464656A"/>
    <w:rsid w:val="04652069"/>
    <w:rsid w:val="0467AB8B"/>
    <w:rsid w:val="04685C9B"/>
    <w:rsid w:val="0468771D"/>
    <w:rsid w:val="0469B90C"/>
    <w:rsid w:val="046B4ECE"/>
    <w:rsid w:val="046BE46E"/>
    <w:rsid w:val="046D4847"/>
    <w:rsid w:val="0471BA43"/>
    <w:rsid w:val="04766F0C"/>
    <w:rsid w:val="0478A00F"/>
    <w:rsid w:val="04798E27"/>
    <w:rsid w:val="047B95FD"/>
    <w:rsid w:val="047F724E"/>
    <w:rsid w:val="04816E86"/>
    <w:rsid w:val="0486EA25"/>
    <w:rsid w:val="04876955"/>
    <w:rsid w:val="04877BEB"/>
    <w:rsid w:val="04879F70"/>
    <w:rsid w:val="0487E5D7"/>
    <w:rsid w:val="0489A8E6"/>
    <w:rsid w:val="048A8F8F"/>
    <w:rsid w:val="048B3EDB"/>
    <w:rsid w:val="048E45C1"/>
    <w:rsid w:val="049130E5"/>
    <w:rsid w:val="04923DE1"/>
    <w:rsid w:val="04940602"/>
    <w:rsid w:val="049C2C8A"/>
    <w:rsid w:val="04A1AEF1"/>
    <w:rsid w:val="04AC3A17"/>
    <w:rsid w:val="04ACB9BD"/>
    <w:rsid w:val="04AE513D"/>
    <w:rsid w:val="04AE588A"/>
    <w:rsid w:val="04AF1525"/>
    <w:rsid w:val="04B11169"/>
    <w:rsid w:val="04B1AD83"/>
    <w:rsid w:val="04B2C774"/>
    <w:rsid w:val="04B2DFE4"/>
    <w:rsid w:val="04B3DB0A"/>
    <w:rsid w:val="04B6C149"/>
    <w:rsid w:val="04B899B6"/>
    <w:rsid w:val="04B93ABA"/>
    <w:rsid w:val="04BA0F91"/>
    <w:rsid w:val="04BA67B5"/>
    <w:rsid w:val="04BC3CA3"/>
    <w:rsid w:val="04BF60DF"/>
    <w:rsid w:val="04C1831F"/>
    <w:rsid w:val="04C1FA36"/>
    <w:rsid w:val="04C33013"/>
    <w:rsid w:val="04C81800"/>
    <w:rsid w:val="04C8A20F"/>
    <w:rsid w:val="04C8F15A"/>
    <w:rsid w:val="04C974D8"/>
    <w:rsid w:val="04CA9905"/>
    <w:rsid w:val="04CC32C7"/>
    <w:rsid w:val="04D1832B"/>
    <w:rsid w:val="04D264EB"/>
    <w:rsid w:val="04D28C68"/>
    <w:rsid w:val="04D35A82"/>
    <w:rsid w:val="04D430E3"/>
    <w:rsid w:val="04D53D22"/>
    <w:rsid w:val="04D74874"/>
    <w:rsid w:val="04D7C27B"/>
    <w:rsid w:val="04DBAA0D"/>
    <w:rsid w:val="04DD7EBD"/>
    <w:rsid w:val="04DF0219"/>
    <w:rsid w:val="04DFD553"/>
    <w:rsid w:val="04E34148"/>
    <w:rsid w:val="04E47623"/>
    <w:rsid w:val="04E5E365"/>
    <w:rsid w:val="04E6065A"/>
    <w:rsid w:val="04E658F2"/>
    <w:rsid w:val="04E721C8"/>
    <w:rsid w:val="04E8F0D6"/>
    <w:rsid w:val="04E93A25"/>
    <w:rsid w:val="04E9B762"/>
    <w:rsid w:val="04EB980D"/>
    <w:rsid w:val="04EBF773"/>
    <w:rsid w:val="04EEE141"/>
    <w:rsid w:val="04EFE2E8"/>
    <w:rsid w:val="04F0803E"/>
    <w:rsid w:val="04F3AE71"/>
    <w:rsid w:val="04F54D92"/>
    <w:rsid w:val="04F61A3A"/>
    <w:rsid w:val="04F8F9DA"/>
    <w:rsid w:val="04F9050A"/>
    <w:rsid w:val="04FB81A4"/>
    <w:rsid w:val="04FB888B"/>
    <w:rsid w:val="04FCA6DB"/>
    <w:rsid w:val="04FE8B0F"/>
    <w:rsid w:val="04FEFC95"/>
    <w:rsid w:val="050253F6"/>
    <w:rsid w:val="0503FA78"/>
    <w:rsid w:val="0505AD75"/>
    <w:rsid w:val="0509376A"/>
    <w:rsid w:val="05095CD0"/>
    <w:rsid w:val="0509CDA6"/>
    <w:rsid w:val="050B8F74"/>
    <w:rsid w:val="050EC50E"/>
    <w:rsid w:val="05112E92"/>
    <w:rsid w:val="0512ACE1"/>
    <w:rsid w:val="0512F792"/>
    <w:rsid w:val="0512FC68"/>
    <w:rsid w:val="0513867A"/>
    <w:rsid w:val="0514684A"/>
    <w:rsid w:val="0514898F"/>
    <w:rsid w:val="051B3F54"/>
    <w:rsid w:val="051D51E8"/>
    <w:rsid w:val="051E9599"/>
    <w:rsid w:val="051FB0B3"/>
    <w:rsid w:val="051FB2EB"/>
    <w:rsid w:val="051FCD59"/>
    <w:rsid w:val="05204111"/>
    <w:rsid w:val="05210892"/>
    <w:rsid w:val="05215248"/>
    <w:rsid w:val="052328EC"/>
    <w:rsid w:val="05239978"/>
    <w:rsid w:val="0523D2AB"/>
    <w:rsid w:val="0525F177"/>
    <w:rsid w:val="052616DD"/>
    <w:rsid w:val="05284531"/>
    <w:rsid w:val="052C17FF"/>
    <w:rsid w:val="052C537B"/>
    <w:rsid w:val="052D3D1F"/>
    <w:rsid w:val="05315148"/>
    <w:rsid w:val="0534D63C"/>
    <w:rsid w:val="0535FEBB"/>
    <w:rsid w:val="0536F2C2"/>
    <w:rsid w:val="05371AE2"/>
    <w:rsid w:val="053E8901"/>
    <w:rsid w:val="05426AE4"/>
    <w:rsid w:val="05452485"/>
    <w:rsid w:val="05477464"/>
    <w:rsid w:val="05483AC3"/>
    <w:rsid w:val="054C2709"/>
    <w:rsid w:val="054C2B3A"/>
    <w:rsid w:val="054F9B8E"/>
    <w:rsid w:val="05562729"/>
    <w:rsid w:val="05582174"/>
    <w:rsid w:val="05585C90"/>
    <w:rsid w:val="055A2210"/>
    <w:rsid w:val="055A48CB"/>
    <w:rsid w:val="055A6F2B"/>
    <w:rsid w:val="055B1DD9"/>
    <w:rsid w:val="055BB386"/>
    <w:rsid w:val="055D8BFE"/>
    <w:rsid w:val="055E2C73"/>
    <w:rsid w:val="055E2F8B"/>
    <w:rsid w:val="055F7381"/>
    <w:rsid w:val="0560A48F"/>
    <w:rsid w:val="05619E05"/>
    <w:rsid w:val="0561E2BD"/>
    <w:rsid w:val="0565A773"/>
    <w:rsid w:val="05666157"/>
    <w:rsid w:val="0569EF6A"/>
    <w:rsid w:val="056B6471"/>
    <w:rsid w:val="056BAD11"/>
    <w:rsid w:val="056C5B40"/>
    <w:rsid w:val="057002F2"/>
    <w:rsid w:val="05708F55"/>
    <w:rsid w:val="05717E13"/>
    <w:rsid w:val="057581CA"/>
    <w:rsid w:val="0576E930"/>
    <w:rsid w:val="05796F16"/>
    <w:rsid w:val="057B1071"/>
    <w:rsid w:val="057BC2EB"/>
    <w:rsid w:val="057E08B5"/>
    <w:rsid w:val="057EE65C"/>
    <w:rsid w:val="0580C9CB"/>
    <w:rsid w:val="05818F33"/>
    <w:rsid w:val="0582A5FF"/>
    <w:rsid w:val="0585139B"/>
    <w:rsid w:val="058528E4"/>
    <w:rsid w:val="058632E3"/>
    <w:rsid w:val="05884C13"/>
    <w:rsid w:val="05891C8F"/>
    <w:rsid w:val="058B020D"/>
    <w:rsid w:val="058BCB1F"/>
    <w:rsid w:val="058CF0DA"/>
    <w:rsid w:val="058EB8FC"/>
    <w:rsid w:val="0590669A"/>
    <w:rsid w:val="059381AD"/>
    <w:rsid w:val="05976F24"/>
    <w:rsid w:val="0597EFE3"/>
    <w:rsid w:val="059A1BA8"/>
    <w:rsid w:val="059ED5D1"/>
    <w:rsid w:val="059F03A9"/>
    <w:rsid w:val="05A0B3B0"/>
    <w:rsid w:val="05A14C12"/>
    <w:rsid w:val="05A32138"/>
    <w:rsid w:val="05A36565"/>
    <w:rsid w:val="05A5E965"/>
    <w:rsid w:val="05A9BDEC"/>
    <w:rsid w:val="05AB898E"/>
    <w:rsid w:val="05AC5B5C"/>
    <w:rsid w:val="05AEB404"/>
    <w:rsid w:val="05B1DA3F"/>
    <w:rsid w:val="05B1F63E"/>
    <w:rsid w:val="05B4EC5F"/>
    <w:rsid w:val="05B54174"/>
    <w:rsid w:val="05B5546E"/>
    <w:rsid w:val="05BC9779"/>
    <w:rsid w:val="05BEB465"/>
    <w:rsid w:val="05C02CC1"/>
    <w:rsid w:val="05C3F8BD"/>
    <w:rsid w:val="05C57376"/>
    <w:rsid w:val="05C70933"/>
    <w:rsid w:val="05C73F32"/>
    <w:rsid w:val="05C7829E"/>
    <w:rsid w:val="05CBCAC1"/>
    <w:rsid w:val="05CBE32D"/>
    <w:rsid w:val="05D172FF"/>
    <w:rsid w:val="05D1A16D"/>
    <w:rsid w:val="05D3BB76"/>
    <w:rsid w:val="05D5F422"/>
    <w:rsid w:val="05D67678"/>
    <w:rsid w:val="05D9E402"/>
    <w:rsid w:val="05E046F3"/>
    <w:rsid w:val="05E051F7"/>
    <w:rsid w:val="05E0C126"/>
    <w:rsid w:val="05E0D431"/>
    <w:rsid w:val="05E16837"/>
    <w:rsid w:val="05E1D103"/>
    <w:rsid w:val="05E6294E"/>
    <w:rsid w:val="05E77A9B"/>
    <w:rsid w:val="05E86EB3"/>
    <w:rsid w:val="05E89BD8"/>
    <w:rsid w:val="05E96CB7"/>
    <w:rsid w:val="05ED88E8"/>
    <w:rsid w:val="05ED9495"/>
    <w:rsid w:val="05F479EC"/>
    <w:rsid w:val="05F4E9E3"/>
    <w:rsid w:val="05F62D52"/>
    <w:rsid w:val="05F7FB88"/>
    <w:rsid w:val="05F84BEA"/>
    <w:rsid w:val="05F8871A"/>
    <w:rsid w:val="05FA2C35"/>
    <w:rsid w:val="05FBF43F"/>
    <w:rsid w:val="05FC57DC"/>
    <w:rsid w:val="06025D59"/>
    <w:rsid w:val="06042F6B"/>
    <w:rsid w:val="060642C7"/>
    <w:rsid w:val="0607258A"/>
    <w:rsid w:val="060827C9"/>
    <w:rsid w:val="0608A69C"/>
    <w:rsid w:val="0608EC12"/>
    <w:rsid w:val="060B7848"/>
    <w:rsid w:val="060C21E5"/>
    <w:rsid w:val="060C9E8F"/>
    <w:rsid w:val="060F7879"/>
    <w:rsid w:val="060F9004"/>
    <w:rsid w:val="06102D58"/>
    <w:rsid w:val="06141B50"/>
    <w:rsid w:val="0615B792"/>
    <w:rsid w:val="0617BFFE"/>
    <w:rsid w:val="061899C3"/>
    <w:rsid w:val="061C848E"/>
    <w:rsid w:val="0620AA6E"/>
    <w:rsid w:val="0623242E"/>
    <w:rsid w:val="0625116C"/>
    <w:rsid w:val="06285B15"/>
    <w:rsid w:val="062A8CF6"/>
    <w:rsid w:val="062AC145"/>
    <w:rsid w:val="062ADEE1"/>
    <w:rsid w:val="062C49A5"/>
    <w:rsid w:val="062D9C96"/>
    <w:rsid w:val="062DC617"/>
    <w:rsid w:val="0632DB7E"/>
    <w:rsid w:val="063493CB"/>
    <w:rsid w:val="0639F4D2"/>
    <w:rsid w:val="063A0E5C"/>
    <w:rsid w:val="063C012F"/>
    <w:rsid w:val="063CB9B0"/>
    <w:rsid w:val="06410CC6"/>
    <w:rsid w:val="0642DF29"/>
    <w:rsid w:val="0643122B"/>
    <w:rsid w:val="0643F655"/>
    <w:rsid w:val="064608DE"/>
    <w:rsid w:val="0646AA4F"/>
    <w:rsid w:val="064A6B2A"/>
    <w:rsid w:val="064AA0CC"/>
    <w:rsid w:val="064ACCCD"/>
    <w:rsid w:val="064E5C28"/>
    <w:rsid w:val="0650BBCA"/>
    <w:rsid w:val="0651AE78"/>
    <w:rsid w:val="0651C8C0"/>
    <w:rsid w:val="06521465"/>
    <w:rsid w:val="065896FC"/>
    <w:rsid w:val="06596771"/>
    <w:rsid w:val="06596AD1"/>
    <w:rsid w:val="065B8E97"/>
    <w:rsid w:val="06663D52"/>
    <w:rsid w:val="066B2AB6"/>
    <w:rsid w:val="066BE940"/>
    <w:rsid w:val="066EF839"/>
    <w:rsid w:val="067157F8"/>
    <w:rsid w:val="067384F7"/>
    <w:rsid w:val="0673E23F"/>
    <w:rsid w:val="067576BE"/>
    <w:rsid w:val="067621B5"/>
    <w:rsid w:val="067928A6"/>
    <w:rsid w:val="067A7C06"/>
    <w:rsid w:val="067C4A95"/>
    <w:rsid w:val="067C5552"/>
    <w:rsid w:val="067D9FE3"/>
    <w:rsid w:val="067FE4C0"/>
    <w:rsid w:val="06802D92"/>
    <w:rsid w:val="06854E0F"/>
    <w:rsid w:val="068B2CE5"/>
    <w:rsid w:val="068BCD91"/>
    <w:rsid w:val="068CE486"/>
    <w:rsid w:val="068E9E42"/>
    <w:rsid w:val="068F4976"/>
    <w:rsid w:val="069830A7"/>
    <w:rsid w:val="0699254F"/>
    <w:rsid w:val="069B2CE4"/>
    <w:rsid w:val="069B4EC2"/>
    <w:rsid w:val="069C2CF6"/>
    <w:rsid w:val="069C7175"/>
    <w:rsid w:val="069D298D"/>
    <w:rsid w:val="069DA68A"/>
    <w:rsid w:val="069DBDBA"/>
    <w:rsid w:val="069F309E"/>
    <w:rsid w:val="06A00A1D"/>
    <w:rsid w:val="06A1E83C"/>
    <w:rsid w:val="06A2759C"/>
    <w:rsid w:val="06A64E08"/>
    <w:rsid w:val="06A664C7"/>
    <w:rsid w:val="06AA4733"/>
    <w:rsid w:val="06AF0E3D"/>
    <w:rsid w:val="06AF60AA"/>
    <w:rsid w:val="06AFE04D"/>
    <w:rsid w:val="06B065E2"/>
    <w:rsid w:val="06B12D54"/>
    <w:rsid w:val="06B37903"/>
    <w:rsid w:val="06B445AA"/>
    <w:rsid w:val="06B47DBF"/>
    <w:rsid w:val="06B4C6F4"/>
    <w:rsid w:val="06B853AB"/>
    <w:rsid w:val="06B9CDC6"/>
    <w:rsid w:val="06BA1161"/>
    <w:rsid w:val="06BF4397"/>
    <w:rsid w:val="06C14DD7"/>
    <w:rsid w:val="06C37757"/>
    <w:rsid w:val="06C497A9"/>
    <w:rsid w:val="06C4FAFB"/>
    <w:rsid w:val="06C822DF"/>
    <w:rsid w:val="06C867CC"/>
    <w:rsid w:val="06C8D849"/>
    <w:rsid w:val="06C9BD9F"/>
    <w:rsid w:val="06CAD88D"/>
    <w:rsid w:val="06CC5064"/>
    <w:rsid w:val="06CC685D"/>
    <w:rsid w:val="06CF872B"/>
    <w:rsid w:val="06D39B9B"/>
    <w:rsid w:val="06D42DE4"/>
    <w:rsid w:val="06D43F92"/>
    <w:rsid w:val="06D8B3B9"/>
    <w:rsid w:val="06DE225D"/>
    <w:rsid w:val="06DE54F3"/>
    <w:rsid w:val="06E13732"/>
    <w:rsid w:val="06E179F4"/>
    <w:rsid w:val="06E44CF7"/>
    <w:rsid w:val="06E81AF2"/>
    <w:rsid w:val="06ED86A0"/>
    <w:rsid w:val="06EF8C7F"/>
    <w:rsid w:val="06F30D9A"/>
    <w:rsid w:val="06F4ED0C"/>
    <w:rsid w:val="06F628FA"/>
    <w:rsid w:val="06F7EB4E"/>
    <w:rsid w:val="06F8637D"/>
    <w:rsid w:val="06FA266E"/>
    <w:rsid w:val="06FEAB20"/>
    <w:rsid w:val="0701D74E"/>
    <w:rsid w:val="0701DAA1"/>
    <w:rsid w:val="070AA000"/>
    <w:rsid w:val="070BCD42"/>
    <w:rsid w:val="070F7DCA"/>
    <w:rsid w:val="07196E82"/>
    <w:rsid w:val="071D57FA"/>
    <w:rsid w:val="071F2BFD"/>
    <w:rsid w:val="0720B3AE"/>
    <w:rsid w:val="0721130F"/>
    <w:rsid w:val="07292250"/>
    <w:rsid w:val="07295A7A"/>
    <w:rsid w:val="072B42EF"/>
    <w:rsid w:val="072E9A07"/>
    <w:rsid w:val="073090FC"/>
    <w:rsid w:val="0732746E"/>
    <w:rsid w:val="0733F638"/>
    <w:rsid w:val="07341688"/>
    <w:rsid w:val="0735AF74"/>
    <w:rsid w:val="07372259"/>
    <w:rsid w:val="07383E40"/>
    <w:rsid w:val="0738B5EB"/>
    <w:rsid w:val="073CE3D2"/>
    <w:rsid w:val="073DA116"/>
    <w:rsid w:val="073EC721"/>
    <w:rsid w:val="073F7DE4"/>
    <w:rsid w:val="07403A6B"/>
    <w:rsid w:val="074401D4"/>
    <w:rsid w:val="0744D928"/>
    <w:rsid w:val="0747D6EF"/>
    <w:rsid w:val="07488C0F"/>
    <w:rsid w:val="074A512C"/>
    <w:rsid w:val="074AE4B6"/>
    <w:rsid w:val="074C3835"/>
    <w:rsid w:val="074C4F6B"/>
    <w:rsid w:val="07548DA3"/>
    <w:rsid w:val="075B2210"/>
    <w:rsid w:val="075BD89D"/>
    <w:rsid w:val="075E044B"/>
    <w:rsid w:val="075F5136"/>
    <w:rsid w:val="07618A07"/>
    <w:rsid w:val="0763EC3E"/>
    <w:rsid w:val="07641E17"/>
    <w:rsid w:val="0770015B"/>
    <w:rsid w:val="07733BB7"/>
    <w:rsid w:val="0774CDA1"/>
    <w:rsid w:val="0776BD37"/>
    <w:rsid w:val="077761B7"/>
    <w:rsid w:val="077A2444"/>
    <w:rsid w:val="077C2B64"/>
    <w:rsid w:val="077C6C3B"/>
    <w:rsid w:val="077C7BE5"/>
    <w:rsid w:val="077DC847"/>
    <w:rsid w:val="077DEBA6"/>
    <w:rsid w:val="077E4E85"/>
    <w:rsid w:val="077E99E8"/>
    <w:rsid w:val="0781799B"/>
    <w:rsid w:val="0782056C"/>
    <w:rsid w:val="07834622"/>
    <w:rsid w:val="0786C7D9"/>
    <w:rsid w:val="0786DD8A"/>
    <w:rsid w:val="0788411E"/>
    <w:rsid w:val="0788F8C8"/>
    <w:rsid w:val="078BFFBB"/>
    <w:rsid w:val="078C66BB"/>
    <w:rsid w:val="078D5A67"/>
    <w:rsid w:val="078E02DD"/>
    <w:rsid w:val="078E0ECF"/>
    <w:rsid w:val="078F2FBE"/>
    <w:rsid w:val="07912CC2"/>
    <w:rsid w:val="0792D620"/>
    <w:rsid w:val="07941DA1"/>
    <w:rsid w:val="0797B3E1"/>
    <w:rsid w:val="079BB301"/>
    <w:rsid w:val="079BFEE1"/>
    <w:rsid w:val="079DCE09"/>
    <w:rsid w:val="079F8E6F"/>
    <w:rsid w:val="07A0EFE8"/>
    <w:rsid w:val="07A6BA35"/>
    <w:rsid w:val="07A7C403"/>
    <w:rsid w:val="07AAC745"/>
    <w:rsid w:val="07ABAFD8"/>
    <w:rsid w:val="07AC8FC5"/>
    <w:rsid w:val="07B11F19"/>
    <w:rsid w:val="07B22BF1"/>
    <w:rsid w:val="07B26DE8"/>
    <w:rsid w:val="07B3FC82"/>
    <w:rsid w:val="07B9293A"/>
    <w:rsid w:val="07BAF7CB"/>
    <w:rsid w:val="07BF690E"/>
    <w:rsid w:val="07C00B3A"/>
    <w:rsid w:val="07C47307"/>
    <w:rsid w:val="07C9ACBE"/>
    <w:rsid w:val="07CAC418"/>
    <w:rsid w:val="07CAD83E"/>
    <w:rsid w:val="07CD2A9E"/>
    <w:rsid w:val="07D2AD60"/>
    <w:rsid w:val="07D2F733"/>
    <w:rsid w:val="07D3AD93"/>
    <w:rsid w:val="07D70B23"/>
    <w:rsid w:val="07D787BB"/>
    <w:rsid w:val="07D7C7A2"/>
    <w:rsid w:val="07DB0686"/>
    <w:rsid w:val="07DB18E6"/>
    <w:rsid w:val="07DB480B"/>
    <w:rsid w:val="07DBC2AE"/>
    <w:rsid w:val="07DC075B"/>
    <w:rsid w:val="07DC42DA"/>
    <w:rsid w:val="07DCF92D"/>
    <w:rsid w:val="07E04F5B"/>
    <w:rsid w:val="07E2F19F"/>
    <w:rsid w:val="07E3AC25"/>
    <w:rsid w:val="07E57224"/>
    <w:rsid w:val="07E8835C"/>
    <w:rsid w:val="07E960A6"/>
    <w:rsid w:val="07E9D307"/>
    <w:rsid w:val="07ECAFD2"/>
    <w:rsid w:val="07F04C5E"/>
    <w:rsid w:val="07F1DD74"/>
    <w:rsid w:val="07F2E661"/>
    <w:rsid w:val="07F6C10E"/>
    <w:rsid w:val="07F71B43"/>
    <w:rsid w:val="07F8A01D"/>
    <w:rsid w:val="07FA8CA7"/>
    <w:rsid w:val="07FC10DF"/>
    <w:rsid w:val="07FDF0B8"/>
    <w:rsid w:val="07FE37EC"/>
    <w:rsid w:val="07FFFBEA"/>
    <w:rsid w:val="08013B07"/>
    <w:rsid w:val="0801F66A"/>
    <w:rsid w:val="08020295"/>
    <w:rsid w:val="0805373F"/>
    <w:rsid w:val="0805ECAB"/>
    <w:rsid w:val="0805F810"/>
    <w:rsid w:val="08063E2E"/>
    <w:rsid w:val="080839D5"/>
    <w:rsid w:val="08092B41"/>
    <w:rsid w:val="080A3F25"/>
    <w:rsid w:val="080A6C23"/>
    <w:rsid w:val="080D13A3"/>
    <w:rsid w:val="081037F6"/>
    <w:rsid w:val="0814CCB5"/>
    <w:rsid w:val="08159179"/>
    <w:rsid w:val="0815DB71"/>
    <w:rsid w:val="08177929"/>
    <w:rsid w:val="081B805C"/>
    <w:rsid w:val="081DB678"/>
    <w:rsid w:val="081E5624"/>
    <w:rsid w:val="081ED267"/>
    <w:rsid w:val="081F5F36"/>
    <w:rsid w:val="08237045"/>
    <w:rsid w:val="082E48A5"/>
    <w:rsid w:val="082EBDA5"/>
    <w:rsid w:val="08328286"/>
    <w:rsid w:val="0832EE21"/>
    <w:rsid w:val="0833D504"/>
    <w:rsid w:val="083512F7"/>
    <w:rsid w:val="08357F6C"/>
    <w:rsid w:val="0835D3DD"/>
    <w:rsid w:val="0836B342"/>
    <w:rsid w:val="0837CA36"/>
    <w:rsid w:val="083A51BF"/>
    <w:rsid w:val="083AD1D3"/>
    <w:rsid w:val="083B7561"/>
    <w:rsid w:val="08417A92"/>
    <w:rsid w:val="084319B1"/>
    <w:rsid w:val="08441065"/>
    <w:rsid w:val="08470E2C"/>
    <w:rsid w:val="08493FCE"/>
    <w:rsid w:val="084BDC3F"/>
    <w:rsid w:val="084CC8D5"/>
    <w:rsid w:val="084D1473"/>
    <w:rsid w:val="084E77B3"/>
    <w:rsid w:val="084FFBB2"/>
    <w:rsid w:val="0851E530"/>
    <w:rsid w:val="085240DF"/>
    <w:rsid w:val="08543042"/>
    <w:rsid w:val="0858EE0F"/>
    <w:rsid w:val="085B32D8"/>
    <w:rsid w:val="085DAA26"/>
    <w:rsid w:val="085DF31D"/>
    <w:rsid w:val="08618517"/>
    <w:rsid w:val="0863196D"/>
    <w:rsid w:val="08632CA0"/>
    <w:rsid w:val="0865875A"/>
    <w:rsid w:val="08680C31"/>
    <w:rsid w:val="0869729D"/>
    <w:rsid w:val="086F0E40"/>
    <w:rsid w:val="087093BB"/>
    <w:rsid w:val="08715781"/>
    <w:rsid w:val="08769F7B"/>
    <w:rsid w:val="0878E3C9"/>
    <w:rsid w:val="087B3C0D"/>
    <w:rsid w:val="087B7FE7"/>
    <w:rsid w:val="087BCBA7"/>
    <w:rsid w:val="087CB7E9"/>
    <w:rsid w:val="087CC2E0"/>
    <w:rsid w:val="087FDFE3"/>
    <w:rsid w:val="08817EFF"/>
    <w:rsid w:val="0882826D"/>
    <w:rsid w:val="0882B7AD"/>
    <w:rsid w:val="088397A6"/>
    <w:rsid w:val="0884E106"/>
    <w:rsid w:val="088AC011"/>
    <w:rsid w:val="088AE2B3"/>
    <w:rsid w:val="088C94D3"/>
    <w:rsid w:val="089001C5"/>
    <w:rsid w:val="0890E0B4"/>
    <w:rsid w:val="0893B4C2"/>
    <w:rsid w:val="0894DF7C"/>
    <w:rsid w:val="089551D4"/>
    <w:rsid w:val="0896A843"/>
    <w:rsid w:val="0896B683"/>
    <w:rsid w:val="089F26B3"/>
    <w:rsid w:val="08A01096"/>
    <w:rsid w:val="08A2C93A"/>
    <w:rsid w:val="08A519C5"/>
    <w:rsid w:val="08A63636"/>
    <w:rsid w:val="08A67D9A"/>
    <w:rsid w:val="08A6A20A"/>
    <w:rsid w:val="08AC1BCC"/>
    <w:rsid w:val="08AC8BA7"/>
    <w:rsid w:val="08AD215F"/>
    <w:rsid w:val="08AE03FD"/>
    <w:rsid w:val="08AFDBED"/>
    <w:rsid w:val="08B2531C"/>
    <w:rsid w:val="08B558BB"/>
    <w:rsid w:val="08B6817E"/>
    <w:rsid w:val="08B6831F"/>
    <w:rsid w:val="08BC3C96"/>
    <w:rsid w:val="08BC4483"/>
    <w:rsid w:val="08BDF031"/>
    <w:rsid w:val="08BFD4FB"/>
    <w:rsid w:val="08C23C82"/>
    <w:rsid w:val="08C815EA"/>
    <w:rsid w:val="08C9E016"/>
    <w:rsid w:val="08CAFDAD"/>
    <w:rsid w:val="08CDBA90"/>
    <w:rsid w:val="08CFF705"/>
    <w:rsid w:val="08D66E04"/>
    <w:rsid w:val="08D721D4"/>
    <w:rsid w:val="08D98F8B"/>
    <w:rsid w:val="08DD975E"/>
    <w:rsid w:val="08E07E3C"/>
    <w:rsid w:val="08E241A7"/>
    <w:rsid w:val="08E9A9D7"/>
    <w:rsid w:val="08E9AB49"/>
    <w:rsid w:val="08EACDAB"/>
    <w:rsid w:val="08EF7A7A"/>
    <w:rsid w:val="08EFF23E"/>
    <w:rsid w:val="08F0B933"/>
    <w:rsid w:val="08F1CCF4"/>
    <w:rsid w:val="08F2C334"/>
    <w:rsid w:val="08F2E377"/>
    <w:rsid w:val="08F38EB6"/>
    <w:rsid w:val="08F85F4D"/>
    <w:rsid w:val="08FB496B"/>
    <w:rsid w:val="08FC31CE"/>
    <w:rsid w:val="08FC40B7"/>
    <w:rsid w:val="08FE7F90"/>
    <w:rsid w:val="0900C0A7"/>
    <w:rsid w:val="09057421"/>
    <w:rsid w:val="0906A019"/>
    <w:rsid w:val="0907C93D"/>
    <w:rsid w:val="090A6CE0"/>
    <w:rsid w:val="090EFD20"/>
    <w:rsid w:val="090F29CA"/>
    <w:rsid w:val="0910BB50"/>
    <w:rsid w:val="0911D2D0"/>
    <w:rsid w:val="09124F9E"/>
    <w:rsid w:val="09135084"/>
    <w:rsid w:val="0916BEA7"/>
    <w:rsid w:val="09175E88"/>
    <w:rsid w:val="0918391B"/>
    <w:rsid w:val="0919051A"/>
    <w:rsid w:val="091C593E"/>
    <w:rsid w:val="091D0A91"/>
    <w:rsid w:val="091E4ABE"/>
    <w:rsid w:val="091EC1C2"/>
    <w:rsid w:val="09210FC0"/>
    <w:rsid w:val="0921150C"/>
    <w:rsid w:val="0922A838"/>
    <w:rsid w:val="09240B52"/>
    <w:rsid w:val="092A0B0B"/>
    <w:rsid w:val="092AB8DC"/>
    <w:rsid w:val="092DCE1D"/>
    <w:rsid w:val="092DDA11"/>
    <w:rsid w:val="092EBA53"/>
    <w:rsid w:val="09309661"/>
    <w:rsid w:val="093113DF"/>
    <w:rsid w:val="093365F9"/>
    <w:rsid w:val="09363977"/>
    <w:rsid w:val="0937348A"/>
    <w:rsid w:val="093C58CF"/>
    <w:rsid w:val="093CFF8B"/>
    <w:rsid w:val="093F07AC"/>
    <w:rsid w:val="09427031"/>
    <w:rsid w:val="0944948D"/>
    <w:rsid w:val="0947A2F2"/>
    <w:rsid w:val="0947F472"/>
    <w:rsid w:val="0948756F"/>
    <w:rsid w:val="09490C61"/>
    <w:rsid w:val="094A5401"/>
    <w:rsid w:val="094C670C"/>
    <w:rsid w:val="094D4F4C"/>
    <w:rsid w:val="095717FD"/>
    <w:rsid w:val="0958952B"/>
    <w:rsid w:val="09592AF2"/>
    <w:rsid w:val="09598C75"/>
    <w:rsid w:val="095B18F5"/>
    <w:rsid w:val="095DB9D1"/>
    <w:rsid w:val="095E7615"/>
    <w:rsid w:val="09666B06"/>
    <w:rsid w:val="09670439"/>
    <w:rsid w:val="096A0394"/>
    <w:rsid w:val="096E5EB4"/>
    <w:rsid w:val="096F4EBA"/>
    <w:rsid w:val="0971FAFD"/>
    <w:rsid w:val="0973262C"/>
    <w:rsid w:val="09753FCC"/>
    <w:rsid w:val="097592C1"/>
    <w:rsid w:val="09778501"/>
    <w:rsid w:val="097937BA"/>
    <w:rsid w:val="0979FAB1"/>
    <w:rsid w:val="097D9323"/>
    <w:rsid w:val="097F8345"/>
    <w:rsid w:val="0982692A"/>
    <w:rsid w:val="09832ACF"/>
    <w:rsid w:val="09872128"/>
    <w:rsid w:val="098DC61A"/>
    <w:rsid w:val="098E81BE"/>
    <w:rsid w:val="09913FB8"/>
    <w:rsid w:val="09921487"/>
    <w:rsid w:val="09922C35"/>
    <w:rsid w:val="0995332C"/>
    <w:rsid w:val="099F2C26"/>
    <w:rsid w:val="099F5032"/>
    <w:rsid w:val="09A06567"/>
    <w:rsid w:val="09A2573C"/>
    <w:rsid w:val="09A26AED"/>
    <w:rsid w:val="09A3EDCE"/>
    <w:rsid w:val="09A41F24"/>
    <w:rsid w:val="09A95A0F"/>
    <w:rsid w:val="09A9FFD2"/>
    <w:rsid w:val="09AC3343"/>
    <w:rsid w:val="09AD39A9"/>
    <w:rsid w:val="09AF07D7"/>
    <w:rsid w:val="09B30234"/>
    <w:rsid w:val="09B66A20"/>
    <w:rsid w:val="09B88D20"/>
    <w:rsid w:val="09B9AE53"/>
    <w:rsid w:val="09BB4C9B"/>
    <w:rsid w:val="09C20FD9"/>
    <w:rsid w:val="09C2AD4E"/>
    <w:rsid w:val="09C3C108"/>
    <w:rsid w:val="09C3D042"/>
    <w:rsid w:val="09C71AEE"/>
    <w:rsid w:val="09C7C54E"/>
    <w:rsid w:val="09C80239"/>
    <w:rsid w:val="09C8D5F4"/>
    <w:rsid w:val="09C8D9D6"/>
    <w:rsid w:val="09CC2737"/>
    <w:rsid w:val="09CDCB7E"/>
    <w:rsid w:val="09CE4B3A"/>
    <w:rsid w:val="09CEBE44"/>
    <w:rsid w:val="09CF2B36"/>
    <w:rsid w:val="09D001C7"/>
    <w:rsid w:val="09D23D17"/>
    <w:rsid w:val="09D283A3"/>
    <w:rsid w:val="09D3F91D"/>
    <w:rsid w:val="09D8424B"/>
    <w:rsid w:val="09DCD11F"/>
    <w:rsid w:val="09DDEF82"/>
    <w:rsid w:val="09E00556"/>
    <w:rsid w:val="09E2A7EB"/>
    <w:rsid w:val="09E2B4C6"/>
    <w:rsid w:val="09E2FC84"/>
    <w:rsid w:val="09E483EB"/>
    <w:rsid w:val="09E52199"/>
    <w:rsid w:val="09E60169"/>
    <w:rsid w:val="09E797D5"/>
    <w:rsid w:val="09EBBC4A"/>
    <w:rsid w:val="09ECD90B"/>
    <w:rsid w:val="09ED7937"/>
    <w:rsid w:val="09EF2EF3"/>
    <w:rsid w:val="09F16ECB"/>
    <w:rsid w:val="09F3E6E1"/>
    <w:rsid w:val="09F486DD"/>
    <w:rsid w:val="09F78E37"/>
    <w:rsid w:val="09FA7467"/>
    <w:rsid w:val="09FB329C"/>
    <w:rsid w:val="09FC9C86"/>
    <w:rsid w:val="09FD84EC"/>
    <w:rsid w:val="0A017056"/>
    <w:rsid w:val="0A082D13"/>
    <w:rsid w:val="0A0BFC0E"/>
    <w:rsid w:val="0A0D58B0"/>
    <w:rsid w:val="0A1039E6"/>
    <w:rsid w:val="0A1250C3"/>
    <w:rsid w:val="0A14B84B"/>
    <w:rsid w:val="0A14DAEF"/>
    <w:rsid w:val="0A157270"/>
    <w:rsid w:val="0A157EF2"/>
    <w:rsid w:val="0A16CE67"/>
    <w:rsid w:val="0A1C8459"/>
    <w:rsid w:val="0A1D2C18"/>
    <w:rsid w:val="0A1E52CE"/>
    <w:rsid w:val="0A1F14AF"/>
    <w:rsid w:val="0A1F1AB4"/>
    <w:rsid w:val="0A227701"/>
    <w:rsid w:val="0A23F0D3"/>
    <w:rsid w:val="0A25641D"/>
    <w:rsid w:val="0A26587F"/>
    <w:rsid w:val="0A26B251"/>
    <w:rsid w:val="0A293815"/>
    <w:rsid w:val="0A2C4E74"/>
    <w:rsid w:val="0A2E0640"/>
    <w:rsid w:val="0A308F2A"/>
    <w:rsid w:val="0A3243EB"/>
    <w:rsid w:val="0A341D13"/>
    <w:rsid w:val="0A3B2198"/>
    <w:rsid w:val="0A3D1DC5"/>
    <w:rsid w:val="0A43A096"/>
    <w:rsid w:val="0A44A38D"/>
    <w:rsid w:val="0A4618BE"/>
    <w:rsid w:val="0A474BAF"/>
    <w:rsid w:val="0A483C98"/>
    <w:rsid w:val="0A4961A7"/>
    <w:rsid w:val="0A4A0DF2"/>
    <w:rsid w:val="0A4E0556"/>
    <w:rsid w:val="0A4FC6C5"/>
    <w:rsid w:val="0A51047D"/>
    <w:rsid w:val="0A516C51"/>
    <w:rsid w:val="0A539621"/>
    <w:rsid w:val="0A54C1A4"/>
    <w:rsid w:val="0A58E5A7"/>
    <w:rsid w:val="0A58E646"/>
    <w:rsid w:val="0A597D26"/>
    <w:rsid w:val="0A5A93DB"/>
    <w:rsid w:val="0A5C82DD"/>
    <w:rsid w:val="0A5E63DE"/>
    <w:rsid w:val="0A5E693B"/>
    <w:rsid w:val="0A63DAFD"/>
    <w:rsid w:val="0A648193"/>
    <w:rsid w:val="0A6764E4"/>
    <w:rsid w:val="0A6A8AC3"/>
    <w:rsid w:val="0A6B350F"/>
    <w:rsid w:val="0A6B66E5"/>
    <w:rsid w:val="0A6C78E5"/>
    <w:rsid w:val="0A6CEBAD"/>
    <w:rsid w:val="0A700F9F"/>
    <w:rsid w:val="0A714203"/>
    <w:rsid w:val="0A724D77"/>
    <w:rsid w:val="0A7632CE"/>
    <w:rsid w:val="0A765710"/>
    <w:rsid w:val="0A7EDA90"/>
    <w:rsid w:val="0A81AE27"/>
    <w:rsid w:val="0A87AE4D"/>
    <w:rsid w:val="0A87B992"/>
    <w:rsid w:val="0A87BA0A"/>
    <w:rsid w:val="0A8B263E"/>
    <w:rsid w:val="0A8CBDA0"/>
    <w:rsid w:val="0A8CBF04"/>
    <w:rsid w:val="0A8D943B"/>
    <w:rsid w:val="0A9165FC"/>
    <w:rsid w:val="0A99AABD"/>
    <w:rsid w:val="0A9A5E96"/>
    <w:rsid w:val="0A9AE783"/>
    <w:rsid w:val="0A9C7A94"/>
    <w:rsid w:val="0A9D80E1"/>
    <w:rsid w:val="0A9E5173"/>
    <w:rsid w:val="0A9F371A"/>
    <w:rsid w:val="0A9FE2BA"/>
    <w:rsid w:val="0AA38539"/>
    <w:rsid w:val="0AA3B932"/>
    <w:rsid w:val="0AA50716"/>
    <w:rsid w:val="0AA87FC4"/>
    <w:rsid w:val="0AADC068"/>
    <w:rsid w:val="0AADF822"/>
    <w:rsid w:val="0AAF8506"/>
    <w:rsid w:val="0AB12E5C"/>
    <w:rsid w:val="0AB3F6CC"/>
    <w:rsid w:val="0AB5A2F5"/>
    <w:rsid w:val="0AB67AB5"/>
    <w:rsid w:val="0AB6AAA1"/>
    <w:rsid w:val="0AB6C5E0"/>
    <w:rsid w:val="0AB80E81"/>
    <w:rsid w:val="0ABC4661"/>
    <w:rsid w:val="0ABC6CFF"/>
    <w:rsid w:val="0ABDA5A1"/>
    <w:rsid w:val="0AC26E21"/>
    <w:rsid w:val="0AC669B8"/>
    <w:rsid w:val="0ACACC3E"/>
    <w:rsid w:val="0AD08046"/>
    <w:rsid w:val="0AD0DD23"/>
    <w:rsid w:val="0AD27896"/>
    <w:rsid w:val="0AD4FA81"/>
    <w:rsid w:val="0AD53FAD"/>
    <w:rsid w:val="0AD6B531"/>
    <w:rsid w:val="0ADAF823"/>
    <w:rsid w:val="0ADBC997"/>
    <w:rsid w:val="0ADC3C68"/>
    <w:rsid w:val="0AE19534"/>
    <w:rsid w:val="0AE4C30B"/>
    <w:rsid w:val="0AE6CD11"/>
    <w:rsid w:val="0AE8118D"/>
    <w:rsid w:val="0AEB681A"/>
    <w:rsid w:val="0AEC7AC2"/>
    <w:rsid w:val="0AEDA54A"/>
    <w:rsid w:val="0AEDDFBE"/>
    <w:rsid w:val="0AEE9F89"/>
    <w:rsid w:val="0AF0697F"/>
    <w:rsid w:val="0AF0ADFB"/>
    <w:rsid w:val="0AF2AE9A"/>
    <w:rsid w:val="0AF4F1F4"/>
    <w:rsid w:val="0AF5DEC0"/>
    <w:rsid w:val="0AF696E3"/>
    <w:rsid w:val="0AF6C8D5"/>
    <w:rsid w:val="0AF981FB"/>
    <w:rsid w:val="0AFB457D"/>
    <w:rsid w:val="0AFB5222"/>
    <w:rsid w:val="0AFD3B16"/>
    <w:rsid w:val="0B0042FF"/>
    <w:rsid w:val="0B06C567"/>
    <w:rsid w:val="0B0962B9"/>
    <w:rsid w:val="0B098143"/>
    <w:rsid w:val="0B099B5E"/>
    <w:rsid w:val="0B0B9E84"/>
    <w:rsid w:val="0B0EDCDA"/>
    <w:rsid w:val="0B11B295"/>
    <w:rsid w:val="0B11C6FA"/>
    <w:rsid w:val="0B143C9A"/>
    <w:rsid w:val="0B15EDCF"/>
    <w:rsid w:val="0B16D5C6"/>
    <w:rsid w:val="0B16FBEE"/>
    <w:rsid w:val="0B197E41"/>
    <w:rsid w:val="0B1EB149"/>
    <w:rsid w:val="0B1ECB43"/>
    <w:rsid w:val="0B2481ED"/>
    <w:rsid w:val="0B26E143"/>
    <w:rsid w:val="0B291A88"/>
    <w:rsid w:val="0B291C22"/>
    <w:rsid w:val="0B2F91A2"/>
    <w:rsid w:val="0B300C88"/>
    <w:rsid w:val="0B312D3A"/>
    <w:rsid w:val="0B319D5F"/>
    <w:rsid w:val="0B3397B7"/>
    <w:rsid w:val="0B384C79"/>
    <w:rsid w:val="0B39B8A8"/>
    <w:rsid w:val="0B3AF68B"/>
    <w:rsid w:val="0B3BC247"/>
    <w:rsid w:val="0B3E059F"/>
    <w:rsid w:val="0B3E9765"/>
    <w:rsid w:val="0B40F2B1"/>
    <w:rsid w:val="0B42E445"/>
    <w:rsid w:val="0B45298C"/>
    <w:rsid w:val="0B466024"/>
    <w:rsid w:val="0B4970D8"/>
    <w:rsid w:val="0B4F56E2"/>
    <w:rsid w:val="0B514C6B"/>
    <w:rsid w:val="0B54A34B"/>
    <w:rsid w:val="0B59C916"/>
    <w:rsid w:val="0B59FA08"/>
    <w:rsid w:val="0B5EF755"/>
    <w:rsid w:val="0B6104D8"/>
    <w:rsid w:val="0B63B0D9"/>
    <w:rsid w:val="0B691551"/>
    <w:rsid w:val="0B6BB710"/>
    <w:rsid w:val="0B6C3977"/>
    <w:rsid w:val="0B6CC3D1"/>
    <w:rsid w:val="0B719C62"/>
    <w:rsid w:val="0B7236B6"/>
    <w:rsid w:val="0B762766"/>
    <w:rsid w:val="0B770BCE"/>
    <w:rsid w:val="0B7CB642"/>
    <w:rsid w:val="0B7DEA8B"/>
    <w:rsid w:val="0B7FB33B"/>
    <w:rsid w:val="0B800E7D"/>
    <w:rsid w:val="0B826973"/>
    <w:rsid w:val="0B8325F5"/>
    <w:rsid w:val="0B83D85A"/>
    <w:rsid w:val="0B8716E2"/>
    <w:rsid w:val="0B8795EE"/>
    <w:rsid w:val="0B890E66"/>
    <w:rsid w:val="0B8C166B"/>
    <w:rsid w:val="0B8D12FF"/>
    <w:rsid w:val="0B8DF57A"/>
    <w:rsid w:val="0B932F5B"/>
    <w:rsid w:val="0B938FD6"/>
    <w:rsid w:val="0B93EE7F"/>
    <w:rsid w:val="0B93F381"/>
    <w:rsid w:val="0B9496B9"/>
    <w:rsid w:val="0B96D20C"/>
    <w:rsid w:val="0B98E3A2"/>
    <w:rsid w:val="0B992D01"/>
    <w:rsid w:val="0B9A873A"/>
    <w:rsid w:val="0B9AB7B0"/>
    <w:rsid w:val="0B9B9BFE"/>
    <w:rsid w:val="0B9BE27D"/>
    <w:rsid w:val="0B9C67D6"/>
    <w:rsid w:val="0B9FFCD4"/>
    <w:rsid w:val="0BA55444"/>
    <w:rsid w:val="0BA5A658"/>
    <w:rsid w:val="0BA6E133"/>
    <w:rsid w:val="0BA81A35"/>
    <w:rsid w:val="0BB3A806"/>
    <w:rsid w:val="0BB5D90F"/>
    <w:rsid w:val="0BB894C3"/>
    <w:rsid w:val="0BB9E77A"/>
    <w:rsid w:val="0BBB8C2B"/>
    <w:rsid w:val="0BBBFEC7"/>
    <w:rsid w:val="0BBCF219"/>
    <w:rsid w:val="0BBDC532"/>
    <w:rsid w:val="0BBF338F"/>
    <w:rsid w:val="0BBF82E8"/>
    <w:rsid w:val="0BC1429F"/>
    <w:rsid w:val="0BC1FC5F"/>
    <w:rsid w:val="0BC3D8FB"/>
    <w:rsid w:val="0BC6C5DC"/>
    <w:rsid w:val="0BC7A863"/>
    <w:rsid w:val="0BC7B63F"/>
    <w:rsid w:val="0BC82E02"/>
    <w:rsid w:val="0BCCECDE"/>
    <w:rsid w:val="0BD1B060"/>
    <w:rsid w:val="0BD46B69"/>
    <w:rsid w:val="0BD5F647"/>
    <w:rsid w:val="0BD874E2"/>
    <w:rsid w:val="0BD9B4A6"/>
    <w:rsid w:val="0BDB6954"/>
    <w:rsid w:val="0BE2747A"/>
    <w:rsid w:val="0BE2B6D9"/>
    <w:rsid w:val="0BE7A201"/>
    <w:rsid w:val="0BE94668"/>
    <w:rsid w:val="0BEA31B7"/>
    <w:rsid w:val="0BEB0262"/>
    <w:rsid w:val="0BEBEEFC"/>
    <w:rsid w:val="0BED0C92"/>
    <w:rsid w:val="0BEECDA7"/>
    <w:rsid w:val="0BEF0213"/>
    <w:rsid w:val="0BF294B4"/>
    <w:rsid w:val="0BF4A54E"/>
    <w:rsid w:val="0BF4A5D2"/>
    <w:rsid w:val="0BF7EFD1"/>
    <w:rsid w:val="0BFAFF03"/>
    <w:rsid w:val="0BFD23C9"/>
    <w:rsid w:val="0BFE7335"/>
    <w:rsid w:val="0C02798D"/>
    <w:rsid w:val="0C02EAFB"/>
    <w:rsid w:val="0C03978E"/>
    <w:rsid w:val="0C0574D5"/>
    <w:rsid w:val="0C094E70"/>
    <w:rsid w:val="0C095C32"/>
    <w:rsid w:val="0C11610E"/>
    <w:rsid w:val="0C1223C1"/>
    <w:rsid w:val="0C13CDF3"/>
    <w:rsid w:val="0C1EA039"/>
    <w:rsid w:val="0C1EC10C"/>
    <w:rsid w:val="0C1F85E3"/>
    <w:rsid w:val="0C20C05E"/>
    <w:rsid w:val="0C2326FD"/>
    <w:rsid w:val="0C233691"/>
    <w:rsid w:val="0C2361D3"/>
    <w:rsid w:val="0C2716FD"/>
    <w:rsid w:val="0C27B9B7"/>
    <w:rsid w:val="0C2AA0B1"/>
    <w:rsid w:val="0C2B8B1F"/>
    <w:rsid w:val="0C2C0445"/>
    <w:rsid w:val="0C2D4D9D"/>
    <w:rsid w:val="0C2D4E47"/>
    <w:rsid w:val="0C2EA4CF"/>
    <w:rsid w:val="0C309FCC"/>
    <w:rsid w:val="0C3128B1"/>
    <w:rsid w:val="0C324E2E"/>
    <w:rsid w:val="0C34CA0F"/>
    <w:rsid w:val="0C355B52"/>
    <w:rsid w:val="0C36E93E"/>
    <w:rsid w:val="0C37BBC9"/>
    <w:rsid w:val="0C3844F5"/>
    <w:rsid w:val="0C3A2675"/>
    <w:rsid w:val="0C406193"/>
    <w:rsid w:val="0C42525C"/>
    <w:rsid w:val="0C4A4D88"/>
    <w:rsid w:val="0C4E1452"/>
    <w:rsid w:val="0C569FB4"/>
    <w:rsid w:val="0C598857"/>
    <w:rsid w:val="0C5AE678"/>
    <w:rsid w:val="0C5CA2D2"/>
    <w:rsid w:val="0C5CF4F1"/>
    <w:rsid w:val="0C5D2D7E"/>
    <w:rsid w:val="0C5FB42A"/>
    <w:rsid w:val="0C6201DB"/>
    <w:rsid w:val="0C64B4AF"/>
    <w:rsid w:val="0C64F80A"/>
    <w:rsid w:val="0C692288"/>
    <w:rsid w:val="0C698EB8"/>
    <w:rsid w:val="0C6A9F2C"/>
    <w:rsid w:val="0C6BB99B"/>
    <w:rsid w:val="0C6E30E1"/>
    <w:rsid w:val="0C77911E"/>
    <w:rsid w:val="0C7BFDBF"/>
    <w:rsid w:val="0C7FDFB7"/>
    <w:rsid w:val="0C80AD63"/>
    <w:rsid w:val="0C829429"/>
    <w:rsid w:val="0C874BE6"/>
    <w:rsid w:val="0C881D14"/>
    <w:rsid w:val="0C8A5F98"/>
    <w:rsid w:val="0C8E1950"/>
    <w:rsid w:val="0C924FB6"/>
    <w:rsid w:val="0C939104"/>
    <w:rsid w:val="0C953C54"/>
    <w:rsid w:val="0C95621F"/>
    <w:rsid w:val="0C98308C"/>
    <w:rsid w:val="0C9AC1F4"/>
    <w:rsid w:val="0C9D7EF6"/>
    <w:rsid w:val="0C9DE437"/>
    <w:rsid w:val="0C9E239F"/>
    <w:rsid w:val="0CA32036"/>
    <w:rsid w:val="0CA3FCB3"/>
    <w:rsid w:val="0CA762C1"/>
    <w:rsid w:val="0CA7FB64"/>
    <w:rsid w:val="0CAF6091"/>
    <w:rsid w:val="0CB085D6"/>
    <w:rsid w:val="0CB480E2"/>
    <w:rsid w:val="0CB64E74"/>
    <w:rsid w:val="0CB77476"/>
    <w:rsid w:val="0CBAA13F"/>
    <w:rsid w:val="0CBB89D1"/>
    <w:rsid w:val="0CBD4D42"/>
    <w:rsid w:val="0CC38B97"/>
    <w:rsid w:val="0CC46E61"/>
    <w:rsid w:val="0CC6BBC8"/>
    <w:rsid w:val="0CC9423A"/>
    <w:rsid w:val="0CCA3747"/>
    <w:rsid w:val="0CCAD72D"/>
    <w:rsid w:val="0CCC8185"/>
    <w:rsid w:val="0CCE9406"/>
    <w:rsid w:val="0CD2661E"/>
    <w:rsid w:val="0CD424F5"/>
    <w:rsid w:val="0CD5765C"/>
    <w:rsid w:val="0CD77247"/>
    <w:rsid w:val="0CDA0E80"/>
    <w:rsid w:val="0CDAA8B6"/>
    <w:rsid w:val="0CDB6E5F"/>
    <w:rsid w:val="0CE082C8"/>
    <w:rsid w:val="0CE24745"/>
    <w:rsid w:val="0CE32B7A"/>
    <w:rsid w:val="0CE3F022"/>
    <w:rsid w:val="0CE4177E"/>
    <w:rsid w:val="0CE7AAB0"/>
    <w:rsid w:val="0CE7E18D"/>
    <w:rsid w:val="0CEB8111"/>
    <w:rsid w:val="0CF235A8"/>
    <w:rsid w:val="0CF69E6E"/>
    <w:rsid w:val="0CFA3846"/>
    <w:rsid w:val="0CFAE899"/>
    <w:rsid w:val="0CFCD49E"/>
    <w:rsid w:val="0CFCD840"/>
    <w:rsid w:val="0CFF6B90"/>
    <w:rsid w:val="0D00FF80"/>
    <w:rsid w:val="0D01F452"/>
    <w:rsid w:val="0D057073"/>
    <w:rsid w:val="0D09CB4B"/>
    <w:rsid w:val="0D09DD9E"/>
    <w:rsid w:val="0D0AEEA9"/>
    <w:rsid w:val="0D0E97DC"/>
    <w:rsid w:val="0D0F35AC"/>
    <w:rsid w:val="0D0F5BBB"/>
    <w:rsid w:val="0D1B952B"/>
    <w:rsid w:val="0D1BEE3A"/>
    <w:rsid w:val="0D1DD39B"/>
    <w:rsid w:val="0D1E2C9B"/>
    <w:rsid w:val="0D1E4A7D"/>
    <w:rsid w:val="0D1EE83C"/>
    <w:rsid w:val="0D22D467"/>
    <w:rsid w:val="0D231B16"/>
    <w:rsid w:val="0D256DD0"/>
    <w:rsid w:val="0D2838DA"/>
    <w:rsid w:val="0D29D78C"/>
    <w:rsid w:val="0D2BB582"/>
    <w:rsid w:val="0D2D2258"/>
    <w:rsid w:val="0D2F6D11"/>
    <w:rsid w:val="0D32045A"/>
    <w:rsid w:val="0D3447B5"/>
    <w:rsid w:val="0D345AA8"/>
    <w:rsid w:val="0D347941"/>
    <w:rsid w:val="0D34D5D2"/>
    <w:rsid w:val="0D352F5B"/>
    <w:rsid w:val="0D370F61"/>
    <w:rsid w:val="0D373CC0"/>
    <w:rsid w:val="0D37DF3B"/>
    <w:rsid w:val="0D385401"/>
    <w:rsid w:val="0D3CB10D"/>
    <w:rsid w:val="0D3F4CD3"/>
    <w:rsid w:val="0D417B46"/>
    <w:rsid w:val="0D42103A"/>
    <w:rsid w:val="0D44C35C"/>
    <w:rsid w:val="0D467E5D"/>
    <w:rsid w:val="0D46CB12"/>
    <w:rsid w:val="0D46DABE"/>
    <w:rsid w:val="0D4B3816"/>
    <w:rsid w:val="0D4C6C3B"/>
    <w:rsid w:val="0D4D0DE1"/>
    <w:rsid w:val="0D5017A5"/>
    <w:rsid w:val="0D50569F"/>
    <w:rsid w:val="0D514FB9"/>
    <w:rsid w:val="0D51B38C"/>
    <w:rsid w:val="0D52EFD6"/>
    <w:rsid w:val="0D541C58"/>
    <w:rsid w:val="0D54E88A"/>
    <w:rsid w:val="0D56F38C"/>
    <w:rsid w:val="0D57B34B"/>
    <w:rsid w:val="0D5E3504"/>
    <w:rsid w:val="0D627DFA"/>
    <w:rsid w:val="0D660608"/>
    <w:rsid w:val="0D672ECC"/>
    <w:rsid w:val="0D6D37D2"/>
    <w:rsid w:val="0D6DD4B8"/>
    <w:rsid w:val="0D6F44ED"/>
    <w:rsid w:val="0D7147FD"/>
    <w:rsid w:val="0D7362CB"/>
    <w:rsid w:val="0D74E348"/>
    <w:rsid w:val="0D76B457"/>
    <w:rsid w:val="0D77CE9C"/>
    <w:rsid w:val="0D791BC7"/>
    <w:rsid w:val="0D7C5180"/>
    <w:rsid w:val="0D7E18B8"/>
    <w:rsid w:val="0D7F48CC"/>
    <w:rsid w:val="0D811449"/>
    <w:rsid w:val="0D827BB2"/>
    <w:rsid w:val="0D839BFE"/>
    <w:rsid w:val="0D8473DB"/>
    <w:rsid w:val="0D8608FB"/>
    <w:rsid w:val="0D86B0B5"/>
    <w:rsid w:val="0D86F683"/>
    <w:rsid w:val="0D8A656D"/>
    <w:rsid w:val="0D8C5E7D"/>
    <w:rsid w:val="0D8C9A8D"/>
    <w:rsid w:val="0D8DED94"/>
    <w:rsid w:val="0D8F7124"/>
    <w:rsid w:val="0D907246"/>
    <w:rsid w:val="0D908669"/>
    <w:rsid w:val="0D963012"/>
    <w:rsid w:val="0D971403"/>
    <w:rsid w:val="0D97B388"/>
    <w:rsid w:val="0D999BCA"/>
    <w:rsid w:val="0D99BB8F"/>
    <w:rsid w:val="0D9A50FD"/>
    <w:rsid w:val="0D9AC9A8"/>
    <w:rsid w:val="0D9D965C"/>
    <w:rsid w:val="0DA01CF6"/>
    <w:rsid w:val="0DA0D791"/>
    <w:rsid w:val="0DA2BF9F"/>
    <w:rsid w:val="0DA2F580"/>
    <w:rsid w:val="0DA39E07"/>
    <w:rsid w:val="0DA40980"/>
    <w:rsid w:val="0DA46A61"/>
    <w:rsid w:val="0DA5AC52"/>
    <w:rsid w:val="0DA85958"/>
    <w:rsid w:val="0DA990CD"/>
    <w:rsid w:val="0DAA333A"/>
    <w:rsid w:val="0DAF9A50"/>
    <w:rsid w:val="0DB0158B"/>
    <w:rsid w:val="0DB0FF06"/>
    <w:rsid w:val="0DB112B8"/>
    <w:rsid w:val="0DB3DA31"/>
    <w:rsid w:val="0DB42E67"/>
    <w:rsid w:val="0DB453E8"/>
    <w:rsid w:val="0DB5A77E"/>
    <w:rsid w:val="0DB60A40"/>
    <w:rsid w:val="0DB7D74D"/>
    <w:rsid w:val="0DB7D8C4"/>
    <w:rsid w:val="0DB8213A"/>
    <w:rsid w:val="0DBCE0AF"/>
    <w:rsid w:val="0DC311EB"/>
    <w:rsid w:val="0DC473DC"/>
    <w:rsid w:val="0DC6E7A8"/>
    <w:rsid w:val="0DC7453C"/>
    <w:rsid w:val="0DC7688F"/>
    <w:rsid w:val="0DC7EBEE"/>
    <w:rsid w:val="0DC906BE"/>
    <w:rsid w:val="0DCC63DA"/>
    <w:rsid w:val="0DCDDDED"/>
    <w:rsid w:val="0DCEA8DA"/>
    <w:rsid w:val="0DD0D941"/>
    <w:rsid w:val="0DD121B4"/>
    <w:rsid w:val="0DD34906"/>
    <w:rsid w:val="0DDC6E95"/>
    <w:rsid w:val="0DDC7158"/>
    <w:rsid w:val="0DDEEA1A"/>
    <w:rsid w:val="0DE17968"/>
    <w:rsid w:val="0DE5AF30"/>
    <w:rsid w:val="0DED4B97"/>
    <w:rsid w:val="0DEDC35C"/>
    <w:rsid w:val="0DEE72C3"/>
    <w:rsid w:val="0DEEBA98"/>
    <w:rsid w:val="0DF0256F"/>
    <w:rsid w:val="0DF069C8"/>
    <w:rsid w:val="0DF2134C"/>
    <w:rsid w:val="0DF234B8"/>
    <w:rsid w:val="0DF81A70"/>
    <w:rsid w:val="0DFB670A"/>
    <w:rsid w:val="0DFBCBF4"/>
    <w:rsid w:val="0DFDE7A0"/>
    <w:rsid w:val="0DFF6FD6"/>
    <w:rsid w:val="0E021428"/>
    <w:rsid w:val="0E023B6C"/>
    <w:rsid w:val="0E05F43D"/>
    <w:rsid w:val="0E06D1C3"/>
    <w:rsid w:val="0E076113"/>
    <w:rsid w:val="0E085D1A"/>
    <w:rsid w:val="0E0AFEEE"/>
    <w:rsid w:val="0E0C2597"/>
    <w:rsid w:val="0E0C624C"/>
    <w:rsid w:val="0E0DFCBF"/>
    <w:rsid w:val="0E0F96C2"/>
    <w:rsid w:val="0E109AD2"/>
    <w:rsid w:val="0E1177AA"/>
    <w:rsid w:val="0E127892"/>
    <w:rsid w:val="0E12B4BF"/>
    <w:rsid w:val="0E12B8C2"/>
    <w:rsid w:val="0E149642"/>
    <w:rsid w:val="0E15426C"/>
    <w:rsid w:val="0E18C729"/>
    <w:rsid w:val="0E18D25D"/>
    <w:rsid w:val="0E1ADD0B"/>
    <w:rsid w:val="0E1B944D"/>
    <w:rsid w:val="0E1C36BC"/>
    <w:rsid w:val="0E1EA71E"/>
    <w:rsid w:val="0E1EFA33"/>
    <w:rsid w:val="0E1F30BD"/>
    <w:rsid w:val="0E23FB06"/>
    <w:rsid w:val="0E254934"/>
    <w:rsid w:val="0E2A55DF"/>
    <w:rsid w:val="0E2B05F5"/>
    <w:rsid w:val="0E2CE7F7"/>
    <w:rsid w:val="0E2EA480"/>
    <w:rsid w:val="0E2EC4DD"/>
    <w:rsid w:val="0E305365"/>
    <w:rsid w:val="0E30AD8A"/>
    <w:rsid w:val="0E32249B"/>
    <w:rsid w:val="0E332F7D"/>
    <w:rsid w:val="0E34AB54"/>
    <w:rsid w:val="0E34C1D7"/>
    <w:rsid w:val="0E388025"/>
    <w:rsid w:val="0E3A6322"/>
    <w:rsid w:val="0E3B5516"/>
    <w:rsid w:val="0E3B822F"/>
    <w:rsid w:val="0E3C040C"/>
    <w:rsid w:val="0E3CB5F8"/>
    <w:rsid w:val="0E3DC2A9"/>
    <w:rsid w:val="0E3E287C"/>
    <w:rsid w:val="0E3F6191"/>
    <w:rsid w:val="0E42A26F"/>
    <w:rsid w:val="0E456532"/>
    <w:rsid w:val="0E46D483"/>
    <w:rsid w:val="0E48C65E"/>
    <w:rsid w:val="0E4A39C0"/>
    <w:rsid w:val="0E4DA39E"/>
    <w:rsid w:val="0E4E8017"/>
    <w:rsid w:val="0E4FCACC"/>
    <w:rsid w:val="0E50DCDA"/>
    <w:rsid w:val="0E53B76C"/>
    <w:rsid w:val="0E53F2D3"/>
    <w:rsid w:val="0E543021"/>
    <w:rsid w:val="0E5458B9"/>
    <w:rsid w:val="0E55C1B8"/>
    <w:rsid w:val="0E56EDD4"/>
    <w:rsid w:val="0E5803CF"/>
    <w:rsid w:val="0E59ADCA"/>
    <w:rsid w:val="0E5B5FD8"/>
    <w:rsid w:val="0E5C1137"/>
    <w:rsid w:val="0E5D8110"/>
    <w:rsid w:val="0E6026F7"/>
    <w:rsid w:val="0E602AB2"/>
    <w:rsid w:val="0E60558F"/>
    <w:rsid w:val="0E612D82"/>
    <w:rsid w:val="0E62B85A"/>
    <w:rsid w:val="0E62E4BC"/>
    <w:rsid w:val="0E64CCC7"/>
    <w:rsid w:val="0E679886"/>
    <w:rsid w:val="0E67B22F"/>
    <w:rsid w:val="0E690F56"/>
    <w:rsid w:val="0E6974FE"/>
    <w:rsid w:val="0E69EDEC"/>
    <w:rsid w:val="0E6D1EB1"/>
    <w:rsid w:val="0E7033EE"/>
    <w:rsid w:val="0E71B223"/>
    <w:rsid w:val="0E728E27"/>
    <w:rsid w:val="0E73A71F"/>
    <w:rsid w:val="0E761F71"/>
    <w:rsid w:val="0E76CCE8"/>
    <w:rsid w:val="0E79DDEE"/>
    <w:rsid w:val="0E7ACD4F"/>
    <w:rsid w:val="0E7BF9C2"/>
    <w:rsid w:val="0E810D2C"/>
    <w:rsid w:val="0E81AAAB"/>
    <w:rsid w:val="0E88DCE0"/>
    <w:rsid w:val="0E8A821A"/>
    <w:rsid w:val="0E8ABC7C"/>
    <w:rsid w:val="0E8AC36C"/>
    <w:rsid w:val="0E8B9179"/>
    <w:rsid w:val="0E8C3D1A"/>
    <w:rsid w:val="0E8E9D3F"/>
    <w:rsid w:val="0E8F20D7"/>
    <w:rsid w:val="0E920F9E"/>
    <w:rsid w:val="0E93E052"/>
    <w:rsid w:val="0E944013"/>
    <w:rsid w:val="0E94DD18"/>
    <w:rsid w:val="0E95B24E"/>
    <w:rsid w:val="0E9AA140"/>
    <w:rsid w:val="0E9B6D53"/>
    <w:rsid w:val="0E9DD987"/>
    <w:rsid w:val="0E9F11ED"/>
    <w:rsid w:val="0E9FB223"/>
    <w:rsid w:val="0EA05B57"/>
    <w:rsid w:val="0EA18A30"/>
    <w:rsid w:val="0EA4AD85"/>
    <w:rsid w:val="0EAA9944"/>
    <w:rsid w:val="0EAB60EE"/>
    <w:rsid w:val="0EACBE62"/>
    <w:rsid w:val="0EB10702"/>
    <w:rsid w:val="0EB5EECE"/>
    <w:rsid w:val="0EB605E7"/>
    <w:rsid w:val="0EB75A4B"/>
    <w:rsid w:val="0EB7816A"/>
    <w:rsid w:val="0EBA952A"/>
    <w:rsid w:val="0EBBF362"/>
    <w:rsid w:val="0EBC6157"/>
    <w:rsid w:val="0EBCAD35"/>
    <w:rsid w:val="0EC1D1FF"/>
    <w:rsid w:val="0EC64693"/>
    <w:rsid w:val="0ECAA30F"/>
    <w:rsid w:val="0ECBFFD5"/>
    <w:rsid w:val="0ECEB557"/>
    <w:rsid w:val="0ED1B671"/>
    <w:rsid w:val="0ED1F4BE"/>
    <w:rsid w:val="0ED30D42"/>
    <w:rsid w:val="0ED6D8F5"/>
    <w:rsid w:val="0EDC5B87"/>
    <w:rsid w:val="0EE9DE37"/>
    <w:rsid w:val="0EEA29EE"/>
    <w:rsid w:val="0EEBD15D"/>
    <w:rsid w:val="0EEBEBAE"/>
    <w:rsid w:val="0EECDBE4"/>
    <w:rsid w:val="0EEDA94F"/>
    <w:rsid w:val="0EEDB174"/>
    <w:rsid w:val="0EEEA4BD"/>
    <w:rsid w:val="0EF37B5C"/>
    <w:rsid w:val="0EF54888"/>
    <w:rsid w:val="0EF77FB8"/>
    <w:rsid w:val="0EF78C09"/>
    <w:rsid w:val="0EFD6138"/>
    <w:rsid w:val="0EFD8AB8"/>
    <w:rsid w:val="0EFF0C79"/>
    <w:rsid w:val="0EFF3617"/>
    <w:rsid w:val="0F06534B"/>
    <w:rsid w:val="0F067C42"/>
    <w:rsid w:val="0F0AB84D"/>
    <w:rsid w:val="0F10C81F"/>
    <w:rsid w:val="0F12F526"/>
    <w:rsid w:val="0F153623"/>
    <w:rsid w:val="0F188515"/>
    <w:rsid w:val="0F1DF0AF"/>
    <w:rsid w:val="0F1EC0B4"/>
    <w:rsid w:val="0F24AD54"/>
    <w:rsid w:val="0F25F33E"/>
    <w:rsid w:val="0F2681DD"/>
    <w:rsid w:val="0F26EDED"/>
    <w:rsid w:val="0F28506F"/>
    <w:rsid w:val="0F28544F"/>
    <w:rsid w:val="0F2C5ACF"/>
    <w:rsid w:val="0F2CBDAB"/>
    <w:rsid w:val="0F30C468"/>
    <w:rsid w:val="0F31329F"/>
    <w:rsid w:val="0F333600"/>
    <w:rsid w:val="0F341B61"/>
    <w:rsid w:val="0F358049"/>
    <w:rsid w:val="0F37BEA9"/>
    <w:rsid w:val="0F391C03"/>
    <w:rsid w:val="0F3BC183"/>
    <w:rsid w:val="0F3BF5DC"/>
    <w:rsid w:val="0F3BF937"/>
    <w:rsid w:val="0F3F8D62"/>
    <w:rsid w:val="0F3F953D"/>
    <w:rsid w:val="0F458617"/>
    <w:rsid w:val="0F46CB55"/>
    <w:rsid w:val="0F4944F2"/>
    <w:rsid w:val="0F494635"/>
    <w:rsid w:val="0F49B789"/>
    <w:rsid w:val="0F4C87B1"/>
    <w:rsid w:val="0F533787"/>
    <w:rsid w:val="0F53F19B"/>
    <w:rsid w:val="0F552FD2"/>
    <w:rsid w:val="0F593CE6"/>
    <w:rsid w:val="0F5A1923"/>
    <w:rsid w:val="0F5AA726"/>
    <w:rsid w:val="0F5DD02C"/>
    <w:rsid w:val="0F5E03AC"/>
    <w:rsid w:val="0F5F2E69"/>
    <w:rsid w:val="0F616681"/>
    <w:rsid w:val="0F616CF6"/>
    <w:rsid w:val="0F61BF50"/>
    <w:rsid w:val="0F6286E6"/>
    <w:rsid w:val="0F63095A"/>
    <w:rsid w:val="0F64CFF9"/>
    <w:rsid w:val="0F67337A"/>
    <w:rsid w:val="0F6768F0"/>
    <w:rsid w:val="0F6BE708"/>
    <w:rsid w:val="0F6CA2D5"/>
    <w:rsid w:val="0F6CFC14"/>
    <w:rsid w:val="0F6D74BA"/>
    <w:rsid w:val="0F6EC92F"/>
    <w:rsid w:val="0F6F8FF4"/>
    <w:rsid w:val="0F767336"/>
    <w:rsid w:val="0F7A732F"/>
    <w:rsid w:val="0F7AC424"/>
    <w:rsid w:val="0F7F54A7"/>
    <w:rsid w:val="0F7FA918"/>
    <w:rsid w:val="0F86C4FD"/>
    <w:rsid w:val="0F902E93"/>
    <w:rsid w:val="0F90E787"/>
    <w:rsid w:val="0F911672"/>
    <w:rsid w:val="0F922342"/>
    <w:rsid w:val="0F958780"/>
    <w:rsid w:val="0F96A252"/>
    <w:rsid w:val="0F96E094"/>
    <w:rsid w:val="0F97000A"/>
    <w:rsid w:val="0F979C55"/>
    <w:rsid w:val="0F9B90AD"/>
    <w:rsid w:val="0F9D2B05"/>
    <w:rsid w:val="0FA10CCC"/>
    <w:rsid w:val="0FA3F525"/>
    <w:rsid w:val="0FA46674"/>
    <w:rsid w:val="0FAB6AEB"/>
    <w:rsid w:val="0FAE8238"/>
    <w:rsid w:val="0FAF3ABA"/>
    <w:rsid w:val="0FAFF833"/>
    <w:rsid w:val="0FB05491"/>
    <w:rsid w:val="0FB2331E"/>
    <w:rsid w:val="0FB31E62"/>
    <w:rsid w:val="0FB45328"/>
    <w:rsid w:val="0FB7FDD7"/>
    <w:rsid w:val="0FB8875B"/>
    <w:rsid w:val="0FB8D40E"/>
    <w:rsid w:val="0FBC68A0"/>
    <w:rsid w:val="0FBFBCCB"/>
    <w:rsid w:val="0FC2159B"/>
    <w:rsid w:val="0FC38035"/>
    <w:rsid w:val="0FC5971B"/>
    <w:rsid w:val="0FC7AD7D"/>
    <w:rsid w:val="0FCC072C"/>
    <w:rsid w:val="0FCD8E57"/>
    <w:rsid w:val="0FD024C7"/>
    <w:rsid w:val="0FD224DB"/>
    <w:rsid w:val="0FD8087F"/>
    <w:rsid w:val="0FD91521"/>
    <w:rsid w:val="0FDED9CF"/>
    <w:rsid w:val="0FDFF613"/>
    <w:rsid w:val="0FE007B5"/>
    <w:rsid w:val="0FE0A377"/>
    <w:rsid w:val="0FE1650F"/>
    <w:rsid w:val="0FE1CFF5"/>
    <w:rsid w:val="0FE277FA"/>
    <w:rsid w:val="0FE4D4CB"/>
    <w:rsid w:val="0FE8EC28"/>
    <w:rsid w:val="0FF1A5D0"/>
    <w:rsid w:val="0FF326BD"/>
    <w:rsid w:val="0FF335A6"/>
    <w:rsid w:val="0FF379D2"/>
    <w:rsid w:val="0FF3D430"/>
    <w:rsid w:val="0FF720C7"/>
    <w:rsid w:val="0FF8A82D"/>
    <w:rsid w:val="0FFB0DC2"/>
    <w:rsid w:val="0FFCB192"/>
    <w:rsid w:val="0FFE6068"/>
    <w:rsid w:val="0FFEAD0D"/>
    <w:rsid w:val="10006BB0"/>
    <w:rsid w:val="10038274"/>
    <w:rsid w:val="1003EF99"/>
    <w:rsid w:val="10058B01"/>
    <w:rsid w:val="1005B455"/>
    <w:rsid w:val="100B9638"/>
    <w:rsid w:val="100D399A"/>
    <w:rsid w:val="100DF489"/>
    <w:rsid w:val="1015D6AE"/>
    <w:rsid w:val="1015EC4A"/>
    <w:rsid w:val="1018D552"/>
    <w:rsid w:val="101F772C"/>
    <w:rsid w:val="10223872"/>
    <w:rsid w:val="1022C067"/>
    <w:rsid w:val="1022D272"/>
    <w:rsid w:val="10272619"/>
    <w:rsid w:val="10299446"/>
    <w:rsid w:val="1029DA2C"/>
    <w:rsid w:val="102A0588"/>
    <w:rsid w:val="102F3C7B"/>
    <w:rsid w:val="102FD729"/>
    <w:rsid w:val="10318F5C"/>
    <w:rsid w:val="1032576F"/>
    <w:rsid w:val="10395A8A"/>
    <w:rsid w:val="103AF9D5"/>
    <w:rsid w:val="103C8C66"/>
    <w:rsid w:val="103D7C82"/>
    <w:rsid w:val="103EE9A7"/>
    <w:rsid w:val="103F5F18"/>
    <w:rsid w:val="10404C72"/>
    <w:rsid w:val="104053C8"/>
    <w:rsid w:val="1041D2E4"/>
    <w:rsid w:val="1041E73C"/>
    <w:rsid w:val="1042A169"/>
    <w:rsid w:val="1042C49D"/>
    <w:rsid w:val="1046232A"/>
    <w:rsid w:val="1046FC7D"/>
    <w:rsid w:val="10481A8E"/>
    <w:rsid w:val="104C33FD"/>
    <w:rsid w:val="104CB82A"/>
    <w:rsid w:val="104D0969"/>
    <w:rsid w:val="104E3C47"/>
    <w:rsid w:val="104FB753"/>
    <w:rsid w:val="105306B9"/>
    <w:rsid w:val="1054DFD3"/>
    <w:rsid w:val="1055EBF1"/>
    <w:rsid w:val="105B163B"/>
    <w:rsid w:val="105C69B2"/>
    <w:rsid w:val="105F687C"/>
    <w:rsid w:val="105FA04D"/>
    <w:rsid w:val="10633E2F"/>
    <w:rsid w:val="10664126"/>
    <w:rsid w:val="1066530D"/>
    <w:rsid w:val="10684CAF"/>
    <w:rsid w:val="10686471"/>
    <w:rsid w:val="10691DE7"/>
    <w:rsid w:val="106BDCAE"/>
    <w:rsid w:val="106C338D"/>
    <w:rsid w:val="106D8591"/>
    <w:rsid w:val="10715D93"/>
    <w:rsid w:val="10739DD2"/>
    <w:rsid w:val="10750D11"/>
    <w:rsid w:val="10770BFF"/>
    <w:rsid w:val="1077E5AE"/>
    <w:rsid w:val="107A4C6B"/>
    <w:rsid w:val="107D1DE6"/>
    <w:rsid w:val="107E5D4A"/>
    <w:rsid w:val="107ED7AB"/>
    <w:rsid w:val="108137BB"/>
    <w:rsid w:val="10827371"/>
    <w:rsid w:val="108374B0"/>
    <w:rsid w:val="10842963"/>
    <w:rsid w:val="108437A3"/>
    <w:rsid w:val="1089548C"/>
    <w:rsid w:val="108A0381"/>
    <w:rsid w:val="108D040E"/>
    <w:rsid w:val="10939D54"/>
    <w:rsid w:val="10943D32"/>
    <w:rsid w:val="1098DDAB"/>
    <w:rsid w:val="10999764"/>
    <w:rsid w:val="109A41DD"/>
    <w:rsid w:val="109BBBF2"/>
    <w:rsid w:val="109BCC98"/>
    <w:rsid w:val="109C9165"/>
    <w:rsid w:val="109E1137"/>
    <w:rsid w:val="109F5656"/>
    <w:rsid w:val="10A16183"/>
    <w:rsid w:val="10A4A09B"/>
    <w:rsid w:val="10A682F1"/>
    <w:rsid w:val="10A68A28"/>
    <w:rsid w:val="10A767C1"/>
    <w:rsid w:val="10AAEFCD"/>
    <w:rsid w:val="10AD4C36"/>
    <w:rsid w:val="10B48D54"/>
    <w:rsid w:val="10B69F12"/>
    <w:rsid w:val="10B7258D"/>
    <w:rsid w:val="10B848E9"/>
    <w:rsid w:val="10B90A37"/>
    <w:rsid w:val="10B91973"/>
    <w:rsid w:val="10B92915"/>
    <w:rsid w:val="10B98781"/>
    <w:rsid w:val="10BA7AC6"/>
    <w:rsid w:val="10BBE3CC"/>
    <w:rsid w:val="10BC29CE"/>
    <w:rsid w:val="10BE0C24"/>
    <w:rsid w:val="10BF7BFB"/>
    <w:rsid w:val="10C11A9A"/>
    <w:rsid w:val="10C453C2"/>
    <w:rsid w:val="10C5B50A"/>
    <w:rsid w:val="10C84550"/>
    <w:rsid w:val="10C8AF0C"/>
    <w:rsid w:val="10C96B90"/>
    <w:rsid w:val="10CC31FB"/>
    <w:rsid w:val="10CEABE6"/>
    <w:rsid w:val="10CF10B0"/>
    <w:rsid w:val="10CF1946"/>
    <w:rsid w:val="10CFBEA2"/>
    <w:rsid w:val="10CFFB90"/>
    <w:rsid w:val="10D0CE0E"/>
    <w:rsid w:val="10D32CCB"/>
    <w:rsid w:val="10D34FAB"/>
    <w:rsid w:val="10D53AF4"/>
    <w:rsid w:val="10D6365F"/>
    <w:rsid w:val="10D89302"/>
    <w:rsid w:val="10DA2ED3"/>
    <w:rsid w:val="10E0E0C2"/>
    <w:rsid w:val="10E3C754"/>
    <w:rsid w:val="10E3FB95"/>
    <w:rsid w:val="10E52DFB"/>
    <w:rsid w:val="10E7B44D"/>
    <w:rsid w:val="10E80EA1"/>
    <w:rsid w:val="10E8A267"/>
    <w:rsid w:val="10EAAFF6"/>
    <w:rsid w:val="10EACD8E"/>
    <w:rsid w:val="10EC5F50"/>
    <w:rsid w:val="10EC7468"/>
    <w:rsid w:val="10EF85DF"/>
    <w:rsid w:val="10F59962"/>
    <w:rsid w:val="10F5FE6A"/>
    <w:rsid w:val="10F6D639"/>
    <w:rsid w:val="10F87613"/>
    <w:rsid w:val="10F88D17"/>
    <w:rsid w:val="10F89B6B"/>
    <w:rsid w:val="10F8B5F6"/>
    <w:rsid w:val="10F9109E"/>
    <w:rsid w:val="10F931F6"/>
    <w:rsid w:val="10FB2066"/>
    <w:rsid w:val="10FC17D9"/>
    <w:rsid w:val="10FCB8E6"/>
    <w:rsid w:val="10FDBB44"/>
    <w:rsid w:val="11013A8C"/>
    <w:rsid w:val="11013D60"/>
    <w:rsid w:val="1107A368"/>
    <w:rsid w:val="110E162E"/>
    <w:rsid w:val="110F4C56"/>
    <w:rsid w:val="111020B0"/>
    <w:rsid w:val="11102306"/>
    <w:rsid w:val="111DA98F"/>
    <w:rsid w:val="111DBEAB"/>
    <w:rsid w:val="111EAB8F"/>
    <w:rsid w:val="1121A2DE"/>
    <w:rsid w:val="1124B7C6"/>
    <w:rsid w:val="1125FC54"/>
    <w:rsid w:val="112652B4"/>
    <w:rsid w:val="11265787"/>
    <w:rsid w:val="112756E6"/>
    <w:rsid w:val="11297B79"/>
    <w:rsid w:val="11298939"/>
    <w:rsid w:val="112E325C"/>
    <w:rsid w:val="11320ABB"/>
    <w:rsid w:val="11326EA2"/>
    <w:rsid w:val="1133B394"/>
    <w:rsid w:val="1133DD49"/>
    <w:rsid w:val="11343131"/>
    <w:rsid w:val="113435DD"/>
    <w:rsid w:val="113BBBBF"/>
    <w:rsid w:val="113CB8CE"/>
    <w:rsid w:val="113D665D"/>
    <w:rsid w:val="11408EF1"/>
    <w:rsid w:val="1140FF39"/>
    <w:rsid w:val="1144AA17"/>
    <w:rsid w:val="11469301"/>
    <w:rsid w:val="114A6A60"/>
    <w:rsid w:val="114B0B1B"/>
    <w:rsid w:val="114C4AC7"/>
    <w:rsid w:val="114D52CC"/>
    <w:rsid w:val="114D91F0"/>
    <w:rsid w:val="114E8E89"/>
    <w:rsid w:val="114EEDF1"/>
    <w:rsid w:val="114F4E9E"/>
    <w:rsid w:val="1151C099"/>
    <w:rsid w:val="1152017F"/>
    <w:rsid w:val="11542105"/>
    <w:rsid w:val="1155339D"/>
    <w:rsid w:val="1156982A"/>
    <w:rsid w:val="1158F7CC"/>
    <w:rsid w:val="115A27F5"/>
    <w:rsid w:val="115B2295"/>
    <w:rsid w:val="1161DBCC"/>
    <w:rsid w:val="116307E3"/>
    <w:rsid w:val="1163ACA6"/>
    <w:rsid w:val="11645DC7"/>
    <w:rsid w:val="11654888"/>
    <w:rsid w:val="116559EA"/>
    <w:rsid w:val="1165D2A5"/>
    <w:rsid w:val="116668DF"/>
    <w:rsid w:val="1169B574"/>
    <w:rsid w:val="116C90AF"/>
    <w:rsid w:val="1170D518"/>
    <w:rsid w:val="1170F550"/>
    <w:rsid w:val="1174E066"/>
    <w:rsid w:val="1174F631"/>
    <w:rsid w:val="1179CF27"/>
    <w:rsid w:val="117ACB91"/>
    <w:rsid w:val="117C0510"/>
    <w:rsid w:val="117EE754"/>
    <w:rsid w:val="118275B3"/>
    <w:rsid w:val="1186B01D"/>
    <w:rsid w:val="1187A358"/>
    <w:rsid w:val="1189A510"/>
    <w:rsid w:val="118CA241"/>
    <w:rsid w:val="11905D12"/>
    <w:rsid w:val="1191D2BD"/>
    <w:rsid w:val="119292B0"/>
    <w:rsid w:val="1197FDBF"/>
    <w:rsid w:val="119C2C76"/>
    <w:rsid w:val="119C46CD"/>
    <w:rsid w:val="119C6096"/>
    <w:rsid w:val="119C887F"/>
    <w:rsid w:val="119D6860"/>
    <w:rsid w:val="11A26B08"/>
    <w:rsid w:val="11A4DAC7"/>
    <w:rsid w:val="11A59005"/>
    <w:rsid w:val="11A6E543"/>
    <w:rsid w:val="11A6E8F9"/>
    <w:rsid w:val="11AD3E11"/>
    <w:rsid w:val="11AD92CC"/>
    <w:rsid w:val="11ADF669"/>
    <w:rsid w:val="11AEB119"/>
    <w:rsid w:val="11B0A059"/>
    <w:rsid w:val="11B2656C"/>
    <w:rsid w:val="11B37588"/>
    <w:rsid w:val="11B50DA9"/>
    <w:rsid w:val="11B74125"/>
    <w:rsid w:val="11B7B299"/>
    <w:rsid w:val="11BBB848"/>
    <w:rsid w:val="11BC2BF2"/>
    <w:rsid w:val="11BD3D58"/>
    <w:rsid w:val="11BE0869"/>
    <w:rsid w:val="11BE90C8"/>
    <w:rsid w:val="11C20010"/>
    <w:rsid w:val="11C3C678"/>
    <w:rsid w:val="11C6972B"/>
    <w:rsid w:val="11C76459"/>
    <w:rsid w:val="11CA4512"/>
    <w:rsid w:val="11CFB1FD"/>
    <w:rsid w:val="11D7D195"/>
    <w:rsid w:val="11D97658"/>
    <w:rsid w:val="11D9C080"/>
    <w:rsid w:val="11DB4D34"/>
    <w:rsid w:val="11DC5FC3"/>
    <w:rsid w:val="11DC627C"/>
    <w:rsid w:val="11DE0BC8"/>
    <w:rsid w:val="11DFC18D"/>
    <w:rsid w:val="11E25DDC"/>
    <w:rsid w:val="11E346A1"/>
    <w:rsid w:val="11E37EF3"/>
    <w:rsid w:val="11E3BCB6"/>
    <w:rsid w:val="11EA1552"/>
    <w:rsid w:val="11EC7D42"/>
    <w:rsid w:val="11F427E0"/>
    <w:rsid w:val="11F5A667"/>
    <w:rsid w:val="11F7DBDB"/>
    <w:rsid w:val="11F95878"/>
    <w:rsid w:val="11FA407C"/>
    <w:rsid w:val="11FAEA99"/>
    <w:rsid w:val="12004E94"/>
    <w:rsid w:val="1205AE8D"/>
    <w:rsid w:val="12097C1B"/>
    <w:rsid w:val="120A63E9"/>
    <w:rsid w:val="120B3589"/>
    <w:rsid w:val="120C6B35"/>
    <w:rsid w:val="120CB102"/>
    <w:rsid w:val="120CF48D"/>
    <w:rsid w:val="1211FE05"/>
    <w:rsid w:val="1214E1FF"/>
    <w:rsid w:val="1215FFC0"/>
    <w:rsid w:val="12180DB9"/>
    <w:rsid w:val="121C22D5"/>
    <w:rsid w:val="121C6E7B"/>
    <w:rsid w:val="121D3F4A"/>
    <w:rsid w:val="121F85F9"/>
    <w:rsid w:val="122037B3"/>
    <w:rsid w:val="12212E93"/>
    <w:rsid w:val="122218F6"/>
    <w:rsid w:val="122430BF"/>
    <w:rsid w:val="122675F6"/>
    <w:rsid w:val="122744B3"/>
    <w:rsid w:val="1228CFE1"/>
    <w:rsid w:val="1229627F"/>
    <w:rsid w:val="122A3F4E"/>
    <w:rsid w:val="122CBA45"/>
    <w:rsid w:val="122E6A5E"/>
    <w:rsid w:val="122FD06B"/>
    <w:rsid w:val="1230EC7E"/>
    <w:rsid w:val="1231F82F"/>
    <w:rsid w:val="1233D454"/>
    <w:rsid w:val="12344CF1"/>
    <w:rsid w:val="123852E1"/>
    <w:rsid w:val="12425990"/>
    <w:rsid w:val="124506DB"/>
    <w:rsid w:val="12452FB1"/>
    <w:rsid w:val="12463EAC"/>
    <w:rsid w:val="1246A22C"/>
    <w:rsid w:val="12483970"/>
    <w:rsid w:val="1253EAEF"/>
    <w:rsid w:val="1253F0CE"/>
    <w:rsid w:val="1255ECD5"/>
    <w:rsid w:val="125704A0"/>
    <w:rsid w:val="12579E75"/>
    <w:rsid w:val="125A7D07"/>
    <w:rsid w:val="125B9ED0"/>
    <w:rsid w:val="125BAB9C"/>
    <w:rsid w:val="125C2FA2"/>
    <w:rsid w:val="125F2C24"/>
    <w:rsid w:val="126173B5"/>
    <w:rsid w:val="1262D138"/>
    <w:rsid w:val="1263EEDF"/>
    <w:rsid w:val="126520F1"/>
    <w:rsid w:val="12660FAC"/>
    <w:rsid w:val="1268CFB1"/>
    <w:rsid w:val="12693C2E"/>
    <w:rsid w:val="126995B3"/>
    <w:rsid w:val="126B9CB5"/>
    <w:rsid w:val="126BAF8C"/>
    <w:rsid w:val="126D74FA"/>
    <w:rsid w:val="126EE83B"/>
    <w:rsid w:val="126EFD9C"/>
    <w:rsid w:val="1273E671"/>
    <w:rsid w:val="1274ED20"/>
    <w:rsid w:val="12789708"/>
    <w:rsid w:val="127D2636"/>
    <w:rsid w:val="127D27E0"/>
    <w:rsid w:val="127E6F23"/>
    <w:rsid w:val="127E8985"/>
    <w:rsid w:val="12821AF5"/>
    <w:rsid w:val="12834094"/>
    <w:rsid w:val="12853584"/>
    <w:rsid w:val="12889439"/>
    <w:rsid w:val="128D4413"/>
    <w:rsid w:val="128EEF6A"/>
    <w:rsid w:val="1290BC6A"/>
    <w:rsid w:val="12929381"/>
    <w:rsid w:val="12988FE2"/>
    <w:rsid w:val="129B13F1"/>
    <w:rsid w:val="129B82EF"/>
    <w:rsid w:val="12A20E45"/>
    <w:rsid w:val="12A2782B"/>
    <w:rsid w:val="12A310A5"/>
    <w:rsid w:val="12A45905"/>
    <w:rsid w:val="12A5A19E"/>
    <w:rsid w:val="12A5F304"/>
    <w:rsid w:val="12A61E5A"/>
    <w:rsid w:val="12B04CAC"/>
    <w:rsid w:val="12B08F6E"/>
    <w:rsid w:val="12B60C63"/>
    <w:rsid w:val="12B811CC"/>
    <w:rsid w:val="12B88D03"/>
    <w:rsid w:val="12B8CE64"/>
    <w:rsid w:val="12B95D4A"/>
    <w:rsid w:val="12B98F0C"/>
    <w:rsid w:val="12BAA66B"/>
    <w:rsid w:val="12BBC6D8"/>
    <w:rsid w:val="12BC26E8"/>
    <w:rsid w:val="12C3C585"/>
    <w:rsid w:val="12C576CE"/>
    <w:rsid w:val="12C69A26"/>
    <w:rsid w:val="12C8BCC7"/>
    <w:rsid w:val="12CCEA87"/>
    <w:rsid w:val="12D05638"/>
    <w:rsid w:val="12D1DFCB"/>
    <w:rsid w:val="12D414C2"/>
    <w:rsid w:val="12D42199"/>
    <w:rsid w:val="12D447EA"/>
    <w:rsid w:val="12D5621A"/>
    <w:rsid w:val="12DA8416"/>
    <w:rsid w:val="12DAFD7D"/>
    <w:rsid w:val="12DCD796"/>
    <w:rsid w:val="12DD3948"/>
    <w:rsid w:val="12DD4BE3"/>
    <w:rsid w:val="12DFC4BE"/>
    <w:rsid w:val="12E031C3"/>
    <w:rsid w:val="12E03B67"/>
    <w:rsid w:val="12E402B7"/>
    <w:rsid w:val="12E4D800"/>
    <w:rsid w:val="12EEF900"/>
    <w:rsid w:val="12F0DFA5"/>
    <w:rsid w:val="12F1FAEA"/>
    <w:rsid w:val="12F8B13B"/>
    <w:rsid w:val="12FA044F"/>
    <w:rsid w:val="12FC081A"/>
    <w:rsid w:val="12FCCA29"/>
    <w:rsid w:val="12FF86D2"/>
    <w:rsid w:val="12FF8D84"/>
    <w:rsid w:val="1300079D"/>
    <w:rsid w:val="13014A9D"/>
    <w:rsid w:val="13020052"/>
    <w:rsid w:val="13038FF6"/>
    <w:rsid w:val="130702A5"/>
    <w:rsid w:val="13097774"/>
    <w:rsid w:val="130C5637"/>
    <w:rsid w:val="130E5C3F"/>
    <w:rsid w:val="13105913"/>
    <w:rsid w:val="1310E045"/>
    <w:rsid w:val="13131A8A"/>
    <w:rsid w:val="1313502D"/>
    <w:rsid w:val="1314BCFB"/>
    <w:rsid w:val="13175066"/>
    <w:rsid w:val="131A0567"/>
    <w:rsid w:val="131AD18D"/>
    <w:rsid w:val="131BB335"/>
    <w:rsid w:val="131E9FFA"/>
    <w:rsid w:val="1320758A"/>
    <w:rsid w:val="132423F0"/>
    <w:rsid w:val="1326072B"/>
    <w:rsid w:val="132737F8"/>
    <w:rsid w:val="1328E0AF"/>
    <w:rsid w:val="13299325"/>
    <w:rsid w:val="1329A968"/>
    <w:rsid w:val="132C4F04"/>
    <w:rsid w:val="132C9983"/>
    <w:rsid w:val="1331F9E3"/>
    <w:rsid w:val="13331846"/>
    <w:rsid w:val="133A9D71"/>
    <w:rsid w:val="1342A661"/>
    <w:rsid w:val="1342EF04"/>
    <w:rsid w:val="13455B40"/>
    <w:rsid w:val="134724F0"/>
    <w:rsid w:val="1349A93E"/>
    <w:rsid w:val="1349EE0E"/>
    <w:rsid w:val="134B68CB"/>
    <w:rsid w:val="134D5DB9"/>
    <w:rsid w:val="13505463"/>
    <w:rsid w:val="13532A4B"/>
    <w:rsid w:val="1353BF57"/>
    <w:rsid w:val="13569174"/>
    <w:rsid w:val="1357EC9A"/>
    <w:rsid w:val="135D00D9"/>
    <w:rsid w:val="135F83D5"/>
    <w:rsid w:val="135F924A"/>
    <w:rsid w:val="13620E62"/>
    <w:rsid w:val="136A4509"/>
    <w:rsid w:val="136D63C7"/>
    <w:rsid w:val="136E288B"/>
    <w:rsid w:val="13723EA4"/>
    <w:rsid w:val="1375CF2F"/>
    <w:rsid w:val="13778F5C"/>
    <w:rsid w:val="1378059A"/>
    <w:rsid w:val="137F0067"/>
    <w:rsid w:val="137FD2A2"/>
    <w:rsid w:val="13820392"/>
    <w:rsid w:val="13832DDA"/>
    <w:rsid w:val="13839747"/>
    <w:rsid w:val="1384A310"/>
    <w:rsid w:val="13850249"/>
    <w:rsid w:val="13863595"/>
    <w:rsid w:val="13867A48"/>
    <w:rsid w:val="13869934"/>
    <w:rsid w:val="13882434"/>
    <w:rsid w:val="13884488"/>
    <w:rsid w:val="138A095F"/>
    <w:rsid w:val="138BCE7C"/>
    <w:rsid w:val="138C1B74"/>
    <w:rsid w:val="138D8BD4"/>
    <w:rsid w:val="138E1471"/>
    <w:rsid w:val="13912D6E"/>
    <w:rsid w:val="1392C098"/>
    <w:rsid w:val="1392E285"/>
    <w:rsid w:val="13971396"/>
    <w:rsid w:val="139AE02B"/>
    <w:rsid w:val="139B743D"/>
    <w:rsid w:val="139BF460"/>
    <w:rsid w:val="139E124C"/>
    <w:rsid w:val="139F5CFB"/>
    <w:rsid w:val="139FAF01"/>
    <w:rsid w:val="13A188F0"/>
    <w:rsid w:val="13A60B33"/>
    <w:rsid w:val="13A84838"/>
    <w:rsid w:val="13AB0321"/>
    <w:rsid w:val="13B078E7"/>
    <w:rsid w:val="13B079B8"/>
    <w:rsid w:val="13B25673"/>
    <w:rsid w:val="13B3856B"/>
    <w:rsid w:val="13B3F6C6"/>
    <w:rsid w:val="13B82511"/>
    <w:rsid w:val="13B95BF6"/>
    <w:rsid w:val="13BAFE36"/>
    <w:rsid w:val="13BB66A4"/>
    <w:rsid w:val="13BF2579"/>
    <w:rsid w:val="13C21DC7"/>
    <w:rsid w:val="13C4BBC0"/>
    <w:rsid w:val="13C4F12F"/>
    <w:rsid w:val="13C52C68"/>
    <w:rsid w:val="13C5B2C1"/>
    <w:rsid w:val="13C63A0B"/>
    <w:rsid w:val="13C64F07"/>
    <w:rsid w:val="13C75D00"/>
    <w:rsid w:val="13CA61AE"/>
    <w:rsid w:val="13CCFBF9"/>
    <w:rsid w:val="13CEA35A"/>
    <w:rsid w:val="13D048CD"/>
    <w:rsid w:val="13D29FFB"/>
    <w:rsid w:val="13D2FC12"/>
    <w:rsid w:val="13D39513"/>
    <w:rsid w:val="13D48B05"/>
    <w:rsid w:val="13D6144A"/>
    <w:rsid w:val="13D7CD29"/>
    <w:rsid w:val="13D97951"/>
    <w:rsid w:val="13DD80E1"/>
    <w:rsid w:val="13E10012"/>
    <w:rsid w:val="13E54BB1"/>
    <w:rsid w:val="13EFC391"/>
    <w:rsid w:val="13F476F5"/>
    <w:rsid w:val="13F716FA"/>
    <w:rsid w:val="13F848E3"/>
    <w:rsid w:val="13FA7A25"/>
    <w:rsid w:val="13FD9D7A"/>
    <w:rsid w:val="14035AF3"/>
    <w:rsid w:val="14050E5D"/>
    <w:rsid w:val="1405466B"/>
    <w:rsid w:val="1405FBB6"/>
    <w:rsid w:val="140FD6A4"/>
    <w:rsid w:val="141030CB"/>
    <w:rsid w:val="141C1A67"/>
    <w:rsid w:val="141C5603"/>
    <w:rsid w:val="141D6AFE"/>
    <w:rsid w:val="141DC34A"/>
    <w:rsid w:val="141EFD3E"/>
    <w:rsid w:val="141F2EDF"/>
    <w:rsid w:val="142248B1"/>
    <w:rsid w:val="14247D57"/>
    <w:rsid w:val="142515DE"/>
    <w:rsid w:val="14252231"/>
    <w:rsid w:val="14265818"/>
    <w:rsid w:val="142A6840"/>
    <w:rsid w:val="142D466A"/>
    <w:rsid w:val="14317ECE"/>
    <w:rsid w:val="14329EAD"/>
    <w:rsid w:val="1434477D"/>
    <w:rsid w:val="1434BF73"/>
    <w:rsid w:val="1435330F"/>
    <w:rsid w:val="1435DA8E"/>
    <w:rsid w:val="143CAE82"/>
    <w:rsid w:val="143E29DF"/>
    <w:rsid w:val="143E2FE8"/>
    <w:rsid w:val="14404C10"/>
    <w:rsid w:val="1441F6FF"/>
    <w:rsid w:val="14468D97"/>
    <w:rsid w:val="1449B1DE"/>
    <w:rsid w:val="144E1119"/>
    <w:rsid w:val="144F7339"/>
    <w:rsid w:val="14516064"/>
    <w:rsid w:val="14517FFC"/>
    <w:rsid w:val="14528159"/>
    <w:rsid w:val="14529B27"/>
    <w:rsid w:val="1455FC31"/>
    <w:rsid w:val="1456E55E"/>
    <w:rsid w:val="1459F407"/>
    <w:rsid w:val="145CCBA5"/>
    <w:rsid w:val="145D314B"/>
    <w:rsid w:val="145F3D26"/>
    <w:rsid w:val="1464819F"/>
    <w:rsid w:val="1467BD28"/>
    <w:rsid w:val="14691484"/>
    <w:rsid w:val="14694904"/>
    <w:rsid w:val="146DE937"/>
    <w:rsid w:val="146EC92A"/>
    <w:rsid w:val="1471476D"/>
    <w:rsid w:val="1473C5A7"/>
    <w:rsid w:val="1477645C"/>
    <w:rsid w:val="147779A9"/>
    <w:rsid w:val="1477FA51"/>
    <w:rsid w:val="147928E3"/>
    <w:rsid w:val="147A90ED"/>
    <w:rsid w:val="147CBA3A"/>
    <w:rsid w:val="147D521C"/>
    <w:rsid w:val="1480642B"/>
    <w:rsid w:val="1481340D"/>
    <w:rsid w:val="14815596"/>
    <w:rsid w:val="14818E7E"/>
    <w:rsid w:val="1484EB3F"/>
    <w:rsid w:val="148C626A"/>
    <w:rsid w:val="148C95A6"/>
    <w:rsid w:val="148D110F"/>
    <w:rsid w:val="1494F751"/>
    <w:rsid w:val="1495C106"/>
    <w:rsid w:val="149FD886"/>
    <w:rsid w:val="14A43B7E"/>
    <w:rsid w:val="14A472C7"/>
    <w:rsid w:val="14A4ACB1"/>
    <w:rsid w:val="14A4ED61"/>
    <w:rsid w:val="14A5218B"/>
    <w:rsid w:val="14A52D42"/>
    <w:rsid w:val="14A91A8C"/>
    <w:rsid w:val="14ACBF9D"/>
    <w:rsid w:val="14AD0A55"/>
    <w:rsid w:val="14ADA2F0"/>
    <w:rsid w:val="14AE8D4A"/>
    <w:rsid w:val="14AEE20E"/>
    <w:rsid w:val="14AF029A"/>
    <w:rsid w:val="14B466F2"/>
    <w:rsid w:val="14B59816"/>
    <w:rsid w:val="14B692A0"/>
    <w:rsid w:val="14B74922"/>
    <w:rsid w:val="14BAB80A"/>
    <w:rsid w:val="14BB46DA"/>
    <w:rsid w:val="14BE421E"/>
    <w:rsid w:val="14C09AE4"/>
    <w:rsid w:val="14C3F5FA"/>
    <w:rsid w:val="14C59511"/>
    <w:rsid w:val="14C75B65"/>
    <w:rsid w:val="14C80793"/>
    <w:rsid w:val="14CB92AE"/>
    <w:rsid w:val="14CCC294"/>
    <w:rsid w:val="14CF9A34"/>
    <w:rsid w:val="14D3EFCD"/>
    <w:rsid w:val="14D61C43"/>
    <w:rsid w:val="14D83D5E"/>
    <w:rsid w:val="14DA5ACF"/>
    <w:rsid w:val="14DD635B"/>
    <w:rsid w:val="14DE0320"/>
    <w:rsid w:val="14DE1757"/>
    <w:rsid w:val="14DE2469"/>
    <w:rsid w:val="14E1E727"/>
    <w:rsid w:val="14E7BC31"/>
    <w:rsid w:val="14E90715"/>
    <w:rsid w:val="14E97A07"/>
    <w:rsid w:val="14EA09F1"/>
    <w:rsid w:val="14F03047"/>
    <w:rsid w:val="14F22A01"/>
    <w:rsid w:val="14F399DA"/>
    <w:rsid w:val="14F85BEF"/>
    <w:rsid w:val="14FCA747"/>
    <w:rsid w:val="14FCC6AB"/>
    <w:rsid w:val="14FDC79F"/>
    <w:rsid w:val="14FE8B84"/>
    <w:rsid w:val="14FFFE3F"/>
    <w:rsid w:val="15006A42"/>
    <w:rsid w:val="1501C495"/>
    <w:rsid w:val="15076ED8"/>
    <w:rsid w:val="1507726C"/>
    <w:rsid w:val="1508EC7D"/>
    <w:rsid w:val="150C3A67"/>
    <w:rsid w:val="15113602"/>
    <w:rsid w:val="151149E6"/>
    <w:rsid w:val="151158B5"/>
    <w:rsid w:val="151407CF"/>
    <w:rsid w:val="151581C5"/>
    <w:rsid w:val="151729A2"/>
    <w:rsid w:val="15193074"/>
    <w:rsid w:val="151B3C8C"/>
    <w:rsid w:val="15202D33"/>
    <w:rsid w:val="1524C42E"/>
    <w:rsid w:val="1524C9A1"/>
    <w:rsid w:val="1525B4F8"/>
    <w:rsid w:val="15270F6F"/>
    <w:rsid w:val="1527DFF5"/>
    <w:rsid w:val="1528807B"/>
    <w:rsid w:val="1529BBF5"/>
    <w:rsid w:val="152CA115"/>
    <w:rsid w:val="152D58A4"/>
    <w:rsid w:val="1543DCEC"/>
    <w:rsid w:val="1544A358"/>
    <w:rsid w:val="1545EB44"/>
    <w:rsid w:val="1545F044"/>
    <w:rsid w:val="1546D9F7"/>
    <w:rsid w:val="154CB135"/>
    <w:rsid w:val="154CF731"/>
    <w:rsid w:val="154DC7DC"/>
    <w:rsid w:val="154FE9B0"/>
    <w:rsid w:val="15501B5E"/>
    <w:rsid w:val="1551066E"/>
    <w:rsid w:val="155110C3"/>
    <w:rsid w:val="15543F6D"/>
    <w:rsid w:val="155449E6"/>
    <w:rsid w:val="15596590"/>
    <w:rsid w:val="155A5BEF"/>
    <w:rsid w:val="155F8634"/>
    <w:rsid w:val="1560CBC3"/>
    <w:rsid w:val="156533F9"/>
    <w:rsid w:val="1567ED3C"/>
    <w:rsid w:val="1567F479"/>
    <w:rsid w:val="1568968E"/>
    <w:rsid w:val="156A83D4"/>
    <w:rsid w:val="156C5894"/>
    <w:rsid w:val="156CCF20"/>
    <w:rsid w:val="156DA8AB"/>
    <w:rsid w:val="156DD658"/>
    <w:rsid w:val="156FDABB"/>
    <w:rsid w:val="15703C94"/>
    <w:rsid w:val="15725410"/>
    <w:rsid w:val="15729B9A"/>
    <w:rsid w:val="157392BC"/>
    <w:rsid w:val="15741904"/>
    <w:rsid w:val="15780294"/>
    <w:rsid w:val="157FFB89"/>
    <w:rsid w:val="1582133E"/>
    <w:rsid w:val="158558FB"/>
    <w:rsid w:val="1585BD53"/>
    <w:rsid w:val="158BA206"/>
    <w:rsid w:val="158DDDEA"/>
    <w:rsid w:val="158FBC85"/>
    <w:rsid w:val="15959848"/>
    <w:rsid w:val="1598F53D"/>
    <w:rsid w:val="159A2D5D"/>
    <w:rsid w:val="159C87CD"/>
    <w:rsid w:val="159F03D2"/>
    <w:rsid w:val="15A2AD8F"/>
    <w:rsid w:val="15A2E381"/>
    <w:rsid w:val="15A4ED2E"/>
    <w:rsid w:val="15A53181"/>
    <w:rsid w:val="15A5AD12"/>
    <w:rsid w:val="15A71786"/>
    <w:rsid w:val="15A8F713"/>
    <w:rsid w:val="15A94723"/>
    <w:rsid w:val="15ADB4E5"/>
    <w:rsid w:val="15B07172"/>
    <w:rsid w:val="15B1E851"/>
    <w:rsid w:val="15B66396"/>
    <w:rsid w:val="15B94B01"/>
    <w:rsid w:val="15BD2F99"/>
    <w:rsid w:val="15BD75C3"/>
    <w:rsid w:val="15BED39F"/>
    <w:rsid w:val="15BF8641"/>
    <w:rsid w:val="15C1B799"/>
    <w:rsid w:val="15C34644"/>
    <w:rsid w:val="15C65003"/>
    <w:rsid w:val="15C9F034"/>
    <w:rsid w:val="15CBF34D"/>
    <w:rsid w:val="15CCA824"/>
    <w:rsid w:val="15CECBA3"/>
    <w:rsid w:val="15CEFBDA"/>
    <w:rsid w:val="15D32191"/>
    <w:rsid w:val="15D48B81"/>
    <w:rsid w:val="15D4CEAA"/>
    <w:rsid w:val="15D5D29D"/>
    <w:rsid w:val="15D6D76F"/>
    <w:rsid w:val="15D83C5A"/>
    <w:rsid w:val="15DA6428"/>
    <w:rsid w:val="15DDA756"/>
    <w:rsid w:val="15E0A148"/>
    <w:rsid w:val="15E33185"/>
    <w:rsid w:val="15E3B08F"/>
    <w:rsid w:val="15E3D053"/>
    <w:rsid w:val="15E53698"/>
    <w:rsid w:val="15E57BFC"/>
    <w:rsid w:val="15E7F57D"/>
    <w:rsid w:val="15E83CE3"/>
    <w:rsid w:val="15EA487E"/>
    <w:rsid w:val="15EDB506"/>
    <w:rsid w:val="15EFEBDB"/>
    <w:rsid w:val="15F07BC6"/>
    <w:rsid w:val="15F263E2"/>
    <w:rsid w:val="15F8E1C3"/>
    <w:rsid w:val="15FE4B25"/>
    <w:rsid w:val="16000AB2"/>
    <w:rsid w:val="1605A9EF"/>
    <w:rsid w:val="160613EC"/>
    <w:rsid w:val="1606B6F7"/>
    <w:rsid w:val="1607707E"/>
    <w:rsid w:val="1609C867"/>
    <w:rsid w:val="160BE6FB"/>
    <w:rsid w:val="160CA9AF"/>
    <w:rsid w:val="160DB917"/>
    <w:rsid w:val="160E74E7"/>
    <w:rsid w:val="160FBC57"/>
    <w:rsid w:val="161353F2"/>
    <w:rsid w:val="1615566E"/>
    <w:rsid w:val="161CDCF7"/>
    <w:rsid w:val="161D16DA"/>
    <w:rsid w:val="161DA936"/>
    <w:rsid w:val="161FA0A3"/>
    <w:rsid w:val="16215BC5"/>
    <w:rsid w:val="16239FA1"/>
    <w:rsid w:val="1625A83B"/>
    <w:rsid w:val="1625B08E"/>
    <w:rsid w:val="1626BFD6"/>
    <w:rsid w:val="16279E7E"/>
    <w:rsid w:val="162832CB"/>
    <w:rsid w:val="162ED822"/>
    <w:rsid w:val="162F0ADA"/>
    <w:rsid w:val="1630D038"/>
    <w:rsid w:val="1630FA06"/>
    <w:rsid w:val="16334539"/>
    <w:rsid w:val="1639E391"/>
    <w:rsid w:val="163C7EDA"/>
    <w:rsid w:val="163D0B92"/>
    <w:rsid w:val="163E5CD1"/>
    <w:rsid w:val="1640155A"/>
    <w:rsid w:val="1640CC26"/>
    <w:rsid w:val="1640F087"/>
    <w:rsid w:val="1641057E"/>
    <w:rsid w:val="16450C09"/>
    <w:rsid w:val="1647A766"/>
    <w:rsid w:val="1649030A"/>
    <w:rsid w:val="1649DB96"/>
    <w:rsid w:val="164A8898"/>
    <w:rsid w:val="164A8ED2"/>
    <w:rsid w:val="164BE4AD"/>
    <w:rsid w:val="164DD470"/>
    <w:rsid w:val="164E09D2"/>
    <w:rsid w:val="1650D6DB"/>
    <w:rsid w:val="1654B442"/>
    <w:rsid w:val="1655B5F1"/>
    <w:rsid w:val="1657AE30"/>
    <w:rsid w:val="16581107"/>
    <w:rsid w:val="165BCE07"/>
    <w:rsid w:val="165C3E81"/>
    <w:rsid w:val="165F2433"/>
    <w:rsid w:val="165FD7EB"/>
    <w:rsid w:val="16601160"/>
    <w:rsid w:val="1660F2FB"/>
    <w:rsid w:val="1661E70A"/>
    <w:rsid w:val="1661FAA1"/>
    <w:rsid w:val="166241C1"/>
    <w:rsid w:val="16632BC6"/>
    <w:rsid w:val="16636FAA"/>
    <w:rsid w:val="1664425F"/>
    <w:rsid w:val="166586CB"/>
    <w:rsid w:val="1667457B"/>
    <w:rsid w:val="166A6DDD"/>
    <w:rsid w:val="166BAF9F"/>
    <w:rsid w:val="166C9D92"/>
    <w:rsid w:val="166EB5E4"/>
    <w:rsid w:val="1670582A"/>
    <w:rsid w:val="1670ECBD"/>
    <w:rsid w:val="16764AB7"/>
    <w:rsid w:val="16786A15"/>
    <w:rsid w:val="1678EB3B"/>
    <w:rsid w:val="167A5BE8"/>
    <w:rsid w:val="167C0C4F"/>
    <w:rsid w:val="167D3710"/>
    <w:rsid w:val="16809D36"/>
    <w:rsid w:val="168245B1"/>
    <w:rsid w:val="1683F363"/>
    <w:rsid w:val="16844EB3"/>
    <w:rsid w:val="1684A001"/>
    <w:rsid w:val="16859507"/>
    <w:rsid w:val="16874B0C"/>
    <w:rsid w:val="16875C14"/>
    <w:rsid w:val="1687B1CB"/>
    <w:rsid w:val="1689344B"/>
    <w:rsid w:val="1689EE52"/>
    <w:rsid w:val="168BACF7"/>
    <w:rsid w:val="168E66AF"/>
    <w:rsid w:val="169021F5"/>
    <w:rsid w:val="169109DC"/>
    <w:rsid w:val="1692F082"/>
    <w:rsid w:val="16934E7B"/>
    <w:rsid w:val="1697DAB5"/>
    <w:rsid w:val="16983472"/>
    <w:rsid w:val="16A0075F"/>
    <w:rsid w:val="16A1706F"/>
    <w:rsid w:val="16A67ACE"/>
    <w:rsid w:val="16A6A6DE"/>
    <w:rsid w:val="16A94D6F"/>
    <w:rsid w:val="16AC62EB"/>
    <w:rsid w:val="16AE31A3"/>
    <w:rsid w:val="16AF07A6"/>
    <w:rsid w:val="16B6FC20"/>
    <w:rsid w:val="16B816F3"/>
    <w:rsid w:val="16B9963C"/>
    <w:rsid w:val="16BCB004"/>
    <w:rsid w:val="16BD6518"/>
    <w:rsid w:val="16C3A078"/>
    <w:rsid w:val="16C579AD"/>
    <w:rsid w:val="16C863C8"/>
    <w:rsid w:val="16C87525"/>
    <w:rsid w:val="16CBA09E"/>
    <w:rsid w:val="16CBAB36"/>
    <w:rsid w:val="16CF5BED"/>
    <w:rsid w:val="16D02669"/>
    <w:rsid w:val="16D25567"/>
    <w:rsid w:val="16D2CA0A"/>
    <w:rsid w:val="16DA4547"/>
    <w:rsid w:val="16DAD562"/>
    <w:rsid w:val="16DE853A"/>
    <w:rsid w:val="16E0206B"/>
    <w:rsid w:val="16E1095F"/>
    <w:rsid w:val="16E4D45C"/>
    <w:rsid w:val="16E5E2B9"/>
    <w:rsid w:val="16E7A271"/>
    <w:rsid w:val="16E97332"/>
    <w:rsid w:val="16EB5F71"/>
    <w:rsid w:val="16EBA752"/>
    <w:rsid w:val="16ECB044"/>
    <w:rsid w:val="16EDA91D"/>
    <w:rsid w:val="16EF7417"/>
    <w:rsid w:val="16F32A96"/>
    <w:rsid w:val="16F4BB04"/>
    <w:rsid w:val="16F785B7"/>
    <w:rsid w:val="16F836AB"/>
    <w:rsid w:val="16F8B58A"/>
    <w:rsid w:val="1700C5CF"/>
    <w:rsid w:val="17019BF1"/>
    <w:rsid w:val="1702C481"/>
    <w:rsid w:val="170471B1"/>
    <w:rsid w:val="1706252F"/>
    <w:rsid w:val="17065ED4"/>
    <w:rsid w:val="1706E4F7"/>
    <w:rsid w:val="17085F94"/>
    <w:rsid w:val="1709B0F9"/>
    <w:rsid w:val="1709B980"/>
    <w:rsid w:val="170E2312"/>
    <w:rsid w:val="170F3DE7"/>
    <w:rsid w:val="170FF7A8"/>
    <w:rsid w:val="1710BE40"/>
    <w:rsid w:val="1714E7C6"/>
    <w:rsid w:val="1715BFDC"/>
    <w:rsid w:val="171A142C"/>
    <w:rsid w:val="171B736A"/>
    <w:rsid w:val="171E40F1"/>
    <w:rsid w:val="17223640"/>
    <w:rsid w:val="17255037"/>
    <w:rsid w:val="17267788"/>
    <w:rsid w:val="1728352A"/>
    <w:rsid w:val="17296F9D"/>
    <w:rsid w:val="17299A2E"/>
    <w:rsid w:val="172D32B0"/>
    <w:rsid w:val="172DBE00"/>
    <w:rsid w:val="172E9E9A"/>
    <w:rsid w:val="172EC2A9"/>
    <w:rsid w:val="172FE850"/>
    <w:rsid w:val="17326863"/>
    <w:rsid w:val="1732726C"/>
    <w:rsid w:val="1737BC4C"/>
    <w:rsid w:val="1738AF16"/>
    <w:rsid w:val="1738C8D8"/>
    <w:rsid w:val="173A8D7C"/>
    <w:rsid w:val="173DBAEE"/>
    <w:rsid w:val="173DBBC7"/>
    <w:rsid w:val="173F6EDC"/>
    <w:rsid w:val="173FD6CC"/>
    <w:rsid w:val="1742708E"/>
    <w:rsid w:val="1745B5DB"/>
    <w:rsid w:val="17480B02"/>
    <w:rsid w:val="17493922"/>
    <w:rsid w:val="17504B19"/>
    <w:rsid w:val="1750DE94"/>
    <w:rsid w:val="17564996"/>
    <w:rsid w:val="175677E8"/>
    <w:rsid w:val="175D91B5"/>
    <w:rsid w:val="175E9EED"/>
    <w:rsid w:val="175EE912"/>
    <w:rsid w:val="175F0B6E"/>
    <w:rsid w:val="176509E2"/>
    <w:rsid w:val="17679292"/>
    <w:rsid w:val="176907F7"/>
    <w:rsid w:val="1769B20C"/>
    <w:rsid w:val="177030CD"/>
    <w:rsid w:val="177065F1"/>
    <w:rsid w:val="17713583"/>
    <w:rsid w:val="17714D8A"/>
    <w:rsid w:val="177306BA"/>
    <w:rsid w:val="1777A459"/>
    <w:rsid w:val="17780F11"/>
    <w:rsid w:val="177F9AFB"/>
    <w:rsid w:val="1780110B"/>
    <w:rsid w:val="1781FFEB"/>
    <w:rsid w:val="17828A4B"/>
    <w:rsid w:val="1783BC07"/>
    <w:rsid w:val="1784F5DE"/>
    <w:rsid w:val="1785BB42"/>
    <w:rsid w:val="178649A1"/>
    <w:rsid w:val="178C3824"/>
    <w:rsid w:val="178FC3F6"/>
    <w:rsid w:val="1790264F"/>
    <w:rsid w:val="1791EAA2"/>
    <w:rsid w:val="17948C39"/>
    <w:rsid w:val="1794DDB7"/>
    <w:rsid w:val="17950FE0"/>
    <w:rsid w:val="1795A8BE"/>
    <w:rsid w:val="17966743"/>
    <w:rsid w:val="1796C499"/>
    <w:rsid w:val="17973935"/>
    <w:rsid w:val="17973C56"/>
    <w:rsid w:val="1797CD0F"/>
    <w:rsid w:val="17981731"/>
    <w:rsid w:val="17998D55"/>
    <w:rsid w:val="179A8EF1"/>
    <w:rsid w:val="179CAB38"/>
    <w:rsid w:val="179D4759"/>
    <w:rsid w:val="179F74E5"/>
    <w:rsid w:val="17A0AB61"/>
    <w:rsid w:val="17A3D6C0"/>
    <w:rsid w:val="17A5E340"/>
    <w:rsid w:val="17ACB77E"/>
    <w:rsid w:val="17ACFF96"/>
    <w:rsid w:val="17B009C0"/>
    <w:rsid w:val="17B034C5"/>
    <w:rsid w:val="17B19704"/>
    <w:rsid w:val="17B1B1A4"/>
    <w:rsid w:val="17B2C520"/>
    <w:rsid w:val="17B350B4"/>
    <w:rsid w:val="17B57351"/>
    <w:rsid w:val="17B60579"/>
    <w:rsid w:val="17B820D3"/>
    <w:rsid w:val="17B8D4CF"/>
    <w:rsid w:val="17BEE095"/>
    <w:rsid w:val="17BF5353"/>
    <w:rsid w:val="17BFC842"/>
    <w:rsid w:val="17C16EAF"/>
    <w:rsid w:val="17C965C6"/>
    <w:rsid w:val="17CA6714"/>
    <w:rsid w:val="17CAA652"/>
    <w:rsid w:val="17CB82BA"/>
    <w:rsid w:val="17CE00A0"/>
    <w:rsid w:val="17CE5314"/>
    <w:rsid w:val="17D22F25"/>
    <w:rsid w:val="17D5AA63"/>
    <w:rsid w:val="17D61C83"/>
    <w:rsid w:val="17D7338C"/>
    <w:rsid w:val="17DA9251"/>
    <w:rsid w:val="17E32477"/>
    <w:rsid w:val="17E3C1EC"/>
    <w:rsid w:val="17E77E47"/>
    <w:rsid w:val="17E78F5A"/>
    <w:rsid w:val="17E8BAF0"/>
    <w:rsid w:val="17EAB80F"/>
    <w:rsid w:val="17EB607B"/>
    <w:rsid w:val="17EF4823"/>
    <w:rsid w:val="17F1B8D2"/>
    <w:rsid w:val="17F392A3"/>
    <w:rsid w:val="17F6C431"/>
    <w:rsid w:val="17F8876E"/>
    <w:rsid w:val="17FAA970"/>
    <w:rsid w:val="17FE3E44"/>
    <w:rsid w:val="17FEE864"/>
    <w:rsid w:val="17FF6738"/>
    <w:rsid w:val="17FFA631"/>
    <w:rsid w:val="18008C00"/>
    <w:rsid w:val="180322F3"/>
    <w:rsid w:val="18040636"/>
    <w:rsid w:val="1804C737"/>
    <w:rsid w:val="180573A1"/>
    <w:rsid w:val="180B206B"/>
    <w:rsid w:val="180E09D0"/>
    <w:rsid w:val="180E4510"/>
    <w:rsid w:val="18129276"/>
    <w:rsid w:val="181333B5"/>
    <w:rsid w:val="181454CB"/>
    <w:rsid w:val="181470FF"/>
    <w:rsid w:val="18155D84"/>
    <w:rsid w:val="1815C921"/>
    <w:rsid w:val="1815D498"/>
    <w:rsid w:val="18181937"/>
    <w:rsid w:val="181ADB38"/>
    <w:rsid w:val="181BECED"/>
    <w:rsid w:val="181CEC2F"/>
    <w:rsid w:val="181DB28F"/>
    <w:rsid w:val="181E585C"/>
    <w:rsid w:val="181EF356"/>
    <w:rsid w:val="18200ECA"/>
    <w:rsid w:val="1821F9FC"/>
    <w:rsid w:val="1822000E"/>
    <w:rsid w:val="18224779"/>
    <w:rsid w:val="18226FF7"/>
    <w:rsid w:val="182428D5"/>
    <w:rsid w:val="18249152"/>
    <w:rsid w:val="1824ACFF"/>
    <w:rsid w:val="18250D61"/>
    <w:rsid w:val="182AEDB0"/>
    <w:rsid w:val="182D4D41"/>
    <w:rsid w:val="182E607E"/>
    <w:rsid w:val="182EFBCD"/>
    <w:rsid w:val="182F4904"/>
    <w:rsid w:val="1830D32F"/>
    <w:rsid w:val="18321391"/>
    <w:rsid w:val="1832B9F7"/>
    <w:rsid w:val="183608C8"/>
    <w:rsid w:val="1838FD0F"/>
    <w:rsid w:val="18393909"/>
    <w:rsid w:val="183A79B2"/>
    <w:rsid w:val="183B20E1"/>
    <w:rsid w:val="18400020"/>
    <w:rsid w:val="1841E76A"/>
    <w:rsid w:val="1842C0A9"/>
    <w:rsid w:val="18452050"/>
    <w:rsid w:val="1847EF41"/>
    <w:rsid w:val="1848A992"/>
    <w:rsid w:val="1849AB70"/>
    <w:rsid w:val="184BB56E"/>
    <w:rsid w:val="184D32D6"/>
    <w:rsid w:val="184E4C75"/>
    <w:rsid w:val="184EE4A8"/>
    <w:rsid w:val="184F0E25"/>
    <w:rsid w:val="185088D0"/>
    <w:rsid w:val="18512B20"/>
    <w:rsid w:val="18530C2C"/>
    <w:rsid w:val="185A0630"/>
    <w:rsid w:val="185A07FC"/>
    <w:rsid w:val="185D1D45"/>
    <w:rsid w:val="185DAC4C"/>
    <w:rsid w:val="185DBF02"/>
    <w:rsid w:val="186070B3"/>
    <w:rsid w:val="1860BBDE"/>
    <w:rsid w:val="1862628C"/>
    <w:rsid w:val="1865E093"/>
    <w:rsid w:val="18671913"/>
    <w:rsid w:val="186770FF"/>
    <w:rsid w:val="1868277B"/>
    <w:rsid w:val="186936E1"/>
    <w:rsid w:val="1869714A"/>
    <w:rsid w:val="186BE79D"/>
    <w:rsid w:val="186C092E"/>
    <w:rsid w:val="1870D1FD"/>
    <w:rsid w:val="18714806"/>
    <w:rsid w:val="1873306F"/>
    <w:rsid w:val="18741C9C"/>
    <w:rsid w:val="18759087"/>
    <w:rsid w:val="1876A31F"/>
    <w:rsid w:val="18787665"/>
    <w:rsid w:val="187A743E"/>
    <w:rsid w:val="187AC392"/>
    <w:rsid w:val="187C4F81"/>
    <w:rsid w:val="187F63BC"/>
    <w:rsid w:val="18815F35"/>
    <w:rsid w:val="188372D2"/>
    <w:rsid w:val="1884D4E1"/>
    <w:rsid w:val="188528CA"/>
    <w:rsid w:val="188574E4"/>
    <w:rsid w:val="18871C56"/>
    <w:rsid w:val="18889519"/>
    <w:rsid w:val="1888B72C"/>
    <w:rsid w:val="188A90EA"/>
    <w:rsid w:val="188E2CB4"/>
    <w:rsid w:val="188F3B65"/>
    <w:rsid w:val="188FD3F9"/>
    <w:rsid w:val="1890F9B4"/>
    <w:rsid w:val="18932F01"/>
    <w:rsid w:val="1894FC77"/>
    <w:rsid w:val="1895438A"/>
    <w:rsid w:val="1897FFBD"/>
    <w:rsid w:val="18980520"/>
    <w:rsid w:val="189886B0"/>
    <w:rsid w:val="1899ECE8"/>
    <w:rsid w:val="189A3B70"/>
    <w:rsid w:val="189EA545"/>
    <w:rsid w:val="18A22EA9"/>
    <w:rsid w:val="18A446BD"/>
    <w:rsid w:val="18A4C57E"/>
    <w:rsid w:val="18A583E0"/>
    <w:rsid w:val="18A7ED34"/>
    <w:rsid w:val="18A9FC86"/>
    <w:rsid w:val="18AA18C5"/>
    <w:rsid w:val="18B075CF"/>
    <w:rsid w:val="18B4440D"/>
    <w:rsid w:val="18B7F310"/>
    <w:rsid w:val="18B81CEE"/>
    <w:rsid w:val="18B820DB"/>
    <w:rsid w:val="18BE5AAB"/>
    <w:rsid w:val="18C078BD"/>
    <w:rsid w:val="18C32F16"/>
    <w:rsid w:val="18C34EB5"/>
    <w:rsid w:val="18C62C74"/>
    <w:rsid w:val="18C95272"/>
    <w:rsid w:val="18CBC595"/>
    <w:rsid w:val="18CCC06B"/>
    <w:rsid w:val="18CD92A2"/>
    <w:rsid w:val="18CEF1EC"/>
    <w:rsid w:val="18CF6114"/>
    <w:rsid w:val="18CFE51C"/>
    <w:rsid w:val="18D51BED"/>
    <w:rsid w:val="18D65419"/>
    <w:rsid w:val="18D69D38"/>
    <w:rsid w:val="18D6B2A0"/>
    <w:rsid w:val="18D73F4F"/>
    <w:rsid w:val="18D93F37"/>
    <w:rsid w:val="18D99E60"/>
    <w:rsid w:val="18DA1551"/>
    <w:rsid w:val="18DA7A66"/>
    <w:rsid w:val="18DBABB8"/>
    <w:rsid w:val="18DC8C3C"/>
    <w:rsid w:val="18DFED4D"/>
    <w:rsid w:val="18E00930"/>
    <w:rsid w:val="18E4351B"/>
    <w:rsid w:val="18E45023"/>
    <w:rsid w:val="18E7FA54"/>
    <w:rsid w:val="18E9D6B6"/>
    <w:rsid w:val="18EF459C"/>
    <w:rsid w:val="18F12ABD"/>
    <w:rsid w:val="18F214FA"/>
    <w:rsid w:val="18F2B35A"/>
    <w:rsid w:val="18F54F3B"/>
    <w:rsid w:val="18F56D50"/>
    <w:rsid w:val="18F7E4AA"/>
    <w:rsid w:val="18F8BDD5"/>
    <w:rsid w:val="18FA149E"/>
    <w:rsid w:val="18FAB1CE"/>
    <w:rsid w:val="18FB2D9A"/>
    <w:rsid w:val="18FB794F"/>
    <w:rsid w:val="18FC4D18"/>
    <w:rsid w:val="18FD3F98"/>
    <w:rsid w:val="18FEAD52"/>
    <w:rsid w:val="18FEC044"/>
    <w:rsid w:val="18FED327"/>
    <w:rsid w:val="1905E73C"/>
    <w:rsid w:val="190671C4"/>
    <w:rsid w:val="19096DCE"/>
    <w:rsid w:val="19098145"/>
    <w:rsid w:val="190A4703"/>
    <w:rsid w:val="190AD252"/>
    <w:rsid w:val="190C40C8"/>
    <w:rsid w:val="190C66DE"/>
    <w:rsid w:val="190E8C79"/>
    <w:rsid w:val="190F875A"/>
    <w:rsid w:val="190F9304"/>
    <w:rsid w:val="191354A0"/>
    <w:rsid w:val="1914A8B9"/>
    <w:rsid w:val="1914DF59"/>
    <w:rsid w:val="191579FE"/>
    <w:rsid w:val="19166DB9"/>
    <w:rsid w:val="19186138"/>
    <w:rsid w:val="1919A8DB"/>
    <w:rsid w:val="1919B71A"/>
    <w:rsid w:val="191A501A"/>
    <w:rsid w:val="191AAD26"/>
    <w:rsid w:val="191C79D4"/>
    <w:rsid w:val="191EA5C5"/>
    <w:rsid w:val="19240BB2"/>
    <w:rsid w:val="19248FA7"/>
    <w:rsid w:val="1929A886"/>
    <w:rsid w:val="1929C9A1"/>
    <w:rsid w:val="192BF2BE"/>
    <w:rsid w:val="192D3A59"/>
    <w:rsid w:val="192EEBA1"/>
    <w:rsid w:val="192F4FE5"/>
    <w:rsid w:val="192FEC89"/>
    <w:rsid w:val="19338BE8"/>
    <w:rsid w:val="19341849"/>
    <w:rsid w:val="19350600"/>
    <w:rsid w:val="1935EFCA"/>
    <w:rsid w:val="19363936"/>
    <w:rsid w:val="193647DB"/>
    <w:rsid w:val="19368C65"/>
    <w:rsid w:val="1937B134"/>
    <w:rsid w:val="1937FE0D"/>
    <w:rsid w:val="19397A1B"/>
    <w:rsid w:val="19408F8E"/>
    <w:rsid w:val="19441016"/>
    <w:rsid w:val="19447CFE"/>
    <w:rsid w:val="19458CB6"/>
    <w:rsid w:val="194735EC"/>
    <w:rsid w:val="19476C70"/>
    <w:rsid w:val="1948D6BA"/>
    <w:rsid w:val="194A9D5F"/>
    <w:rsid w:val="194AD2C6"/>
    <w:rsid w:val="194B18F8"/>
    <w:rsid w:val="194BAC5E"/>
    <w:rsid w:val="194D3D77"/>
    <w:rsid w:val="194E6096"/>
    <w:rsid w:val="194E666B"/>
    <w:rsid w:val="195318CD"/>
    <w:rsid w:val="195966F5"/>
    <w:rsid w:val="195B5DFF"/>
    <w:rsid w:val="19600063"/>
    <w:rsid w:val="19627538"/>
    <w:rsid w:val="1962AE5E"/>
    <w:rsid w:val="19654F78"/>
    <w:rsid w:val="19672DF5"/>
    <w:rsid w:val="196DE3B7"/>
    <w:rsid w:val="196EF54A"/>
    <w:rsid w:val="196F1899"/>
    <w:rsid w:val="196F2537"/>
    <w:rsid w:val="19722F7C"/>
    <w:rsid w:val="197C49FA"/>
    <w:rsid w:val="197CEB7F"/>
    <w:rsid w:val="197E15E2"/>
    <w:rsid w:val="198288AE"/>
    <w:rsid w:val="198368A7"/>
    <w:rsid w:val="1983A88D"/>
    <w:rsid w:val="1985D0D3"/>
    <w:rsid w:val="19870F77"/>
    <w:rsid w:val="198FD5A2"/>
    <w:rsid w:val="1992E804"/>
    <w:rsid w:val="199515F6"/>
    <w:rsid w:val="199521A8"/>
    <w:rsid w:val="1995E177"/>
    <w:rsid w:val="199AB540"/>
    <w:rsid w:val="199CD9D9"/>
    <w:rsid w:val="199D5F09"/>
    <w:rsid w:val="199D9BF1"/>
    <w:rsid w:val="199FC75A"/>
    <w:rsid w:val="19A0E5DE"/>
    <w:rsid w:val="19A4103F"/>
    <w:rsid w:val="19A43E54"/>
    <w:rsid w:val="19A71C1E"/>
    <w:rsid w:val="19A9156B"/>
    <w:rsid w:val="19AEBC40"/>
    <w:rsid w:val="19AFDFDF"/>
    <w:rsid w:val="19B015BD"/>
    <w:rsid w:val="19B02277"/>
    <w:rsid w:val="19B048F0"/>
    <w:rsid w:val="19B2A96B"/>
    <w:rsid w:val="19B67CF2"/>
    <w:rsid w:val="19B745EC"/>
    <w:rsid w:val="19B9CD8D"/>
    <w:rsid w:val="19BACD0E"/>
    <w:rsid w:val="19BB1743"/>
    <w:rsid w:val="19BC64D8"/>
    <w:rsid w:val="19BC7137"/>
    <w:rsid w:val="19C0B076"/>
    <w:rsid w:val="19C0C222"/>
    <w:rsid w:val="19C186E8"/>
    <w:rsid w:val="19C30E3F"/>
    <w:rsid w:val="19C4D03E"/>
    <w:rsid w:val="19C513D9"/>
    <w:rsid w:val="19C62BDE"/>
    <w:rsid w:val="19C89E61"/>
    <w:rsid w:val="19CA617E"/>
    <w:rsid w:val="19CC3F46"/>
    <w:rsid w:val="19D154B0"/>
    <w:rsid w:val="19D85FCF"/>
    <w:rsid w:val="19DBFCC6"/>
    <w:rsid w:val="19DE47A0"/>
    <w:rsid w:val="19DECE16"/>
    <w:rsid w:val="19E0B09E"/>
    <w:rsid w:val="19E0D08D"/>
    <w:rsid w:val="19E277FC"/>
    <w:rsid w:val="19E2D932"/>
    <w:rsid w:val="19E32A08"/>
    <w:rsid w:val="19E8BE93"/>
    <w:rsid w:val="19EA2794"/>
    <w:rsid w:val="19EA5366"/>
    <w:rsid w:val="19F0964A"/>
    <w:rsid w:val="19F23B40"/>
    <w:rsid w:val="19F7834D"/>
    <w:rsid w:val="19F7A084"/>
    <w:rsid w:val="19F92351"/>
    <w:rsid w:val="19F9B42C"/>
    <w:rsid w:val="19FC3B30"/>
    <w:rsid w:val="1A03AD40"/>
    <w:rsid w:val="1A03F39F"/>
    <w:rsid w:val="1A0670F3"/>
    <w:rsid w:val="1A0BEDC3"/>
    <w:rsid w:val="1A0C3722"/>
    <w:rsid w:val="1A0F0B0D"/>
    <w:rsid w:val="1A169C28"/>
    <w:rsid w:val="1A19D741"/>
    <w:rsid w:val="1A1C1258"/>
    <w:rsid w:val="1A1CAB78"/>
    <w:rsid w:val="1A1CC97B"/>
    <w:rsid w:val="1A1ED8ED"/>
    <w:rsid w:val="1A1F63D5"/>
    <w:rsid w:val="1A1F8A64"/>
    <w:rsid w:val="1A24BF2F"/>
    <w:rsid w:val="1A2685AD"/>
    <w:rsid w:val="1A270E6E"/>
    <w:rsid w:val="1A274AB3"/>
    <w:rsid w:val="1A292F0F"/>
    <w:rsid w:val="1A2A2031"/>
    <w:rsid w:val="1A2B4DCE"/>
    <w:rsid w:val="1A2DD0E9"/>
    <w:rsid w:val="1A2F7B9C"/>
    <w:rsid w:val="1A32EAC7"/>
    <w:rsid w:val="1A353128"/>
    <w:rsid w:val="1A37FD47"/>
    <w:rsid w:val="1A38D29D"/>
    <w:rsid w:val="1A39E764"/>
    <w:rsid w:val="1A3A8C34"/>
    <w:rsid w:val="1A3AAF14"/>
    <w:rsid w:val="1A3CE14C"/>
    <w:rsid w:val="1A3D0CAE"/>
    <w:rsid w:val="1A3FBD93"/>
    <w:rsid w:val="1A412202"/>
    <w:rsid w:val="1A42ADD5"/>
    <w:rsid w:val="1A439CB2"/>
    <w:rsid w:val="1A4602D2"/>
    <w:rsid w:val="1A472B04"/>
    <w:rsid w:val="1A48ACA7"/>
    <w:rsid w:val="1A49CFA1"/>
    <w:rsid w:val="1A4A90D0"/>
    <w:rsid w:val="1A4F47C6"/>
    <w:rsid w:val="1A500957"/>
    <w:rsid w:val="1A52800B"/>
    <w:rsid w:val="1A56273F"/>
    <w:rsid w:val="1A583C18"/>
    <w:rsid w:val="1A62FFE2"/>
    <w:rsid w:val="1A66587E"/>
    <w:rsid w:val="1A68A9A6"/>
    <w:rsid w:val="1A69C50C"/>
    <w:rsid w:val="1A725180"/>
    <w:rsid w:val="1A750568"/>
    <w:rsid w:val="1A78708B"/>
    <w:rsid w:val="1A7A8E17"/>
    <w:rsid w:val="1A7AD9FA"/>
    <w:rsid w:val="1A7D0CE9"/>
    <w:rsid w:val="1A7D3FC8"/>
    <w:rsid w:val="1A812E5E"/>
    <w:rsid w:val="1A81E4A8"/>
    <w:rsid w:val="1A8282B1"/>
    <w:rsid w:val="1A84B577"/>
    <w:rsid w:val="1A84FBE1"/>
    <w:rsid w:val="1A85B2A2"/>
    <w:rsid w:val="1A85C522"/>
    <w:rsid w:val="1A861D0C"/>
    <w:rsid w:val="1A86E0F0"/>
    <w:rsid w:val="1A889ECB"/>
    <w:rsid w:val="1A89A74B"/>
    <w:rsid w:val="1A8A8627"/>
    <w:rsid w:val="1A8B2158"/>
    <w:rsid w:val="1A8BD871"/>
    <w:rsid w:val="1A902560"/>
    <w:rsid w:val="1A926457"/>
    <w:rsid w:val="1A9294A9"/>
    <w:rsid w:val="1A92BE02"/>
    <w:rsid w:val="1A92D005"/>
    <w:rsid w:val="1A93A01C"/>
    <w:rsid w:val="1A96253A"/>
    <w:rsid w:val="1A9690BF"/>
    <w:rsid w:val="1A9B1099"/>
    <w:rsid w:val="1A9C71D6"/>
    <w:rsid w:val="1A9CFD36"/>
    <w:rsid w:val="1AA213F5"/>
    <w:rsid w:val="1AA3FE5B"/>
    <w:rsid w:val="1AA42C3A"/>
    <w:rsid w:val="1AA61F13"/>
    <w:rsid w:val="1AA76839"/>
    <w:rsid w:val="1AAA7EDE"/>
    <w:rsid w:val="1AABBA62"/>
    <w:rsid w:val="1AAEAFBE"/>
    <w:rsid w:val="1AB1667F"/>
    <w:rsid w:val="1AB22A2D"/>
    <w:rsid w:val="1AB672D6"/>
    <w:rsid w:val="1AB79299"/>
    <w:rsid w:val="1AB8C80C"/>
    <w:rsid w:val="1AC1A46B"/>
    <w:rsid w:val="1AC1FA0C"/>
    <w:rsid w:val="1AC3C942"/>
    <w:rsid w:val="1AC4DC30"/>
    <w:rsid w:val="1AC596FD"/>
    <w:rsid w:val="1AC6031F"/>
    <w:rsid w:val="1AC6B568"/>
    <w:rsid w:val="1ACA278F"/>
    <w:rsid w:val="1ACD0ADE"/>
    <w:rsid w:val="1ACD5474"/>
    <w:rsid w:val="1ACE538C"/>
    <w:rsid w:val="1AD046CC"/>
    <w:rsid w:val="1AD0482E"/>
    <w:rsid w:val="1AD30E69"/>
    <w:rsid w:val="1AD59385"/>
    <w:rsid w:val="1AD7DBB9"/>
    <w:rsid w:val="1AD9EB48"/>
    <w:rsid w:val="1ADC43E3"/>
    <w:rsid w:val="1ADD62EF"/>
    <w:rsid w:val="1AE01AD2"/>
    <w:rsid w:val="1AE0B28A"/>
    <w:rsid w:val="1AE2E5D0"/>
    <w:rsid w:val="1AE6501F"/>
    <w:rsid w:val="1AE77B86"/>
    <w:rsid w:val="1AE8A627"/>
    <w:rsid w:val="1AEA7D73"/>
    <w:rsid w:val="1AEAD1F6"/>
    <w:rsid w:val="1AED8C51"/>
    <w:rsid w:val="1AEDA8CE"/>
    <w:rsid w:val="1AEDFA8A"/>
    <w:rsid w:val="1AEF026C"/>
    <w:rsid w:val="1AF05448"/>
    <w:rsid w:val="1AF0A87A"/>
    <w:rsid w:val="1AF1BA66"/>
    <w:rsid w:val="1AF1BE00"/>
    <w:rsid w:val="1AF4095D"/>
    <w:rsid w:val="1AF5BEC8"/>
    <w:rsid w:val="1AF648F8"/>
    <w:rsid w:val="1AF825D1"/>
    <w:rsid w:val="1AF88A65"/>
    <w:rsid w:val="1AFB1297"/>
    <w:rsid w:val="1AFC05EA"/>
    <w:rsid w:val="1AFCECCA"/>
    <w:rsid w:val="1B016961"/>
    <w:rsid w:val="1B02EE52"/>
    <w:rsid w:val="1B0534C9"/>
    <w:rsid w:val="1B083ECE"/>
    <w:rsid w:val="1B093B2C"/>
    <w:rsid w:val="1B0B4965"/>
    <w:rsid w:val="1B0F0A5B"/>
    <w:rsid w:val="1B0FE26C"/>
    <w:rsid w:val="1B117666"/>
    <w:rsid w:val="1B14FBDC"/>
    <w:rsid w:val="1B168C41"/>
    <w:rsid w:val="1B19CFC8"/>
    <w:rsid w:val="1B1B7CAD"/>
    <w:rsid w:val="1B1E635E"/>
    <w:rsid w:val="1B1F94BB"/>
    <w:rsid w:val="1B227654"/>
    <w:rsid w:val="1B23756E"/>
    <w:rsid w:val="1B23DC66"/>
    <w:rsid w:val="1B26583C"/>
    <w:rsid w:val="1B28A9F8"/>
    <w:rsid w:val="1B2B423B"/>
    <w:rsid w:val="1B2BC3DE"/>
    <w:rsid w:val="1B2DE99F"/>
    <w:rsid w:val="1B3204EB"/>
    <w:rsid w:val="1B32F487"/>
    <w:rsid w:val="1B330C5B"/>
    <w:rsid w:val="1B334DBA"/>
    <w:rsid w:val="1B3395CB"/>
    <w:rsid w:val="1B39C566"/>
    <w:rsid w:val="1B3BE194"/>
    <w:rsid w:val="1B3C395B"/>
    <w:rsid w:val="1B3D4166"/>
    <w:rsid w:val="1B43F9BF"/>
    <w:rsid w:val="1B441519"/>
    <w:rsid w:val="1B465563"/>
    <w:rsid w:val="1B49BDC6"/>
    <w:rsid w:val="1B49ECC0"/>
    <w:rsid w:val="1B4CA2D7"/>
    <w:rsid w:val="1B4D4142"/>
    <w:rsid w:val="1B4DF654"/>
    <w:rsid w:val="1B4E13BC"/>
    <w:rsid w:val="1B4E3294"/>
    <w:rsid w:val="1B502293"/>
    <w:rsid w:val="1B50C4A9"/>
    <w:rsid w:val="1B518E20"/>
    <w:rsid w:val="1B52E33F"/>
    <w:rsid w:val="1B544B5E"/>
    <w:rsid w:val="1B546649"/>
    <w:rsid w:val="1B548A9C"/>
    <w:rsid w:val="1B562F6B"/>
    <w:rsid w:val="1B568B71"/>
    <w:rsid w:val="1B586DDA"/>
    <w:rsid w:val="1B590F2A"/>
    <w:rsid w:val="1B59934F"/>
    <w:rsid w:val="1B5D2E8F"/>
    <w:rsid w:val="1B5ED22A"/>
    <w:rsid w:val="1B5FF708"/>
    <w:rsid w:val="1B609B5E"/>
    <w:rsid w:val="1B64E9C7"/>
    <w:rsid w:val="1B670DDB"/>
    <w:rsid w:val="1B67E2D6"/>
    <w:rsid w:val="1B6D961D"/>
    <w:rsid w:val="1B739414"/>
    <w:rsid w:val="1B7772C2"/>
    <w:rsid w:val="1B798171"/>
    <w:rsid w:val="1B79C6AB"/>
    <w:rsid w:val="1B79C803"/>
    <w:rsid w:val="1B7D9691"/>
    <w:rsid w:val="1B7F573D"/>
    <w:rsid w:val="1B804822"/>
    <w:rsid w:val="1B81901B"/>
    <w:rsid w:val="1B81A6FF"/>
    <w:rsid w:val="1B852F1B"/>
    <w:rsid w:val="1B89A279"/>
    <w:rsid w:val="1B8BD955"/>
    <w:rsid w:val="1B8C10C1"/>
    <w:rsid w:val="1B8DECD3"/>
    <w:rsid w:val="1B929DF2"/>
    <w:rsid w:val="1B93515E"/>
    <w:rsid w:val="1B937EBD"/>
    <w:rsid w:val="1B94EF87"/>
    <w:rsid w:val="1B95FDA8"/>
    <w:rsid w:val="1B96DF3A"/>
    <w:rsid w:val="1B985CA0"/>
    <w:rsid w:val="1B98CEF2"/>
    <w:rsid w:val="1B9A0E8C"/>
    <w:rsid w:val="1B9C3B6D"/>
    <w:rsid w:val="1B9F8060"/>
    <w:rsid w:val="1BA1806A"/>
    <w:rsid w:val="1BA371AE"/>
    <w:rsid w:val="1BA37551"/>
    <w:rsid w:val="1BA5A596"/>
    <w:rsid w:val="1BA84897"/>
    <w:rsid w:val="1BAA043F"/>
    <w:rsid w:val="1BAC0CE4"/>
    <w:rsid w:val="1BAD9FB6"/>
    <w:rsid w:val="1BAF1029"/>
    <w:rsid w:val="1BAF8E39"/>
    <w:rsid w:val="1BAF9670"/>
    <w:rsid w:val="1BB26E89"/>
    <w:rsid w:val="1BB3C3AE"/>
    <w:rsid w:val="1BB410C7"/>
    <w:rsid w:val="1BB920BE"/>
    <w:rsid w:val="1BB9A407"/>
    <w:rsid w:val="1BBD2B72"/>
    <w:rsid w:val="1BBFB6CE"/>
    <w:rsid w:val="1BC060A6"/>
    <w:rsid w:val="1BC0BA0A"/>
    <w:rsid w:val="1BC2FC65"/>
    <w:rsid w:val="1BC536B2"/>
    <w:rsid w:val="1BC75B7C"/>
    <w:rsid w:val="1BC8B60D"/>
    <w:rsid w:val="1BC98972"/>
    <w:rsid w:val="1BCC37BD"/>
    <w:rsid w:val="1BCC4AA3"/>
    <w:rsid w:val="1BCE819D"/>
    <w:rsid w:val="1BD14563"/>
    <w:rsid w:val="1BD179B5"/>
    <w:rsid w:val="1BD2FC31"/>
    <w:rsid w:val="1BD3EF52"/>
    <w:rsid w:val="1BD59B62"/>
    <w:rsid w:val="1BDC958A"/>
    <w:rsid w:val="1BDEE9C7"/>
    <w:rsid w:val="1BE5842E"/>
    <w:rsid w:val="1BE68DDC"/>
    <w:rsid w:val="1BEC39AE"/>
    <w:rsid w:val="1BED06BC"/>
    <w:rsid w:val="1BEDF976"/>
    <w:rsid w:val="1BF2F560"/>
    <w:rsid w:val="1BF7993A"/>
    <w:rsid w:val="1BFBA19B"/>
    <w:rsid w:val="1BFD8FC7"/>
    <w:rsid w:val="1BFF52E7"/>
    <w:rsid w:val="1BFF63C2"/>
    <w:rsid w:val="1C0A54EE"/>
    <w:rsid w:val="1C0A68C3"/>
    <w:rsid w:val="1C12EF1E"/>
    <w:rsid w:val="1C14D70D"/>
    <w:rsid w:val="1C14E379"/>
    <w:rsid w:val="1C156698"/>
    <w:rsid w:val="1C1861B5"/>
    <w:rsid w:val="1C1D39B1"/>
    <w:rsid w:val="1C1DC733"/>
    <w:rsid w:val="1C1E0A92"/>
    <w:rsid w:val="1C205BF5"/>
    <w:rsid w:val="1C21234F"/>
    <w:rsid w:val="1C219004"/>
    <w:rsid w:val="1C25E4A5"/>
    <w:rsid w:val="1C25E672"/>
    <w:rsid w:val="1C28C1E0"/>
    <w:rsid w:val="1C2CD566"/>
    <w:rsid w:val="1C2CDB98"/>
    <w:rsid w:val="1C2D04DE"/>
    <w:rsid w:val="1C3038BD"/>
    <w:rsid w:val="1C33E04C"/>
    <w:rsid w:val="1C3435F3"/>
    <w:rsid w:val="1C379829"/>
    <w:rsid w:val="1C3A0639"/>
    <w:rsid w:val="1C3A986B"/>
    <w:rsid w:val="1C3AA3BD"/>
    <w:rsid w:val="1C3B1A59"/>
    <w:rsid w:val="1C3FBC05"/>
    <w:rsid w:val="1C4081BB"/>
    <w:rsid w:val="1C470AEA"/>
    <w:rsid w:val="1C484C9E"/>
    <w:rsid w:val="1C4A83CA"/>
    <w:rsid w:val="1C4D2EF9"/>
    <w:rsid w:val="1C4E497E"/>
    <w:rsid w:val="1C4FA3A6"/>
    <w:rsid w:val="1C5199A7"/>
    <w:rsid w:val="1C53F0BD"/>
    <w:rsid w:val="1C54E2AE"/>
    <w:rsid w:val="1C551096"/>
    <w:rsid w:val="1C563A44"/>
    <w:rsid w:val="1C567393"/>
    <w:rsid w:val="1C582985"/>
    <w:rsid w:val="1C593601"/>
    <w:rsid w:val="1C5A6A41"/>
    <w:rsid w:val="1C5A8462"/>
    <w:rsid w:val="1C5DA77B"/>
    <w:rsid w:val="1C60DF87"/>
    <w:rsid w:val="1C643D1D"/>
    <w:rsid w:val="1C6506A6"/>
    <w:rsid w:val="1C654258"/>
    <w:rsid w:val="1C6551EF"/>
    <w:rsid w:val="1C65EE18"/>
    <w:rsid w:val="1C667652"/>
    <w:rsid w:val="1C67FEE6"/>
    <w:rsid w:val="1C6FBBF5"/>
    <w:rsid w:val="1C716F28"/>
    <w:rsid w:val="1C77838B"/>
    <w:rsid w:val="1C797C83"/>
    <w:rsid w:val="1C7AA3E9"/>
    <w:rsid w:val="1C7AF267"/>
    <w:rsid w:val="1C7B30CE"/>
    <w:rsid w:val="1C7BB0D8"/>
    <w:rsid w:val="1C7DDD4F"/>
    <w:rsid w:val="1C825C83"/>
    <w:rsid w:val="1C869881"/>
    <w:rsid w:val="1C88C72C"/>
    <w:rsid w:val="1C8AA2C1"/>
    <w:rsid w:val="1C8FF258"/>
    <w:rsid w:val="1C930200"/>
    <w:rsid w:val="1C94D796"/>
    <w:rsid w:val="1C94FA81"/>
    <w:rsid w:val="1C99E424"/>
    <w:rsid w:val="1C9B9BA2"/>
    <w:rsid w:val="1C9DF46A"/>
    <w:rsid w:val="1C9F6338"/>
    <w:rsid w:val="1CA47C86"/>
    <w:rsid w:val="1CA5118F"/>
    <w:rsid w:val="1CA649EF"/>
    <w:rsid w:val="1CA70ACF"/>
    <w:rsid w:val="1CA7D32D"/>
    <w:rsid w:val="1CA8CEE3"/>
    <w:rsid w:val="1CACF628"/>
    <w:rsid w:val="1CAE9B89"/>
    <w:rsid w:val="1CAEED56"/>
    <w:rsid w:val="1CB0AA7C"/>
    <w:rsid w:val="1CB10A75"/>
    <w:rsid w:val="1CB23934"/>
    <w:rsid w:val="1CB4556E"/>
    <w:rsid w:val="1CB7375D"/>
    <w:rsid w:val="1CB95C27"/>
    <w:rsid w:val="1CBB0588"/>
    <w:rsid w:val="1CBB8E4D"/>
    <w:rsid w:val="1CC1977E"/>
    <w:rsid w:val="1CC587BB"/>
    <w:rsid w:val="1CC85390"/>
    <w:rsid w:val="1CC9111C"/>
    <w:rsid w:val="1CC96A5A"/>
    <w:rsid w:val="1CD125A7"/>
    <w:rsid w:val="1CD2FC73"/>
    <w:rsid w:val="1CD43827"/>
    <w:rsid w:val="1CD50792"/>
    <w:rsid w:val="1CD64908"/>
    <w:rsid w:val="1CD664A0"/>
    <w:rsid w:val="1CD776C5"/>
    <w:rsid w:val="1CD91CF6"/>
    <w:rsid w:val="1CD9B166"/>
    <w:rsid w:val="1CDD4A74"/>
    <w:rsid w:val="1CDF7C14"/>
    <w:rsid w:val="1CE0CE0C"/>
    <w:rsid w:val="1CE109E3"/>
    <w:rsid w:val="1CE35299"/>
    <w:rsid w:val="1CE3CB5B"/>
    <w:rsid w:val="1CE4214D"/>
    <w:rsid w:val="1CE52A89"/>
    <w:rsid w:val="1CE6B8F7"/>
    <w:rsid w:val="1CEA67C8"/>
    <w:rsid w:val="1CEBC2AD"/>
    <w:rsid w:val="1CEE0EAF"/>
    <w:rsid w:val="1CEEF361"/>
    <w:rsid w:val="1CEFE50A"/>
    <w:rsid w:val="1CF2373E"/>
    <w:rsid w:val="1CF2B0E5"/>
    <w:rsid w:val="1CF40D3D"/>
    <w:rsid w:val="1CF77AC1"/>
    <w:rsid w:val="1CF7D4B9"/>
    <w:rsid w:val="1CF9732B"/>
    <w:rsid w:val="1CFA1D4E"/>
    <w:rsid w:val="1CFC169C"/>
    <w:rsid w:val="1CFD4A68"/>
    <w:rsid w:val="1CFEC313"/>
    <w:rsid w:val="1D062230"/>
    <w:rsid w:val="1D06C7DE"/>
    <w:rsid w:val="1D0DDD4F"/>
    <w:rsid w:val="1D0F93DD"/>
    <w:rsid w:val="1D103AE8"/>
    <w:rsid w:val="1D103F24"/>
    <w:rsid w:val="1D113AED"/>
    <w:rsid w:val="1D173A73"/>
    <w:rsid w:val="1D19BA8A"/>
    <w:rsid w:val="1D1CFA71"/>
    <w:rsid w:val="1D1D34B8"/>
    <w:rsid w:val="1D1D3F0A"/>
    <w:rsid w:val="1D1D738C"/>
    <w:rsid w:val="1D1E82B8"/>
    <w:rsid w:val="1D1FBF27"/>
    <w:rsid w:val="1D1FC0BE"/>
    <w:rsid w:val="1D1FD339"/>
    <w:rsid w:val="1D20ADEC"/>
    <w:rsid w:val="1D21CD3A"/>
    <w:rsid w:val="1D223C9B"/>
    <w:rsid w:val="1D223F00"/>
    <w:rsid w:val="1D268ED2"/>
    <w:rsid w:val="1D29169C"/>
    <w:rsid w:val="1D29A0CD"/>
    <w:rsid w:val="1D2CF0F4"/>
    <w:rsid w:val="1D2EB82F"/>
    <w:rsid w:val="1D30625E"/>
    <w:rsid w:val="1D3172E8"/>
    <w:rsid w:val="1D319CAC"/>
    <w:rsid w:val="1D334E27"/>
    <w:rsid w:val="1D3430F6"/>
    <w:rsid w:val="1D34E9EB"/>
    <w:rsid w:val="1D35D540"/>
    <w:rsid w:val="1D373F6C"/>
    <w:rsid w:val="1D376C75"/>
    <w:rsid w:val="1D3C62AA"/>
    <w:rsid w:val="1D3D4655"/>
    <w:rsid w:val="1D429FD2"/>
    <w:rsid w:val="1D42C763"/>
    <w:rsid w:val="1D43F86F"/>
    <w:rsid w:val="1D46D3A3"/>
    <w:rsid w:val="1D48EF0D"/>
    <w:rsid w:val="1D4B14DA"/>
    <w:rsid w:val="1D4C8CF0"/>
    <w:rsid w:val="1D4CBCC6"/>
    <w:rsid w:val="1D4D925F"/>
    <w:rsid w:val="1D4E6A8A"/>
    <w:rsid w:val="1D4FD807"/>
    <w:rsid w:val="1D50EF3B"/>
    <w:rsid w:val="1D51696B"/>
    <w:rsid w:val="1D53CB52"/>
    <w:rsid w:val="1D5632A7"/>
    <w:rsid w:val="1D56B0E4"/>
    <w:rsid w:val="1D56B270"/>
    <w:rsid w:val="1D59FF4A"/>
    <w:rsid w:val="1D5A5263"/>
    <w:rsid w:val="1D5B010A"/>
    <w:rsid w:val="1D5D79AF"/>
    <w:rsid w:val="1D601745"/>
    <w:rsid w:val="1D629D5A"/>
    <w:rsid w:val="1D637F27"/>
    <w:rsid w:val="1D64866E"/>
    <w:rsid w:val="1D64EE6E"/>
    <w:rsid w:val="1D665551"/>
    <w:rsid w:val="1D666D4D"/>
    <w:rsid w:val="1D66C23C"/>
    <w:rsid w:val="1D66FBA7"/>
    <w:rsid w:val="1D68922C"/>
    <w:rsid w:val="1D68EA96"/>
    <w:rsid w:val="1D6C7A12"/>
    <w:rsid w:val="1D6D36AB"/>
    <w:rsid w:val="1D6D67BD"/>
    <w:rsid w:val="1D6E66C9"/>
    <w:rsid w:val="1D6ECC92"/>
    <w:rsid w:val="1D75993E"/>
    <w:rsid w:val="1D75D408"/>
    <w:rsid w:val="1D78179E"/>
    <w:rsid w:val="1D78FFCE"/>
    <w:rsid w:val="1D7927BA"/>
    <w:rsid w:val="1D793462"/>
    <w:rsid w:val="1D7A43B9"/>
    <w:rsid w:val="1D7C0293"/>
    <w:rsid w:val="1D7EA089"/>
    <w:rsid w:val="1D81E9B8"/>
    <w:rsid w:val="1D853FC2"/>
    <w:rsid w:val="1D886A04"/>
    <w:rsid w:val="1D88A353"/>
    <w:rsid w:val="1D88D71D"/>
    <w:rsid w:val="1D89283A"/>
    <w:rsid w:val="1D8933BE"/>
    <w:rsid w:val="1D8A0641"/>
    <w:rsid w:val="1D8DE555"/>
    <w:rsid w:val="1D90089F"/>
    <w:rsid w:val="1D95AA3F"/>
    <w:rsid w:val="1D97C5B5"/>
    <w:rsid w:val="1D998142"/>
    <w:rsid w:val="1D9AEA18"/>
    <w:rsid w:val="1D9DB0A3"/>
    <w:rsid w:val="1D9F7684"/>
    <w:rsid w:val="1DA2B11E"/>
    <w:rsid w:val="1DA2E910"/>
    <w:rsid w:val="1DA3EE99"/>
    <w:rsid w:val="1DA46601"/>
    <w:rsid w:val="1DA51B7C"/>
    <w:rsid w:val="1DA57B9B"/>
    <w:rsid w:val="1DA5C2DA"/>
    <w:rsid w:val="1DA87540"/>
    <w:rsid w:val="1DA87A13"/>
    <w:rsid w:val="1DA9C13C"/>
    <w:rsid w:val="1DAA29FE"/>
    <w:rsid w:val="1DAA3CFE"/>
    <w:rsid w:val="1DAABB84"/>
    <w:rsid w:val="1DAB2888"/>
    <w:rsid w:val="1DAB5468"/>
    <w:rsid w:val="1DAF94AB"/>
    <w:rsid w:val="1DB0BE94"/>
    <w:rsid w:val="1DB3BE7F"/>
    <w:rsid w:val="1DB7057A"/>
    <w:rsid w:val="1DBCADF9"/>
    <w:rsid w:val="1DBEF211"/>
    <w:rsid w:val="1DC03B9D"/>
    <w:rsid w:val="1DC1DEED"/>
    <w:rsid w:val="1DC6ED5E"/>
    <w:rsid w:val="1DCA36E8"/>
    <w:rsid w:val="1DCB0AB0"/>
    <w:rsid w:val="1DCBA2D3"/>
    <w:rsid w:val="1DCBF972"/>
    <w:rsid w:val="1DD1028F"/>
    <w:rsid w:val="1DD2D6B3"/>
    <w:rsid w:val="1DD81F46"/>
    <w:rsid w:val="1DD8ED67"/>
    <w:rsid w:val="1DDD6881"/>
    <w:rsid w:val="1DDFCBFC"/>
    <w:rsid w:val="1DE20959"/>
    <w:rsid w:val="1DE43841"/>
    <w:rsid w:val="1DE7BC07"/>
    <w:rsid w:val="1DE92100"/>
    <w:rsid w:val="1DEB8DE1"/>
    <w:rsid w:val="1DED5822"/>
    <w:rsid w:val="1DED5D0A"/>
    <w:rsid w:val="1DEDB68C"/>
    <w:rsid w:val="1DEE7963"/>
    <w:rsid w:val="1DF0282A"/>
    <w:rsid w:val="1DF55569"/>
    <w:rsid w:val="1DF63481"/>
    <w:rsid w:val="1DF6BB98"/>
    <w:rsid w:val="1DF8E420"/>
    <w:rsid w:val="1DFB709B"/>
    <w:rsid w:val="1DFC0FF4"/>
    <w:rsid w:val="1DFD3E1E"/>
    <w:rsid w:val="1E030C18"/>
    <w:rsid w:val="1E09D924"/>
    <w:rsid w:val="1E0A73C9"/>
    <w:rsid w:val="1E0CD1FA"/>
    <w:rsid w:val="1E107630"/>
    <w:rsid w:val="1E18E20C"/>
    <w:rsid w:val="1E1B8976"/>
    <w:rsid w:val="1E1DF0E1"/>
    <w:rsid w:val="1E1ED2BF"/>
    <w:rsid w:val="1E1ED559"/>
    <w:rsid w:val="1E1F4878"/>
    <w:rsid w:val="1E241C29"/>
    <w:rsid w:val="1E24544D"/>
    <w:rsid w:val="1E2458E6"/>
    <w:rsid w:val="1E276CB3"/>
    <w:rsid w:val="1E293BF1"/>
    <w:rsid w:val="1E299005"/>
    <w:rsid w:val="1E2E0317"/>
    <w:rsid w:val="1E2ED703"/>
    <w:rsid w:val="1E315DFF"/>
    <w:rsid w:val="1E317212"/>
    <w:rsid w:val="1E33B2CA"/>
    <w:rsid w:val="1E34E55E"/>
    <w:rsid w:val="1E3829BD"/>
    <w:rsid w:val="1E3830CF"/>
    <w:rsid w:val="1E39C4CB"/>
    <w:rsid w:val="1E3BA641"/>
    <w:rsid w:val="1E3D456C"/>
    <w:rsid w:val="1E3D620F"/>
    <w:rsid w:val="1E3FCF86"/>
    <w:rsid w:val="1E40FEDE"/>
    <w:rsid w:val="1E41BB84"/>
    <w:rsid w:val="1E42878A"/>
    <w:rsid w:val="1E45D6CB"/>
    <w:rsid w:val="1E46777D"/>
    <w:rsid w:val="1E4B02B3"/>
    <w:rsid w:val="1E4C9CB4"/>
    <w:rsid w:val="1E4DC081"/>
    <w:rsid w:val="1E4E34AB"/>
    <w:rsid w:val="1E51961B"/>
    <w:rsid w:val="1E5275E5"/>
    <w:rsid w:val="1E52B8AC"/>
    <w:rsid w:val="1E52ED28"/>
    <w:rsid w:val="1E5300E1"/>
    <w:rsid w:val="1E53059B"/>
    <w:rsid w:val="1E573449"/>
    <w:rsid w:val="1E574BB0"/>
    <w:rsid w:val="1E622DD6"/>
    <w:rsid w:val="1E66D3BF"/>
    <w:rsid w:val="1E67AE08"/>
    <w:rsid w:val="1E69B672"/>
    <w:rsid w:val="1E69D6D6"/>
    <w:rsid w:val="1E6A7B96"/>
    <w:rsid w:val="1E6E1056"/>
    <w:rsid w:val="1E6E4EC3"/>
    <w:rsid w:val="1E6EB992"/>
    <w:rsid w:val="1E70BCAA"/>
    <w:rsid w:val="1E70FAA8"/>
    <w:rsid w:val="1E71119D"/>
    <w:rsid w:val="1E72C74A"/>
    <w:rsid w:val="1E733C4C"/>
    <w:rsid w:val="1E7361B5"/>
    <w:rsid w:val="1E7387B3"/>
    <w:rsid w:val="1E742B2E"/>
    <w:rsid w:val="1E74B465"/>
    <w:rsid w:val="1E75BCA2"/>
    <w:rsid w:val="1E7A4261"/>
    <w:rsid w:val="1E7BBB85"/>
    <w:rsid w:val="1E7C3EEF"/>
    <w:rsid w:val="1E7CB412"/>
    <w:rsid w:val="1E7D0003"/>
    <w:rsid w:val="1E7D672A"/>
    <w:rsid w:val="1E7D9997"/>
    <w:rsid w:val="1E8361BD"/>
    <w:rsid w:val="1E859A05"/>
    <w:rsid w:val="1E862AAB"/>
    <w:rsid w:val="1E89DF10"/>
    <w:rsid w:val="1E8B79EB"/>
    <w:rsid w:val="1E8E81F4"/>
    <w:rsid w:val="1E901F80"/>
    <w:rsid w:val="1E90289A"/>
    <w:rsid w:val="1E92BDA8"/>
    <w:rsid w:val="1E98B85A"/>
    <w:rsid w:val="1E99627C"/>
    <w:rsid w:val="1E9B49A3"/>
    <w:rsid w:val="1E9BBA12"/>
    <w:rsid w:val="1E9C0072"/>
    <w:rsid w:val="1E9E250B"/>
    <w:rsid w:val="1E9E25C5"/>
    <w:rsid w:val="1EA01170"/>
    <w:rsid w:val="1EA13BDA"/>
    <w:rsid w:val="1EA2ED4D"/>
    <w:rsid w:val="1EA9C2C6"/>
    <w:rsid w:val="1EADE688"/>
    <w:rsid w:val="1EAE93FA"/>
    <w:rsid w:val="1EAE967E"/>
    <w:rsid w:val="1EB15FDC"/>
    <w:rsid w:val="1EB61F4A"/>
    <w:rsid w:val="1EB69B16"/>
    <w:rsid w:val="1EB6DF89"/>
    <w:rsid w:val="1EB88639"/>
    <w:rsid w:val="1EBD1E97"/>
    <w:rsid w:val="1EBDB772"/>
    <w:rsid w:val="1EBED165"/>
    <w:rsid w:val="1EBF9822"/>
    <w:rsid w:val="1EC147F2"/>
    <w:rsid w:val="1EC91C6E"/>
    <w:rsid w:val="1ECD42E9"/>
    <w:rsid w:val="1ECE246B"/>
    <w:rsid w:val="1ED22513"/>
    <w:rsid w:val="1ED2EE6A"/>
    <w:rsid w:val="1ED32427"/>
    <w:rsid w:val="1ED6E18B"/>
    <w:rsid w:val="1ED8D8FB"/>
    <w:rsid w:val="1ED92901"/>
    <w:rsid w:val="1EDD1FE0"/>
    <w:rsid w:val="1EE25D2B"/>
    <w:rsid w:val="1EE4060E"/>
    <w:rsid w:val="1EE8C741"/>
    <w:rsid w:val="1EE8CE6D"/>
    <w:rsid w:val="1EEB6E2A"/>
    <w:rsid w:val="1EEC0FF4"/>
    <w:rsid w:val="1EEC54A1"/>
    <w:rsid w:val="1EEC63F8"/>
    <w:rsid w:val="1EEC95A4"/>
    <w:rsid w:val="1EEDD736"/>
    <w:rsid w:val="1EEF0D10"/>
    <w:rsid w:val="1EF2A3FC"/>
    <w:rsid w:val="1EF3F78F"/>
    <w:rsid w:val="1EF42729"/>
    <w:rsid w:val="1EF5EDBE"/>
    <w:rsid w:val="1EF6DDD2"/>
    <w:rsid w:val="1EF7C2E1"/>
    <w:rsid w:val="1EFBC71D"/>
    <w:rsid w:val="1EFDCC02"/>
    <w:rsid w:val="1EFF71C8"/>
    <w:rsid w:val="1F006E4C"/>
    <w:rsid w:val="1F01348E"/>
    <w:rsid w:val="1F03134C"/>
    <w:rsid w:val="1F04A991"/>
    <w:rsid w:val="1F06CA02"/>
    <w:rsid w:val="1F071F11"/>
    <w:rsid w:val="1F07486F"/>
    <w:rsid w:val="1F0A780C"/>
    <w:rsid w:val="1F0EF91E"/>
    <w:rsid w:val="1F0FB60E"/>
    <w:rsid w:val="1F100A81"/>
    <w:rsid w:val="1F101FB5"/>
    <w:rsid w:val="1F12D71A"/>
    <w:rsid w:val="1F1A952D"/>
    <w:rsid w:val="1F1B4780"/>
    <w:rsid w:val="1F2270CE"/>
    <w:rsid w:val="1F23589D"/>
    <w:rsid w:val="1F251783"/>
    <w:rsid w:val="1F25AA5B"/>
    <w:rsid w:val="1F29C4D0"/>
    <w:rsid w:val="1F2BD900"/>
    <w:rsid w:val="1F2CAA89"/>
    <w:rsid w:val="1F2E596D"/>
    <w:rsid w:val="1F309B08"/>
    <w:rsid w:val="1F30E557"/>
    <w:rsid w:val="1F3275E2"/>
    <w:rsid w:val="1F328CED"/>
    <w:rsid w:val="1F360D4D"/>
    <w:rsid w:val="1F3696DF"/>
    <w:rsid w:val="1F394841"/>
    <w:rsid w:val="1F3CA5A7"/>
    <w:rsid w:val="1F3EC492"/>
    <w:rsid w:val="1F3EFC12"/>
    <w:rsid w:val="1F41FBBE"/>
    <w:rsid w:val="1F447335"/>
    <w:rsid w:val="1F44A506"/>
    <w:rsid w:val="1F454088"/>
    <w:rsid w:val="1F45F930"/>
    <w:rsid w:val="1F4689DA"/>
    <w:rsid w:val="1F46A358"/>
    <w:rsid w:val="1F49A08B"/>
    <w:rsid w:val="1F4CEF73"/>
    <w:rsid w:val="1F4DA2B6"/>
    <w:rsid w:val="1F4ECB26"/>
    <w:rsid w:val="1F500B7B"/>
    <w:rsid w:val="1F52A0CC"/>
    <w:rsid w:val="1F555D7D"/>
    <w:rsid w:val="1F5689BD"/>
    <w:rsid w:val="1F597BEA"/>
    <w:rsid w:val="1F5AE765"/>
    <w:rsid w:val="1F5B9B94"/>
    <w:rsid w:val="1F5CCFC6"/>
    <w:rsid w:val="1F601463"/>
    <w:rsid w:val="1F643F82"/>
    <w:rsid w:val="1F645B21"/>
    <w:rsid w:val="1F6AAC3D"/>
    <w:rsid w:val="1F6EA328"/>
    <w:rsid w:val="1F70BAC2"/>
    <w:rsid w:val="1F71A516"/>
    <w:rsid w:val="1F732447"/>
    <w:rsid w:val="1F75B74D"/>
    <w:rsid w:val="1F764003"/>
    <w:rsid w:val="1F7D8BF2"/>
    <w:rsid w:val="1F7E5648"/>
    <w:rsid w:val="1F8A691D"/>
    <w:rsid w:val="1F8BBB23"/>
    <w:rsid w:val="1F8D0402"/>
    <w:rsid w:val="1F8D9D1A"/>
    <w:rsid w:val="1F90C243"/>
    <w:rsid w:val="1F93E8E8"/>
    <w:rsid w:val="1F9453E4"/>
    <w:rsid w:val="1F95B0B0"/>
    <w:rsid w:val="1F96E02F"/>
    <w:rsid w:val="1F9A3C2B"/>
    <w:rsid w:val="1FA0B6A8"/>
    <w:rsid w:val="1FA5E454"/>
    <w:rsid w:val="1FA62955"/>
    <w:rsid w:val="1FA65636"/>
    <w:rsid w:val="1FA8C386"/>
    <w:rsid w:val="1FA97FE9"/>
    <w:rsid w:val="1FAA4E84"/>
    <w:rsid w:val="1FAD72A2"/>
    <w:rsid w:val="1FB23413"/>
    <w:rsid w:val="1FB3992C"/>
    <w:rsid w:val="1FB504A8"/>
    <w:rsid w:val="1FB5ED46"/>
    <w:rsid w:val="1FB841BB"/>
    <w:rsid w:val="1FBBCD40"/>
    <w:rsid w:val="1FBC2F7F"/>
    <w:rsid w:val="1FC04335"/>
    <w:rsid w:val="1FC0DBF4"/>
    <w:rsid w:val="1FC0E32D"/>
    <w:rsid w:val="1FC16E92"/>
    <w:rsid w:val="1FC62417"/>
    <w:rsid w:val="1FC717FC"/>
    <w:rsid w:val="1FC73240"/>
    <w:rsid w:val="1FCA9C2F"/>
    <w:rsid w:val="1FCBF5BF"/>
    <w:rsid w:val="1FCC9981"/>
    <w:rsid w:val="1FCD678C"/>
    <w:rsid w:val="1FCDCB82"/>
    <w:rsid w:val="1FCDCD2A"/>
    <w:rsid w:val="1FCF3805"/>
    <w:rsid w:val="1FD21B19"/>
    <w:rsid w:val="1FD28471"/>
    <w:rsid w:val="1FD4E595"/>
    <w:rsid w:val="1FD71E5B"/>
    <w:rsid w:val="1FD9BDDA"/>
    <w:rsid w:val="1FDC9AA4"/>
    <w:rsid w:val="1FDE2331"/>
    <w:rsid w:val="1FDE74DD"/>
    <w:rsid w:val="1FDF43EC"/>
    <w:rsid w:val="1FE08E22"/>
    <w:rsid w:val="1FE5E5DF"/>
    <w:rsid w:val="1FE86CFF"/>
    <w:rsid w:val="1FE924E0"/>
    <w:rsid w:val="1FEA3EF1"/>
    <w:rsid w:val="1FEB1121"/>
    <w:rsid w:val="1FEDCB9D"/>
    <w:rsid w:val="1FF44DE5"/>
    <w:rsid w:val="1FFD24C9"/>
    <w:rsid w:val="1FFD71D3"/>
    <w:rsid w:val="1FFDB753"/>
    <w:rsid w:val="1FFF9BC7"/>
    <w:rsid w:val="2000B4E8"/>
    <w:rsid w:val="2007A600"/>
    <w:rsid w:val="200838B4"/>
    <w:rsid w:val="200B9DE5"/>
    <w:rsid w:val="200D04E8"/>
    <w:rsid w:val="200DB065"/>
    <w:rsid w:val="200DEC7A"/>
    <w:rsid w:val="200F065B"/>
    <w:rsid w:val="20105609"/>
    <w:rsid w:val="2012161B"/>
    <w:rsid w:val="20127975"/>
    <w:rsid w:val="2013AC3F"/>
    <w:rsid w:val="2015A12A"/>
    <w:rsid w:val="2017807C"/>
    <w:rsid w:val="20197B8B"/>
    <w:rsid w:val="201C638C"/>
    <w:rsid w:val="201E1631"/>
    <w:rsid w:val="201E1746"/>
    <w:rsid w:val="201E8FBC"/>
    <w:rsid w:val="201F8CA6"/>
    <w:rsid w:val="20227251"/>
    <w:rsid w:val="20258DDF"/>
    <w:rsid w:val="2027F968"/>
    <w:rsid w:val="20282F47"/>
    <w:rsid w:val="20293CB4"/>
    <w:rsid w:val="2029DF59"/>
    <w:rsid w:val="202AA48B"/>
    <w:rsid w:val="2033E91F"/>
    <w:rsid w:val="20374064"/>
    <w:rsid w:val="2038AAE3"/>
    <w:rsid w:val="203A8908"/>
    <w:rsid w:val="20412DDE"/>
    <w:rsid w:val="20429DE0"/>
    <w:rsid w:val="20458499"/>
    <w:rsid w:val="2046AA13"/>
    <w:rsid w:val="2047267E"/>
    <w:rsid w:val="2047FBC9"/>
    <w:rsid w:val="2049CCFF"/>
    <w:rsid w:val="204CF8BE"/>
    <w:rsid w:val="204DB6C1"/>
    <w:rsid w:val="204DE887"/>
    <w:rsid w:val="204E1377"/>
    <w:rsid w:val="2050268E"/>
    <w:rsid w:val="20502EC2"/>
    <w:rsid w:val="205134C9"/>
    <w:rsid w:val="2051BA23"/>
    <w:rsid w:val="205254F2"/>
    <w:rsid w:val="20535482"/>
    <w:rsid w:val="20538F8E"/>
    <w:rsid w:val="20558E6D"/>
    <w:rsid w:val="2056F275"/>
    <w:rsid w:val="20577FCF"/>
    <w:rsid w:val="2059D16A"/>
    <w:rsid w:val="205BE470"/>
    <w:rsid w:val="205C793D"/>
    <w:rsid w:val="205D4DC4"/>
    <w:rsid w:val="20600BBD"/>
    <w:rsid w:val="20632576"/>
    <w:rsid w:val="206455E9"/>
    <w:rsid w:val="206B2440"/>
    <w:rsid w:val="206F81E8"/>
    <w:rsid w:val="20722C0C"/>
    <w:rsid w:val="2078FE8C"/>
    <w:rsid w:val="207A0FEF"/>
    <w:rsid w:val="207FBB8A"/>
    <w:rsid w:val="20826EBA"/>
    <w:rsid w:val="2082AAA8"/>
    <w:rsid w:val="20881001"/>
    <w:rsid w:val="208D047E"/>
    <w:rsid w:val="208D80E1"/>
    <w:rsid w:val="2090CA1C"/>
    <w:rsid w:val="209198E7"/>
    <w:rsid w:val="20922E02"/>
    <w:rsid w:val="2092F236"/>
    <w:rsid w:val="2094D3D9"/>
    <w:rsid w:val="209A2DA3"/>
    <w:rsid w:val="209B58FC"/>
    <w:rsid w:val="209BE5D7"/>
    <w:rsid w:val="209CB812"/>
    <w:rsid w:val="20A2BFF3"/>
    <w:rsid w:val="20A4B616"/>
    <w:rsid w:val="20A69935"/>
    <w:rsid w:val="20A730AB"/>
    <w:rsid w:val="20A95188"/>
    <w:rsid w:val="20AA3086"/>
    <w:rsid w:val="20AE675E"/>
    <w:rsid w:val="20B1F6AF"/>
    <w:rsid w:val="20B29C30"/>
    <w:rsid w:val="20B4875C"/>
    <w:rsid w:val="20B6C4A4"/>
    <w:rsid w:val="20B83349"/>
    <w:rsid w:val="20B92177"/>
    <w:rsid w:val="20BD8863"/>
    <w:rsid w:val="20BF2DF1"/>
    <w:rsid w:val="20C30873"/>
    <w:rsid w:val="20C3311D"/>
    <w:rsid w:val="20C34DA7"/>
    <w:rsid w:val="20C4173B"/>
    <w:rsid w:val="20C46F8E"/>
    <w:rsid w:val="20C704AC"/>
    <w:rsid w:val="20C7D4D5"/>
    <w:rsid w:val="20CB2A31"/>
    <w:rsid w:val="20CE5E98"/>
    <w:rsid w:val="20CE751A"/>
    <w:rsid w:val="20D63A0C"/>
    <w:rsid w:val="20D67E47"/>
    <w:rsid w:val="20D74540"/>
    <w:rsid w:val="20D9DADE"/>
    <w:rsid w:val="20DA6BFE"/>
    <w:rsid w:val="20DB362E"/>
    <w:rsid w:val="20DBAFF1"/>
    <w:rsid w:val="20DD83C5"/>
    <w:rsid w:val="20DDA769"/>
    <w:rsid w:val="20E039EE"/>
    <w:rsid w:val="20E96A41"/>
    <w:rsid w:val="20EAB7AA"/>
    <w:rsid w:val="20EB1E81"/>
    <w:rsid w:val="20EF5B46"/>
    <w:rsid w:val="20F125C7"/>
    <w:rsid w:val="20F46B20"/>
    <w:rsid w:val="20F72587"/>
    <w:rsid w:val="20F8F2A9"/>
    <w:rsid w:val="20FBC668"/>
    <w:rsid w:val="20FF47B0"/>
    <w:rsid w:val="2100321D"/>
    <w:rsid w:val="2101A197"/>
    <w:rsid w:val="2106BBC7"/>
    <w:rsid w:val="210A13D9"/>
    <w:rsid w:val="210A96A2"/>
    <w:rsid w:val="210B95A9"/>
    <w:rsid w:val="210C1868"/>
    <w:rsid w:val="210CED66"/>
    <w:rsid w:val="210EC57C"/>
    <w:rsid w:val="2112746D"/>
    <w:rsid w:val="21148A3B"/>
    <w:rsid w:val="2115307D"/>
    <w:rsid w:val="21165C75"/>
    <w:rsid w:val="2117612A"/>
    <w:rsid w:val="211A10D1"/>
    <w:rsid w:val="211A5024"/>
    <w:rsid w:val="211A7074"/>
    <w:rsid w:val="211AF2AE"/>
    <w:rsid w:val="211B2CAB"/>
    <w:rsid w:val="211B65B6"/>
    <w:rsid w:val="211F00D8"/>
    <w:rsid w:val="2123B433"/>
    <w:rsid w:val="21248472"/>
    <w:rsid w:val="21290E1E"/>
    <w:rsid w:val="212A8C0D"/>
    <w:rsid w:val="212BA447"/>
    <w:rsid w:val="212C770A"/>
    <w:rsid w:val="212EEA1D"/>
    <w:rsid w:val="21305CAA"/>
    <w:rsid w:val="2132E6D9"/>
    <w:rsid w:val="213351EC"/>
    <w:rsid w:val="21357EFB"/>
    <w:rsid w:val="21363F95"/>
    <w:rsid w:val="2136B41C"/>
    <w:rsid w:val="21383B1E"/>
    <w:rsid w:val="2139BC90"/>
    <w:rsid w:val="213B04FC"/>
    <w:rsid w:val="213CD103"/>
    <w:rsid w:val="213CF17E"/>
    <w:rsid w:val="213DD43E"/>
    <w:rsid w:val="213E892E"/>
    <w:rsid w:val="213E9BA4"/>
    <w:rsid w:val="21406BA9"/>
    <w:rsid w:val="214644DB"/>
    <w:rsid w:val="2147DFBD"/>
    <w:rsid w:val="21491C34"/>
    <w:rsid w:val="21499AF2"/>
    <w:rsid w:val="2149C247"/>
    <w:rsid w:val="214A1D68"/>
    <w:rsid w:val="214A4C81"/>
    <w:rsid w:val="214B200C"/>
    <w:rsid w:val="214EA642"/>
    <w:rsid w:val="215C6CBE"/>
    <w:rsid w:val="21616999"/>
    <w:rsid w:val="21638C26"/>
    <w:rsid w:val="21671F2F"/>
    <w:rsid w:val="21674462"/>
    <w:rsid w:val="216C615A"/>
    <w:rsid w:val="216D501B"/>
    <w:rsid w:val="216D693B"/>
    <w:rsid w:val="2171465F"/>
    <w:rsid w:val="2172D9A1"/>
    <w:rsid w:val="2173CF74"/>
    <w:rsid w:val="2174F7F3"/>
    <w:rsid w:val="21751E2B"/>
    <w:rsid w:val="217551C2"/>
    <w:rsid w:val="2176423D"/>
    <w:rsid w:val="217766EC"/>
    <w:rsid w:val="217A2526"/>
    <w:rsid w:val="217ABBFC"/>
    <w:rsid w:val="217BB549"/>
    <w:rsid w:val="21842887"/>
    <w:rsid w:val="2184441C"/>
    <w:rsid w:val="2184FDEC"/>
    <w:rsid w:val="218514DE"/>
    <w:rsid w:val="2186D7F1"/>
    <w:rsid w:val="2188C368"/>
    <w:rsid w:val="218B2DCC"/>
    <w:rsid w:val="218B4164"/>
    <w:rsid w:val="218E8BE8"/>
    <w:rsid w:val="21927359"/>
    <w:rsid w:val="2192E110"/>
    <w:rsid w:val="21967509"/>
    <w:rsid w:val="2197ABC3"/>
    <w:rsid w:val="21986860"/>
    <w:rsid w:val="21989AEC"/>
    <w:rsid w:val="219C4D09"/>
    <w:rsid w:val="219CC526"/>
    <w:rsid w:val="219D7B8C"/>
    <w:rsid w:val="219DD182"/>
    <w:rsid w:val="219DE687"/>
    <w:rsid w:val="21A63A2D"/>
    <w:rsid w:val="21A73FA5"/>
    <w:rsid w:val="21A76E46"/>
    <w:rsid w:val="21A91280"/>
    <w:rsid w:val="21A97CA6"/>
    <w:rsid w:val="21AB8F2E"/>
    <w:rsid w:val="21AD367D"/>
    <w:rsid w:val="21B1C349"/>
    <w:rsid w:val="21B2486D"/>
    <w:rsid w:val="21B3483C"/>
    <w:rsid w:val="21B43AD2"/>
    <w:rsid w:val="21B4A3D6"/>
    <w:rsid w:val="21B6514B"/>
    <w:rsid w:val="21B7D046"/>
    <w:rsid w:val="21B9B70A"/>
    <w:rsid w:val="21BCC391"/>
    <w:rsid w:val="21BEDB59"/>
    <w:rsid w:val="21BF5DF0"/>
    <w:rsid w:val="21C68BCE"/>
    <w:rsid w:val="21C985FE"/>
    <w:rsid w:val="21C9F1EF"/>
    <w:rsid w:val="21CA0542"/>
    <w:rsid w:val="21CD0F22"/>
    <w:rsid w:val="21CFFFA8"/>
    <w:rsid w:val="21D18E0B"/>
    <w:rsid w:val="21D34162"/>
    <w:rsid w:val="21D59FC4"/>
    <w:rsid w:val="21D68DB8"/>
    <w:rsid w:val="21D7C026"/>
    <w:rsid w:val="21D9B36D"/>
    <w:rsid w:val="21DA3901"/>
    <w:rsid w:val="21DD75A4"/>
    <w:rsid w:val="21E04C46"/>
    <w:rsid w:val="21E0B668"/>
    <w:rsid w:val="21E26ACC"/>
    <w:rsid w:val="21E69031"/>
    <w:rsid w:val="21ED2726"/>
    <w:rsid w:val="21EE1088"/>
    <w:rsid w:val="21F001DD"/>
    <w:rsid w:val="21F6D7AC"/>
    <w:rsid w:val="21FAB039"/>
    <w:rsid w:val="21FD8AB0"/>
    <w:rsid w:val="21FDD58D"/>
    <w:rsid w:val="21FFB19C"/>
    <w:rsid w:val="21FFFE9C"/>
    <w:rsid w:val="22014DD9"/>
    <w:rsid w:val="2201B59B"/>
    <w:rsid w:val="22036EC4"/>
    <w:rsid w:val="22056A84"/>
    <w:rsid w:val="220990CA"/>
    <w:rsid w:val="220BAADC"/>
    <w:rsid w:val="220E854D"/>
    <w:rsid w:val="220EDD7D"/>
    <w:rsid w:val="2210C582"/>
    <w:rsid w:val="22126EBC"/>
    <w:rsid w:val="22191A41"/>
    <w:rsid w:val="221B3927"/>
    <w:rsid w:val="221C26B7"/>
    <w:rsid w:val="221C3B16"/>
    <w:rsid w:val="221D61B7"/>
    <w:rsid w:val="221E3158"/>
    <w:rsid w:val="221EB1E2"/>
    <w:rsid w:val="222096C1"/>
    <w:rsid w:val="2221A241"/>
    <w:rsid w:val="22251527"/>
    <w:rsid w:val="222BD1DA"/>
    <w:rsid w:val="222BF08F"/>
    <w:rsid w:val="222DE63B"/>
    <w:rsid w:val="222E24DE"/>
    <w:rsid w:val="22306CFE"/>
    <w:rsid w:val="22318EC3"/>
    <w:rsid w:val="2234790E"/>
    <w:rsid w:val="22347A1A"/>
    <w:rsid w:val="22381525"/>
    <w:rsid w:val="22396099"/>
    <w:rsid w:val="2239EE53"/>
    <w:rsid w:val="223AB0DE"/>
    <w:rsid w:val="223C8986"/>
    <w:rsid w:val="223EAE5B"/>
    <w:rsid w:val="223F6CF5"/>
    <w:rsid w:val="2241B490"/>
    <w:rsid w:val="22423DB5"/>
    <w:rsid w:val="22444701"/>
    <w:rsid w:val="2244491B"/>
    <w:rsid w:val="224A13DD"/>
    <w:rsid w:val="224B67FE"/>
    <w:rsid w:val="224C6137"/>
    <w:rsid w:val="224DBBA9"/>
    <w:rsid w:val="22502476"/>
    <w:rsid w:val="2252A6A7"/>
    <w:rsid w:val="2254102B"/>
    <w:rsid w:val="2256F4FF"/>
    <w:rsid w:val="2259C30B"/>
    <w:rsid w:val="2259EA98"/>
    <w:rsid w:val="225B232D"/>
    <w:rsid w:val="225C995D"/>
    <w:rsid w:val="22620B5C"/>
    <w:rsid w:val="226B51A8"/>
    <w:rsid w:val="226D8B16"/>
    <w:rsid w:val="226DCF22"/>
    <w:rsid w:val="2271429D"/>
    <w:rsid w:val="22746CFE"/>
    <w:rsid w:val="227637E6"/>
    <w:rsid w:val="2276993C"/>
    <w:rsid w:val="22777739"/>
    <w:rsid w:val="22779B24"/>
    <w:rsid w:val="227A5F66"/>
    <w:rsid w:val="227D13A4"/>
    <w:rsid w:val="227D1787"/>
    <w:rsid w:val="227ECD4E"/>
    <w:rsid w:val="2281B4F6"/>
    <w:rsid w:val="22820944"/>
    <w:rsid w:val="22838CAD"/>
    <w:rsid w:val="2284C8AC"/>
    <w:rsid w:val="2286DCD6"/>
    <w:rsid w:val="2288C544"/>
    <w:rsid w:val="22896D13"/>
    <w:rsid w:val="228B5210"/>
    <w:rsid w:val="228C4DB7"/>
    <w:rsid w:val="22910E8B"/>
    <w:rsid w:val="22939E48"/>
    <w:rsid w:val="2295E343"/>
    <w:rsid w:val="229653BE"/>
    <w:rsid w:val="22999B73"/>
    <w:rsid w:val="229AFC77"/>
    <w:rsid w:val="229C338D"/>
    <w:rsid w:val="229E6883"/>
    <w:rsid w:val="229FD667"/>
    <w:rsid w:val="22A0B8BE"/>
    <w:rsid w:val="22A1E43C"/>
    <w:rsid w:val="22A31182"/>
    <w:rsid w:val="22A45232"/>
    <w:rsid w:val="22A51EB1"/>
    <w:rsid w:val="22AAD21F"/>
    <w:rsid w:val="22B17ADC"/>
    <w:rsid w:val="22B28192"/>
    <w:rsid w:val="22B9A5C8"/>
    <w:rsid w:val="22C14E97"/>
    <w:rsid w:val="22C19528"/>
    <w:rsid w:val="22C1A550"/>
    <w:rsid w:val="22C4386D"/>
    <w:rsid w:val="22C7C62A"/>
    <w:rsid w:val="22C7E1C2"/>
    <w:rsid w:val="22C88C8B"/>
    <w:rsid w:val="22CA743C"/>
    <w:rsid w:val="22CB68CB"/>
    <w:rsid w:val="22CB9095"/>
    <w:rsid w:val="22CBBDA3"/>
    <w:rsid w:val="22CC7533"/>
    <w:rsid w:val="22CCBAAF"/>
    <w:rsid w:val="22CEB73A"/>
    <w:rsid w:val="22CEC433"/>
    <w:rsid w:val="22CEE112"/>
    <w:rsid w:val="22CFDD0F"/>
    <w:rsid w:val="22D11A50"/>
    <w:rsid w:val="22D1313F"/>
    <w:rsid w:val="22D14F5C"/>
    <w:rsid w:val="22D15575"/>
    <w:rsid w:val="22D3E56A"/>
    <w:rsid w:val="22D6512C"/>
    <w:rsid w:val="22D73769"/>
    <w:rsid w:val="22DAC333"/>
    <w:rsid w:val="22DB6BDB"/>
    <w:rsid w:val="22DE4C69"/>
    <w:rsid w:val="22DED346"/>
    <w:rsid w:val="22DFCFE4"/>
    <w:rsid w:val="22E016DD"/>
    <w:rsid w:val="22E0318F"/>
    <w:rsid w:val="22E0EFC5"/>
    <w:rsid w:val="22E120AB"/>
    <w:rsid w:val="22E55FAF"/>
    <w:rsid w:val="22E7EC1E"/>
    <w:rsid w:val="22E96D62"/>
    <w:rsid w:val="22EA6786"/>
    <w:rsid w:val="22ECA5F1"/>
    <w:rsid w:val="22F1C010"/>
    <w:rsid w:val="22F1C06C"/>
    <w:rsid w:val="22F2E055"/>
    <w:rsid w:val="22F3D455"/>
    <w:rsid w:val="22F66A22"/>
    <w:rsid w:val="22F8285F"/>
    <w:rsid w:val="22F9198C"/>
    <w:rsid w:val="22F96B9F"/>
    <w:rsid w:val="22FBE4CD"/>
    <w:rsid w:val="22FC5E8B"/>
    <w:rsid w:val="22FE9432"/>
    <w:rsid w:val="22FF732C"/>
    <w:rsid w:val="22FFAD0A"/>
    <w:rsid w:val="22FFFBD7"/>
    <w:rsid w:val="2300A274"/>
    <w:rsid w:val="23019BE5"/>
    <w:rsid w:val="23044D31"/>
    <w:rsid w:val="2304A27B"/>
    <w:rsid w:val="23053A52"/>
    <w:rsid w:val="23095DD3"/>
    <w:rsid w:val="230A0126"/>
    <w:rsid w:val="230A3B43"/>
    <w:rsid w:val="230E9618"/>
    <w:rsid w:val="230FC803"/>
    <w:rsid w:val="2310D95A"/>
    <w:rsid w:val="23199A82"/>
    <w:rsid w:val="231C12FE"/>
    <w:rsid w:val="231DCC69"/>
    <w:rsid w:val="232032A0"/>
    <w:rsid w:val="2323355D"/>
    <w:rsid w:val="23242EB9"/>
    <w:rsid w:val="232446C0"/>
    <w:rsid w:val="2327AFF2"/>
    <w:rsid w:val="2329CCB1"/>
    <w:rsid w:val="232C0195"/>
    <w:rsid w:val="232E56CD"/>
    <w:rsid w:val="232EF836"/>
    <w:rsid w:val="232EFA4C"/>
    <w:rsid w:val="23303505"/>
    <w:rsid w:val="2331F559"/>
    <w:rsid w:val="23320B8F"/>
    <w:rsid w:val="23338D20"/>
    <w:rsid w:val="23345601"/>
    <w:rsid w:val="2334FC5E"/>
    <w:rsid w:val="2335B8A2"/>
    <w:rsid w:val="2335FFD9"/>
    <w:rsid w:val="2336A222"/>
    <w:rsid w:val="23399B81"/>
    <w:rsid w:val="233C6661"/>
    <w:rsid w:val="233D959B"/>
    <w:rsid w:val="233F5271"/>
    <w:rsid w:val="23402F8D"/>
    <w:rsid w:val="2340E995"/>
    <w:rsid w:val="234654C6"/>
    <w:rsid w:val="2346555B"/>
    <w:rsid w:val="2347F4BF"/>
    <w:rsid w:val="234B209A"/>
    <w:rsid w:val="234DE563"/>
    <w:rsid w:val="2350D2AC"/>
    <w:rsid w:val="2351528D"/>
    <w:rsid w:val="2351C836"/>
    <w:rsid w:val="23525EE9"/>
    <w:rsid w:val="23573111"/>
    <w:rsid w:val="23585E1C"/>
    <w:rsid w:val="23633555"/>
    <w:rsid w:val="23634CA9"/>
    <w:rsid w:val="236568A1"/>
    <w:rsid w:val="2365799D"/>
    <w:rsid w:val="2367AE0F"/>
    <w:rsid w:val="2367D1B6"/>
    <w:rsid w:val="2369BF0E"/>
    <w:rsid w:val="236BC13B"/>
    <w:rsid w:val="236BFB94"/>
    <w:rsid w:val="236C2C25"/>
    <w:rsid w:val="236E94D0"/>
    <w:rsid w:val="237048C1"/>
    <w:rsid w:val="2370DC5C"/>
    <w:rsid w:val="237385D6"/>
    <w:rsid w:val="2373C748"/>
    <w:rsid w:val="23760962"/>
    <w:rsid w:val="23765F88"/>
    <w:rsid w:val="237A3C20"/>
    <w:rsid w:val="237A548C"/>
    <w:rsid w:val="237A8893"/>
    <w:rsid w:val="237B2E6D"/>
    <w:rsid w:val="237B5453"/>
    <w:rsid w:val="237C3559"/>
    <w:rsid w:val="237EB551"/>
    <w:rsid w:val="23801ECB"/>
    <w:rsid w:val="23810CB8"/>
    <w:rsid w:val="2382866D"/>
    <w:rsid w:val="23842972"/>
    <w:rsid w:val="23860F6D"/>
    <w:rsid w:val="238B54E4"/>
    <w:rsid w:val="238BC4A6"/>
    <w:rsid w:val="238BEDF3"/>
    <w:rsid w:val="238EF63C"/>
    <w:rsid w:val="239073B7"/>
    <w:rsid w:val="23916262"/>
    <w:rsid w:val="2393965B"/>
    <w:rsid w:val="2395492D"/>
    <w:rsid w:val="23957A12"/>
    <w:rsid w:val="23958A7A"/>
    <w:rsid w:val="23978F1E"/>
    <w:rsid w:val="239ADDA0"/>
    <w:rsid w:val="239EAF1D"/>
    <w:rsid w:val="239F7D68"/>
    <w:rsid w:val="23A90C03"/>
    <w:rsid w:val="23A97C54"/>
    <w:rsid w:val="23AB6121"/>
    <w:rsid w:val="23AE223D"/>
    <w:rsid w:val="23AE7B16"/>
    <w:rsid w:val="23B167A6"/>
    <w:rsid w:val="23B57673"/>
    <w:rsid w:val="23B670B5"/>
    <w:rsid w:val="23BC53B6"/>
    <w:rsid w:val="23BCB702"/>
    <w:rsid w:val="23BD7F7C"/>
    <w:rsid w:val="23BE673B"/>
    <w:rsid w:val="23C36741"/>
    <w:rsid w:val="23C375C9"/>
    <w:rsid w:val="23C4ED60"/>
    <w:rsid w:val="23C6B418"/>
    <w:rsid w:val="23C97EB4"/>
    <w:rsid w:val="23CC749B"/>
    <w:rsid w:val="23CF8E79"/>
    <w:rsid w:val="23D1644C"/>
    <w:rsid w:val="23D46DCD"/>
    <w:rsid w:val="23D4F420"/>
    <w:rsid w:val="23D6A99B"/>
    <w:rsid w:val="23D7B143"/>
    <w:rsid w:val="23D8AEC7"/>
    <w:rsid w:val="23DA28A3"/>
    <w:rsid w:val="23DB1392"/>
    <w:rsid w:val="23DBA00A"/>
    <w:rsid w:val="23DC7687"/>
    <w:rsid w:val="23DCCC09"/>
    <w:rsid w:val="23DD27B2"/>
    <w:rsid w:val="23E0AD47"/>
    <w:rsid w:val="23E2CDEE"/>
    <w:rsid w:val="23E3069C"/>
    <w:rsid w:val="23E42FA7"/>
    <w:rsid w:val="23E4AF99"/>
    <w:rsid w:val="23EBA6AA"/>
    <w:rsid w:val="23ECB752"/>
    <w:rsid w:val="23F32241"/>
    <w:rsid w:val="23F60ABE"/>
    <w:rsid w:val="23F87D45"/>
    <w:rsid w:val="23F8DEC0"/>
    <w:rsid w:val="23F95647"/>
    <w:rsid w:val="23FA913C"/>
    <w:rsid w:val="23FBCBF7"/>
    <w:rsid w:val="23FE1EB9"/>
    <w:rsid w:val="23FE3650"/>
    <w:rsid w:val="24026597"/>
    <w:rsid w:val="2404406C"/>
    <w:rsid w:val="2404B17F"/>
    <w:rsid w:val="24076FDC"/>
    <w:rsid w:val="240979DF"/>
    <w:rsid w:val="240ADD41"/>
    <w:rsid w:val="2410A752"/>
    <w:rsid w:val="2410E49D"/>
    <w:rsid w:val="24115212"/>
    <w:rsid w:val="2411C785"/>
    <w:rsid w:val="24130F06"/>
    <w:rsid w:val="24164245"/>
    <w:rsid w:val="241766A3"/>
    <w:rsid w:val="241996E9"/>
    <w:rsid w:val="241BDE9D"/>
    <w:rsid w:val="241C20ED"/>
    <w:rsid w:val="242310D6"/>
    <w:rsid w:val="24232717"/>
    <w:rsid w:val="2426D353"/>
    <w:rsid w:val="242C16E3"/>
    <w:rsid w:val="242E7EA0"/>
    <w:rsid w:val="242EE115"/>
    <w:rsid w:val="242EF412"/>
    <w:rsid w:val="24313727"/>
    <w:rsid w:val="2435C7EC"/>
    <w:rsid w:val="243784D0"/>
    <w:rsid w:val="2437A593"/>
    <w:rsid w:val="243ABD9B"/>
    <w:rsid w:val="243D1C61"/>
    <w:rsid w:val="243E575B"/>
    <w:rsid w:val="24449245"/>
    <w:rsid w:val="2447D68C"/>
    <w:rsid w:val="24498C75"/>
    <w:rsid w:val="2449FFF7"/>
    <w:rsid w:val="244A7469"/>
    <w:rsid w:val="244BD60B"/>
    <w:rsid w:val="244CAFBD"/>
    <w:rsid w:val="244DE96A"/>
    <w:rsid w:val="24509695"/>
    <w:rsid w:val="24533D68"/>
    <w:rsid w:val="2453AABF"/>
    <w:rsid w:val="24574079"/>
    <w:rsid w:val="24582418"/>
    <w:rsid w:val="245F834F"/>
    <w:rsid w:val="2461492E"/>
    <w:rsid w:val="2462D707"/>
    <w:rsid w:val="246594A4"/>
    <w:rsid w:val="2465C97A"/>
    <w:rsid w:val="2466241B"/>
    <w:rsid w:val="24692694"/>
    <w:rsid w:val="246ADE00"/>
    <w:rsid w:val="246AE1F3"/>
    <w:rsid w:val="246BBDBD"/>
    <w:rsid w:val="246DAC84"/>
    <w:rsid w:val="246F4FE2"/>
    <w:rsid w:val="247259DF"/>
    <w:rsid w:val="247383A6"/>
    <w:rsid w:val="24764DB8"/>
    <w:rsid w:val="24788723"/>
    <w:rsid w:val="247915A9"/>
    <w:rsid w:val="24791896"/>
    <w:rsid w:val="247AD303"/>
    <w:rsid w:val="247B01D3"/>
    <w:rsid w:val="247CA94E"/>
    <w:rsid w:val="247D7B5E"/>
    <w:rsid w:val="248495E9"/>
    <w:rsid w:val="248BD5DB"/>
    <w:rsid w:val="248C24FE"/>
    <w:rsid w:val="248D89D3"/>
    <w:rsid w:val="248F6EA0"/>
    <w:rsid w:val="24910C3F"/>
    <w:rsid w:val="2493142C"/>
    <w:rsid w:val="24935566"/>
    <w:rsid w:val="24938AA3"/>
    <w:rsid w:val="24952F3F"/>
    <w:rsid w:val="2495EE45"/>
    <w:rsid w:val="24964141"/>
    <w:rsid w:val="249862D3"/>
    <w:rsid w:val="24992D4D"/>
    <w:rsid w:val="249A07A2"/>
    <w:rsid w:val="249C4A0D"/>
    <w:rsid w:val="249D82FF"/>
    <w:rsid w:val="24A1CBB1"/>
    <w:rsid w:val="24A2864A"/>
    <w:rsid w:val="24A6D095"/>
    <w:rsid w:val="24A7DA8C"/>
    <w:rsid w:val="24B14CD2"/>
    <w:rsid w:val="24B34FB1"/>
    <w:rsid w:val="24B60F94"/>
    <w:rsid w:val="24B643AB"/>
    <w:rsid w:val="24B7410F"/>
    <w:rsid w:val="24B976CB"/>
    <w:rsid w:val="24BA76B7"/>
    <w:rsid w:val="24BF2F2E"/>
    <w:rsid w:val="24C17394"/>
    <w:rsid w:val="24C30DCC"/>
    <w:rsid w:val="24C37495"/>
    <w:rsid w:val="24C4D249"/>
    <w:rsid w:val="24C5CD24"/>
    <w:rsid w:val="24C5F640"/>
    <w:rsid w:val="24C764D3"/>
    <w:rsid w:val="24C8A41B"/>
    <w:rsid w:val="24CA91A9"/>
    <w:rsid w:val="24CBE31B"/>
    <w:rsid w:val="24D03357"/>
    <w:rsid w:val="24D1AB6E"/>
    <w:rsid w:val="24D4EC30"/>
    <w:rsid w:val="24D89BB3"/>
    <w:rsid w:val="24D9EEA1"/>
    <w:rsid w:val="24DB86F4"/>
    <w:rsid w:val="24DF2601"/>
    <w:rsid w:val="24E0A80B"/>
    <w:rsid w:val="24E0D8C5"/>
    <w:rsid w:val="24E46E17"/>
    <w:rsid w:val="24E5F8DA"/>
    <w:rsid w:val="24E6F0FB"/>
    <w:rsid w:val="24E7A87E"/>
    <w:rsid w:val="24E9640B"/>
    <w:rsid w:val="24EAA427"/>
    <w:rsid w:val="24EE561E"/>
    <w:rsid w:val="24F049B1"/>
    <w:rsid w:val="24F08A65"/>
    <w:rsid w:val="24F2DF87"/>
    <w:rsid w:val="24F38B7E"/>
    <w:rsid w:val="24F3901C"/>
    <w:rsid w:val="24F50E7D"/>
    <w:rsid w:val="24F786C5"/>
    <w:rsid w:val="24F78DBC"/>
    <w:rsid w:val="24F8AC37"/>
    <w:rsid w:val="24FB8F8C"/>
    <w:rsid w:val="24FBA6DF"/>
    <w:rsid w:val="24FBCF6B"/>
    <w:rsid w:val="24FC87E2"/>
    <w:rsid w:val="24FD19E1"/>
    <w:rsid w:val="24FF35B8"/>
    <w:rsid w:val="24FF5F50"/>
    <w:rsid w:val="25005398"/>
    <w:rsid w:val="2500FDB7"/>
    <w:rsid w:val="25026F90"/>
    <w:rsid w:val="25064734"/>
    <w:rsid w:val="2506CD76"/>
    <w:rsid w:val="2508BB03"/>
    <w:rsid w:val="250C48A8"/>
    <w:rsid w:val="250F619F"/>
    <w:rsid w:val="2513276F"/>
    <w:rsid w:val="25169F63"/>
    <w:rsid w:val="251B690F"/>
    <w:rsid w:val="2520ADC7"/>
    <w:rsid w:val="2521AE0A"/>
    <w:rsid w:val="25231152"/>
    <w:rsid w:val="2526D7B6"/>
    <w:rsid w:val="25274543"/>
    <w:rsid w:val="25292D2D"/>
    <w:rsid w:val="252FA609"/>
    <w:rsid w:val="25310B4A"/>
    <w:rsid w:val="25330EE8"/>
    <w:rsid w:val="25335F7F"/>
    <w:rsid w:val="2533BBD8"/>
    <w:rsid w:val="2534AABC"/>
    <w:rsid w:val="2538D20C"/>
    <w:rsid w:val="2538D2C2"/>
    <w:rsid w:val="2539709E"/>
    <w:rsid w:val="253F3EE6"/>
    <w:rsid w:val="253F412C"/>
    <w:rsid w:val="25463E5A"/>
    <w:rsid w:val="25481A14"/>
    <w:rsid w:val="254AA4B7"/>
    <w:rsid w:val="2550D73C"/>
    <w:rsid w:val="255452AD"/>
    <w:rsid w:val="2558FD10"/>
    <w:rsid w:val="2559A795"/>
    <w:rsid w:val="255A7011"/>
    <w:rsid w:val="255CA37A"/>
    <w:rsid w:val="255E94BD"/>
    <w:rsid w:val="255F641C"/>
    <w:rsid w:val="2564A367"/>
    <w:rsid w:val="25650AE7"/>
    <w:rsid w:val="2565C7C7"/>
    <w:rsid w:val="2567190C"/>
    <w:rsid w:val="2567341A"/>
    <w:rsid w:val="256AE3FB"/>
    <w:rsid w:val="256B6238"/>
    <w:rsid w:val="256E4BE7"/>
    <w:rsid w:val="25734294"/>
    <w:rsid w:val="2573834C"/>
    <w:rsid w:val="257B341F"/>
    <w:rsid w:val="257BBEDD"/>
    <w:rsid w:val="257CE1BB"/>
    <w:rsid w:val="257D60CC"/>
    <w:rsid w:val="2582CFD0"/>
    <w:rsid w:val="25840D5C"/>
    <w:rsid w:val="25868C48"/>
    <w:rsid w:val="2587153D"/>
    <w:rsid w:val="2588E12D"/>
    <w:rsid w:val="258CB45D"/>
    <w:rsid w:val="258DB7A8"/>
    <w:rsid w:val="2593B831"/>
    <w:rsid w:val="2593DD15"/>
    <w:rsid w:val="2593F9AB"/>
    <w:rsid w:val="2594BC8E"/>
    <w:rsid w:val="25954ACB"/>
    <w:rsid w:val="2596C78C"/>
    <w:rsid w:val="259BA644"/>
    <w:rsid w:val="259BD1AE"/>
    <w:rsid w:val="259F8CD9"/>
    <w:rsid w:val="25A1B32B"/>
    <w:rsid w:val="25A810FE"/>
    <w:rsid w:val="25ABE72B"/>
    <w:rsid w:val="25AD0F8C"/>
    <w:rsid w:val="25B129E5"/>
    <w:rsid w:val="25B2716F"/>
    <w:rsid w:val="25B8241F"/>
    <w:rsid w:val="25B96BAC"/>
    <w:rsid w:val="25B9DFE7"/>
    <w:rsid w:val="25BB3611"/>
    <w:rsid w:val="25BC7B0D"/>
    <w:rsid w:val="25BEED37"/>
    <w:rsid w:val="25BF65E6"/>
    <w:rsid w:val="25BF8964"/>
    <w:rsid w:val="25C06314"/>
    <w:rsid w:val="25C1E041"/>
    <w:rsid w:val="25C289F5"/>
    <w:rsid w:val="25C30584"/>
    <w:rsid w:val="25C35AA8"/>
    <w:rsid w:val="25C94EFD"/>
    <w:rsid w:val="25CECA45"/>
    <w:rsid w:val="25CEE857"/>
    <w:rsid w:val="25D0C8FB"/>
    <w:rsid w:val="25D15BCD"/>
    <w:rsid w:val="25D46ECE"/>
    <w:rsid w:val="25D6E010"/>
    <w:rsid w:val="25D6E664"/>
    <w:rsid w:val="25D73EC8"/>
    <w:rsid w:val="25D78E79"/>
    <w:rsid w:val="25D91B48"/>
    <w:rsid w:val="25DB03EF"/>
    <w:rsid w:val="25DB7D71"/>
    <w:rsid w:val="25DD31C0"/>
    <w:rsid w:val="25DEF7A9"/>
    <w:rsid w:val="25DF1FCF"/>
    <w:rsid w:val="25E47065"/>
    <w:rsid w:val="25E8C2E1"/>
    <w:rsid w:val="25EB47A7"/>
    <w:rsid w:val="25EDD329"/>
    <w:rsid w:val="25EF8E64"/>
    <w:rsid w:val="25F02A34"/>
    <w:rsid w:val="25F06058"/>
    <w:rsid w:val="25F1D576"/>
    <w:rsid w:val="25F35916"/>
    <w:rsid w:val="25F39972"/>
    <w:rsid w:val="25F5FD45"/>
    <w:rsid w:val="25F7E95E"/>
    <w:rsid w:val="25F85BEF"/>
    <w:rsid w:val="25FBF05D"/>
    <w:rsid w:val="2601DAA1"/>
    <w:rsid w:val="2602FD0D"/>
    <w:rsid w:val="260466F0"/>
    <w:rsid w:val="260590F5"/>
    <w:rsid w:val="2605D08A"/>
    <w:rsid w:val="2605E6FF"/>
    <w:rsid w:val="2606A7F6"/>
    <w:rsid w:val="260AFCC8"/>
    <w:rsid w:val="260C7CD8"/>
    <w:rsid w:val="260D1AE4"/>
    <w:rsid w:val="2612823B"/>
    <w:rsid w:val="2612D4C7"/>
    <w:rsid w:val="261360A5"/>
    <w:rsid w:val="26139FE3"/>
    <w:rsid w:val="26181532"/>
    <w:rsid w:val="2618ED96"/>
    <w:rsid w:val="261A95EA"/>
    <w:rsid w:val="261C14C4"/>
    <w:rsid w:val="261EDB76"/>
    <w:rsid w:val="262167B5"/>
    <w:rsid w:val="26218B3F"/>
    <w:rsid w:val="262913F7"/>
    <w:rsid w:val="262DE7CB"/>
    <w:rsid w:val="262E4161"/>
    <w:rsid w:val="262E71AA"/>
    <w:rsid w:val="262FAB8A"/>
    <w:rsid w:val="2631EA3F"/>
    <w:rsid w:val="263225C7"/>
    <w:rsid w:val="26338DDA"/>
    <w:rsid w:val="2635DCFA"/>
    <w:rsid w:val="2636D0DF"/>
    <w:rsid w:val="26375AC5"/>
    <w:rsid w:val="2639C192"/>
    <w:rsid w:val="26407D4D"/>
    <w:rsid w:val="26452EA7"/>
    <w:rsid w:val="2646378F"/>
    <w:rsid w:val="26467120"/>
    <w:rsid w:val="2647FD9E"/>
    <w:rsid w:val="26499FC0"/>
    <w:rsid w:val="264A6A7B"/>
    <w:rsid w:val="264CADDF"/>
    <w:rsid w:val="264D1368"/>
    <w:rsid w:val="264D97BE"/>
    <w:rsid w:val="264DB158"/>
    <w:rsid w:val="264EFD74"/>
    <w:rsid w:val="2652F955"/>
    <w:rsid w:val="2657EE7F"/>
    <w:rsid w:val="265A6B27"/>
    <w:rsid w:val="265B9664"/>
    <w:rsid w:val="265C0A0A"/>
    <w:rsid w:val="265C2A8D"/>
    <w:rsid w:val="265E3AB5"/>
    <w:rsid w:val="26607CCE"/>
    <w:rsid w:val="2661E668"/>
    <w:rsid w:val="26650D73"/>
    <w:rsid w:val="2667ECC2"/>
    <w:rsid w:val="26694761"/>
    <w:rsid w:val="266DBDAF"/>
    <w:rsid w:val="266F5643"/>
    <w:rsid w:val="266F9CBE"/>
    <w:rsid w:val="266FE02A"/>
    <w:rsid w:val="2671347D"/>
    <w:rsid w:val="267195A1"/>
    <w:rsid w:val="2672BA85"/>
    <w:rsid w:val="26741E52"/>
    <w:rsid w:val="2675D4F1"/>
    <w:rsid w:val="267643F0"/>
    <w:rsid w:val="267B2D5A"/>
    <w:rsid w:val="267EDFAE"/>
    <w:rsid w:val="268098F6"/>
    <w:rsid w:val="2684B136"/>
    <w:rsid w:val="26872F1E"/>
    <w:rsid w:val="2687DB99"/>
    <w:rsid w:val="268DB6D7"/>
    <w:rsid w:val="268E9BA4"/>
    <w:rsid w:val="2690305F"/>
    <w:rsid w:val="26940DF0"/>
    <w:rsid w:val="26985843"/>
    <w:rsid w:val="2698CCF1"/>
    <w:rsid w:val="26994679"/>
    <w:rsid w:val="26998E78"/>
    <w:rsid w:val="269998B6"/>
    <w:rsid w:val="269F72DB"/>
    <w:rsid w:val="269FE136"/>
    <w:rsid w:val="26A4E302"/>
    <w:rsid w:val="26A88C0C"/>
    <w:rsid w:val="26AD7AAF"/>
    <w:rsid w:val="26AE5061"/>
    <w:rsid w:val="26B2C2F8"/>
    <w:rsid w:val="26B47D21"/>
    <w:rsid w:val="26B89765"/>
    <w:rsid w:val="26B978F8"/>
    <w:rsid w:val="26BBB69C"/>
    <w:rsid w:val="26BE479B"/>
    <w:rsid w:val="26BE881E"/>
    <w:rsid w:val="26BFFD62"/>
    <w:rsid w:val="26C0AA84"/>
    <w:rsid w:val="26C3F30E"/>
    <w:rsid w:val="26C406F2"/>
    <w:rsid w:val="26CA6D7D"/>
    <w:rsid w:val="26CA7C9F"/>
    <w:rsid w:val="26CA9FC0"/>
    <w:rsid w:val="26D34A56"/>
    <w:rsid w:val="26D4369D"/>
    <w:rsid w:val="26D73E29"/>
    <w:rsid w:val="26D775EB"/>
    <w:rsid w:val="26D8539A"/>
    <w:rsid w:val="26DAEDAA"/>
    <w:rsid w:val="26DC2429"/>
    <w:rsid w:val="26DCD7F4"/>
    <w:rsid w:val="26E1715C"/>
    <w:rsid w:val="26E6B99E"/>
    <w:rsid w:val="26E8BC15"/>
    <w:rsid w:val="26E9CA33"/>
    <w:rsid w:val="26ED8402"/>
    <w:rsid w:val="26EE2767"/>
    <w:rsid w:val="26F3D949"/>
    <w:rsid w:val="26F9C077"/>
    <w:rsid w:val="26FB7A1C"/>
    <w:rsid w:val="26FD7062"/>
    <w:rsid w:val="26FF4B5C"/>
    <w:rsid w:val="270239F0"/>
    <w:rsid w:val="270395A7"/>
    <w:rsid w:val="2703E63C"/>
    <w:rsid w:val="2706AD26"/>
    <w:rsid w:val="27070131"/>
    <w:rsid w:val="27074D90"/>
    <w:rsid w:val="2708D187"/>
    <w:rsid w:val="270DDFFE"/>
    <w:rsid w:val="270F32D4"/>
    <w:rsid w:val="27160C54"/>
    <w:rsid w:val="2719F4EE"/>
    <w:rsid w:val="271B1D62"/>
    <w:rsid w:val="271C348E"/>
    <w:rsid w:val="271CD365"/>
    <w:rsid w:val="2721ECC5"/>
    <w:rsid w:val="2726EC82"/>
    <w:rsid w:val="272A0305"/>
    <w:rsid w:val="272AF6A5"/>
    <w:rsid w:val="272B04EA"/>
    <w:rsid w:val="272B898A"/>
    <w:rsid w:val="272CE120"/>
    <w:rsid w:val="272E49CF"/>
    <w:rsid w:val="27310414"/>
    <w:rsid w:val="2731C2FB"/>
    <w:rsid w:val="27325B6A"/>
    <w:rsid w:val="27342C6A"/>
    <w:rsid w:val="273C51A2"/>
    <w:rsid w:val="273CEF00"/>
    <w:rsid w:val="2740CDB5"/>
    <w:rsid w:val="274167C2"/>
    <w:rsid w:val="2745135E"/>
    <w:rsid w:val="27495E0C"/>
    <w:rsid w:val="274AD0DF"/>
    <w:rsid w:val="274AFD59"/>
    <w:rsid w:val="274D525B"/>
    <w:rsid w:val="274DFEE9"/>
    <w:rsid w:val="274F33C7"/>
    <w:rsid w:val="2751F247"/>
    <w:rsid w:val="275396D8"/>
    <w:rsid w:val="2754FE5E"/>
    <w:rsid w:val="2757B52B"/>
    <w:rsid w:val="2757ED68"/>
    <w:rsid w:val="2758697F"/>
    <w:rsid w:val="275A8C29"/>
    <w:rsid w:val="275B1C3D"/>
    <w:rsid w:val="275DEEDC"/>
    <w:rsid w:val="275E9EBF"/>
    <w:rsid w:val="27626F60"/>
    <w:rsid w:val="2762B826"/>
    <w:rsid w:val="2762C4AE"/>
    <w:rsid w:val="27641589"/>
    <w:rsid w:val="27665662"/>
    <w:rsid w:val="276795CC"/>
    <w:rsid w:val="276BDD4D"/>
    <w:rsid w:val="276E639E"/>
    <w:rsid w:val="276FC2E7"/>
    <w:rsid w:val="2773CB0D"/>
    <w:rsid w:val="27743FFB"/>
    <w:rsid w:val="2774F1EF"/>
    <w:rsid w:val="277737F9"/>
    <w:rsid w:val="277880A8"/>
    <w:rsid w:val="2778BB34"/>
    <w:rsid w:val="2778D818"/>
    <w:rsid w:val="277A8AB3"/>
    <w:rsid w:val="277B482B"/>
    <w:rsid w:val="277C6062"/>
    <w:rsid w:val="277C8E17"/>
    <w:rsid w:val="277D1603"/>
    <w:rsid w:val="2781CCF9"/>
    <w:rsid w:val="27837909"/>
    <w:rsid w:val="278D0AB3"/>
    <w:rsid w:val="278E2C18"/>
    <w:rsid w:val="278E6C6B"/>
    <w:rsid w:val="27988FEA"/>
    <w:rsid w:val="279AD3DA"/>
    <w:rsid w:val="27A35746"/>
    <w:rsid w:val="27A6BB91"/>
    <w:rsid w:val="27A7617A"/>
    <w:rsid w:val="27A7972D"/>
    <w:rsid w:val="27AA44AB"/>
    <w:rsid w:val="27AE06A5"/>
    <w:rsid w:val="27AF4195"/>
    <w:rsid w:val="27B730A9"/>
    <w:rsid w:val="27B980BA"/>
    <w:rsid w:val="27B9DB72"/>
    <w:rsid w:val="27BA7417"/>
    <w:rsid w:val="27BA8159"/>
    <w:rsid w:val="27C03082"/>
    <w:rsid w:val="27C051FC"/>
    <w:rsid w:val="27C10E0B"/>
    <w:rsid w:val="27C2A9E7"/>
    <w:rsid w:val="27C2E64F"/>
    <w:rsid w:val="27C4AAB0"/>
    <w:rsid w:val="27C71B11"/>
    <w:rsid w:val="27C7AF00"/>
    <w:rsid w:val="27CD2A0A"/>
    <w:rsid w:val="27CF7F9D"/>
    <w:rsid w:val="27D09DF8"/>
    <w:rsid w:val="27D94628"/>
    <w:rsid w:val="27DB7194"/>
    <w:rsid w:val="27DC9AFD"/>
    <w:rsid w:val="27DF41A8"/>
    <w:rsid w:val="27E0989C"/>
    <w:rsid w:val="27E222DC"/>
    <w:rsid w:val="27E2819D"/>
    <w:rsid w:val="27E28643"/>
    <w:rsid w:val="27E75C5F"/>
    <w:rsid w:val="27E903D6"/>
    <w:rsid w:val="27EAD90E"/>
    <w:rsid w:val="27F12286"/>
    <w:rsid w:val="27F48621"/>
    <w:rsid w:val="27F5E586"/>
    <w:rsid w:val="27FA8E51"/>
    <w:rsid w:val="27FD8D5C"/>
    <w:rsid w:val="27FE394A"/>
    <w:rsid w:val="27FF0B70"/>
    <w:rsid w:val="280244C1"/>
    <w:rsid w:val="280282A9"/>
    <w:rsid w:val="2802F1F8"/>
    <w:rsid w:val="28041E59"/>
    <w:rsid w:val="2804F737"/>
    <w:rsid w:val="2805743B"/>
    <w:rsid w:val="28084A41"/>
    <w:rsid w:val="28085FCA"/>
    <w:rsid w:val="280B2D96"/>
    <w:rsid w:val="280B3828"/>
    <w:rsid w:val="280BCA0D"/>
    <w:rsid w:val="28118F63"/>
    <w:rsid w:val="2816AFCA"/>
    <w:rsid w:val="28184722"/>
    <w:rsid w:val="2818F766"/>
    <w:rsid w:val="2819178A"/>
    <w:rsid w:val="2819C9F3"/>
    <w:rsid w:val="281A7F33"/>
    <w:rsid w:val="281BEA9F"/>
    <w:rsid w:val="281E91BD"/>
    <w:rsid w:val="281F7B8C"/>
    <w:rsid w:val="28217632"/>
    <w:rsid w:val="28220D85"/>
    <w:rsid w:val="2828711E"/>
    <w:rsid w:val="282A5DE3"/>
    <w:rsid w:val="282C549A"/>
    <w:rsid w:val="282FE9D3"/>
    <w:rsid w:val="283167C4"/>
    <w:rsid w:val="2833E4C0"/>
    <w:rsid w:val="28349D52"/>
    <w:rsid w:val="28373BCD"/>
    <w:rsid w:val="2837AB73"/>
    <w:rsid w:val="283C14A6"/>
    <w:rsid w:val="283CAC01"/>
    <w:rsid w:val="283F9472"/>
    <w:rsid w:val="2841E9B6"/>
    <w:rsid w:val="28427413"/>
    <w:rsid w:val="2842A9E9"/>
    <w:rsid w:val="284358DA"/>
    <w:rsid w:val="28436149"/>
    <w:rsid w:val="284575F6"/>
    <w:rsid w:val="2848A04B"/>
    <w:rsid w:val="284ABD82"/>
    <w:rsid w:val="284B848E"/>
    <w:rsid w:val="284BA89E"/>
    <w:rsid w:val="284BB5E7"/>
    <w:rsid w:val="28521683"/>
    <w:rsid w:val="285ADE55"/>
    <w:rsid w:val="285B8E73"/>
    <w:rsid w:val="2862F796"/>
    <w:rsid w:val="2867B40B"/>
    <w:rsid w:val="286800E2"/>
    <w:rsid w:val="2869FB06"/>
    <w:rsid w:val="286A4E3D"/>
    <w:rsid w:val="286AB3B4"/>
    <w:rsid w:val="286BC0B5"/>
    <w:rsid w:val="286D3620"/>
    <w:rsid w:val="28712719"/>
    <w:rsid w:val="28713E10"/>
    <w:rsid w:val="287423FB"/>
    <w:rsid w:val="28752493"/>
    <w:rsid w:val="2876D86C"/>
    <w:rsid w:val="2879409C"/>
    <w:rsid w:val="287C29E8"/>
    <w:rsid w:val="287FD3A5"/>
    <w:rsid w:val="28824732"/>
    <w:rsid w:val="288379F4"/>
    <w:rsid w:val="2885C939"/>
    <w:rsid w:val="2887D8B9"/>
    <w:rsid w:val="288ABF33"/>
    <w:rsid w:val="288E63DC"/>
    <w:rsid w:val="288F1618"/>
    <w:rsid w:val="2892F519"/>
    <w:rsid w:val="28937CA6"/>
    <w:rsid w:val="28982DD6"/>
    <w:rsid w:val="2899D028"/>
    <w:rsid w:val="289B25EC"/>
    <w:rsid w:val="289C2F3B"/>
    <w:rsid w:val="289CAE79"/>
    <w:rsid w:val="28A04A11"/>
    <w:rsid w:val="28A270B3"/>
    <w:rsid w:val="28A31DF1"/>
    <w:rsid w:val="28A3BA92"/>
    <w:rsid w:val="28A46AEA"/>
    <w:rsid w:val="28A4CEF4"/>
    <w:rsid w:val="28A5C4E6"/>
    <w:rsid w:val="28A61186"/>
    <w:rsid w:val="28AC825B"/>
    <w:rsid w:val="28ACA278"/>
    <w:rsid w:val="28AD0CF8"/>
    <w:rsid w:val="28AD79E3"/>
    <w:rsid w:val="28B089C9"/>
    <w:rsid w:val="28B0D0B4"/>
    <w:rsid w:val="28B23DC5"/>
    <w:rsid w:val="28B3526A"/>
    <w:rsid w:val="28B73EE1"/>
    <w:rsid w:val="28BA4EED"/>
    <w:rsid w:val="28BBC749"/>
    <w:rsid w:val="28BE3228"/>
    <w:rsid w:val="28BEF572"/>
    <w:rsid w:val="28C01A6E"/>
    <w:rsid w:val="28C06172"/>
    <w:rsid w:val="28C1C60E"/>
    <w:rsid w:val="28C22359"/>
    <w:rsid w:val="28C2596A"/>
    <w:rsid w:val="28C2CAF9"/>
    <w:rsid w:val="28C3F287"/>
    <w:rsid w:val="28CA8222"/>
    <w:rsid w:val="28CE6ECD"/>
    <w:rsid w:val="28CF2655"/>
    <w:rsid w:val="28CF86CE"/>
    <w:rsid w:val="28D0ECD1"/>
    <w:rsid w:val="28D1FCD0"/>
    <w:rsid w:val="28D3687D"/>
    <w:rsid w:val="28D5C134"/>
    <w:rsid w:val="28D88FFF"/>
    <w:rsid w:val="28D8F76D"/>
    <w:rsid w:val="28D94F35"/>
    <w:rsid w:val="28D96692"/>
    <w:rsid w:val="28DCDF8C"/>
    <w:rsid w:val="28DE1629"/>
    <w:rsid w:val="28E040C2"/>
    <w:rsid w:val="28E06562"/>
    <w:rsid w:val="28E24C4A"/>
    <w:rsid w:val="28E29571"/>
    <w:rsid w:val="28E41911"/>
    <w:rsid w:val="28E67F4E"/>
    <w:rsid w:val="28E6A140"/>
    <w:rsid w:val="28E70389"/>
    <w:rsid w:val="28E70FA5"/>
    <w:rsid w:val="28E7A2D3"/>
    <w:rsid w:val="28E7A896"/>
    <w:rsid w:val="28EBD441"/>
    <w:rsid w:val="28EC5E19"/>
    <w:rsid w:val="28ECF9E3"/>
    <w:rsid w:val="28EEA263"/>
    <w:rsid w:val="28EF56B9"/>
    <w:rsid w:val="28F072DE"/>
    <w:rsid w:val="28F0B66D"/>
    <w:rsid w:val="28F112B9"/>
    <w:rsid w:val="28F45688"/>
    <w:rsid w:val="28F4EBB7"/>
    <w:rsid w:val="28F84ADF"/>
    <w:rsid w:val="28F9DBDF"/>
    <w:rsid w:val="28FB4DD2"/>
    <w:rsid w:val="28FCACE9"/>
    <w:rsid w:val="28FDDEC2"/>
    <w:rsid w:val="28FE950F"/>
    <w:rsid w:val="28FFC116"/>
    <w:rsid w:val="29008195"/>
    <w:rsid w:val="29017171"/>
    <w:rsid w:val="29021F4D"/>
    <w:rsid w:val="2903F131"/>
    <w:rsid w:val="2909EE96"/>
    <w:rsid w:val="290BB515"/>
    <w:rsid w:val="290CF3A7"/>
    <w:rsid w:val="290CF5E9"/>
    <w:rsid w:val="290EBBC2"/>
    <w:rsid w:val="290F2758"/>
    <w:rsid w:val="291043A7"/>
    <w:rsid w:val="2911D020"/>
    <w:rsid w:val="291224ED"/>
    <w:rsid w:val="2914C24F"/>
    <w:rsid w:val="2915BA0A"/>
    <w:rsid w:val="2917279F"/>
    <w:rsid w:val="2917FEC8"/>
    <w:rsid w:val="291C1721"/>
    <w:rsid w:val="291D786A"/>
    <w:rsid w:val="292034D6"/>
    <w:rsid w:val="292470BF"/>
    <w:rsid w:val="2924F26B"/>
    <w:rsid w:val="29251C17"/>
    <w:rsid w:val="2925AF79"/>
    <w:rsid w:val="292A2A6A"/>
    <w:rsid w:val="292D282A"/>
    <w:rsid w:val="292D629B"/>
    <w:rsid w:val="292E35EA"/>
    <w:rsid w:val="292F5EA2"/>
    <w:rsid w:val="2932EE2F"/>
    <w:rsid w:val="2935F28D"/>
    <w:rsid w:val="293788EF"/>
    <w:rsid w:val="29385F53"/>
    <w:rsid w:val="293B3422"/>
    <w:rsid w:val="293C2883"/>
    <w:rsid w:val="293D33FD"/>
    <w:rsid w:val="293E731A"/>
    <w:rsid w:val="29403E88"/>
    <w:rsid w:val="2941775E"/>
    <w:rsid w:val="2941A04B"/>
    <w:rsid w:val="2941C165"/>
    <w:rsid w:val="2944A5A9"/>
    <w:rsid w:val="294795E5"/>
    <w:rsid w:val="29491BEF"/>
    <w:rsid w:val="2949F60A"/>
    <w:rsid w:val="294AF76B"/>
    <w:rsid w:val="294B0EBF"/>
    <w:rsid w:val="294B9475"/>
    <w:rsid w:val="294DDE1A"/>
    <w:rsid w:val="2950E1D6"/>
    <w:rsid w:val="2956EAF8"/>
    <w:rsid w:val="29587C30"/>
    <w:rsid w:val="29588FBF"/>
    <w:rsid w:val="2959228C"/>
    <w:rsid w:val="29595374"/>
    <w:rsid w:val="295C6BAD"/>
    <w:rsid w:val="29606327"/>
    <w:rsid w:val="2961FFD6"/>
    <w:rsid w:val="29634FF2"/>
    <w:rsid w:val="2963A70C"/>
    <w:rsid w:val="2966D83D"/>
    <w:rsid w:val="2967E74C"/>
    <w:rsid w:val="296C1081"/>
    <w:rsid w:val="2971539E"/>
    <w:rsid w:val="297337AF"/>
    <w:rsid w:val="2974C757"/>
    <w:rsid w:val="297622E0"/>
    <w:rsid w:val="29766A8E"/>
    <w:rsid w:val="29774B31"/>
    <w:rsid w:val="297AD8EA"/>
    <w:rsid w:val="297B29DE"/>
    <w:rsid w:val="2981565A"/>
    <w:rsid w:val="2981B0FC"/>
    <w:rsid w:val="29840B98"/>
    <w:rsid w:val="2984498E"/>
    <w:rsid w:val="29870931"/>
    <w:rsid w:val="29883567"/>
    <w:rsid w:val="298981F3"/>
    <w:rsid w:val="298A98FB"/>
    <w:rsid w:val="298EF19E"/>
    <w:rsid w:val="299923AC"/>
    <w:rsid w:val="299A31FD"/>
    <w:rsid w:val="299B350E"/>
    <w:rsid w:val="299D2CFE"/>
    <w:rsid w:val="29A122A7"/>
    <w:rsid w:val="29A13F2A"/>
    <w:rsid w:val="29A21015"/>
    <w:rsid w:val="29A306CE"/>
    <w:rsid w:val="29A383E7"/>
    <w:rsid w:val="29AD8DE7"/>
    <w:rsid w:val="29B08F3B"/>
    <w:rsid w:val="29B0E1BB"/>
    <w:rsid w:val="29B2089E"/>
    <w:rsid w:val="29B2D15E"/>
    <w:rsid w:val="29B455B8"/>
    <w:rsid w:val="29B50114"/>
    <w:rsid w:val="29BC0657"/>
    <w:rsid w:val="29BD7401"/>
    <w:rsid w:val="29BDDD52"/>
    <w:rsid w:val="29C2075D"/>
    <w:rsid w:val="29C28C7F"/>
    <w:rsid w:val="29C71A8F"/>
    <w:rsid w:val="29CA5751"/>
    <w:rsid w:val="29CD1CEC"/>
    <w:rsid w:val="29CDDADB"/>
    <w:rsid w:val="29CEA02F"/>
    <w:rsid w:val="29D426EA"/>
    <w:rsid w:val="29D4BAB1"/>
    <w:rsid w:val="29D6E670"/>
    <w:rsid w:val="29DC516C"/>
    <w:rsid w:val="29DDBF94"/>
    <w:rsid w:val="29DE2554"/>
    <w:rsid w:val="29E10759"/>
    <w:rsid w:val="29E1E22F"/>
    <w:rsid w:val="29E4813C"/>
    <w:rsid w:val="29EB8886"/>
    <w:rsid w:val="29EF3B28"/>
    <w:rsid w:val="29EF9BB8"/>
    <w:rsid w:val="29F0EA37"/>
    <w:rsid w:val="29F21BD9"/>
    <w:rsid w:val="29F2BBF9"/>
    <w:rsid w:val="29F449C2"/>
    <w:rsid w:val="29FCB3FB"/>
    <w:rsid w:val="29FCD3BC"/>
    <w:rsid w:val="29FDCAB5"/>
    <w:rsid w:val="2A0358DD"/>
    <w:rsid w:val="2A05C1D1"/>
    <w:rsid w:val="2A06F329"/>
    <w:rsid w:val="2A07DB59"/>
    <w:rsid w:val="2A0A06A2"/>
    <w:rsid w:val="2A0ABE3F"/>
    <w:rsid w:val="2A0AF461"/>
    <w:rsid w:val="2A0B57B6"/>
    <w:rsid w:val="2A0DA9AF"/>
    <w:rsid w:val="2A0FF45C"/>
    <w:rsid w:val="2A0FF945"/>
    <w:rsid w:val="2A103317"/>
    <w:rsid w:val="2A11FAFD"/>
    <w:rsid w:val="2A13D52C"/>
    <w:rsid w:val="2A142550"/>
    <w:rsid w:val="2A16F3FF"/>
    <w:rsid w:val="2A16F83F"/>
    <w:rsid w:val="2A173F84"/>
    <w:rsid w:val="2A18EE54"/>
    <w:rsid w:val="2A1D0279"/>
    <w:rsid w:val="2A1EF726"/>
    <w:rsid w:val="2A247BC0"/>
    <w:rsid w:val="2A268CF4"/>
    <w:rsid w:val="2A2822C7"/>
    <w:rsid w:val="2A2AE994"/>
    <w:rsid w:val="2A2AF231"/>
    <w:rsid w:val="2A2B1131"/>
    <w:rsid w:val="2A2E4108"/>
    <w:rsid w:val="2A324E5A"/>
    <w:rsid w:val="2A32F07D"/>
    <w:rsid w:val="2A365F8D"/>
    <w:rsid w:val="2A3674EF"/>
    <w:rsid w:val="2A370D63"/>
    <w:rsid w:val="2A38A871"/>
    <w:rsid w:val="2A3903EA"/>
    <w:rsid w:val="2A3ACB53"/>
    <w:rsid w:val="2A3B57EA"/>
    <w:rsid w:val="2A3C4514"/>
    <w:rsid w:val="2A3E45FC"/>
    <w:rsid w:val="2A3EC0F6"/>
    <w:rsid w:val="2A41B00F"/>
    <w:rsid w:val="2A421F70"/>
    <w:rsid w:val="2A4323B2"/>
    <w:rsid w:val="2A477C68"/>
    <w:rsid w:val="2A500113"/>
    <w:rsid w:val="2A51BC75"/>
    <w:rsid w:val="2A53FFFC"/>
    <w:rsid w:val="2A55128D"/>
    <w:rsid w:val="2A5EFE85"/>
    <w:rsid w:val="2A5F6465"/>
    <w:rsid w:val="2A65043D"/>
    <w:rsid w:val="2A67423C"/>
    <w:rsid w:val="2A68EC3D"/>
    <w:rsid w:val="2A6A91AD"/>
    <w:rsid w:val="2A6B2EB8"/>
    <w:rsid w:val="2A6B420B"/>
    <w:rsid w:val="2A73C142"/>
    <w:rsid w:val="2A73D318"/>
    <w:rsid w:val="2A787089"/>
    <w:rsid w:val="2A78F384"/>
    <w:rsid w:val="2A79FC7A"/>
    <w:rsid w:val="2A7AB30B"/>
    <w:rsid w:val="2A7B419B"/>
    <w:rsid w:val="2A7BD457"/>
    <w:rsid w:val="2A7E7C9C"/>
    <w:rsid w:val="2A7EEBBE"/>
    <w:rsid w:val="2A8246B6"/>
    <w:rsid w:val="2A83AF56"/>
    <w:rsid w:val="2A8AF2C7"/>
    <w:rsid w:val="2A8B7668"/>
    <w:rsid w:val="2A8C433F"/>
    <w:rsid w:val="2A8CE172"/>
    <w:rsid w:val="2A8D0F2E"/>
    <w:rsid w:val="2A8D4DA3"/>
    <w:rsid w:val="2A8E887D"/>
    <w:rsid w:val="2A8EA18A"/>
    <w:rsid w:val="2A941A33"/>
    <w:rsid w:val="2A9671B0"/>
    <w:rsid w:val="2A971497"/>
    <w:rsid w:val="2A97A8D7"/>
    <w:rsid w:val="2A9808DE"/>
    <w:rsid w:val="2A99BC5F"/>
    <w:rsid w:val="2A9C3007"/>
    <w:rsid w:val="2A9E1A4C"/>
    <w:rsid w:val="2A9F9247"/>
    <w:rsid w:val="2AA0CAE0"/>
    <w:rsid w:val="2AA19292"/>
    <w:rsid w:val="2AA1AB97"/>
    <w:rsid w:val="2AA2F682"/>
    <w:rsid w:val="2AA32661"/>
    <w:rsid w:val="2AA58916"/>
    <w:rsid w:val="2AAABD6F"/>
    <w:rsid w:val="2AAEA0CF"/>
    <w:rsid w:val="2AB26A65"/>
    <w:rsid w:val="2AB30FAA"/>
    <w:rsid w:val="2AB93DC0"/>
    <w:rsid w:val="2AB959FA"/>
    <w:rsid w:val="2AB9CFFF"/>
    <w:rsid w:val="2ABA6F84"/>
    <w:rsid w:val="2ABA84EA"/>
    <w:rsid w:val="2ABDB14F"/>
    <w:rsid w:val="2ABE4AFD"/>
    <w:rsid w:val="2AC36A72"/>
    <w:rsid w:val="2AC46A4B"/>
    <w:rsid w:val="2AC48FB1"/>
    <w:rsid w:val="2AC7B57D"/>
    <w:rsid w:val="2AC857F9"/>
    <w:rsid w:val="2ACEF62B"/>
    <w:rsid w:val="2AD0EE5A"/>
    <w:rsid w:val="2AD53EB7"/>
    <w:rsid w:val="2AD6139F"/>
    <w:rsid w:val="2ADB6E60"/>
    <w:rsid w:val="2ADDBB8F"/>
    <w:rsid w:val="2ADE0EC4"/>
    <w:rsid w:val="2AE42E7C"/>
    <w:rsid w:val="2AE4D25F"/>
    <w:rsid w:val="2AE5CF6D"/>
    <w:rsid w:val="2AE7323E"/>
    <w:rsid w:val="2AE84AF9"/>
    <w:rsid w:val="2AE8EDDB"/>
    <w:rsid w:val="2AE91368"/>
    <w:rsid w:val="2AE95DE4"/>
    <w:rsid w:val="2AEAECAE"/>
    <w:rsid w:val="2AEB72AE"/>
    <w:rsid w:val="2AEDAD1A"/>
    <w:rsid w:val="2AEE91AD"/>
    <w:rsid w:val="2AEF7920"/>
    <w:rsid w:val="2AEFA465"/>
    <w:rsid w:val="2AF15F6C"/>
    <w:rsid w:val="2AF27376"/>
    <w:rsid w:val="2AF55491"/>
    <w:rsid w:val="2AF5CE83"/>
    <w:rsid w:val="2AF6CD04"/>
    <w:rsid w:val="2AF7247D"/>
    <w:rsid w:val="2AF7643B"/>
    <w:rsid w:val="2AFA283C"/>
    <w:rsid w:val="2AFE810D"/>
    <w:rsid w:val="2AFFA5B5"/>
    <w:rsid w:val="2B0228E9"/>
    <w:rsid w:val="2B0395D4"/>
    <w:rsid w:val="2B0690CA"/>
    <w:rsid w:val="2B07138F"/>
    <w:rsid w:val="2B084EFD"/>
    <w:rsid w:val="2B0AEBC1"/>
    <w:rsid w:val="2B0C1699"/>
    <w:rsid w:val="2B0D90F6"/>
    <w:rsid w:val="2B0DB6FF"/>
    <w:rsid w:val="2B0DDF00"/>
    <w:rsid w:val="2B0E86E1"/>
    <w:rsid w:val="2B0FE033"/>
    <w:rsid w:val="2B10355D"/>
    <w:rsid w:val="2B11602F"/>
    <w:rsid w:val="2B15B099"/>
    <w:rsid w:val="2B16F0C6"/>
    <w:rsid w:val="2B19412F"/>
    <w:rsid w:val="2B19C40C"/>
    <w:rsid w:val="2B1ACAC5"/>
    <w:rsid w:val="2B1BC954"/>
    <w:rsid w:val="2B1D7DFE"/>
    <w:rsid w:val="2B210083"/>
    <w:rsid w:val="2B2152D3"/>
    <w:rsid w:val="2B238342"/>
    <w:rsid w:val="2B2434A3"/>
    <w:rsid w:val="2B266762"/>
    <w:rsid w:val="2B27E638"/>
    <w:rsid w:val="2B2834A6"/>
    <w:rsid w:val="2B29BDCE"/>
    <w:rsid w:val="2B2AAAE8"/>
    <w:rsid w:val="2B2ABE19"/>
    <w:rsid w:val="2B2EDFDC"/>
    <w:rsid w:val="2B321ADE"/>
    <w:rsid w:val="2B338BE7"/>
    <w:rsid w:val="2B356485"/>
    <w:rsid w:val="2B3BCA0A"/>
    <w:rsid w:val="2B3DB971"/>
    <w:rsid w:val="2B3F6B02"/>
    <w:rsid w:val="2B44BD69"/>
    <w:rsid w:val="2B454954"/>
    <w:rsid w:val="2B45AA68"/>
    <w:rsid w:val="2B47A2CC"/>
    <w:rsid w:val="2B47C774"/>
    <w:rsid w:val="2B4C4087"/>
    <w:rsid w:val="2B4EF451"/>
    <w:rsid w:val="2B51900E"/>
    <w:rsid w:val="2B51ED2E"/>
    <w:rsid w:val="2B5435AF"/>
    <w:rsid w:val="2B59047D"/>
    <w:rsid w:val="2B5978BF"/>
    <w:rsid w:val="2B5B1A87"/>
    <w:rsid w:val="2B5C1878"/>
    <w:rsid w:val="2B5C67C9"/>
    <w:rsid w:val="2B5CD629"/>
    <w:rsid w:val="2B5D010F"/>
    <w:rsid w:val="2B5FB73F"/>
    <w:rsid w:val="2B619382"/>
    <w:rsid w:val="2B629635"/>
    <w:rsid w:val="2B64B213"/>
    <w:rsid w:val="2B650187"/>
    <w:rsid w:val="2B652BD6"/>
    <w:rsid w:val="2B652CC6"/>
    <w:rsid w:val="2B66017C"/>
    <w:rsid w:val="2B6650DE"/>
    <w:rsid w:val="2B68409F"/>
    <w:rsid w:val="2B6BCDBB"/>
    <w:rsid w:val="2B6C2E69"/>
    <w:rsid w:val="2B6F9815"/>
    <w:rsid w:val="2B6FB0C6"/>
    <w:rsid w:val="2B719CCA"/>
    <w:rsid w:val="2B71EA79"/>
    <w:rsid w:val="2B72EF1F"/>
    <w:rsid w:val="2B75038C"/>
    <w:rsid w:val="2B76A0D8"/>
    <w:rsid w:val="2B77780F"/>
    <w:rsid w:val="2B77C7D3"/>
    <w:rsid w:val="2B7BE323"/>
    <w:rsid w:val="2B7F5F64"/>
    <w:rsid w:val="2B863314"/>
    <w:rsid w:val="2B86DE40"/>
    <w:rsid w:val="2B883006"/>
    <w:rsid w:val="2B8C87DE"/>
    <w:rsid w:val="2B8E0E9E"/>
    <w:rsid w:val="2B8EC88A"/>
    <w:rsid w:val="2B8F28E4"/>
    <w:rsid w:val="2B91E26A"/>
    <w:rsid w:val="2B92112E"/>
    <w:rsid w:val="2B9351DE"/>
    <w:rsid w:val="2B96258E"/>
    <w:rsid w:val="2B9A9F2F"/>
    <w:rsid w:val="2B9AE0A1"/>
    <w:rsid w:val="2B9C7B66"/>
    <w:rsid w:val="2B9E107F"/>
    <w:rsid w:val="2B9E5EB7"/>
    <w:rsid w:val="2B9FEF31"/>
    <w:rsid w:val="2BA0FDBD"/>
    <w:rsid w:val="2BA4D9C0"/>
    <w:rsid w:val="2BA582D8"/>
    <w:rsid w:val="2BAA2BDB"/>
    <w:rsid w:val="2BAA76B1"/>
    <w:rsid w:val="2BAB72EA"/>
    <w:rsid w:val="2BAD4391"/>
    <w:rsid w:val="2BAD89B6"/>
    <w:rsid w:val="2BAE892A"/>
    <w:rsid w:val="2BAEDACC"/>
    <w:rsid w:val="2BB1A560"/>
    <w:rsid w:val="2BB1FF80"/>
    <w:rsid w:val="2BB4963C"/>
    <w:rsid w:val="2BBB1448"/>
    <w:rsid w:val="2BBCB251"/>
    <w:rsid w:val="2BBFE1AC"/>
    <w:rsid w:val="2BC70C93"/>
    <w:rsid w:val="2BCAA0D0"/>
    <w:rsid w:val="2BCB2AA1"/>
    <w:rsid w:val="2BCC5F56"/>
    <w:rsid w:val="2BD372E4"/>
    <w:rsid w:val="2BD3BC99"/>
    <w:rsid w:val="2BD6FE0B"/>
    <w:rsid w:val="2BDDA6A0"/>
    <w:rsid w:val="2BDE1202"/>
    <w:rsid w:val="2BDEDDE4"/>
    <w:rsid w:val="2BDEEC53"/>
    <w:rsid w:val="2BE015EC"/>
    <w:rsid w:val="2BE035AC"/>
    <w:rsid w:val="2BE43E96"/>
    <w:rsid w:val="2BE44BCB"/>
    <w:rsid w:val="2BE54EDA"/>
    <w:rsid w:val="2BE7814A"/>
    <w:rsid w:val="2BE8D8C7"/>
    <w:rsid w:val="2BE8FC3D"/>
    <w:rsid w:val="2BEAD5F7"/>
    <w:rsid w:val="2BEC233F"/>
    <w:rsid w:val="2BF3B112"/>
    <w:rsid w:val="2BF9EFF0"/>
    <w:rsid w:val="2BFAE906"/>
    <w:rsid w:val="2BFDD912"/>
    <w:rsid w:val="2C00DB01"/>
    <w:rsid w:val="2C060C0D"/>
    <w:rsid w:val="2C0972DD"/>
    <w:rsid w:val="2C0A1C8B"/>
    <w:rsid w:val="2C0A86CA"/>
    <w:rsid w:val="2C0ABAD0"/>
    <w:rsid w:val="2C0B1AEC"/>
    <w:rsid w:val="2C0B9711"/>
    <w:rsid w:val="2C0C8D0C"/>
    <w:rsid w:val="2C0DD0F3"/>
    <w:rsid w:val="2C11B6CF"/>
    <w:rsid w:val="2C12EEB9"/>
    <w:rsid w:val="2C1574C0"/>
    <w:rsid w:val="2C1B30E6"/>
    <w:rsid w:val="2C1B4B31"/>
    <w:rsid w:val="2C1CA411"/>
    <w:rsid w:val="2C1D3C78"/>
    <w:rsid w:val="2C20CA27"/>
    <w:rsid w:val="2C2373E9"/>
    <w:rsid w:val="2C2AE3F2"/>
    <w:rsid w:val="2C2BB830"/>
    <w:rsid w:val="2C2C4D9E"/>
    <w:rsid w:val="2C2CD6A3"/>
    <w:rsid w:val="2C2D759E"/>
    <w:rsid w:val="2C2DAD84"/>
    <w:rsid w:val="2C2DD4A9"/>
    <w:rsid w:val="2C313EBC"/>
    <w:rsid w:val="2C316447"/>
    <w:rsid w:val="2C3566F8"/>
    <w:rsid w:val="2C3584F3"/>
    <w:rsid w:val="2C382088"/>
    <w:rsid w:val="2C3C23EB"/>
    <w:rsid w:val="2C3D2148"/>
    <w:rsid w:val="2C3DA5BF"/>
    <w:rsid w:val="2C40336C"/>
    <w:rsid w:val="2C42F897"/>
    <w:rsid w:val="2C4446DF"/>
    <w:rsid w:val="2C44C544"/>
    <w:rsid w:val="2C457490"/>
    <w:rsid w:val="2C470327"/>
    <w:rsid w:val="2C48EBA5"/>
    <w:rsid w:val="2C4941CF"/>
    <w:rsid w:val="2C4B055D"/>
    <w:rsid w:val="2C4B0BD1"/>
    <w:rsid w:val="2C4CB504"/>
    <w:rsid w:val="2C4D9DD7"/>
    <w:rsid w:val="2C4EE38C"/>
    <w:rsid w:val="2C515091"/>
    <w:rsid w:val="2C515C79"/>
    <w:rsid w:val="2C54F24A"/>
    <w:rsid w:val="2C54FFD2"/>
    <w:rsid w:val="2C5702E8"/>
    <w:rsid w:val="2C598EF5"/>
    <w:rsid w:val="2C66E300"/>
    <w:rsid w:val="2C677BB3"/>
    <w:rsid w:val="2C6854A5"/>
    <w:rsid w:val="2C6A653C"/>
    <w:rsid w:val="2C6D87BF"/>
    <w:rsid w:val="2C6F3CEC"/>
    <w:rsid w:val="2C70DBDA"/>
    <w:rsid w:val="2C714FA8"/>
    <w:rsid w:val="2C71705A"/>
    <w:rsid w:val="2C71A1B9"/>
    <w:rsid w:val="2C75789F"/>
    <w:rsid w:val="2C7A4CB1"/>
    <w:rsid w:val="2C7C3E6F"/>
    <w:rsid w:val="2C7F3BDB"/>
    <w:rsid w:val="2C802B3F"/>
    <w:rsid w:val="2C802C1C"/>
    <w:rsid w:val="2C82D6DC"/>
    <w:rsid w:val="2C852942"/>
    <w:rsid w:val="2C863F4D"/>
    <w:rsid w:val="2C86EE19"/>
    <w:rsid w:val="2C870556"/>
    <w:rsid w:val="2C93632A"/>
    <w:rsid w:val="2C9407AC"/>
    <w:rsid w:val="2C94607A"/>
    <w:rsid w:val="2C963571"/>
    <w:rsid w:val="2C971C57"/>
    <w:rsid w:val="2C9BB9E0"/>
    <w:rsid w:val="2C9D1AA2"/>
    <w:rsid w:val="2C9E184F"/>
    <w:rsid w:val="2C9F749F"/>
    <w:rsid w:val="2C9FF536"/>
    <w:rsid w:val="2CA0528E"/>
    <w:rsid w:val="2CA07AB0"/>
    <w:rsid w:val="2CA17940"/>
    <w:rsid w:val="2CA2250F"/>
    <w:rsid w:val="2CA377F8"/>
    <w:rsid w:val="2CA744ED"/>
    <w:rsid w:val="2CA7EBE2"/>
    <w:rsid w:val="2CA7FD28"/>
    <w:rsid w:val="2CA95A41"/>
    <w:rsid w:val="2CA96114"/>
    <w:rsid w:val="2CABBCDE"/>
    <w:rsid w:val="2CAC844D"/>
    <w:rsid w:val="2CB045EA"/>
    <w:rsid w:val="2CB09172"/>
    <w:rsid w:val="2CB0B0C0"/>
    <w:rsid w:val="2CB20565"/>
    <w:rsid w:val="2CB22BBF"/>
    <w:rsid w:val="2CB3A502"/>
    <w:rsid w:val="2CB4239E"/>
    <w:rsid w:val="2CB6E866"/>
    <w:rsid w:val="2CB7869A"/>
    <w:rsid w:val="2CB9B8AA"/>
    <w:rsid w:val="2CBD947F"/>
    <w:rsid w:val="2CBE29C6"/>
    <w:rsid w:val="2CC08CCC"/>
    <w:rsid w:val="2CC0C06B"/>
    <w:rsid w:val="2CC11DBF"/>
    <w:rsid w:val="2CC35C24"/>
    <w:rsid w:val="2CC63A9E"/>
    <w:rsid w:val="2CC70C0E"/>
    <w:rsid w:val="2CCD2527"/>
    <w:rsid w:val="2CCFB35E"/>
    <w:rsid w:val="2CD3EC05"/>
    <w:rsid w:val="2CD57CED"/>
    <w:rsid w:val="2CD6778C"/>
    <w:rsid w:val="2CDB2126"/>
    <w:rsid w:val="2CDD4BBE"/>
    <w:rsid w:val="2CDF92B5"/>
    <w:rsid w:val="2CE1BEF9"/>
    <w:rsid w:val="2CE23367"/>
    <w:rsid w:val="2CE29758"/>
    <w:rsid w:val="2CE3890A"/>
    <w:rsid w:val="2CE587B4"/>
    <w:rsid w:val="2CE82652"/>
    <w:rsid w:val="2CE89699"/>
    <w:rsid w:val="2CEA1990"/>
    <w:rsid w:val="2CEB2361"/>
    <w:rsid w:val="2CEC4026"/>
    <w:rsid w:val="2CEE2684"/>
    <w:rsid w:val="2CF07E9A"/>
    <w:rsid w:val="2CF26E07"/>
    <w:rsid w:val="2CF3ED34"/>
    <w:rsid w:val="2CF44378"/>
    <w:rsid w:val="2CF61EB7"/>
    <w:rsid w:val="2CF64252"/>
    <w:rsid w:val="2CF7F52F"/>
    <w:rsid w:val="2CFB835E"/>
    <w:rsid w:val="2CFBBF75"/>
    <w:rsid w:val="2CFCD6B4"/>
    <w:rsid w:val="2CFDA423"/>
    <w:rsid w:val="2CFEE9E2"/>
    <w:rsid w:val="2CFFBEBC"/>
    <w:rsid w:val="2D00A26E"/>
    <w:rsid w:val="2D00CD8C"/>
    <w:rsid w:val="2D04D432"/>
    <w:rsid w:val="2D05095C"/>
    <w:rsid w:val="2D0B1EAA"/>
    <w:rsid w:val="2D0B3888"/>
    <w:rsid w:val="2D0BCC1B"/>
    <w:rsid w:val="2D0CC262"/>
    <w:rsid w:val="2D0E26B9"/>
    <w:rsid w:val="2D0F9FF4"/>
    <w:rsid w:val="2D1131D7"/>
    <w:rsid w:val="2D1204F5"/>
    <w:rsid w:val="2D1216EA"/>
    <w:rsid w:val="2D164AEA"/>
    <w:rsid w:val="2D173FCA"/>
    <w:rsid w:val="2D19A873"/>
    <w:rsid w:val="2D1AB426"/>
    <w:rsid w:val="2D1D5A07"/>
    <w:rsid w:val="2D1D81FB"/>
    <w:rsid w:val="2D1E09AC"/>
    <w:rsid w:val="2D1E0D1C"/>
    <w:rsid w:val="2D25E11B"/>
    <w:rsid w:val="2D25FAA2"/>
    <w:rsid w:val="2D280A16"/>
    <w:rsid w:val="2D285741"/>
    <w:rsid w:val="2D2A6134"/>
    <w:rsid w:val="2D2C476C"/>
    <w:rsid w:val="2D2D4BA6"/>
    <w:rsid w:val="2D2DF59F"/>
    <w:rsid w:val="2D34EF60"/>
    <w:rsid w:val="2D351F4E"/>
    <w:rsid w:val="2D3A17D1"/>
    <w:rsid w:val="2D3C5C0D"/>
    <w:rsid w:val="2D3C5F47"/>
    <w:rsid w:val="2D3D36CD"/>
    <w:rsid w:val="2D40F0FE"/>
    <w:rsid w:val="2D430C48"/>
    <w:rsid w:val="2D45B4CA"/>
    <w:rsid w:val="2D46A852"/>
    <w:rsid w:val="2D4AC4B1"/>
    <w:rsid w:val="2D4AD231"/>
    <w:rsid w:val="2D4B4CAD"/>
    <w:rsid w:val="2D4B727E"/>
    <w:rsid w:val="2D4B7E4E"/>
    <w:rsid w:val="2D4D36BF"/>
    <w:rsid w:val="2D505E9A"/>
    <w:rsid w:val="2D583B5E"/>
    <w:rsid w:val="2D5A4E40"/>
    <w:rsid w:val="2D5AAAE5"/>
    <w:rsid w:val="2D5AF76A"/>
    <w:rsid w:val="2D5ECA80"/>
    <w:rsid w:val="2D5FD96D"/>
    <w:rsid w:val="2D62443D"/>
    <w:rsid w:val="2D6281C1"/>
    <w:rsid w:val="2D62E765"/>
    <w:rsid w:val="2D63A069"/>
    <w:rsid w:val="2D6457E9"/>
    <w:rsid w:val="2D6D2E40"/>
    <w:rsid w:val="2D6DC2D1"/>
    <w:rsid w:val="2D6E7920"/>
    <w:rsid w:val="2D70322A"/>
    <w:rsid w:val="2D71B8E2"/>
    <w:rsid w:val="2D71CA64"/>
    <w:rsid w:val="2D75FA43"/>
    <w:rsid w:val="2D764722"/>
    <w:rsid w:val="2D7A2451"/>
    <w:rsid w:val="2D7D0050"/>
    <w:rsid w:val="2D7E3AF8"/>
    <w:rsid w:val="2D822455"/>
    <w:rsid w:val="2D839C23"/>
    <w:rsid w:val="2D8719AA"/>
    <w:rsid w:val="2D8A7B2B"/>
    <w:rsid w:val="2D8B6AD8"/>
    <w:rsid w:val="2D8D3156"/>
    <w:rsid w:val="2D8E02B8"/>
    <w:rsid w:val="2D94897E"/>
    <w:rsid w:val="2D95D0C7"/>
    <w:rsid w:val="2D95D95E"/>
    <w:rsid w:val="2D976D57"/>
    <w:rsid w:val="2D9E03B9"/>
    <w:rsid w:val="2D9FA479"/>
    <w:rsid w:val="2DA18A54"/>
    <w:rsid w:val="2DA52F9A"/>
    <w:rsid w:val="2DA7DB27"/>
    <w:rsid w:val="2DA8561C"/>
    <w:rsid w:val="2DA91E1E"/>
    <w:rsid w:val="2DAA8393"/>
    <w:rsid w:val="2DABADCA"/>
    <w:rsid w:val="2DAD2AC9"/>
    <w:rsid w:val="2DAD9860"/>
    <w:rsid w:val="2DAEC081"/>
    <w:rsid w:val="2DAF2251"/>
    <w:rsid w:val="2DAF8E4C"/>
    <w:rsid w:val="2DB31829"/>
    <w:rsid w:val="2DBB73C2"/>
    <w:rsid w:val="2DBCC632"/>
    <w:rsid w:val="2DBCCC56"/>
    <w:rsid w:val="2DC1F148"/>
    <w:rsid w:val="2DC8418F"/>
    <w:rsid w:val="2DC85D80"/>
    <w:rsid w:val="2DCA2019"/>
    <w:rsid w:val="2DCD1556"/>
    <w:rsid w:val="2DCD733F"/>
    <w:rsid w:val="2DD04432"/>
    <w:rsid w:val="2DD1196A"/>
    <w:rsid w:val="2DD44AA9"/>
    <w:rsid w:val="2DD675E8"/>
    <w:rsid w:val="2DD6F885"/>
    <w:rsid w:val="2DD81593"/>
    <w:rsid w:val="2DD8E7E9"/>
    <w:rsid w:val="2DDE4AD4"/>
    <w:rsid w:val="2DDF20E6"/>
    <w:rsid w:val="2DE2BAAA"/>
    <w:rsid w:val="2DE3C4A3"/>
    <w:rsid w:val="2DE3E980"/>
    <w:rsid w:val="2DE470C2"/>
    <w:rsid w:val="2DE495C4"/>
    <w:rsid w:val="2DE6755F"/>
    <w:rsid w:val="2DE77543"/>
    <w:rsid w:val="2DEA27AE"/>
    <w:rsid w:val="2DEA44AB"/>
    <w:rsid w:val="2DEAEE31"/>
    <w:rsid w:val="2DEBF879"/>
    <w:rsid w:val="2DEC2563"/>
    <w:rsid w:val="2DECAD90"/>
    <w:rsid w:val="2DEDAB77"/>
    <w:rsid w:val="2DF1BDEB"/>
    <w:rsid w:val="2DF1D985"/>
    <w:rsid w:val="2DF2C6FC"/>
    <w:rsid w:val="2DF321AE"/>
    <w:rsid w:val="2DF3F8AA"/>
    <w:rsid w:val="2DF47472"/>
    <w:rsid w:val="2DF9D03B"/>
    <w:rsid w:val="2E00ED70"/>
    <w:rsid w:val="2E03AB21"/>
    <w:rsid w:val="2E04D321"/>
    <w:rsid w:val="2E04EFA0"/>
    <w:rsid w:val="2E07515D"/>
    <w:rsid w:val="2E0A1AF0"/>
    <w:rsid w:val="2E118BF9"/>
    <w:rsid w:val="2E1380EA"/>
    <w:rsid w:val="2E15D928"/>
    <w:rsid w:val="2E15DFB5"/>
    <w:rsid w:val="2E1BEFDE"/>
    <w:rsid w:val="2E1C048E"/>
    <w:rsid w:val="2E1D3C3F"/>
    <w:rsid w:val="2E203AF5"/>
    <w:rsid w:val="2E204928"/>
    <w:rsid w:val="2E22CDAA"/>
    <w:rsid w:val="2E24F3D0"/>
    <w:rsid w:val="2E25B878"/>
    <w:rsid w:val="2E268492"/>
    <w:rsid w:val="2E2F4A88"/>
    <w:rsid w:val="2E318A37"/>
    <w:rsid w:val="2E38082C"/>
    <w:rsid w:val="2E390FCA"/>
    <w:rsid w:val="2E3B6725"/>
    <w:rsid w:val="2E3CFF00"/>
    <w:rsid w:val="2E3E3E14"/>
    <w:rsid w:val="2E41DA55"/>
    <w:rsid w:val="2E45F623"/>
    <w:rsid w:val="2E4674CC"/>
    <w:rsid w:val="2E478C77"/>
    <w:rsid w:val="2E482022"/>
    <w:rsid w:val="2E491AFC"/>
    <w:rsid w:val="2E4C71EF"/>
    <w:rsid w:val="2E4DE398"/>
    <w:rsid w:val="2E50A6C5"/>
    <w:rsid w:val="2E529EDC"/>
    <w:rsid w:val="2E548CEC"/>
    <w:rsid w:val="2E54F2A8"/>
    <w:rsid w:val="2E586E6E"/>
    <w:rsid w:val="2E5A9E80"/>
    <w:rsid w:val="2E5ACECD"/>
    <w:rsid w:val="2E5F8B6A"/>
    <w:rsid w:val="2E5FDE5D"/>
    <w:rsid w:val="2E61A40C"/>
    <w:rsid w:val="2E63DC52"/>
    <w:rsid w:val="2E6655A4"/>
    <w:rsid w:val="2E6A825F"/>
    <w:rsid w:val="2E6A9901"/>
    <w:rsid w:val="2E6C46EE"/>
    <w:rsid w:val="2E6C55DA"/>
    <w:rsid w:val="2E6DF235"/>
    <w:rsid w:val="2E6FB49F"/>
    <w:rsid w:val="2E711636"/>
    <w:rsid w:val="2E73EBD2"/>
    <w:rsid w:val="2E747060"/>
    <w:rsid w:val="2E74D453"/>
    <w:rsid w:val="2E758A5D"/>
    <w:rsid w:val="2E7A6D9D"/>
    <w:rsid w:val="2E7B6B54"/>
    <w:rsid w:val="2E7E2F7C"/>
    <w:rsid w:val="2E7F63F1"/>
    <w:rsid w:val="2E7F7FFB"/>
    <w:rsid w:val="2E7F9E33"/>
    <w:rsid w:val="2E7FADAF"/>
    <w:rsid w:val="2E7FCA30"/>
    <w:rsid w:val="2E8258BF"/>
    <w:rsid w:val="2E82C9DA"/>
    <w:rsid w:val="2E860C79"/>
    <w:rsid w:val="2E886A7D"/>
    <w:rsid w:val="2E8C5140"/>
    <w:rsid w:val="2E8D9CD9"/>
    <w:rsid w:val="2E90980A"/>
    <w:rsid w:val="2E90B31E"/>
    <w:rsid w:val="2E948C64"/>
    <w:rsid w:val="2E9520A5"/>
    <w:rsid w:val="2E972C25"/>
    <w:rsid w:val="2E9770B9"/>
    <w:rsid w:val="2E9D629A"/>
    <w:rsid w:val="2EA3B619"/>
    <w:rsid w:val="2EA4C261"/>
    <w:rsid w:val="2EAA0075"/>
    <w:rsid w:val="2EAA09B7"/>
    <w:rsid w:val="2EABF7B7"/>
    <w:rsid w:val="2EAC57FB"/>
    <w:rsid w:val="2EAEBAF1"/>
    <w:rsid w:val="2EB0A126"/>
    <w:rsid w:val="2EB107FE"/>
    <w:rsid w:val="2EB2AE53"/>
    <w:rsid w:val="2EB30CE5"/>
    <w:rsid w:val="2EB34017"/>
    <w:rsid w:val="2EB63DDE"/>
    <w:rsid w:val="2EB89C1D"/>
    <w:rsid w:val="2EB8F470"/>
    <w:rsid w:val="2EB9E91E"/>
    <w:rsid w:val="2EBB0CBE"/>
    <w:rsid w:val="2EBB1DC2"/>
    <w:rsid w:val="2EC0515C"/>
    <w:rsid w:val="2EC31B7A"/>
    <w:rsid w:val="2EC420CE"/>
    <w:rsid w:val="2EC45245"/>
    <w:rsid w:val="2EC795DA"/>
    <w:rsid w:val="2ED065D5"/>
    <w:rsid w:val="2ED2359F"/>
    <w:rsid w:val="2ED24077"/>
    <w:rsid w:val="2ED5CB59"/>
    <w:rsid w:val="2ED75903"/>
    <w:rsid w:val="2ED84B2F"/>
    <w:rsid w:val="2EDAA164"/>
    <w:rsid w:val="2EDC6977"/>
    <w:rsid w:val="2EDE5F76"/>
    <w:rsid w:val="2EE53F07"/>
    <w:rsid w:val="2EE64AE1"/>
    <w:rsid w:val="2EE82915"/>
    <w:rsid w:val="2EE87A53"/>
    <w:rsid w:val="2EE8C452"/>
    <w:rsid w:val="2EEA1058"/>
    <w:rsid w:val="2EEAB1AC"/>
    <w:rsid w:val="2EEB22BC"/>
    <w:rsid w:val="2EEC3644"/>
    <w:rsid w:val="2EEC70DD"/>
    <w:rsid w:val="2EED318C"/>
    <w:rsid w:val="2EEF1529"/>
    <w:rsid w:val="2EEF15F2"/>
    <w:rsid w:val="2EF0602B"/>
    <w:rsid w:val="2EF17A18"/>
    <w:rsid w:val="2EF1D833"/>
    <w:rsid w:val="2EF34D24"/>
    <w:rsid w:val="2EF3D59D"/>
    <w:rsid w:val="2EF4CE6B"/>
    <w:rsid w:val="2EF54AB6"/>
    <w:rsid w:val="2EF5561F"/>
    <w:rsid w:val="2EF64F77"/>
    <w:rsid w:val="2EF762C3"/>
    <w:rsid w:val="2EF7A2D7"/>
    <w:rsid w:val="2EF94533"/>
    <w:rsid w:val="2EFA280C"/>
    <w:rsid w:val="2EFB9B26"/>
    <w:rsid w:val="2EFBD479"/>
    <w:rsid w:val="2EFC57A1"/>
    <w:rsid w:val="2EFE3E37"/>
    <w:rsid w:val="2F00C818"/>
    <w:rsid w:val="2F024A48"/>
    <w:rsid w:val="2F038C4A"/>
    <w:rsid w:val="2F0CE83F"/>
    <w:rsid w:val="2F0F2742"/>
    <w:rsid w:val="2F10792D"/>
    <w:rsid w:val="2F11FDF2"/>
    <w:rsid w:val="2F17F13B"/>
    <w:rsid w:val="2F187BCC"/>
    <w:rsid w:val="2F1A6052"/>
    <w:rsid w:val="2F1B87BC"/>
    <w:rsid w:val="2F1B9B5F"/>
    <w:rsid w:val="2F1CE450"/>
    <w:rsid w:val="2F20A56F"/>
    <w:rsid w:val="2F21FB3B"/>
    <w:rsid w:val="2F26D9E2"/>
    <w:rsid w:val="2F27B4A2"/>
    <w:rsid w:val="2F27CB1A"/>
    <w:rsid w:val="2F2802BC"/>
    <w:rsid w:val="2F288AF6"/>
    <w:rsid w:val="2F28F903"/>
    <w:rsid w:val="2F2A56BD"/>
    <w:rsid w:val="2F2BB800"/>
    <w:rsid w:val="2F2CC55B"/>
    <w:rsid w:val="2F2CE937"/>
    <w:rsid w:val="2F2D8A9D"/>
    <w:rsid w:val="2F2E5951"/>
    <w:rsid w:val="2F2FD00F"/>
    <w:rsid w:val="2F32DBBD"/>
    <w:rsid w:val="2F338C78"/>
    <w:rsid w:val="2F34FBAA"/>
    <w:rsid w:val="2F3D743A"/>
    <w:rsid w:val="2F3F0BD1"/>
    <w:rsid w:val="2F3F7DFD"/>
    <w:rsid w:val="2F464FC1"/>
    <w:rsid w:val="2F489DEE"/>
    <w:rsid w:val="2F498919"/>
    <w:rsid w:val="2F4D15FC"/>
    <w:rsid w:val="2F4E648D"/>
    <w:rsid w:val="2F4E66FB"/>
    <w:rsid w:val="2F4F082F"/>
    <w:rsid w:val="2F52FE92"/>
    <w:rsid w:val="2F571467"/>
    <w:rsid w:val="2F577655"/>
    <w:rsid w:val="2F5896EA"/>
    <w:rsid w:val="2F597F02"/>
    <w:rsid w:val="2F59F4CD"/>
    <w:rsid w:val="2F5AA4BF"/>
    <w:rsid w:val="2F5B380F"/>
    <w:rsid w:val="2F5C8A92"/>
    <w:rsid w:val="2F5FB429"/>
    <w:rsid w:val="2F6179DB"/>
    <w:rsid w:val="2F6347BE"/>
    <w:rsid w:val="2F638BFB"/>
    <w:rsid w:val="2F65630C"/>
    <w:rsid w:val="2F68AC33"/>
    <w:rsid w:val="2F69C3B0"/>
    <w:rsid w:val="2F69FFF9"/>
    <w:rsid w:val="2F6D8DB6"/>
    <w:rsid w:val="2F6EE048"/>
    <w:rsid w:val="2F707002"/>
    <w:rsid w:val="2F7B4D44"/>
    <w:rsid w:val="2F7BFCD0"/>
    <w:rsid w:val="2F7C570C"/>
    <w:rsid w:val="2F7ED8F1"/>
    <w:rsid w:val="2F7FAF33"/>
    <w:rsid w:val="2F80D1F6"/>
    <w:rsid w:val="2F81E30E"/>
    <w:rsid w:val="2F828C1C"/>
    <w:rsid w:val="2F836AF5"/>
    <w:rsid w:val="2F87C3FF"/>
    <w:rsid w:val="2F89F581"/>
    <w:rsid w:val="2F8A8933"/>
    <w:rsid w:val="2F8AC09F"/>
    <w:rsid w:val="2F909626"/>
    <w:rsid w:val="2F937FAD"/>
    <w:rsid w:val="2F958BFF"/>
    <w:rsid w:val="2F9ABFD8"/>
    <w:rsid w:val="2F9B5B16"/>
    <w:rsid w:val="2F9BB5B3"/>
    <w:rsid w:val="2F9D9DC3"/>
    <w:rsid w:val="2F9E0A00"/>
    <w:rsid w:val="2F9F118C"/>
    <w:rsid w:val="2FA278C8"/>
    <w:rsid w:val="2FA287C1"/>
    <w:rsid w:val="2FA3EE9F"/>
    <w:rsid w:val="2FA63B04"/>
    <w:rsid w:val="2FA673E7"/>
    <w:rsid w:val="2FAD64C6"/>
    <w:rsid w:val="2FAE361C"/>
    <w:rsid w:val="2FB1BCF3"/>
    <w:rsid w:val="2FB264EE"/>
    <w:rsid w:val="2FB36DCC"/>
    <w:rsid w:val="2FB558EF"/>
    <w:rsid w:val="2FB5BCA7"/>
    <w:rsid w:val="2FB6ED2B"/>
    <w:rsid w:val="2FBA3168"/>
    <w:rsid w:val="2FBFA888"/>
    <w:rsid w:val="2FC2BFD9"/>
    <w:rsid w:val="2FC428C8"/>
    <w:rsid w:val="2FC59D35"/>
    <w:rsid w:val="2FC76244"/>
    <w:rsid w:val="2FC7A8EA"/>
    <w:rsid w:val="2FC8EBDD"/>
    <w:rsid w:val="2FCCFF7D"/>
    <w:rsid w:val="2FCD52B5"/>
    <w:rsid w:val="2FCDCE93"/>
    <w:rsid w:val="2FCE5D58"/>
    <w:rsid w:val="2FD1A000"/>
    <w:rsid w:val="2FD2B010"/>
    <w:rsid w:val="2FD458EF"/>
    <w:rsid w:val="2FD4821A"/>
    <w:rsid w:val="2FD71A36"/>
    <w:rsid w:val="2FD7E845"/>
    <w:rsid w:val="2FD8B073"/>
    <w:rsid w:val="2FD92783"/>
    <w:rsid w:val="2FDBE94A"/>
    <w:rsid w:val="2FDC8E30"/>
    <w:rsid w:val="2FDD1417"/>
    <w:rsid w:val="2FDDED67"/>
    <w:rsid w:val="2FDF0D17"/>
    <w:rsid w:val="2FDFEE5D"/>
    <w:rsid w:val="2FE3DA73"/>
    <w:rsid w:val="2FE3F075"/>
    <w:rsid w:val="2FE497D7"/>
    <w:rsid w:val="2FE74E09"/>
    <w:rsid w:val="2FE999B2"/>
    <w:rsid w:val="2FEB0E0D"/>
    <w:rsid w:val="2FEBB1B2"/>
    <w:rsid w:val="2FED00BA"/>
    <w:rsid w:val="2FEF18C0"/>
    <w:rsid w:val="2FEF8A47"/>
    <w:rsid w:val="2FF094BC"/>
    <w:rsid w:val="2FF0BACC"/>
    <w:rsid w:val="2FF0C42B"/>
    <w:rsid w:val="2FFA5231"/>
    <w:rsid w:val="2FFB4B7B"/>
    <w:rsid w:val="2FFBD929"/>
    <w:rsid w:val="2FFC2327"/>
    <w:rsid w:val="2FFC5F98"/>
    <w:rsid w:val="2FFCDCB4"/>
    <w:rsid w:val="2FFD45A0"/>
    <w:rsid w:val="2FFE339D"/>
    <w:rsid w:val="2FFF406E"/>
    <w:rsid w:val="300090A5"/>
    <w:rsid w:val="3001BD59"/>
    <w:rsid w:val="300641EE"/>
    <w:rsid w:val="3008822B"/>
    <w:rsid w:val="3009AB15"/>
    <w:rsid w:val="300B100C"/>
    <w:rsid w:val="30115ABE"/>
    <w:rsid w:val="3011802B"/>
    <w:rsid w:val="3015EF24"/>
    <w:rsid w:val="30177AD8"/>
    <w:rsid w:val="30182051"/>
    <w:rsid w:val="3018B847"/>
    <w:rsid w:val="301F090A"/>
    <w:rsid w:val="3020E2CA"/>
    <w:rsid w:val="3021510D"/>
    <w:rsid w:val="30228B4B"/>
    <w:rsid w:val="3024DE4C"/>
    <w:rsid w:val="3026DAA0"/>
    <w:rsid w:val="302919BC"/>
    <w:rsid w:val="30292050"/>
    <w:rsid w:val="30294CCA"/>
    <w:rsid w:val="302951E0"/>
    <w:rsid w:val="302A310D"/>
    <w:rsid w:val="302AED87"/>
    <w:rsid w:val="302C16B2"/>
    <w:rsid w:val="302F291D"/>
    <w:rsid w:val="30303A77"/>
    <w:rsid w:val="30310C3F"/>
    <w:rsid w:val="3031B15A"/>
    <w:rsid w:val="3031DDCD"/>
    <w:rsid w:val="303295FF"/>
    <w:rsid w:val="3032E4AC"/>
    <w:rsid w:val="30361CDE"/>
    <w:rsid w:val="30365A46"/>
    <w:rsid w:val="3036BD4B"/>
    <w:rsid w:val="303776E6"/>
    <w:rsid w:val="303A221B"/>
    <w:rsid w:val="303AA0E2"/>
    <w:rsid w:val="303B5115"/>
    <w:rsid w:val="303EFF25"/>
    <w:rsid w:val="3040B95D"/>
    <w:rsid w:val="3042BAFB"/>
    <w:rsid w:val="304458A3"/>
    <w:rsid w:val="3048250A"/>
    <w:rsid w:val="30488DE8"/>
    <w:rsid w:val="304B9EA3"/>
    <w:rsid w:val="304C3D5E"/>
    <w:rsid w:val="304EE8AB"/>
    <w:rsid w:val="3050B7F3"/>
    <w:rsid w:val="30517EEC"/>
    <w:rsid w:val="30529BB7"/>
    <w:rsid w:val="3052E04D"/>
    <w:rsid w:val="3057FDA8"/>
    <w:rsid w:val="3058D070"/>
    <w:rsid w:val="3059821B"/>
    <w:rsid w:val="305CCB5D"/>
    <w:rsid w:val="30604493"/>
    <w:rsid w:val="306078E0"/>
    <w:rsid w:val="30677FDC"/>
    <w:rsid w:val="30679B95"/>
    <w:rsid w:val="306803FF"/>
    <w:rsid w:val="306A1688"/>
    <w:rsid w:val="306AE319"/>
    <w:rsid w:val="306CCA76"/>
    <w:rsid w:val="306D884F"/>
    <w:rsid w:val="3070B4FB"/>
    <w:rsid w:val="30725A7A"/>
    <w:rsid w:val="30760FFA"/>
    <w:rsid w:val="30768462"/>
    <w:rsid w:val="30774AD5"/>
    <w:rsid w:val="30794A53"/>
    <w:rsid w:val="307C40E4"/>
    <w:rsid w:val="307C976B"/>
    <w:rsid w:val="307F0F81"/>
    <w:rsid w:val="30819CE7"/>
    <w:rsid w:val="30825DAC"/>
    <w:rsid w:val="30833328"/>
    <w:rsid w:val="30851301"/>
    <w:rsid w:val="308CEF34"/>
    <w:rsid w:val="3091D6AB"/>
    <w:rsid w:val="3094674C"/>
    <w:rsid w:val="30950779"/>
    <w:rsid w:val="30956360"/>
    <w:rsid w:val="309A63CA"/>
    <w:rsid w:val="309B5856"/>
    <w:rsid w:val="309EA414"/>
    <w:rsid w:val="309F3D40"/>
    <w:rsid w:val="30A22D4D"/>
    <w:rsid w:val="30A6F7C7"/>
    <w:rsid w:val="30A83C4F"/>
    <w:rsid w:val="30A83EFE"/>
    <w:rsid w:val="30A87BC5"/>
    <w:rsid w:val="30AB6422"/>
    <w:rsid w:val="30AEB10A"/>
    <w:rsid w:val="30B06A04"/>
    <w:rsid w:val="30B10155"/>
    <w:rsid w:val="30B4935E"/>
    <w:rsid w:val="30B50C47"/>
    <w:rsid w:val="30B64695"/>
    <w:rsid w:val="30B80F57"/>
    <w:rsid w:val="30B99FA9"/>
    <w:rsid w:val="30BB428B"/>
    <w:rsid w:val="30BBE09F"/>
    <w:rsid w:val="30BC9CF6"/>
    <w:rsid w:val="30BD804D"/>
    <w:rsid w:val="30BE8526"/>
    <w:rsid w:val="30BE8893"/>
    <w:rsid w:val="30BEEEF8"/>
    <w:rsid w:val="30BFF11F"/>
    <w:rsid w:val="30BFF68E"/>
    <w:rsid w:val="30C2EADD"/>
    <w:rsid w:val="30C488F2"/>
    <w:rsid w:val="30C6C003"/>
    <w:rsid w:val="30C8B870"/>
    <w:rsid w:val="30D318FF"/>
    <w:rsid w:val="30D42198"/>
    <w:rsid w:val="30D5C5C7"/>
    <w:rsid w:val="30D68E86"/>
    <w:rsid w:val="30D72A31"/>
    <w:rsid w:val="30D77D8C"/>
    <w:rsid w:val="30D8A06A"/>
    <w:rsid w:val="30DAFAEC"/>
    <w:rsid w:val="30DF1CD4"/>
    <w:rsid w:val="30E263E9"/>
    <w:rsid w:val="30E41787"/>
    <w:rsid w:val="30E4C4D9"/>
    <w:rsid w:val="30E68E27"/>
    <w:rsid w:val="30E9959A"/>
    <w:rsid w:val="30EAA751"/>
    <w:rsid w:val="30ECE7C1"/>
    <w:rsid w:val="30EDBFE6"/>
    <w:rsid w:val="30EFAA2B"/>
    <w:rsid w:val="30F208D6"/>
    <w:rsid w:val="30F426EC"/>
    <w:rsid w:val="30F573E8"/>
    <w:rsid w:val="31050455"/>
    <w:rsid w:val="31053C9C"/>
    <w:rsid w:val="3106B148"/>
    <w:rsid w:val="31076E01"/>
    <w:rsid w:val="310777D2"/>
    <w:rsid w:val="310AC7D3"/>
    <w:rsid w:val="310B37DE"/>
    <w:rsid w:val="310DA1B4"/>
    <w:rsid w:val="310DAF6A"/>
    <w:rsid w:val="3114DA4D"/>
    <w:rsid w:val="311689AF"/>
    <w:rsid w:val="311BAE59"/>
    <w:rsid w:val="311BF99A"/>
    <w:rsid w:val="31207603"/>
    <w:rsid w:val="3120F2F0"/>
    <w:rsid w:val="3122E499"/>
    <w:rsid w:val="31245489"/>
    <w:rsid w:val="3129063A"/>
    <w:rsid w:val="3129625F"/>
    <w:rsid w:val="31299C6D"/>
    <w:rsid w:val="312D9E5F"/>
    <w:rsid w:val="312E1099"/>
    <w:rsid w:val="312F1137"/>
    <w:rsid w:val="312FDD6F"/>
    <w:rsid w:val="31303C9E"/>
    <w:rsid w:val="31308028"/>
    <w:rsid w:val="31324905"/>
    <w:rsid w:val="3133D438"/>
    <w:rsid w:val="31354137"/>
    <w:rsid w:val="31374692"/>
    <w:rsid w:val="313A116A"/>
    <w:rsid w:val="313DDB01"/>
    <w:rsid w:val="313F00E7"/>
    <w:rsid w:val="31437274"/>
    <w:rsid w:val="314437CA"/>
    <w:rsid w:val="314613D2"/>
    <w:rsid w:val="314741F9"/>
    <w:rsid w:val="3147BB48"/>
    <w:rsid w:val="314B83D5"/>
    <w:rsid w:val="314BBB1D"/>
    <w:rsid w:val="314D8038"/>
    <w:rsid w:val="314DDA8F"/>
    <w:rsid w:val="3150101D"/>
    <w:rsid w:val="3150A8E2"/>
    <w:rsid w:val="31518B91"/>
    <w:rsid w:val="31520C7E"/>
    <w:rsid w:val="3154F0CA"/>
    <w:rsid w:val="3155088D"/>
    <w:rsid w:val="3159C94C"/>
    <w:rsid w:val="315B422C"/>
    <w:rsid w:val="315BD064"/>
    <w:rsid w:val="315CAB2A"/>
    <w:rsid w:val="315CB718"/>
    <w:rsid w:val="3161BE65"/>
    <w:rsid w:val="31646450"/>
    <w:rsid w:val="3169262E"/>
    <w:rsid w:val="31699EC7"/>
    <w:rsid w:val="316C8EDC"/>
    <w:rsid w:val="316CBF22"/>
    <w:rsid w:val="316E67F9"/>
    <w:rsid w:val="316FE601"/>
    <w:rsid w:val="3172945D"/>
    <w:rsid w:val="31739517"/>
    <w:rsid w:val="31740FDE"/>
    <w:rsid w:val="31754F0B"/>
    <w:rsid w:val="31779B24"/>
    <w:rsid w:val="317A71F7"/>
    <w:rsid w:val="317B007B"/>
    <w:rsid w:val="317D4123"/>
    <w:rsid w:val="317F0540"/>
    <w:rsid w:val="3180E26B"/>
    <w:rsid w:val="3181C2DF"/>
    <w:rsid w:val="3182BDA9"/>
    <w:rsid w:val="31854DBE"/>
    <w:rsid w:val="31881C71"/>
    <w:rsid w:val="3188FD24"/>
    <w:rsid w:val="318BDFB3"/>
    <w:rsid w:val="318CFAA5"/>
    <w:rsid w:val="318F716E"/>
    <w:rsid w:val="318FF4DE"/>
    <w:rsid w:val="31906782"/>
    <w:rsid w:val="319086DD"/>
    <w:rsid w:val="3190FF0E"/>
    <w:rsid w:val="3195B2E3"/>
    <w:rsid w:val="319927B5"/>
    <w:rsid w:val="3199AD89"/>
    <w:rsid w:val="319C3316"/>
    <w:rsid w:val="319EB748"/>
    <w:rsid w:val="319FBC69"/>
    <w:rsid w:val="31A046AF"/>
    <w:rsid w:val="31A06EF8"/>
    <w:rsid w:val="31A1B5E3"/>
    <w:rsid w:val="31A46C8B"/>
    <w:rsid w:val="31A69C42"/>
    <w:rsid w:val="31A777B4"/>
    <w:rsid w:val="31A92047"/>
    <w:rsid w:val="31AA908B"/>
    <w:rsid w:val="31AB3252"/>
    <w:rsid w:val="31ABA467"/>
    <w:rsid w:val="31ABFD0E"/>
    <w:rsid w:val="31AE3767"/>
    <w:rsid w:val="31B23A9A"/>
    <w:rsid w:val="31B332C9"/>
    <w:rsid w:val="31B354E3"/>
    <w:rsid w:val="31B7062B"/>
    <w:rsid w:val="31B90AD7"/>
    <w:rsid w:val="31B9F075"/>
    <w:rsid w:val="31BA48A5"/>
    <w:rsid w:val="31BADAE4"/>
    <w:rsid w:val="31BC16E1"/>
    <w:rsid w:val="31BEAF90"/>
    <w:rsid w:val="31BEDB81"/>
    <w:rsid w:val="31BFFCF4"/>
    <w:rsid w:val="31C05F2F"/>
    <w:rsid w:val="31C106AB"/>
    <w:rsid w:val="31C15245"/>
    <w:rsid w:val="31C16F1B"/>
    <w:rsid w:val="31C19009"/>
    <w:rsid w:val="31C1ACF1"/>
    <w:rsid w:val="31C26754"/>
    <w:rsid w:val="31C371CF"/>
    <w:rsid w:val="31C38517"/>
    <w:rsid w:val="31C73E85"/>
    <w:rsid w:val="31C803A0"/>
    <w:rsid w:val="31CA00D6"/>
    <w:rsid w:val="31CB4774"/>
    <w:rsid w:val="31CC9618"/>
    <w:rsid w:val="31CDCE13"/>
    <w:rsid w:val="31CDE95D"/>
    <w:rsid w:val="31D1B3AF"/>
    <w:rsid w:val="31D229ED"/>
    <w:rsid w:val="31D7FF22"/>
    <w:rsid w:val="31D8062C"/>
    <w:rsid w:val="31D8231D"/>
    <w:rsid w:val="31D95F47"/>
    <w:rsid w:val="31D9C06A"/>
    <w:rsid w:val="31DECECA"/>
    <w:rsid w:val="31DF7962"/>
    <w:rsid w:val="31E065AB"/>
    <w:rsid w:val="31E0DB2A"/>
    <w:rsid w:val="31E54CF6"/>
    <w:rsid w:val="31E6C8FC"/>
    <w:rsid w:val="31E90281"/>
    <w:rsid w:val="31EAE5AB"/>
    <w:rsid w:val="31EBBE6D"/>
    <w:rsid w:val="31EC5F9D"/>
    <w:rsid w:val="31EC6263"/>
    <w:rsid w:val="31EDB0B9"/>
    <w:rsid w:val="31EF7611"/>
    <w:rsid w:val="31EF8144"/>
    <w:rsid w:val="31F1424F"/>
    <w:rsid w:val="31F1BD94"/>
    <w:rsid w:val="31F2A9C2"/>
    <w:rsid w:val="31F4100C"/>
    <w:rsid w:val="31F41380"/>
    <w:rsid w:val="31F4A502"/>
    <w:rsid w:val="31F663D9"/>
    <w:rsid w:val="31F85101"/>
    <w:rsid w:val="31FA89EA"/>
    <w:rsid w:val="31FA9E32"/>
    <w:rsid w:val="31FC4C0F"/>
    <w:rsid w:val="31FD1E7A"/>
    <w:rsid w:val="31FDAFA8"/>
    <w:rsid w:val="31FDD280"/>
    <w:rsid w:val="32028417"/>
    <w:rsid w:val="3203AC00"/>
    <w:rsid w:val="320446A7"/>
    <w:rsid w:val="3204E3DF"/>
    <w:rsid w:val="32051965"/>
    <w:rsid w:val="320703A7"/>
    <w:rsid w:val="32073D9A"/>
    <w:rsid w:val="32079B5C"/>
    <w:rsid w:val="320A779D"/>
    <w:rsid w:val="320B2B20"/>
    <w:rsid w:val="320D8554"/>
    <w:rsid w:val="320DDB49"/>
    <w:rsid w:val="320DF701"/>
    <w:rsid w:val="32124023"/>
    <w:rsid w:val="3212D7F0"/>
    <w:rsid w:val="32131C94"/>
    <w:rsid w:val="32136984"/>
    <w:rsid w:val="3215E5A3"/>
    <w:rsid w:val="3216909A"/>
    <w:rsid w:val="32192CB5"/>
    <w:rsid w:val="321A5656"/>
    <w:rsid w:val="321C9059"/>
    <w:rsid w:val="321CF5D9"/>
    <w:rsid w:val="321DFB7D"/>
    <w:rsid w:val="321E2624"/>
    <w:rsid w:val="321FBF59"/>
    <w:rsid w:val="3221099F"/>
    <w:rsid w:val="32225AA6"/>
    <w:rsid w:val="32247AE6"/>
    <w:rsid w:val="32283002"/>
    <w:rsid w:val="32289047"/>
    <w:rsid w:val="32294128"/>
    <w:rsid w:val="322953E3"/>
    <w:rsid w:val="3232A702"/>
    <w:rsid w:val="3236BAB4"/>
    <w:rsid w:val="3236DDAC"/>
    <w:rsid w:val="323E334A"/>
    <w:rsid w:val="323EDDC3"/>
    <w:rsid w:val="32403D92"/>
    <w:rsid w:val="3240E679"/>
    <w:rsid w:val="32442F28"/>
    <w:rsid w:val="3247C274"/>
    <w:rsid w:val="324B635B"/>
    <w:rsid w:val="324E8979"/>
    <w:rsid w:val="32511B05"/>
    <w:rsid w:val="32514E68"/>
    <w:rsid w:val="32531B9E"/>
    <w:rsid w:val="3255B538"/>
    <w:rsid w:val="3257FBCE"/>
    <w:rsid w:val="325FBBBB"/>
    <w:rsid w:val="3261A77B"/>
    <w:rsid w:val="326379EB"/>
    <w:rsid w:val="3265E7F0"/>
    <w:rsid w:val="32669782"/>
    <w:rsid w:val="3268F2CB"/>
    <w:rsid w:val="32692DF1"/>
    <w:rsid w:val="3269A899"/>
    <w:rsid w:val="3269BBF4"/>
    <w:rsid w:val="3269EFA1"/>
    <w:rsid w:val="326D1884"/>
    <w:rsid w:val="326EF750"/>
    <w:rsid w:val="327032FC"/>
    <w:rsid w:val="32711D3C"/>
    <w:rsid w:val="3272E626"/>
    <w:rsid w:val="32783A7E"/>
    <w:rsid w:val="3278FE3B"/>
    <w:rsid w:val="327A2405"/>
    <w:rsid w:val="327B9EFC"/>
    <w:rsid w:val="327DDB18"/>
    <w:rsid w:val="32800BDF"/>
    <w:rsid w:val="3282F2F3"/>
    <w:rsid w:val="3285E421"/>
    <w:rsid w:val="3286CA75"/>
    <w:rsid w:val="32890844"/>
    <w:rsid w:val="3289E3A3"/>
    <w:rsid w:val="328A0364"/>
    <w:rsid w:val="3292E841"/>
    <w:rsid w:val="3293428B"/>
    <w:rsid w:val="32944511"/>
    <w:rsid w:val="32968B28"/>
    <w:rsid w:val="3296C1B5"/>
    <w:rsid w:val="329C1A80"/>
    <w:rsid w:val="329C7E62"/>
    <w:rsid w:val="329DAC13"/>
    <w:rsid w:val="329DDEE4"/>
    <w:rsid w:val="329DE5CF"/>
    <w:rsid w:val="32A86DA7"/>
    <w:rsid w:val="32A977C1"/>
    <w:rsid w:val="32AB7BFE"/>
    <w:rsid w:val="32ADA66D"/>
    <w:rsid w:val="32AF5A36"/>
    <w:rsid w:val="32B18639"/>
    <w:rsid w:val="32B33C66"/>
    <w:rsid w:val="32B43854"/>
    <w:rsid w:val="32B91FD7"/>
    <w:rsid w:val="32BABDC1"/>
    <w:rsid w:val="32BB0D16"/>
    <w:rsid w:val="32BEE06C"/>
    <w:rsid w:val="32C83A4B"/>
    <w:rsid w:val="32CB5699"/>
    <w:rsid w:val="32CB66B7"/>
    <w:rsid w:val="32CE1EDB"/>
    <w:rsid w:val="32D0F8F4"/>
    <w:rsid w:val="32D3C7F2"/>
    <w:rsid w:val="32D95E18"/>
    <w:rsid w:val="32DC7FE4"/>
    <w:rsid w:val="32DCE1DD"/>
    <w:rsid w:val="32DDEC0F"/>
    <w:rsid w:val="32DF5C58"/>
    <w:rsid w:val="32E1165B"/>
    <w:rsid w:val="32E1F2D4"/>
    <w:rsid w:val="32E21ED8"/>
    <w:rsid w:val="32EAAF97"/>
    <w:rsid w:val="32EAB3AA"/>
    <w:rsid w:val="32EC2CBA"/>
    <w:rsid w:val="32ED0EF9"/>
    <w:rsid w:val="32EE0BE6"/>
    <w:rsid w:val="32EFC7F2"/>
    <w:rsid w:val="32F0094B"/>
    <w:rsid w:val="32F0AFF6"/>
    <w:rsid w:val="32F236F9"/>
    <w:rsid w:val="32F3AB7D"/>
    <w:rsid w:val="32F432B8"/>
    <w:rsid w:val="32F4947F"/>
    <w:rsid w:val="32FA6E7D"/>
    <w:rsid w:val="32FA9963"/>
    <w:rsid w:val="32FB3B71"/>
    <w:rsid w:val="32FC26A4"/>
    <w:rsid w:val="32FEC1C1"/>
    <w:rsid w:val="330267B1"/>
    <w:rsid w:val="330291A7"/>
    <w:rsid w:val="33034DA5"/>
    <w:rsid w:val="33066690"/>
    <w:rsid w:val="33090598"/>
    <w:rsid w:val="33092C37"/>
    <w:rsid w:val="33099B39"/>
    <w:rsid w:val="330F7127"/>
    <w:rsid w:val="33157F63"/>
    <w:rsid w:val="3317F420"/>
    <w:rsid w:val="33189A5F"/>
    <w:rsid w:val="33193ABA"/>
    <w:rsid w:val="33196C7A"/>
    <w:rsid w:val="331AB862"/>
    <w:rsid w:val="331B8170"/>
    <w:rsid w:val="331C2069"/>
    <w:rsid w:val="331E22E0"/>
    <w:rsid w:val="331E981F"/>
    <w:rsid w:val="33212463"/>
    <w:rsid w:val="3322C2F9"/>
    <w:rsid w:val="3324530F"/>
    <w:rsid w:val="332523E1"/>
    <w:rsid w:val="332657A3"/>
    <w:rsid w:val="3329BE7A"/>
    <w:rsid w:val="3329C0CA"/>
    <w:rsid w:val="332DDEE2"/>
    <w:rsid w:val="332F7E72"/>
    <w:rsid w:val="3330D729"/>
    <w:rsid w:val="33325F18"/>
    <w:rsid w:val="3332D693"/>
    <w:rsid w:val="33346789"/>
    <w:rsid w:val="333A0806"/>
    <w:rsid w:val="33409C9A"/>
    <w:rsid w:val="3346985B"/>
    <w:rsid w:val="3346CC27"/>
    <w:rsid w:val="33473093"/>
    <w:rsid w:val="3347A216"/>
    <w:rsid w:val="3347AC61"/>
    <w:rsid w:val="33488D2A"/>
    <w:rsid w:val="334B2B64"/>
    <w:rsid w:val="334F6D61"/>
    <w:rsid w:val="33510C9C"/>
    <w:rsid w:val="3354E6D4"/>
    <w:rsid w:val="33554CAA"/>
    <w:rsid w:val="335AF07D"/>
    <w:rsid w:val="335C0AC0"/>
    <w:rsid w:val="335D3F7C"/>
    <w:rsid w:val="335DD1DC"/>
    <w:rsid w:val="335EEFFC"/>
    <w:rsid w:val="335F2D65"/>
    <w:rsid w:val="33609EFB"/>
    <w:rsid w:val="3361D635"/>
    <w:rsid w:val="33628006"/>
    <w:rsid w:val="3364B58C"/>
    <w:rsid w:val="33668626"/>
    <w:rsid w:val="3367C1C5"/>
    <w:rsid w:val="33687153"/>
    <w:rsid w:val="3368EEBA"/>
    <w:rsid w:val="336A9D48"/>
    <w:rsid w:val="336C84A3"/>
    <w:rsid w:val="336EDA51"/>
    <w:rsid w:val="337019A7"/>
    <w:rsid w:val="3370910A"/>
    <w:rsid w:val="33710B7D"/>
    <w:rsid w:val="33732BF9"/>
    <w:rsid w:val="3374894F"/>
    <w:rsid w:val="337B9A7C"/>
    <w:rsid w:val="337BD547"/>
    <w:rsid w:val="337CC4B3"/>
    <w:rsid w:val="337CD870"/>
    <w:rsid w:val="337DC242"/>
    <w:rsid w:val="3380ED30"/>
    <w:rsid w:val="3381B0A5"/>
    <w:rsid w:val="3382ACC4"/>
    <w:rsid w:val="33849FFA"/>
    <w:rsid w:val="33887872"/>
    <w:rsid w:val="3389DDC0"/>
    <w:rsid w:val="338B4BB5"/>
    <w:rsid w:val="338CBDAA"/>
    <w:rsid w:val="338F2446"/>
    <w:rsid w:val="338FB56A"/>
    <w:rsid w:val="33920248"/>
    <w:rsid w:val="33926567"/>
    <w:rsid w:val="3398BC25"/>
    <w:rsid w:val="3399BA86"/>
    <w:rsid w:val="339A0CCD"/>
    <w:rsid w:val="339A5BA9"/>
    <w:rsid w:val="339B6818"/>
    <w:rsid w:val="339BF9BF"/>
    <w:rsid w:val="33A0E9C6"/>
    <w:rsid w:val="33A1B853"/>
    <w:rsid w:val="33A2A458"/>
    <w:rsid w:val="33A48CD5"/>
    <w:rsid w:val="33A4B7C0"/>
    <w:rsid w:val="33A56A1D"/>
    <w:rsid w:val="33A7214A"/>
    <w:rsid w:val="33AB9432"/>
    <w:rsid w:val="33ABD23A"/>
    <w:rsid w:val="33ABD2C2"/>
    <w:rsid w:val="33ADC3BA"/>
    <w:rsid w:val="33AE40CC"/>
    <w:rsid w:val="33AFD39F"/>
    <w:rsid w:val="33B07F11"/>
    <w:rsid w:val="33B07FB1"/>
    <w:rsid w:val="33B1EF53"/>
    <w:rsid w:val="33B203B0"/>
    <w:rsid w:val="33B396DB"/>
    <w:rsid w:val="33B3E1A6"/>
    <w:rsid w:val="33B63611"/>
    <w:rsid w:val="33BA7893"/>
    <w:rsid w:val="33BA83EA"/>
    <w:rsid w:val="33BC5574"/>
    <w:rsid w:val="33BC64FF"/>
    <w:rsid w:val="33BCB2EC"/>
    <w:rsid w:val="33BCF8A1"/>
    <w:rsid w:val="33BDAD6F"/>
    <w:rsid w:val="33C4425A"/>
    <w:rsid w:val="33C998F7"/>
    <w:rsid w:val="33CA7D6F"/>
    <w:rsid w:val="33CECDB4"/>
    <w:rsid w:val="33D150CA"/>
    <w:rsid w:val="33D3318A"/>
    <w:rsid w:val="33D37E8B"/>
    <w:rsid w:val="33D6D54D"/>
    <w:rsid w:val="33D6E83F"/>
    <w:rsid w:val="33D750BB"/>
    <w:rsid w:val="33DBC6BA"/>
    <w:rsid w:val="33DDD5BA"/>
    <w:rsid w:val="33DFADA8"/>
    <w:rsid w:val="33E05ACB"/>
    <w:rsid w:val="33E392FE"/>
    <w:rsid w:val="33E47055"/>
    <w:rsid w:val="33E4A053"/>
    <w:rsid w:val="33E67B3E"/>
    <w:rsid w:val="33E6EFD5"/>
    <w:rsid w:val="33E70EA3"/>
    <w:rsid w:val="33EEDE0C"/>
    <w:rsid w:val="33F1108E"/>
    <w:rsid w:val="33F27DE0"/>
    <w:rsid w:val="33F28495"/>
    <w:rsid w:val="33F4736F"/>
    <w:rsid w:val="33F4A473"/>
    <w:rsid w:val="33F4C1E2"/>
    <w:rsid w:val="33F4F9E8"/>
    <w:rsid w:val="33F4FA65"/>
    <w:rsid w:val="33F5D5BB"/>
    <w:rsid w:val="33F672A2"/>
    <w:rsid w:val="33F793AF"/>
    <w:rsid w:val="33FA1217"/>
    <w:rsid w:val="33FAF6D5"/>
    <w:rsid w:val="33FB4987"/>
    <w:rsid w:val="33FE4998"/>
    <w:rsid w:val="33FF0D97"/>
    <w:rsid w:val="33FFE275"/>
    <w:rsid w:val="340438E4"/>
    <w:rsid w:val="34056FBF"/>
    <w:rsid w:val="34066A28"/>
    <w:rsid w:val="340C9252"/>
    <w:rsid w:val="3410FA0E"/>
    <w:rsid w:val="34159045"/>
    <w:rsid w:val="34159D74"/>
    <w:rsid w:val="341741FA"/>
    <w:rsid w:val="341C9097"/>
    <w:rsid w:val="341C99D9"/>
    <w:rsid w:val="341D47B1"/>
    <w:rsid w:val="34280A1B"/>
    <w:rsid w:val="34299F98"/>
    <w:rsid w:val="3429D07E"/>
    <w:rsid w:val="342B95AA"/>
    <w:rsid w:val="342D02D0"/>
    <w:rsid w:val="342F8287"/>
    <w:rsid w:val="34301D2E"/>
    <w:rsid w:val="34308F21"/>
    <w:rsid w:val="343105D1"/>
    <w:rsid w:val="34313A8A"/>
    <w:rsid w:val="34333E96"/>
    <w:rsid w:val="3433CCAA"/>
    <w:rsid w:val="3435DF13"/>
    <w:rsid w:val="3437981D"/>
    <w:rsid w:val="3437E8B7"/>
    <w:rsid w:val="34383CFC"/>
    <w:rsid w:val="3438E7CA"/>
    <w:rsid w:val="3439A0AD"/>
    <w:rsid w:val="343ADE93"/>
    <w:rsid w:val="343BE439"/>
    <w:rsid w:val="343D3F59"/>
    <w:rsid w:val="3448B9AE"/>
    <w:rsid w:val="344AD496"/>
    <w:rsid w:val="344DCFA2"/>
    <w:rsid w:val="3450A5FF"/>
    <w:rsid w:val="34549EDD"/>
    <w:rsid w:val="3454BC0E"/>
    <w:rsid w:val="345A76C2"/>
    <w:rsid w:val="345AE3B4"/>
    <w:rsid w:val="345F5D4F"/>
    <w:rsid w:val="34616CF1"/>
    <w:rsid w:val="34621665"/>
    <w:rsid w:val="34625A0D"/>
    <w:rsid w:val="3462863A"/>
    <w:rsid w:val="3462E071"/>
    <w:rsid w:val="3465179B"/>
    <w:rsid w:val="346821F2"/>
    <w:rsid w:val="346956C5"/>
    <w:rsid w:val="3471DA0E"/>
    <w:rsid w:val="34742860"/>
    <w:rsid w:val="3477E244"/>
    <w:rsid w:val="3478B15E"/>
    <w:rsid w:val="3478E81C"/>
    <w:rsid w:val="347C27AB"/>
    <w:rsid w:val="347D2749"/>
    <w:rsid w:val="347D4F01"/>
    <w:rsid w:val="347D6228"/>
    <w:rsid w:val="34824C1C"/>
    <w:rsid w:val="348626ED"/>
    <w:rsid w:val="348AA13B"/>
    <w:rsid w:val="348C0AC7"/>
    <w:rsid w:val="348F3059"/>
    <w:rsid w:val="349419B7"/>
    <w:rsid w:val="3497E5B4"/>
    <w:rsid w:val="349C9D46"/>
    <w:rsid w:val="34A06B0D"/>
    <w:rsid w:val="34A56752"/>
    <w:rsid w:val="34A72486"/>
    <w:rsid w:val="34A8F433"/>
    <w:rsid w:val="34A98FDB"/>
    <w:rsid w:val="34A99E96"/>
    <w:rsid w:val="34B30053"/>
    <w:rsid w:val="34B414FB"/>
    <w:rsid w:val="34B4F0CB"/>
    <w:rsid w:val="34B807F9"/>
    <w:rsid w:val="34B8B2BD"/>
    <w:rsid w:val="34B9E2E5"/>
    <w:rsid w:val="34BA7911"/>
    <w:rsid w:val="34BA90E6"/>
    <w:rsid w:val="34BABA5E"/>
    <w:rsid w:val="34BEA72D"/>
    <w:rsid w:val="34BF64C2"/>
    <w:rsid w:val="34C26C02"/>
    <w:rsid w:val="34C5DE3C"/>
    <w:rsid w:val="34C7E460"/>
    <w:rsid w:val="34C87D8D"/>
    <w:rsid w:val="34C8B2A7"/>
    <w:rsid w:val="34CC21A2"/>
    <w:rsid w:val="34CC43B1"/>
    <w:rsid w:val="34CC5D67"/>
    <w:rsid w:val="34CCEC32"/>
    <w:rsid w:val="34CE5B00"/>
    <w:rsid w:val="34D00704"/>
    <w:rsid w:val="34D0A891"/>
    <w:rsid w:val="34D504C0"/>
    <w:rsid w:val="34DA3DA8"/>
    <w:rsid w:val="34DC6109"/>
    <w:rsid w:val="34DD647A"/>
    <w:rsid w:val="34DE617B"/>
    <w:rsid w:val="34E043EE"/>
    <w:rsid w:val="34E0E49C"/>
    <w:rsid w:val="34E32296"/>
    <w:rsid w:val="34E6AF75"/>
    <w:rsid w:val="34E90FBB"/>
    <w:rsid w:val="34EAEBFB"/>
    <w:rsid w:val="34EB38DE"/>
    <w:rsid w:val="34ED147A"/>
    <w:rsid w:val="34ED7E6D"/>
    <w:rsid w:val="34F12459"/>
    <w:rsid w:val="34F14A4D"/>
    <w:rsid w:val="34F1917F"/>
    <w:rsid w:val="34F1EB7A"/>
    <w:rsid w:val="34F53D6A"/>
    <w:rsid w:val="34F648AD"/>
    <w:rsid w:val="34F8F2AC"/>
    <w:rsid w:val="34FC5FF1"/>
    <w:rsid w:val="34FD08A7"/>
    <w:rsid w:val="34FD0A7E"/>
    <w:rsid w:val="34FD794A"/>
    <w:rsid w:val="34FDBC17"/>
    <w:rsid w:val="35000EC0"/>
    <w:rsid w:val="35007F4A"/>
    <w:rsid w:val="35021558"/>
    <w:rsid w:val="35034819"/>
    <w:rsid w:val="35040072"/>
    <w:rsid w:val="35042241"/>
    <w:rsid w:val="35062C65"/>
    <w:rsid w:val="350978BC"/>
    <w:rsid w:val="3509C21D"/>
    <w:rsid w:val="350A2578"/>
    <w:rsid w:val="350B2680"/>
    <w:rsid w:val="350B4C15"/>
    <w:rsid w:val="350E983C"/>
    <w:rsid w:val="350FBAFA"/>
    <w:rsid w:val="3510098E"/>
    <w:rsid w:val="351137A0"/>
    <w:rsid w:val="35129A8D"/>
    <w:rsid w:val="3512CD38"/>
    <w:rsid w:val="35164C07"/>
    <w:rsid w:val="35193626"/>
    <w:rsid w:val="351C1E12"/>
    <w:rsid w:val="351C2B51"/>
    <w:rsid w:val="351F2656"/>
    <w:rsid w:val="3520CDF6"/>
    <w:rsid w:val="35212D43"/>
    <w:rsid w:val="35234392"/>
    <w:rsid w:val="3526C8E5"/>
    <w:rsid w:val="3527F8EA"/>
    <w:rsid w:val="352A4A84"/>
    <w:rsid w:val="352D2221"/>
    <w:rsid w:val="3530A269"/>
    <w:rsid w:val="353234DE"/>
    <w:rsid w:val="3532FC84"/>
    <w:rsid w:val="3535FF9D"/>
    <w:rsid w:val="35386E0A"/>
    <w:rsid w:val="3539491D"/>
    <w:rsid w:val="353A1045"/>
    <w:rsid w:val="353BB0B3"/>
    <w:rsid w:val="353CB8A7"/>
    <w:rsid w:val="353DF9A1"/>
    <w:rsid w:val="353E03E3"/>
    <w:rsid w:val="3541F420"/>
    <w:rsid w:val="3542A047"/>
    <w:rsid w:val="3544530C"/>
    <w:rsid w:val="354642DF"/>
    <w:rsid w:val="3546795D"/>
    <w:rsid w:val="35471379"/>
    <w:rsid w:val="3548DF8C"/>
    <w:rsid w:val="354BE387"/>
    <w:rsid w:val="354DC0D8"/>
    <w:rsid w:val="354F63B5"/>
    <w:rsid w:val="354FECB1"/>
    <w:rsid w:val="3550CA62"/>
    <w:rsid w:val="3550F0CF"/>
    <w:rsid w:val="35570433"/>
    <w:rsid w:val="355712C1"/>
    <w:rsid w:val="355739BE"/>
    <w:rsid w:val="3559FFEE"/>
    <w:rsid w:val="355B1E96"/>
    <w:rsid w:val="355B8B76"/>
    <w:rsid w:val="355DC2DC"/>
    <w:rsid w:val="355E0035"/>
    <w:rsid w:val="355F5137"/>
    <w:rsid w:val="355F7796"/>
    <w:rsid w:val="3560001B"/>
    <w:rsid w:val="356000B8"/>
    <w:rsid w:val="3562AF03"/>
    <w:rsid w:val="35643054"/>
    <w:rsid w:val="3564F5FB"/>
    <w:rsid w:val="35676688"/>
    <w:rsid w:val="356CA01C"/>
    <w:rsid w:val="356D6DB0"/>
    <w:rsid w:val="356DC955"/>
    <w:rsid w:val="35714394"/>
    <w:rsid w:val="35733134"/>
    <w:rsid w:val="3574E0A9"/>
    <w:rsid w:val="3577E7B0"/>
    <w:rsid w:val="357A6AD9"/>
    <w:rsid w:val="357BA174"/>
    <w:rsid w:val="357D241A"/>
    <w:rsid w:val="35830F63"/>
    <w:rsid w:val="35859B30"/>
    <w:rsid w:val="358747C9"/>
    <w:rsid w:val="3588080E"/>
    <w:rsid w:val="358B2B2B"/>
    <w:rsid w:val="358B2BF1"/>
    <w:rsid w:val="358DD620"/>
    <w:rsid w:val="358E39D4"/>
    <w:rsid w:val="359033C1"/>
    <w:rsid w:val="3590B04E"/>
    <w:rsid w:val="3590C92E"/>
    <w:rsid w:val="35969806"/>
    <w:rsid w:val="35980C9B"/>
    <w:rsid w:val="3599AC15"/>
    <w:rsid w:val="359A023F"/>
    <w:rsid w:val="359C3D4A"/>
    <w:rsid w:val="359C4A56"/>
    <w:rsid w:val="35A894D1"/>
    <w:rsid w:val="35A8C9CC"/>
    <w:rsid w:val="35AA742C"/>
    <w:rsid w:val="35ADED0A"/>
    <w:rsid w:val="35AF695F"/>
    <w:rsid w:val="35B50912"/>
    <w:rsid w:val="35B689D4"/>
    <w:rsid w:val="35B73149"/>
    <w:rsid w:val="35B7B61C"/>
    <w:rsid w:val="35C0DA2D"/>
    <w:rsid w:val="35C25A63"/>
    <w:rsid w:val="35C514E9"/>
    <w:rsid w:val="35C7DFE2"/>
    <w:rsid w:val="35CD14DF"/>
    <w:rsid w:val="35D0E58B"/>
    <w:rsid w:val="35D1631A"/>
    <w:rsid w:val="35D33EEA"/>
    <w:rsid w:val="35D52C77"/>
    <w:rsid w:val="35D7AF5B"/>
    <w:rsid w:val="35D89A35"/>
    <w:rsid w:val="35D97AB3"/>
    <w:rsid w:val="35D9A4B3"/>
    <w:rsid w:val="35D9CBC3"/>
    <w:rsid w:val="35DAD15A"/>
    <w:rsid w:val="35DEE84B"/>
    <w:rsid w:val="35E4920B"/>
    <w:rsid w:val="35E55BBC"/>
    <w:rsid w:val="35E6FBD6"/>
    <w:rsid w:val="35E7932C"/>
    <w:rsid w:val="35E879D5"/>
    <w:rsid w:val="35E8EE68"/>
    <w:rsid w:val="35EA4FCA"/>
    <w:rsid w:val="35EC92A0"/>
    <w:rsid w:val="35EEB69F"/>
    <w:rsid w:val="35F3D171"/>
    <w:rsid w:val="35F40362"/>
    <w:rsid w:val="35F75BA9"/>
    <w:rsid w:val="35FDBDD1"/>
    <w:rsid w:val="35FDDAA9"/>
    <w:rsid w:val="35FE94BD"/>
    <w:rsid w:val="35FF3B1B"/>
    <w:rsid w:val="360203B3"/>
    <w:rsid w:val="36050525"/>
    <w:rsid w:val="3607C8EA"/>
    <w:rsid w:val="3608BD2E"/>
    <w:rsid w:val="36094D84"/>
    <w:rsid w:val="360BFB0F"/>
    <w:rsid w:val="36110A6D"/>
    <w:rsid w:val="3614F83D"/>
    <w:rsid w:val="361737AB"/>
    <w:rsid w:val="3617D408"/>
    <w:rsid w:val="361896C7"/>
    <w:rsid w:val="3618D8D1"/>
    <w:rsid w:val="361E5CF6"/>
    <w:rsid w:val="361F4622"/>
    <w:rsid w:val="3624CC7E"/>
    <w:rsid w:val="36282473"/>
    <w:rsid w:val="3628C3F7"/>
    <w:rsid w:val="36293C97"/>
    <w:rsid w:val="36302F2A"/>
    <w:rsid w:val="3633833F"/>
    <w:rsid w:val="36358762"/>
    <w:rsid w:val="363608C7"/>
    <w:rsid w:val="36366781"/>
    <w:rsid w:val="3636D2BD"/>
    <w:rsid w:val="363805D7"/>
    <w:rsid w:val="3638BAB1"/>
    <w:rsid w:val="363E044B"/>
    <w:rsid w:val="364925A3"/>
    <w:rsid w:val="364999E1"/>
    <w:rsid w:val="364F8013"/>
    <w:rsid w:val="365298DC"/>
    <w:rsid w:val="3652DFCF"/>
    <w:rsid w:val="3655FC26"/>
    <w:rsid w:val="3657B83B"/>
    <w:rsid w:val="3658743C"/>
    <w:rsid w:val="365A66ED"/>
    <w:rsid w:val="365C6E47"/>
    <w:rsid w:val="366576D4"/>
    <w:rsid w:val="36663305"/>
    <w:rsid w:val="366A25F8"/>
    <w:rsid w:val="366C286D"/>
    <w:rsid w:val="366DDB7A"/>
    <w:rsid w:val="366FB5F2"/>
    <w:rsid w:val="3673419D"/>
    <w:rsid w:val="3673E695"/>
    <w:rsid w:val="36751F3C"/>
    <w:rsid w:val="367526D2"/>
    <w:rsid w:val="36769E67"/>
    <w:rsid w:val="367934DB"/>
    <w:rsid w:val="3679F3A6"/>
    <w:rsid w:val="367D4322"/>
    <w:rsid w:val="367E552C"/>
    <w:rsid w:val="3680FCAE"/>
    <w:rsid w:val="3682058C"/>
    <w:rsid w:val="36836816"/>
    <w:rsid w:val="36850677"/>
    <w:rsid w:val="3686A3EC"/>
    <w:rsid w:val="3688F566"/>
    <w:rsid w:val="3689DABD"/>
    <w:rsid w:val="368A213C"/>
    <w:rsid w:val="368FD8A6"/>
    <w:rsid w:val="3691E0FE"/>
    <w:rsid w:val="3692B52F"/>
    <w:rsid w:val="3694B846"/>
    <w:rsid w:val="3696411A"/>
    <w:rsid w:val="3696E4C5"/>
    <w:rsid w:val="36976DA2"/>
    <w:rsid w:val="3698D698"/>
    <w:rsid w:val="369AEF28"/>
    <w:rsid w:val="369B5EA1"/>
    <w:rsid w:val="369D5A11"/>
    <w:rsid w:val="369E7996"/>
    <w:rsid w:val="369FE21C"/>
    <w:rsid w:val="36A1F594"/>
    <w:rsid w:val="36A23E0A"/>
    <w:rsid w:val="36A2DB2E"/>
    <w:rsid w:val="36A58C8C"/>
    <w:rsid w:val="36A6268F"/>
    <w:rsid w:val="36A81752"/>
    <w:rsid w:val="36A829C8"/>
    <w:rsid w:val="36A98F3F"/>
    <w:rsid w:val="36AB421F"/>
    <w:rsid w:val="36AE0968"/>
    <w:rsid w:val="36B03F8A"/>
    <w:rsid w:val="36B4D9F8"/>
    <w:rsid w:val="36BC95E4"/>
    <w:rsid w:val="36C07546"/>
    <w:rsid w:val="36C25530"/>
    <w:rsid w:val="36C28861"/>
    <w:rsid w:val="36C3905B"/>
    <w:rsid w:val="36C51AAC"/>
    <w:rsid w:val="36C53FB6"/>
    <w:rsid w:val="36C60EF6"/>
    <w:rsid w:val="36C65FD5"/>
    <w:rsid w:val="36C8BCD3"/>
    <w:rsid w:val="36C9B5E1"/>
    <w:rsid w:val="36CA53BB"/>
    <w:rsid w:val="36CFAACB"/>
    <w:rsid w:val="36D2908C"/>
    <w:rsid w:val="36D3A577"/>
    <w:rsid w:val="36D4E3CE"/>
    <w:rsid w:val="36D5F07F"/>
    <w:rsid w:val="36D7AD54"/>
    <w:rsid w:val="36D88C1A"/>
    <w:rsid w:val="36D906B9"/>
    <w:rsid w:val="36D96EBD"/>
    <w:rsid w:val="36DBE882"/>
    <w:rsid w:val="36DC0332"/>
    <w:rsid w:val="36DC400F"/>
    <w:rsid w:val="36DF71EE"/>
    <w:rsid w:val="36DFBC93"/>
    <w:rsid w:val="36E2E0B0"/>
    <w:rsid w:val="36E6E3E9"/>
    <w:rsid w:val="36EB09E3"/>
    <w:rsid w:val="36ED6C1C"/>
    <w:rsid w:val="36ED9C20"/>
    <w:rsid w:val="36EDE9B8"/>
    <w:rsid w:val="36EE0DDC"/>
    <w:rsid w:val="36F77E49"/>
    <w:rsid w:val="36FB16D5"/>
    <w:rsid w:val="36FE9E43"/>
    <w:rsid w:val="37049C84"/>
    <w:rsid w:val="37057B2D"/>
    <w:rsid w:val="3709ACC8"/>
    <w:rsid w:val="370A97B2"/>
    <w:rsid w:val="370B8DBA"/>
    <w:rsid w:val="370C08F5"/>
    <w:rsid w:val="3710D583"/>
    <w:rsid w:val="3712DA9C"/>
    <w:rsid w:val="37197BCC"/>
    <w:rsid w:val="371B149B"/>
    <w:rsid w:val="371B35A3"/>
    <w:rsid w:val="371D2AA2"/>
    <w:rsid w:val="371D86A0"/>
    <w:rsid w:val="371E7854"/>
    <w:rsid w:val="3721ED26"/>
    <w:rsid w:val="3723790B"/>
    <w:rsid w:val="3726F45F"/>
    <w:rsid w:val="3729E6DF"/>
    <w:rsid w:val="372C7ECC"/>
    <w:rsid w:val="372CE68F"/>
    <w:rsid w:val="3732E983"/>
    <w:rsid w:val="373424C5"/>
    <w:rsid w:val="3735F578"/>
    <w:rsid w:val="3737ABE7"/>
    <w:rsid w:val="3738B9B9"/>
    <w:rsid w:val="373B6DB7"/>
    <w:rsid w:val="373C177E"/>
    <w:rsid w:val="373CE1B4"/>
    <w:rsid w:val="373F2244"/>
    <w:rsid w:val="3740B6E7"/>
    <w:rsid w:val="37411416"/>
    <w:rsid w:val="37447220"/>
    <w:rsid w:val="374672E6"/>
    <w:rsid w:val="37469CE5"/>
    <w:rsid w:val="3748FC77"/>
    <w:rsid w:val="374A99F2"/>
    <w:rsid w:val="374CB18F"/>
    <w:rsid w:val="374F4118"/>
    <w:rsid w:val="375293AC"/>
    <w:rsid w:val="375A5E33"/>
    <w:rsid w:val="375F8C85"/>
    <w:rsid w:val="3763044E"/>
    <w:rsid w:val="376634A9"/>
    <w:rsid w:val="3767C0A5"/>
    <w:rsid w:val="376BEF52"/>
    <w:rsid w:val="37715B81"/>
    <w:rsid w:val="3772FF38"/>
    <w:rsid w:val="37777D3F"/>
    <w:rsid w:val="377922EC"/>
    <w:rsid w:val="377C1CCE"/>
    <w:rsid w:val="377E2040"/>
    <w:rsid w:val="377FCCD4"/>
    <w:rsid w:val="378161CB"/>
    <w:rsid w:val="37831175"/>
    <w:rsid w:val="3783E50E"/>
    <w:rsid w:val="37890084"/>
    <w:rsid w:val="3789FEAF"/>
    <w:rsid w:val="378AD07A"/>
    <w:rsid w:val="378C24D3"/>
    <w:rsid w:val="378C82B1"/>
    <w:rsid w:val="378D087F"/>
    <w:rsid w:val="378F3228"/>
    <w:rsid w:val="37936424"/>
    <w:rsid w:val="37939B4C"/>
    <w:rsid w:val="3796200F"/>
    <w:rsid w:val="3796EEDD"/>
    <w:rsid w:val="37971F54"/>
    <w:rsid w:val="379A6A9C"/>
    <w:rsid w:val="379AFFCD"/>
    <w:rsid w:val="379CE417"/>
    <w:rsid w:val="379F7E22"/>
    <w:rsid w:val="37A0D8F7"/>
    <w:rsid w:val="37A18F5D"/>
    <w:rsid w:val="37A2DBE4"/>
    <w:rsid w:val="37A38DFE"/>
    <w:rsid w:val="37A82D43"/>
    <w:rsid w:val="37AB1AC7"/>
    <w:rsid w:val="37AB55A3"/>
    <w:rsid w:val="37AE8E46"/>
    <w:rsid w:val="37AF6CEF"/>
    <w:rsid w:val="37AF741D"/>
    <w:rsid w:val="37B12A10"/>
    <w:rsid w:val="37B61319"/>
    <w:rsid w:val="37B696C6"/>
    <w:rsid w:val="37BB581B"/>
    <w:rsid w:val="37BB78D4"/>
    <w:rsid w:val="37BF4420"/>
    <w:rsid w:val="37C2EB38"/>
    <w:rsid w:val="37C40D78"/>
    <w:rsid w:val="37C538B2"/>
    <w:rsid w:val="37C560CD"/>
    <w:rsid w:val="37C6535E"/>
    <w:rsid w:val="37C7D4B5"/>
    <w:rsid w:val="37C927CB"/>
    <w:rsid w:val="37CDEDD6"/>
    <w:rsid w:val="37CFF55B"/>
    <w:rsid w:val="37D1CB6F"/>
    <w:rsid w:val="37D46795"/>
    <w:rsid w:val="37D56AD4"/>
    <w:rsid w:val="37D6198E"/>
    <w:rsid w:val="37D6455E"/>
    <w:rsid w:val="37D8374B"/>
    <w:rsid w:val="37DB22BF"/>
    <w:rsid w:val="37DC5010"/>
    <w:rsid w:val="37E08FB3"/>
    <w:rsid w:val="37E10482"/>
    <w:rsid w:val="37E4C6A9"/>
    <w:rsid w:val="37E64465"/>
    <w:rsid w:val="37E7964D"/>
    <w:rsid w:val="37E7C74A"/>
    <w:rsid w:val="37EB2870"/>
    <w:rsid w:val="37EC3A07"/>
    <w:rsid w:val="37ED3124"/>
    <w:rsid w:val="37EE3245"/>
    <w:rsid w:val="37EEE405"/>
    <w:rsid w:val="37EFC87A"/>
    <w:rsid w:val="37F0CC23"/>
    <w:rsid w:val="37F81A91"/>
    <w:rsid w:val="37F82FAE"/>
    <w:rsid w:val="380216E5"/>
    <w:rsid w:val="3802630D"/>
    <w:rsid w:val="3802EE99"/>
    <w:rsid w:val="3804162C"/>
    <w:rsid w:val="38048B40"/>
    <w:rsid w:val="3805B851"/>
    <w:rsid w:val="3807E684"/>
    <w:rsid w:val="38084EAE"/>
    <w:rsid w:val="380E8DCA"/>
    <w:rsid w:val="3812853D"/>
    <w:rsid w:val="3813C130"/>
    <w:rsid w:val="3813F890"/>
    <w:rsid w:val="3814F82B"/>
    <w:rsid w:val="3815053C"/>
    <w:rsid w:val="381CFEBE"/>
    <w:rsid w:val="382167F7"/>
    <w:rsid w:val="382392F6"/>
    <w:rsid w:val="38253F00"/>
    <w:rsid w:val="3828E36C"/>
    <w:rsid w:val="382AF660"/>
    <w:rsid w:val="382BE3FB"/>
    <w:rsid w:val="382ED4D2"/>
    <w:rsid w:val="383011DD"/>
    <w:rsid w:val="3831E334"/>
    <w:rsid w:val="38321508"/>
    <w:rsid w:val="3834A6F9"/>
    <w:rsid w:val="3834F99A"/>
    <w:rsid w:val="3834FBCC"/>
    <w:rsid w:val="38351797"/>
    <w:rsid w:val="38363589"/>
    <w:rsid w:val="383734EF"/>
    <w:rsid w:val="3837B948"/>
    <w:rsid w:val="38390484"/>
    <w:rsid w:val="38393085"/>
    <w:rsid w:val="383BF87C"/>
    <w:rsid w:val="383CDFE8"/>
    <w:rsid w:val="383CE1A2"/>
    <w:rsid w:val="383CED3C"/>
    <w:rsid w:val="383DA9C0"/>
    <w:rsid w:val="3840683C"/>
    <w:rsid w:val="3843E61B"/>
    <w:rsid w:val="3844D6FC"/>
    <w:rsid w:val="3845960C"/>
    <w:rsid w:val="3846D2CA"/>
    <w:rsid w:val="3848A678"/>
    <w:rsid w:val="384B9C64"/>
    <w:rsid w:val="384CD348"/>
    <w:rsid w:val="384E7BBE"/>
    <w:rsid w:val="384FB015"/>
    <w:rsid w:val="3850E5D9"/>
    <w:rsid w:val="3850E771"/>
    <w:rsid w:val="38529031"/>
    <w:rsid w:val="38539FCD"/>
    <w:rsid w:val="385687A6"/>
    <w:rsid w:val="38572D38"/>
    <w:rsid w:val="38586F2C"/>
    <w:rsid w:val="3862A066"/>
    <w:rsid w:val="3863097D"/>
    <w:rsid w:val="3865337E"/>
    <w:rsid w:val="38684113"/>
    <w:rsid w:val="386966FB"/>
    <w:rsid w:val="3869E4F4"/>
    <w:rsid w:val="386B3E10"/>
    <w:rsid w:val="386F2B3C"/>
    <w:rsid w:val="38726A67"/>
    <w:rsid w:val="38738D22"/>
    <w:rsid w:val="3874ACA5"/>
    <w:rsid w:val="387753A9"/>
    <w:rsid w:val="38779D6B"/>
    <w:rsid w:val="3878D5A9"/>
    <w:rsid w:val="387AE735"/>
    <w:rsid w:val="387B28FD"/>
    <w:rsid w:val="38810A5E"/>
    <w:rsid w:val="38828235"/>
    <w:rsid w:val="3882C41D"/>
    <w:rsid w:val="38846289"/>
    <w:rsid w:val="3885BEEF"/>
    <w:rsid w:val="3886574A"/>
    <w:rsid w:val="3886A414"/>
    <w:rsid w:val="388D7E44"/>
    <w:rsid w:val="3891A246"/>
    <w:rsid w:val="3891B40C"/>
    <w:rsid w:val="3894A18E"/>
    <w:rsid w:val="3896B7FD"/>
    <w:rsid w:val="38999635"/>
    <w:rsid w:val="389BC8C2"/>
    <w:rsid w:val="389D509F"/>
    <w:rsid w:val="389F0E2E"/>
    <w:rsid w:val="38A1457B"/>
    <w:rsid w:val="38A31A0A"/>
    <w:rsid w:val="38A38D62"/>
    <w:rsid w:val="38A3F695"/>
    <w:rsid w:val="38A409BE"/>
    <w:rsid w:val="38A4A275"/>
    <w:rsid w:val="38A77AD8"/>
    <w:rsid w:val="38A78690"/>
    <w:rsid w:val="38A967FD"/>
    <w:rsid w:val="38AC3BBF"/>
    <w:rsid w:val="38AE411C"/>
    <w:rsid w:val="38B3AA48"/>
    <w:rsid w:val="38B7D3C7"/>
    <w:rsid w:val="38B91D42"/>
    <w:rsid w:val="38BD421D"/>
    <w:rsid w:val="38C1C9B1"/>
    <w:rsid w:val="38C350D8"/>
    <w:rsid w:val="38C4F20A"/>
    <w:rsid w:val="38C5E5F9"/>
    <w:rsid w:val="38C65053"/>
    <w:rsid w:val="38C892B1"/>
    <w:rsid w:val="38C9AA11"/>
    <w:rsid w:val="38CAB41E"/>
    <w:rsid w:val="38CCBEF6"/>
    <w:rsid w:val="38CD4AC6"/>
    <w:rsid w:val="38CFFD5E"/>
    <w:rsid w:val="38D14E36"/>
    <w:rsid w:val="38D30488"/>
    <w:rsid w:val="38D30EEA"/>
    <w:rsid w:val="38D3CD5D"/>
    <w:rsid w:val="38D48F65"/>
    <w:rsid w:val="38D98F20"/>
    <w:rsid w:val="38DBE4A3"/>
    <w:rsid w:val="38DE13BF"/>
    <w:rsid w:val="38DF5D00"/>
    <w:rsid w:val="38E0FD5D"/>
    <w:rsid w:val="38E17201"/>
    <w:rsid w:val="38E374A4"/>
    <w:rsid w:val="38EB6CEE"/>
    <w:rsid w:val="38EC9EAC"/>
    <w:rsid w:val="38ED2DF2"/>
    <w:rsid w:val="38EE50B4"/>
    <w:rsid w:val="38EE7D41"/>
    <w:rsid w:val="38EF89ED"/>
    <w:rsid w:val="38F3264E"/>
    <w:rsid w:val="38F4874C"/>
    <w:rsid w:val="38F4EE2E"/>
    <w:rsid w:val="38F944EF"/>
    <w:rsid w:val="38FA1AE9"/>
    <w:rsid w:val="38FB5044"/>
    <w:rsid w:val="39027E82"/>
    <w:rsid w:val="3908BF29"/>
    <w:rsid w:val="390C4496"/>
    <w:rsid w:val="390D5874"/>
    <w:rsid w:val="39145E82"/>
    <w:rsid w:val="391717F2"/>
    <w:rsid w:val="391A1642"/>
    <w:rsid w:val="391DAA32"/>
    <w:rsid w:val="392823D7"/>
    <w:rsid w:val="39292DF4"/>
    <w:rsid w:val="3929F6C9"/>
    <w:rsid w:val="392A3373"/>
    <w:rsid w:val="392E37C3"/>
    <w:rsid w:val="392E5D14"/>
    <w:rsid w:val="392E88F4"/>
    <w:rsid w:val="392F4C30"/>
    <w:rsid w:val="3932FAAD"/>
    <w:rsid w:val="3935EF42"/>
    <w:rsid w:val="393B33EB"/>
    <w:rsid w:val="39403E8E"/>
    <w:rsid w:val="394209EC"/>
    <w:rsid w:val="39432A58"/>
    <w:rsid w:val="39447CC1"/>
    <w:rsid w:val="39486BEE"/>
    <w:rsid w:val="39487A49"/>
    <w:rsid w:val="394D1AC2"/>
    <w:rsid w:val="394E3D32"/>
    <w:rsid w:val="394EAA2D"/>
    <w:rsid w:val="395225F5"/>
    <w:rsid w:val="395427C5"/>
    <w:rsid w:val="3954470C"/>
    <w:rsid w:val="3958A00D"/>
    <w:rsid w:val="395F464D"/>
    <w:rsid w:val="396212DB"/>
    <w:rsid w:val="39626D14"/>
    <w:rsid w:val="39643B18"/>
    <w:rsid w:val="3966280D"/>
    <w:rsid w:val="396711E3"/>
    <w:rsid w:val="396B129F"/>
    <w:rsid w:val="396B2401"/>
    <w:rsid w:val="396D86DB"/>
    <w:rsid w:val="396FC928"/>
    <w:rsid w:val="39714124"/>
    <w:rsid w:val="39740AED"/>
    <w:rsid w:val="397784F0"/>
    <w:rsid w:val="39782A66"/>
    <w:rsid w:val="397A6A61"/>
    <w:rsid w:val="397A746E"/>
    <w:rsid w:val="397B3FE5"/>
    <w:rsid w:val="3980EEB6"/>
    <w:rsid w:val="39832073"/>
    <w:rsid w:val="398574DB"/>
    <w:rsid w:val="3986BD34"/>
    <w:rsid w:val="39875895"/>
    <w:rsid w:val="398A09EF"/>
    <w:rsid w:val="398E4E3F"/>
    <w:rsid w:val="398E645F"/>
    <w:rsid w:val="398F0480"/>
    <w:rsid w:val="39911F1C"/>
    <w:rsid w:val="39930715"/>
    <w:rsid w:val="39975C31"/>
    <w:rsid w:val="39983EDF"/>
    <w:rsid w:val="3999F481"/>
    <w:rsid w:val="399A0A1F"/>
    <w:rsid w:val="399BBE96"/>
    <w:rsid w:val="399C1787"/>
    <w:rsid w:val="399D6354"/>
    <w:rsid w:val="399D87AA"/>
    <w:rsid w:val="399E19E3"/>
    <w:rsid w:val="39A12693"/>
    <w:rsid w:val="39A2347C"/>
    <w:rsid w:val="39A241CE"/>
    <w:rsid w:val="39A2783A"/>
    <w:rsid w:val="39A33C68"/>
    <w:rsid w:val="39A3788B"/>
    <w:rsid w:val="39A40057"/>
    <w:rsid w:val="39A7FA92"/>
    <w:rsid w:val="39A965D2"/>
    <w:rsid w:val="39ABF208"/>
    <w:rsid w:val="39AD7E2B"/>
    <w:rsid w:val="39AECE4E"/>
    <w:rsid w:val="39AF3008"/>
    <w:rsid w:val="39B031D4"/>
    <w:rsid w:val="39B0E659"/>
    <w:rsid w:val="39B241E2"/>
    <w:rsid w:val="39B2AD3A"/>
    <w:rsid w:val="39B459FC"/>
    <w:rsid w:val="39B47A96"/>
    <w:rsid w:val="39B87344"/>
    <w:rsid w:val="39B9B0BA"/>
    <w:rsid w:val="39B9CAE9"/>
    <w:rsid w:val="39BE38EE"/>
    <w:rsid w:val="39BEECF5"/>
    <w:rsid w:val="39BF5C95"/>
    <w:rsid w:val="39BFB131"/>
    <w:rsid w:val="39C30FCF"/>
    <w:rsid w:val="39C3215B"/>
    <w:rsid w:val="39C7FC52"/>
    <w:rsid w:val="39C889D9"/>
    <w:rsid w:val="39CC7E5F"/>
    <w:rsid w:val="39CF5EEF"/>
    <w:rsid w:val="39D0BCBD"/>
    <w:rsid w:val="39D8D205"/>
    <w:rsid w:val="39D99656"/>
    <w:rsid w:val="39DC1AA4"/>
    <w:rsid w:val="39DD3781"/>
    <w:rsid w:val="39DE2860"/>
    <w:rsid w:val="39DF057C"/>
    <w:rsid w:val="39E057B6"/>
    <w:rsid w:val="39E0B891"/>
    <w:rsid w:val="39E1DDFF"/>
    <w:rsid w:val="39E25E58"/>
    <w:rsid w:val="39E8EEDB"/>
    <w:rsid w:val="39ED7C65"/>
    <w:rsid w:val="39EFA5A4"/>
    <w:rsid w:val="39F11B82"/>
    <w:rsid w:val="39F16709"/>
    <w:rsid w:val="39F5248A"/>
    <w:rsid w:val="39F64B2B"/>
    <w:rsid w:val="39F75DC5"/>
    <w:rsid w:val="39F863B4"/>
    <w:rsid w:val="39F9252D"/>
    <w:rsid w:val="39FD6CFC"/>
    <w:rsid w:val="39FD9B0B"/>
    <w:rsid w:val="3A004F81"/>
    <w:rsid w:val="3A01EE96"/>
    <w:rsid w:val="3A0353FF"/>
    <w:rsid w:val="3A043F1B"/>
    <w:rsid w:val="3A04819F"/>
    <w:rsid w:val="3A06CB80"/>
    <w:rsid w:val="3A07AE1B"/>
    <w:rsid w:val="3A0997BB"/>
    <w:rsid w:val="3A0C1D49"/>
    <w:rsid w:val="3A0CE22D"/>
    <w:rsid w:val="3A0DA8A0"/>
    <w:rsid w:val="3A0E4747"/>
    <w:rsid w:val="3A139F32"/>
    <w:rsid w:val="3A198520"/>
    <w:rsid w:val="3A1AAE7B"/>
    <w:rsid w:val="3A1BB0FD"/>
    <w:rsid w:val="3A1C42BC"/>
    <w:rsid w:val="3A21E821"/>
    <w:rsid w:val="3A227475"/>
    <w:rsid w:val="3A23F8A7"/>
    <w:rsid w:val="3A2437D2"/>
    <w:rsid w:val="3A250F4C"/>
    <w:rsid w:val="3A28B022"/>
    <w:rsid w:val="3A29444C"/>
    <w:rsid w:val="3A297364"/>
    <w:rsid w:val="3A29A98A"/>
    <w:rsid w:val="3A29EEB2"/>
    <w:rsid w:val="3A2B0163"/>
    <w:rsid w:val="3A2B8C29"/>
    <w:rsid w:val="3A2F30D2"/>
    <w:rsid w:val="3A321D07"/>
    <w:rsid w:val="3A32C89F"/>
    <w:rsid w:val="3A331E06"/>
    <w:rsid w:val="3A365D71"/>
    <w:rsid w:val="3A38F882"/>
    <w:rsid w:val="3A3926DE"/>
    <w:rsid w:val="3A3C4B73"/>
    <w:rsid w:val="3A40C2BD"/>
    <w:rsid w:val="3A418086"/>
    <w:rsid w:val="3A42EF30"/>
    <w:rsid w:val="3A48109C"/>
    <w:rsid w:val="3A48EB43"/>
    <w:rsid w:val="3A49112D"/>
    <w:rsid w:val="3A4D7AFF"/>
    <w:rsid w:val="3A50BA69"/>
    <w:rsid w:val="3A51512F"/>
    <w:rsid w:val="3A53720A"/>
    <w:rsid w:val="3A53ED78"/>
    <w:rsid w:val="3A5611EA"/>
    <w:rsid w:val="3A572D04"/>
    <w:rsid w:val="3A57D707"/>
    <w:rsid w:val="3A5853D8"/>
    <w:rsid w:val="3A5B4740"/>
    <w:rsid w:val="3A5D24A7"/>
    <w:rsid w:val="3A61220A"/>
    <w:rsid w:val="3A620DA1"/>
    <w:rsid w:val="3A649E07"/>
    <w:rsid w:val="3A665CEF"/>
    <w:rsid w:val="3A699917"/>
    <w:rsid w:val="3A72238E"/>
    <w:rsid w:val="3A74EE6F"/>
    <w:rsid w:val="3A7E78FC"/>
    <w:rsid w:val="3A7E9FFA"/>
    <w:rsid w:val="3A7FB768"/>
    <w:rsid w:val="3A802998"/>
    <w:rsid w:val="3A8325C2"/>
    <w:rsid w:val="3A84162D"/>
    <w:rsid w:val="3A870DA4"/>
    <w:rsid w:val="3A8A4D74"/>
    <w:rsid w:val="3A9A2A4E"/>
    <w:rsid w:val="3A9A647D"/>
    <w:rsid w:val="3A9DF28E"/>
    <w:rsid w:val="3A9E3E4F"/>
    <w:rsid w:val="3A9F8471"/>
    <w:rsid w:val="3A9F92CD"/>
    <w:rsid w:val="3AA09B40"/>
    <w:rsid w:val="3AA0FA6B"/>
    <w:rsid w:val="3AA169E2"/>
    <w:rsid w:val="3AA63294"/>
    <w:rsid w:val="3AA7999D"/>
    <w:rsid w:val="3AA7AC40"/>
    <w:rsid w:val="3AA7C6EE"/>
    <w:rsid w:val="3AACA5D7"/>
    <w:rsid w:val="3AACC3A3"/>
    <w:rsid w:val="3AAD3C4D"/>
    <w:rsid w:val="3AAD70F3"/>
    <w:rsid w:val="3AAE748B"/>
    <w:rsid w:val="3AB20D8C"/>
    <w:rsid w:val="3AB22011"/>
    <w:rsid w:val="3AB362B5"/>
    <w:rsid w:val="3AB5B71D"/>
    <w:rsid w:val="3AB5F377"/>
    <w:rsid w:val="3ABBB562"/>
    <w:rsid w:val="3ABE3072"/>
    <w:rsid w:val="3ABE8857"/>
    <w:rsid w:val="3ABFC711"/>
    <w:rsid w:val="3AC103B2"/>
    <w:rsid w:val="3AC1D167"/>
    <w:rsid w:val="3AC1DCC2"/>
    <w:rsid w:val="3AC292AE"/>
    <w:rsid w:val="3AC5C20E"/>
    <w:rsid w:val="3AC6128C"/>
    <w:rsid w:val="3AC752BC"/>
    <w:rsid w:val="3AC7AA17"/>
    <w:rsid w:val="3ACD65CB"/>
    <w:rsid w:val="3AD266A7"/>
    <w:rsid w:val="3AD322DF"/>
    <w:rsid w:val="3AD53F9C"/>
    <w:rsid w:val="3AD5E3D6"/>
    <w:rsid w:val="3AD947C1"/>
    <w:rsid w:val="3ADA60DD"/>
    <w:rsid w:val="3ADD4F7A"/>
    <w:rsid w:val="3ADE5E95"/>
    <w:rsid w:val="3AE01E15"/>
    <w:rsid w:val="3AE09335"/>
    <w:rsid w:val="3AE0D1C0"/>
    <w:rsid w:val="3AE260EE"/>
    <w:rsid w:val="3AE7B71B"/>
    <w:rsid w:val="3AEA8D8C"/>
    <w:rsid w:val="3AED8A6D"/>
    <w:rsid w:val="3AF556B2"/>
    <w:rsid w:val="3AF6E4E2"/>
    <w:rsid w:val="3AFA6CD6"/>
    <w:rsid w:val="3B0096B5"/>
    <w:rsid w:val="3B017499"/>
    <w:rsid w:val="3B0197EE"/>
    <w:rsid w:val="3B0BF4E6"/>
    <w:rsid w:val="3B121BA8"/>
    <w:rsid w:val="3B128B65"/>
    <w:rsid w:val="3B1A67C1"/>
    <w:rsid w:val="3B1CD80C"/>
    <w:rsid w:val="3B1D0946"/>
    <w:rsid w:val="3B1D7D38"/>
    <w:rsid w:val="3B1DE680"/>
    <w:rsid w:val="3B24E33B"/>
    <w:rsid w:val="3B26ACF9"/>
    <w:rsid w:val="3B281F40"/>
    <w:rsid w:val="3B285618"/>
    <w:rsid w:val="3B2F9BC6"/>
    <w:rsid w:val="3B312C12"/>
    <w:rsid w:val="3B328611"/>
    <w:rsid w:val="3B32AC86"/>
    <w:rsid w:val="3B3431A4"/>
    <w:rsid w:val="3B3973F2"/>
    <w:rsid w:val="3B39C29D"/>
    <w:rsid w:val="3B3AAD11"/>
    <w:rsid w:val="3B3D66A0"/>
    <w:rsid w:val="3B3E0FD6"/>
    <w:rsid w:val="3B3E6980"/>
    <w:rsid w:val="3B41C6EE"/>
    <w:rsid w:val="3B441FEE"/>
    <w:rsid w:val="3B44E517"/>
    <w:rsid w:val="3B4C46F4"/>
    <w:rsid w:val="3B4C88A5"/>
    <w:rsid w:val="3B4FB126"/>
    <w:rsid w:val="3B50600F"/>
    <w:rsid w:val="3B5236A6"/>
    <w:rsid w:val="3B52AE5E"/>
    <w:rsid w:val="3B578EC7"/>
    <w:rsid w:val="3B595EEC"/>
    <w:rsid w:val="3B5D0F2B"/>
    <w:rsid w:val="3B5F00F8"/>
    <w:rsid w:val="3B5F321A"/>
    <w:rsid w:val="3B5FB750"/>
    <w:rsid w:val="3B602F05"/>
    <w:rsid w:val="3B6117A7"/>
    <w:rsid w:val="3B665573"/>
    <w:rsid w:val="3B699DA0"/>
    <w:rsid w:val="3B6AC8CF"/>
    <w:rsid w:val="3B6C1FE1"/>
    <w:rsid w:val="3B6FE330"/>
    <w:rsid w:val="3B714BDC"/>
    <w:rsid w:val="3B7271D1"/>
    <w:rsid w:val="3B72F2DE"/>
    <w:rsid w:val="3B7354D0"/>
    <w:rsid w:val="3B73626E"/>
    <w:rsid w:val="3B75214F"/>
    <w:rsid w:val="3B76CBB7"/>
    <w:rsid w:val="3B76D82E"/>
    <w:rsid w:val="3B77B67F"/>
    <w:rsid w:val="3B795154"/>
    <w:rsid w:val="3B7B5122"/>
    <w:rsid w:val="3B7E1D01"/>
    <w:rsid w:val="3B849166"/>
    <w:rsid w:val="3B855497"/>
    <w:rsid w:val="3B87074B"/>
    <w:rsid w:val="3B87C06E"/>
    <w:rsid w:val="3B89DF8A"/>
    <w:rsid w:val="3B8B21EC"/>
    <w:rsid w:val="3B8C1170"/>
    <w:rsid w:val="3B8E0977"/>
    <w:rsid w:val="3B8F9A1A"/>
    <w:rsid w:val="3B90A9AA"/>
    <w:rsid w:val="3B92AD75"/>
    <w:rsid w:val="3B93B892"/>
    <w:rsid w:val="3B95528D"/>
    <w:rsid w:val="3B956C36"/>
    <w:rsid w:val="3B9995AF"/>
    <w:rsid w:val="3B99EA69"/>
    <w:rsid w:val="3B9A9DB0"/>
    <w:rsid w:val="3B9CA90B"/>
    <w:rsid w:val="3B9CF10C"/>
    <w:rsid w:val="3B9D984C"/>
    <w:rsid w:val="3BA55855"/>
    <w:rsid w:val="3BA85161"/>
    <w:rsid w:val="3BABF713"/>
    <w:rsid w:val="3BACF73D"/>
    <w:rsid w:val="3BADDCC8"/>
    <w:rsid w:val="3BB477A6"/>
    <w:rsid w:val="3BB49219"/>
    <w:rsid w:val="3BB60FCB"/>
    <w:rsid w:val="3BB6F800"/>
    <w:rsid w:val="3BB728BB"/>
    <w:rsid w:val="3BB7405D"/>
    <w:rsid w:val="3BB86AED"/>
    <w:rsid w:val="3BB873F0"/>
    <w:rsid w:val="3BBA0D88"/>
    <w:rsid w:val="3BBD33D3"/>
    <w:rsid w:val="3BC1C492"/>
    <w:rsid w:val="3BC21502"/>
    <w:rsid w:val="3BC4ADE2"/>
    <w:rsid w:val="3BC73EB6"/>
    <w:rsid w:val="3BCA5136"/>
    <w:rsid w:val="3BCBE65C"/>
    <w:rsid w:val="3BCC8694"/>
    <w:rsid w:val="3BD02CBC"/>
    <w:rsid w:val="3BD23AD0"/>
    <w:rsid w:val="3BD684CB"/>
    <w:rsid w:val="3BDD71E6"/>
    <w:rsid w:val="3BDFE358"/>
    <w:rsid w:val="3BE8598C"/>
    <w:rsid w:val="3BECCC00"/>
    <w:rsid w:val="3BF86A38"/>
    <w:rsid w:val="3BFAC5FE"/>
    <w:rsid w:val="3BFAE7DF"/>
    <w:rsid w:val="3BFD1814"/>
    <w:rsid w:val="3BFE5A59"/>
    <w:rsid w:val="3BFECE3E"/>
    <w:rsid w:val="3C042BAF"/>
    <w:rsid w:val="3C0584EE"/>
    <w:rsid w:val="3C06FE1E"/>
    <w:rsid w:val="3C0728F5"/>
    <w:rsid w:val="3C086E0E"/>
    <w:rsid w:val="3C0BA8ED"/>
    <w:rsid w:val="3C0CC727"/>
    <w:rsid w:val="3C110033"/>
    <w:rsid w:val="3C1175D8"/>
    <w:rsid w:val="3C1411F5"/>
    <w:rsid w:val="3C142ADA"/>
    <w:rsid w:val="3C143308"/>
    <w:rsid w:val="3C143B38"/>
    <w:rsid w:val="3C168160"/>
    <w:rsid w:val="3C1AEA77"/>
    <w:rsid w:val="3C1B37A5"/>
    <w:rsid w:val="3C249960"/>
    <w:rsid w:val="3C256A95"/>
    <w:rsid w:val="3C2A3AA8"/>
    <w:rsid w:val="3C2D92D2"/>
    <w:rsid w:val="3C2FA7EA"/>
    <w:rsid w:val="3C2FE5E5"/>
    <w:rsid w:val="3C309A2D"/>
    <w:rsid w:val="3C387C7F"/>
    <w:rsid w:val="3C3AAE06"/>
    <w:rsid w:val="3C3ACEA8"/>
    <w:rsid w:val="3C3BE775"/>
    <w:rsid w:val="3C4131E8"/>
    <w:rsid w:val="3C41C180"/>
    <w:rsid w:val="3C428D88"/>
    <w:rsid w:val="3C436B7E"/>
    <w:rsid w:val="3C447042"/>
    <w:rsid w:val="3C45EA7C"/>
    <w:rsid w:val="3C46DE95"/>
    <w:rsid w:val="3C4AC425"/>
    <w:rsid w:val="3C4C36D3"/>
    <w:rsid w:val="3C547D22"/>
    <w:rsid w:val="3C567B69"/>
    <w:rsid w:val="3C5DE5C1"/>
    <w:rsid w:val="3C5F987B"/>
    <w:rsid w:val="3C614D23"/>
    <w:rsid w:val="3C6307BC"/>
    <w:rsid w:val="3C64F356"/>
    <w:rsid w:val="3C669FAA"/>
    <w:rsid w:val="3C677BAA"/>
    <w:rsid w:val="3C678253"/>
    <w:rsid w:val="3C6846AF"/>
    <w:rsid w:val="3C6867CA"/>
    <w:rsid w:val="3C69173E"/>
    <w:rsid w:val="3C6B09D1"/>
    <w:rsid w:val="3C6BE074"/>
    <w:rsid w:val="3C6D4E2B"/>
    <w:rsid w:val="3C6E8EEB"/>
    <w:rsid w:val="3C6E9BA8"/>
    <w:rsid w:val="3C6EB26D"/>
    <w:rsid w:val="3C6EF6B1"/>
    <w:rsid w:val="3C6F18FB"/>
    <w:rsid w:val="3C75164A"/>
    <w:rsid w:val="3C76614B"/>
    <w:rsid w:val="3C7BA03A"/>
    <w:rsid w:val="3C7BAE7F"/>
    <w:rsid w:val="3C845C7A"/>
    <w:rsid w:val="3C853C23"/>
    <w:rsid w:val="3C8557C4"/>
    <w:rsid w:val="3C85647C"/>
    <w:rsid w:val="3C888CFD"/>
    <w:rsid w:val="3C88ECA4"/>
    <w:rsid w:val="3C8E31EF"/>
    <w:rsid w:val="3C8E9AEC"/>
    <w:rsid w:val="3C950E6F"/>
    <w:rsid w:val="3C953D1F"/>
    <w:rsid w:val="3C996F1A"/>
    <w:rsid w:val="3C9FB86C"/>
    <w:rsid w:val="3CA32A7C"/>
    <w:rsid w:val="3CA5392D"/>
    <w:rsid w:val="3CA5F19A"/>
    <w:rsid w:val="3CA8E600"/>
    <w:rsid w:val="3CAB82C8"/>
    <w:rsid w:val="3CABAA06"/>
    <w:rsid w:val="3CAC5910"/>
    <w:rsid w:val="3CAC838A"/>
    <w:rsid w:val="3CB22BCA"/>
    <w:rsid w:val="3CB3BABB"/>
    <w:rsid w:val="3CB8A86D"/>
    <w:rsid w:val="3CB9CA68"/>
    <w:rsid w:val="3CBACE0B"/>
    <w:rsid w:val="3CBC7CB1"/>
    <w:rsid w:val="3CBD7785"/>
    <w:rsid w:val="3CBE5DB7"/>
    <w:rsid w:val="3CC1B381"/>
    <w:rsid w:val="3CC312BA"/>
    <w:rsid w:val="3CC31732"/>
    <w:rsid w:val="3CC46F4E"/>
    <w:rsid w:val="3CC86DCF"/>
    <w:rsid w:val="3CC8DB63"/>
    <w:rsid w:val="3CCBEC1B"/>
    <w:rsid w:val="3CCC22EE"/>
    <w:rsid w:val="3CCC4E5D"/>
    <w:rsid w:val="3CCC76D4"/>
    <w:rsid w:val="3CCCA051"/>
    <w:rsid w:val="3CCDBC9F"/>
    <w:rsid w:val="3CCF4733"/>
    <w:rsid w:val="3CD1C733"/>
    <w:rsid w:val="3CD24142"/>
    <w:rsid w:val="3CD7091E"/>
    <w:rsid w:val="3CDB144B"/>
    <w:rsid w:val="3CDBEC69"/>
    <w:rsid w:val="3CE0443E"/>
    <w:rsid w:val="3CE07E87"/>
    <w:rsid w:val="3CE10694"/>
    <w:rsid w:val="3CE2A97D"/>
    <w:rsid w:val="3CE3B338"/>
    <w:rsid w:val="3CE61C48"/>
    <w:rsid w:val="3CE9D039"/>
    <w:rsid w:val="3CEB2A1B"/>
    <w:rsid w:val="3CEB2FE0"/>
    <w:rsid w:val="3CEDF2AA"/>
    <w:rsid w:val="3CEFC848"/>
    <w:rsid w:val="3CF16DCA"/>
    <w:rsid w:val="3CF627B8"/>
    <w:rsid w:val="3CF785D6"/>
    <w:rsid w:val="3CF8FFA5"/>
    <w:rsid w:val="3CFF2386"/>
    <w:rsid w:val="3D0035AA"/>
    <w:rsid w:val="3D00FE9B"/>
    <w:rsid w:val="3D06082D"/>
    <w:rsid w:val="3D084BC8"/>
    <w:rsid w:val="3D0FF04E"/>
    <w:rsid w:val="3D0FF04F"/>
    <w:rsid w:val="3D12D7B3"/>
    <w:rsid w:val="3D12ED60"/>
    <w:rsid w:val="3D16C691"/>
    <w:rsid w:val="3D194ABE"/>
    <w:rsid w:val="3D1999AE"/>
    <w:rsid w:val="3D1AAF59"/>
    <w:rsid w:val="3D1AD21C"/>
    <w:rsid w:val="3D1BA04D"/>
    <w:rsid w:val="3D1EC56F"/>
    <w:rsid w:val="3D219DC8"/>
    <w:rsid w:val="3D250410"/>
    <w:rsid w:val="3D2AFE2D"/>
    <w:rsid w:val="3D2B4EC5"/>
    <w:rsid w:val="3D2CCA62"/>
    <w:rsid w:val="3D2CD4D9"/>
    <w:rsid w:val="3D2E05D1"/>
    <w:rsid w:val="3D2E819E"/>
    <w:rsid w:val="3D2F8E8E"/>
    <w:rsid w:val="3D308064"/>
    <w:rsid w:val="3D3171B2"/>
    <w:rsid w:val="3D35395C"/>
    <w:rsid w:val="3D35794F"/>
    <w:rsid w:val="3D39108D"/>
    <w:rsid w:val="3D3CCF58"/>
    <w:rsid w:val="3D3E2257"/>
    <w:rsid w:val="3D3F2DAB"/>
    <w:rsid w:val="3D411423"/>
    <w:rsid w:val="3D45870E"/>
    <w:rsid w:val="3D4749B0"/>
    <w:rsid w:val="3D4A820D"/>
    <w:rsid w:val="3D4AD231"/>
    <w:rsid w:val="3D4CBE36"/>
    <w:rsid w:val="3D5148D9"/>
    <w:rsid w:val="3D53111B"/>
    <w:rsid w:val="3D54BD21"/>
    <w:rsid w:val="3D5629F7"/>
    <w:rsid w:val="3D56FA77"/>
    <w:rsid w:val="3D574FFE"/>
    <w:rsid w:val="3D5C71DE"/>
    <w:rsid w:val="3D5C82B4"/>
    <w:rsid w:val="3D60739E"/>
    <w:rsid w:val="3D611608"/>
    <w:rsid w:val="3D6347FA"/>
    <w:rsid w:val="3D63C4DC"/>
    <w:rsid w:val="3D6538B6"/>
    <w:rsid w:val="3D656146"/>
    <w:rsid w:val="3D67315D"/>
    <w:rsid w:val="3D67A6A3"/>
    <w:rsid w:val="3D693D96"/>
    <w:rsid w:val="3D6A1CA1"/>
    <w:rsid w:val="3D6ED461"/>
    <w:rsid w:val="3D6FA6FB"/>
    <w:rsid w:val="3D6FE1C5"/>
    <w:rsid w:val="3D7014FA"/>
    <w:rsid w:val="3D7155B9"/>
    <w:rsid w:val="3D71BE7F"/>
    <w:rsid w:val="3D751B1D"/>
    <w:rsid w:val="3D7793E9"/>
    <w:rsid w:val="3D7826F9"/>
    <w:rsid w:val="3D783FD4"/>
    <w:rsid w:val="3D7DD859"/>
    <w:rsid w:val="3D7F45A2"/>
    <w:rsid w:val="3D7FA497"/>
    <w:rsid w:val="3D81E69D"/>
    <w:rsid w:val="3D823103"/>
    <w:rsid w:val="3D836F59"/>
    <w:rsid w:val="3D842692"/>
    <w:rsid w:val="3D88E45E"/>
    <w:rsid w:val="3D892E1C"/>
    <w:rsid w:val="3D8CE053"/>
    <w:rsid w:val="3D901B3D"/>
    <w:rsid w:val="3D9056D1"/>
    <w:rsid w:val="3D90EE3B"/>
    <w:rsid w:val="3D91D65F"/>
    <w:rsid w:val="3D93D8FF"/>
    <w:rsid w:val="3D944472"/>
    <w:rsid w:val="3D9695A7"/>
    <w:rsid w:val="3D9D7E99"/>
    <w:rsid w:val="3D9E5D83"/>
    <w:rsid w:val="3D9EF941"/>
    <w:rsid w:val="3D9F58B9"/>
    <w:rsid w:val="3D9F6CF9"/>
    <w:rsid w:val="3DA064EF"/>
    <w:rsid w:val="3DA2D864"/>
    <w:rsid w:val="3DA51F33"/>
    <w:rsid w:val="3DA9CC26"/>
    <w:rsid w:val="3DABDFF4"/>
    <w:rsid w:val="3DAD2602"/>
    <w:rsid w:val="3DADE9C2"/>
    <w:rsid w:val="3DAFC6A3"/>
    <w:rsid w:val="3DB19AD0"/>
    <w:rsid w:val="3DB27761"/>
    <w:rsid w:val="3DB58D45"/>
    <w:rsid w:val="3DB79F25"/>
    <w:rsid w:val="3DB86FD7"/>
    <w:rsid w:val="3DB93264"/>
    <w:rsid w:val="3DB9A34D"/>
    <w:rsid w:val="3DBCF25C"/>
    <w:rsid w:val="3DC050FA"/>
    <w:rsid w:val="3DC0F9A1"/>
    <w:rsid w:val="3DC1A03C"/>
    <w:rsid w:val="3DC6E4A4"/>
    <w:rsid w:val="3DC9185F"/>
    <w:rsid w:val="3DC9BDD6"/>
    <w:rsid w:val="3DCA4AFF"/>
    <w:rsid w:val="3DCBCFDC"/>
    <w:rsid w:val="3DCC2FA5"/>
    <w:rsid w:val="3DCF60F3"/>
    <w:rsid w:val="3DCF6866"/>
    <w:rsid w:val="3DCF9BFD"/>
    <w:rsid w:val="3DD07FB2"/>
    <w:rsid w:val="3DD0908E"/>
    <w:rsid w:val="3DD0A978"/>
    <w:rsid w:val="3DD0F3AD"/>
    <w:rsid w:val="3DD122D6"/>
    <w:rsid w:val="3DD30CB5"/>
    <w:rsid w:val="3DD384D2"/>
    <w:rsid w:val="3DD4F2DF"/>
    <w:rsid w:val="3DD719D0"/>
    <w:rsid w:val="3DD902D3"/>
    <w:rsid w:val="3DDB85E3"/>
    <w:rsid w:val="3DDDE5F8"/>
    <w:rsid w:val="3DDF163F"/>
    <w:rsid w:val="3DE5D7EF"/>
    <w:rsid w:val="3DE77B59"/>
    <w:rsid w:val="3DEAE833"/>
    <w:rsid w:val="3DF136EF"/>
    <w:rsid w:val="3DF30101"/>
    <w:rsid w:val="3DF5FC57"/>
    <w:rsid w:val="3DF619DA"/>
    <w:rsid w:val="3DFA0F4F"/>
    <w:rsid w:val="3DFE0079"/>
    <w:rsid w:val="3E018D9B"/>
    <w:rsid w:val="3E04654A"/>
    <w:rsid w:val="3E069000"/>
    <w:rsid w:val="3E07CC58"/>
    <w:rsid w:val="3E097180"/>
    <w:rsid w:val="3E0A102B"/>
    <w:rsid w:val="3E12136A"/>
    <w:rsid w:val="3E138413"/>
    <w:rsid w:val="3E139247"/>
    <w:rsid w:val="3E13B546"/>
    <w:rsid w:val="3E13EA3E"/>
    <w:rsid w:val="3E198787"/>
    <w:rsid w:val="3E1B8229"/>
    <w:rsid w:val="3E1D3AAD"/>
    <w:rsid w:val="3E1DCBE5"/>
    <w:rsid w:val="3E1E5018"/>
    <w:rsid w:val="3E1F1D6B"/>
    <w:rsid w:val="3E214E1D"/>
    <w:rsid w:val="3E22972B"/>
    <w:rsid w:val="3E23AF2A"/>
    <w:rsid w:val="3E2553D4"/>
    <w:rsid w:val="3E266595"/>
    <w:rsid w:val="3E27A25D"/>
    <w:rsid w:val="3E285242"/>
    <w:rsid w:val="3E2CD043"/>
    <w:rsid w:val="3E2F644B"/>
    <w:rsid w:val="3E3041B9"/>
    <w:rsid w:val="3E305D2A"/>
    <w:rsid w:val="3E30F3B7"/>
    <w:rsid w:val="3E31AB6F"/>
    <w:rsid w:val="3E32372A"/>
    <w:rsid w:val="3E335D3B"/>
    <w:rsid w:val="3E34FEDD"/>
    <w:rsid w:val="3E3964B9"/>
    <w:rsid w:val="3E3A538D"/>
    <w:rsid w:val="3E3B48BA"/>
    <w:rsid w:val="3E3BEA06"/>
    <w:rsid w:val="3E409ADE"/>
    <w:rsid w:val="3E422AB3"/>
    <w:rsid w:val="3E440328"/>
    <w:rsid w:val="3E45DB7F"/>
    <w:rsid w:val="3E4A7C61"/>
    <w:rsid w:val="3E4C293F"/>
    <w:rsid w:val="3E4D597B"/>
    <w:rsid w:val="3E5156A6"/>
    <w:rsid w:val="3E519DC2"/>
    <w:rsid w:val="3E51B5E3"/>
    <w:rsid w:val="3E540467"/>
    <w:rsid w:val="3E5440FF"/>
    <w:rsid w:val="3E54AB40"/>
    <w:rsid w:val="3E54D501"/>
    <w:rsid w:val="3E5775C1"/>
    <w:rsid w:val="3E594EA1"/>
    <w:rsid w:val="3E5D9D14"/>
    <w:rsid w:val="3E5DC6E1"/>
    <w:rsid w:val="3E6079A4"/>
    <w:rsid w:val="3E674D75"/>
    <w:rsid w:val="3E68F47E"/>
    <w:rsid w:val="3E6ABDB4"/>
    <w:rsid w:val="3E6E1E47"/>
    <w:rsid w:val="3E707655"/>
    <w:rsid w:val="3E707EFB"/>
    <w:rsid w:val="3E7640A8"/>
    <w:rsid w:val="3E76700B"/>
    <w:rsid w:val="3E7A5A2D"/>
    <w:rsid w:val="3E7F2E58"/>
    <w:rsid w:val="3E8220A1"/>
    <w:rsid w:val="3E8463FC"/>
    <w:rsid w:val="3E86200C"/>
    <w:rsid w:val="3E86E3BC"/>
    <w:rsid w:val="3E88C8E6"/>
    <w:rsid w:val="3E8987D4"/>
    <w:rsid w:val="3E8B5160"/>
    <w:rsid w:val="3E90567D"/>
    <w:rsid w:val="3E92F845"/>
    <w:rsid w:val="3E967C99"/>
    <w:rsid w:val="3E96C8A1"/>
    <w:rsid w:val="3E9759EE"/>
    <w:rsid w:val="3E98562F"/>
    <w:rsid w:val="3E98AB55"/>
    <w:rsid w:val="3E9A7A3C"/>
    <w:rsid w:val="3E9BFAF7"/>
    <w:rsid w:val="3EA4755B"/>
    <w:rsid w:val="3EA9C549"/>
    <w:rsid w:val="3EAB7111"/>
    <w:rsid w:val="3EABEEFC"/>
    <w:rsid w:val="3EAD692E"/>
    <w:rsid w:val="3EB1A5BE"/>
    <w:rsid w:val="3EB2B031"/>
    <w:rsid w:val="3EB4DDBD"/>
    <w:rsid w:val="3EB691F2"/>
    <w:rsid w:val="3EB8F419"/>
    <w:rsid w:val="3EBA30D0"/>
    <w:rsid w:val="3EBB2D0F"/>
    <w:rsid w:val="3EBBD5FE"/>
    <w:rsid w:val="3EBC855D"/>
    <w:rsid w:val="3EBC8A90"/>
    <w:rsid w:val="3EBCA236"/>
    <w:rsid w:val="3EBDD8FC"/>
    <w:rsid w:val="3EC183E2"/>
    <w:rsid w:val="3EC27E0A"/>
    <w:rsid w:val="3EC5B10F"/>
    <w:rsid w:val="3EC62A21"/>
    <w:rsid w:val="3EC8ECCF"/>
    <w:rsid w:val="3EC9F05C"/>
    <w:rsid w:val="3ECA2AA2"/>
    <w:rsid w:val="3ECB9307"/>
    <w:rsid w:val="3ECD4FD3"/>
    <w:rsid w:val="3ECF789A"/>
    <w:rsid w:val="3ED22BD8"/>
    <w:rsid w:val="3ED31FB1"/>
    <w:rsid w:val="3ED321E2"/>
    <w:rsid w:val="3ED3818E"/>
    <w:rsid w:val="3ED39F38"/>
    <w:rsid w:val="3ED5F0D5"/>
    <w:rsid w:val="3ED6D70E"/>
    <w:rsid w:val="3ED8DDB5"/>
    <w:rsid w:val="3EDBA0E5"/>
    <w:rsid w:val="3EDC2D82"/>
    <w:rsid w:val="3EDFFD5E"/>
    <w:rsid w:val="3EE06EF6"/>
    <w:rsid w:val="3EE0867A"/>
    <w:rsid w:val="3EE1AA93"/>
    <w:rsid w:val="3EE617E4"/>
    <w:rsid w:val="3EE96C4A"/>
    <w:rsid w:val="3EEA055F"/>
    <w:rsid w:val="3EEB8467"/>
    <w:rsid w:val="3EED12ED"/>
    <w:rsid w:val="3EF2A4C4"/>
    <w:rsid w:val="3EF53589"/>
    <w:rsid w:val="3EF65816"/>
    <w:rsid w:val="3EF7BBEC"/>
    <w:rsid w:val="3EF85619"/>
    <w:rsid w:val="3EFB05E9"/>
    <w:rsid w:val="3EFC863C"/>
    <w:rsid w:val="3F009095"/>
    <w:rsid w:val="3F025FB8"/>
    <w:rsid w:val="3F039648"/>
    <w:rsid w:val="3F03A960"/>
    <w:rsid w:val="3F04B003"/>
    <w:rsid w:val="3F0C1835"/>
    <w:rsid w:val="3F0D1FF1"/>
    <w:rsid w:val="3F106ED4"/>
    <w:rsid w:val="3F11DF4A"/>
    <w:rsid w:val="3F14C96F"/>
    <w:rsid w:val="3F17F410"/>
    <w:rsid w:val="3F1828AC"/>
    <w:rsid w:val="3F19513D"/>
    <w:rsid w:val="3F1AC87D"/>
    <w:rsid w:val="3F1B1603"/>
    <w:rsid w:val="3F1D3DEE"/>
    <w:rsid w:val="3F1F6EC2"/>
    <w:rsid w:val="3F240528"/>
    <w:rsid w:val="3F259889"/>
    <w:rsid w:val="3F26404F"/>
    <w:rsid w:val="3F27B2BE"/>
    <w:rsid w:val="3F28E34F"/>
    <w:rsid w:val="3F28FC51"/>
    <w:rsid w:val="3F2A515F"/>
    <w:rsid w:val="3F2FC5D4"/>
    <w:rsid w:val="3F34376F"/>
    <w:rsid w:val="3F356A2D"/>
    <w:rsid w:val="3F36186E"/>
    <w:rsid w:val="3F3B081A"/>
    <w:rsid w:val="3F3B18B3"/>
    <w:rsid w:val="3F3BCC18"/>
    <w:rsid w:val="3F3CD2F4"/>
    <w:rsid w:val="3F3D881A"/>
    <w:rsid w:val="3F3DA97C"/>
    <w:rsid w:val="3F3DA97F"/>
    <w:rsid w:val="3F3DEAA1"/>
    <w:rsid w:val="3F4016F4"/>
    <w:rsid w:val="3F405C04"/>
    <w:rsid w:val="3F446A0F"/>
    <w:rsid w:val="3F4494A9"/>
    <w:rsid w:val="3F44F8D5"/>
    <w:rsid w:val="3F4543FA"/>
    <w:rsid w:val="3F45C8DB"/>
    <w:rsid w:val="3F4C1FB4"/>
    <w:rsid w:val="3F4C2F29"/>
    <w:rsid w:val="3F4D3879"/>
    <w:rsid w:val="3F4EA542"/>
    <w:rsid w:val="3F5244AD"/>
    <w:rsid w:val="3F53985D"/>
    <w:rsid w:val="3F53AE72"/>
    <w:rsid w:val="3F564BDF"/>
    <w:rsid w:val="3F59C045"/>
    <w:rsid w:val="3F658E37"/>
    <w:rsid w:val="3F6A678B"/>
    <w:rsid w:val="3F6B7074"/>
    <w:rsid w:val="3F6C068E"/>
    <w:rsid w:val="3F6E9251"/>
    <w:rsid w:val="3F6F80F7"/>
    <w:rsid w:val="3F6FAA7E"/>
    <w:rsid w:val="3F748A0B"/>
    <w:rsid w:val="3F751F4E"/>
    <w:rsid w:val="3F78B68D"/>
    <w:rsid w:val="3F7A397E"/>
    <w:rsid w:val="3F7A5651"/>
    <w:rsid w:val="3F7AC574"/>
    <w:rsid w:val="3F7B5D93"/>
    <w:rsid w:val="3F7D4F58"/>
    <w:rsid w:val="3F7EFCD5"/>
    <w:rsid w:val="3F7FF072"/>
    <w:rsid w:val="3F80A5F7"/>
    <w:rsid w:val="3F868B72"/>
    <w:rsid w:val="3F891C16"/>
    <w:rsid w:val="3F8A8219"/>
    <w:rsid w:val="3F8BE7E3"/>
    <w:rsid w:val="3F8E81E9"/>
    <w:rsid w:val="3F8F203C"/>
    <w:rsid w:val="3F90554E"/>
    <w:rsid w:val="3F927D74"/>
    <w:rsid w:val="3F934142"/>
    <w:rsid w:val="3F953ABC"/>
    <w:rsid w:val="3F9B3DBF"/>
    <w:rsid w:val="3F9B933D"/>
    <w:rsid w:val="3F9ECB28"/>
    <w:rsid w:val="3FA63B94"/>
    <w:rsid w:val="3FA9AB60"/>
    <w:rsid w:val="3FACD041"/>
    <w:rsid w:val="3FAD78A9"/>
    <w:rsid w:val="3FB13AE8"/>
    <w:rsid w:val="3FB44DDD"/>
    <w:rsid w:val="3FB6F81C"/>
    <w:rsid w:val="3FB7034F"/>
    <w:rsid w:val="3FB722CB"/>
    <w:rsid w:val="3FB9096F"/>
    <w:rsid w:val="3FB99904"/>
    <w:rsid w:val="3FBDF62B"/>
    <w:rsid w:val="3FBEB2B9"/>
    <w:rsid w:val="3FC06778"/>
    <w:rsid w:val="3FC49CE5"/>
    <w:rsid w:val="3FCBB46F"/>
    <w:rsid w:val="3FCDE8D3"/>
    <w:rsid w:val="3FD013D9"/>
    <w:rsid w:val="3FD06F15"/>
    <w:rsid w:val="3FD64D15"/>
    <w:rsid w:val="3FD6CCA1"/>
    <w:rsid w:val="3FD75538"/>
    <w:rsid w:val="3FD8F212"/>
    <w:rsid w:val="3FDAB2B6"/>
    <w:rsid w:val="3FE05227"/>
    <w:rsid w:val="3FE0578D"/>
    <w:rsid w:val="3FE26FC0"/>
    <w:rsid w:val="3FE2CB96"/>
    <w:rsid w:val="3FE32437"/>
    <w:rsid w:val="3FE6F4AB"/>
    <w:rsid w:val="3FE738EB"/>
    <w:rsid w:val="3FE89F12"/>
    <w:rsid w:val="3FE90C5A"/>
    <w:rsid w:val="3FEA93A3"/>
    <w:rsid w:val="3FEBDFCF"/>
    <w:rsid w:val="3FEDF60A"/>
    <w:rsid w:val="3FEE79EF"/>
    <w:rsid w:val="3FEF7626"/>
    <w:rsid w:val="3FF06B0E"/>
    <w:rsid w:val="3FF6BD0A"/>
    <w:rsid w:val="3FFA6B67"/>
    <w:rsid w:val="3FFB17C8"/>
    <w:rsid w:val="3FFE16B8"/>
    <w:rsid w:val="3FFE86F7"/>
    <w:rsid w:val="4002712A"/>
    <w:rsid w:val="40059CBD"/>
    <w:rsid w:val="4007D10D"/>
    <w:rsid w:val="40083B98"/>
    <w:rsid w:val="400E54C2"/>
    <w:rsid w:val="4013F7EE"/>
    <w:rsid w:val="401603DF"/>
    <w:rsid w:val="4016CAE7"/>
    <w:rsid w:val="4019F888"/>
    <w:rsid w:val="401FA767"/>
    <w:rsid w:val="40223C5E"/>
    <w:rsid w:val="4023228E"/>
    <w:rsid w:val="4024AEC0"/>
    <w:rsid w:val="4028D535"/>
    <w:rsid w:val="402BADB1"/>
    <w:rsid w:val="402D36A1"/>
    <w:rsid w:val="402EBBE3"/>
    <w:rsid w:val="402F23B4"/>
    <w:rsid w:val="40309563"/>
    <w:rsid w:val="4033E078"/>
    <w:rsid w:val="40359667"/>
    <w:rsid w:val="4036F95B"/>
    <w:rsid w:val="4036FAD6"/>
    <w:rsid w:val="40384E1D"/>
    <w:rsid w:val="403929D0"/>
    <w:rsid w:val="403DB8D0"/>
    <w:rsid w:val="4040A46E"/>
    <w:rsid w:val="4042E2ED"/>
    <w:rsid w:val="4045044E"/>
    <w:rsid w:val="404532FE"/>
    <w:rsid w:val="4046D921"/>
    <w:rsid w:val="404BA007"/>
    <w:rsid w:val="404D0E9E"/>
    <w:rsid w:val="404D8B5B"/>
    <w:rsid w:val="404E73F3"/>
    <w:rsid w:val="404F1632"/>
    <w:rsid w:val="40542D98"/>
    <w:rsid w:val="40560CA6"/>
    <w:rsid w:val="40598DA3"/>
    <w:rsid w:val="405CB865"/>
    <w:rsid w:val="40615575"/>
    <w:rsid w:val="40638A9C"/>
    <w:rsid w:val="4063D489"/>
    <w:rsid w:val="406AE769"/>
    <w:rsid w:val="406C158C"/>
    <w:rsid w:val="406D7636"/>
    <w:rsid w:val="406DECD7"/>
    <w:rsid w:val="406EF6FE"/>
    <w:rsid w:val="407001AA"/>
    <w:rsid w:val="40700BDB"/>
    <w:rsid w:val="4070172A"/>
    <w:rsid w:val="4070BB9B"/>
    <w:rsid w:val="4071EF2D"/>
    <w:rsid w:val="40736DF2"/>
    <w:rsid w:val="4074FB02"/>
    <w:rsid w:val="407AA556"/>
    <w:rsid w:val="407C1705"/>
    <w:rsid w:val="407CAA79"/>
    <w:rsid w:val="407F2060"/>
    <w:rsid w:val="40816BA5"/>
    <w:rsid w:val="40853B74"/>
    <w:rsid w:val="40874CE9"/>
    <w:rsid w:val="40877B9A"/>
    <w:rsid w:val="4088463A"/>
    <w:rsid w:val="40896335"/>
    <w:rsid w:val="408A768E"/>
    <w:rsid w:val="408DDF0C"/>
    <w:rsid w:val="408F75ED"/>
    <w:rsid w:val="4090E824"/>
    <w:rsid w:val="4091A394"/>
    <w:rsid w:val="40924E4D"/>
    <w:rsid w:val="4092BDDB"/>
    <w:rsid w:val="409788D3"/>
    <w:rsid w:val="4097CB76"/>
    <w:rsid w:val="409BEDC8"/>
    <w:rsid w:val="409CF436"/>
    <w:rsid w:val="40A2F5FB"/>
    <w:rsid w:val="40A868D0"/>
    <w:rsid w:val="40A885D2"/>
    <w:rsid w:val="40A9B64F"/>
    <w:rsid w:val="40A9B885"/>
    <w:rsid w:val="40AF7386"/>
    <w:rsid w:val="40B5192F"/>
    <w:rsid w:val="40B87449"/>
    <w:rsid w:val="40BA8B23"/>
    <w:rsid w:val="40BDB0FA"/>
    <w:rsid w:val="40BF5916"/>
    <w:rsid w:val="40C1217E"/>
    <w:rsid w:val="40C35149"/>
    <w:rsid w:val="40C3831F"/>
    <w:rsid w:val="40C3B3B7"/>
    <w:rsid w:val="40C8E7C1"/>
    <w:rsid w:val="40C9ED12"/>
    <w:rsid w:val="40CB8592"/>
    <w:rsid w:val="40CB9314"/>
    <w:rsid w:val="40CC15E9"/>
    <w:rsid w:val="40CCEAD1"/>
    <w:rsid w:val="40CD035E"/>
    <w:rsid w:val="40CD3988"/>
    <w:rsid w:val="40CDA524"/>
    <w:rsid w:val="40CE5DF4"/>
    <w:rsid w:val="40D20D9F"/>
    <w:rsid w:val="40D340CA"/>
    <w:rsid w:val="40D49916"/>
    <w:rsid w:val="40D5B073"/>
    <w:rsid w:val="40D6B6EC"/>
    <w:rsid w:val="40D72003"/>
    <w:rsid w:val="40D9741D"/>
    <w:rsid w:val="40DE3282"/>
    <w:rsid w:val="40DF2887"/>
    <w:rsid w:val="40DFCAEB"/>
    <w:rsid w:val="40E3D35C"/>
    <w:rsid w:val="40E423D9"/>
    <w:rsid w:val="40E47316"/>
    <w:rsid w:val="40E5CE40"/>
    <w:rsid w:val="40E69326"/>
    <w:rsid w:val="40E806EF"/>
    <w:rsid w:val="40E9B735"/>
    <w:rsid w:val="40F27EC8"/>
    <w:rsid w:val="40F2C426"/>
    <w:rsid w:val="40F31C97"/>
    <w:rsid w:val="40F623D1"/>
    <w:rsid w:val="40F7A9BC"/>
    <w:rsid w:val="40F93C33"/>
    <w:rsid w:val="40FB4D43"/>
    <w:rsid w:val="40FB97AF"/>
    <w:rsid w:val="40FFAE18"/>
    <w:rsid w:val="41007DA9"/>
    <w:rsid w:val="4104A76E"/>
    <w:rsid w:val="4104F191"/>
    <w:rsid w:val="41067CD1"/>
    <w:rsid w:val="4107E101"/>
    <w:rsid w:val="410ADBE0"/>
    <w:rsid w:val="410B55CC"/>
    <w:rsid w:val="410C8703"/>
    <w:rsid w:val="411083DC"/>
    <w:rsid w:val="4113EE3D"/>
    <w:rsid w:val="411499B5"/>
    <w:rsid w:val="4114C980"/>
    <w:rsid w:val="41176EE2"/>
    <w:rsid w:val="41187E3E"/>
    <w:rsid w:val="411C261C"/>
    <w:rsid w:val="411E9B6E"/>
    <w:rsid w:val="411EA55C"/>
    <w:rsid w:val="411FBE3A"/>
    <w:rsid w:val="41250271"/>
    <w:rsid w:val="41264EE2"/>
    <w:rsid w:val="412985DA"/>
    <w:rsid w:val="412A5A4A"/>
    <w:rsid w:val="412C29E4"/>
    <w:rsid w:val="412CF0F9"/>
    <w:rsid w:val="412E4728"/>
    <w:rsid w:val="41314DB0"/>
    <w:rsid w:val="41357023"/>
    <w:rsid w:val="4137C709"/>
    <w:rsid w:val="413B5671"/>
    <w:rsid w:val="413BB4C0"/>
    <w:rsid w:val="413BDB91"/>
    <w:rsid w:val="413D3FE0"/>
    <w:rsid w:val="413E49F0"/>
    <w:rsid w:val="4142FD6F"/>
    <w:rsid w:val="41447977"/>
    <w:rsid w:val="4144E071"/>
    <w:rsid w:val="414B16F5"/>
    <w:rsid w:val="414B7C71"/>
    <w:rsid w:val="414DC8ED"/>
    <w:rsid w:val="4150AC87"/>
    <w:rsid w:val="4151AB8F"/>
    <w:rsid w:val="4154EF53"/>
    <w:rsid w:val="41589209"/>
    <w:rsid w:val="415D4527"/>
    <w:rsid w:val="415E606B"/>
    <w:rsid w:val="415F2900"/>
    <w:rsid w:val="415F3FBC"/>
    <w:rsid w:val="4160F036"/>
    <w:rsid w:val="4161B62F"/>
    <w:rsid w:val="4162043E"/>
    <w:rsid w:val="4164447F"/>
    <w:rsid w:val="4164891D"/>
    <w:rsid w:val="41652BDC"/>
    <w:rsid w:val="416737A0"/>
    <w:rsid w:val="4169C39F"/>
    <w:rsid w:val="4169E486"/>
    <w:rsid w:val="416F686B"/>
    <w:rsid w:val="41719C6D"/>
    <w:rsid w:val="41732599"/>
    <w:rsid w:val="4175631C"/>
    <w:rsid w:val="4175C391"/>
    <w:rsid w:val="417655ED"/>
    <w:rsid w:val="4178A6C6"/>
    <w:rsid w:val="4179582E"/>
    <w:rsid w:val="417C3201"/>
    <w:rsid w:val="417D6734"/>
    <w:rsid w:val="41863E20"/>
    <w:rsid w:val="41882070"/>
    <w:rsid w:val="418BC588"/>
    <w:rsid w:val="418E623B"/>
    <w:rsid w:val="419017D0"/>
    <w:rsid w:val="419333F0"/>
    <w:rsid w:val="4196979A"/>
    <w:rsid w:val="419863DA"/>
    <w:rsid w:val="41993AE1"/>
    <w:rsid w:val="41998991"/>
    <w:rsid w:val="419B71FF"/>
    <w:rsid w:val="419DE763"/>
    <w:rsid w:val="419E398E"/>
    <w:rsid w:val="419EECA1"/>
    <w:rsid w:val="41A0778D"/>
    <w:rsid w:val="41A4D2E9"/>
    <w:rsid w:val="41A68F5F"/>
    <w:rsid w:val="41A8B414"/>
    <w:rsid w:val="41AD67EE"/>
    <w:rsid w:val="41AEC5E6"/>
    <w:rsid w:val="41B0CE57"/>
    <w:rsid w:val="41B236E4"/>
    <w:rsid w:val="41B59F0E"/>
    <w:rsid w:val="41B8093E"/>
    <w:rsid w:val="41B882C5"/>
    <w:rsid w:val="41BA4392"/>
    <w:rsid w:val="41BEC9B4"/>
    <w:rsid w:val="41BF0A23"/>
    <w:rsid w:val="41C1EEEC"/>
    <w:rsid w:val="41C4001B"/>
    <w:rsid w:val="41C62FD5"/>
    <w:rsid w:val="41C6DE7B"/>
    <w:rsid w:val="41C77D7B"/>
    <w:rsid w:val="41C7DCD7"/>
    <w:rsid w:val="41CA5F56"/>
    <w:rsid w:val="41D53343"/>
    <w:rsid w:val="41D5B64F"/>
    <w:rsid w:val="41D63CC9"/>
    <w:rsid w:val="41D668D8"/>
    <w:rsid w:val="41D68786"/>
    <w:rsid w:val="41D809D8"/>
    <w:rsid w:val="41D8DC8A"/>
    <w:rsid w:val="41D9110F"/>
    <w:rsid w:val="41DC47F3"/>
    <w:rsid w:val="41DE0565"/>
    <w:rsid w:val="41DF18EC"/>
    <w:rsid w:val="41DF7495"/>
    <w:rsid w:val="41E0AA8F"/>
    <w:rsid w:val="41E51A6F"/>
    <w:rsid w:val="41E6B32D"/>
    <w:rsid w:val="41EB0770"/>
    <w:rsid w:val="41EB82BE"/>
    <w:rsid w:val="41EC60DD"/>
    <w:rsid w:val="41EE7ACE"/>
    <w:rsid w:val="41F320A4"/>
    <w:rsid w:val="41F4CFE8"/>
    <w:rsid w:val="41F55C41"/>
    <w:rsid w:val="41F56899"/>
    <w:rsid w:val="41F5F8C6"/>
    <w:rsid w:val="41FACF9E"/>
    <w:rsid w:val="41FB607D"/>
    <w:rsid w:val="41FE3B31"/>
    <w:rsid w:val="42007402"/>
    <w:rsid w:val="4201DF4C"/>
    <w:rsid w:val="4202DCC8"/>
    <w:rsid w:val="42054BC9"/>
    <w:rsid w:val="42056B80"/>
    <w:rsid w:val="420779E9"/>
    <w:rsid w:val="420848FF"/>
    <w:rsid w:val="42088A9E"/>
    <w:rsid w:val="420B4EA5"/>
    <w:rsid w:val="420C00B9"/>
    <w:rsid w:val="420C0E0F"/>
    <w:rsid w:val="420CB496"/>
    <w:rsid w:val="420F4D35"/>
    <w:rsid w:val="4212A825"/>
    <w:rsid w:val="4213845A"/>
    <w:rsid w:val="42181B43"/>
    <w:rsid w:val="421E0EF6"/>
    <w:rsid w:val="4220C766"/>
    <w:rsid w:val="4222FF6B"/>
    <w:rsid w:val="4224FF8F"/>
    <w:rsid w:val="42256580"/>
    <w:rsid w:val="4225EDF6"/>
    <w:rsid w:val="4227BBEF"/>
    <w:rsid w:val="422C31F1"/>
    <w:rsid w:val="422E5916"/>
    <w:rsid w:val="422ED745"/>
    <w:rsid w:val="422F5186"/>
    <w:rsid w:val="4232EE10"/>
    <w:rsid w:val="423579B6"/>
    <w:rsid w:val="4236AED4"/>
    <w:rsid w:val="42380059"/>
    <w:rsid w:val="4238F286"/>
    <w:rsid w:val="423B7285"/>
    <w:rsid w:val="423F5BDB"/>
    <w:rsid w:val="424007E1"/>
    <w:rsid w:val="4240C9CD"/>
    <w:rsid w:val="4241279B"/>
    <w:rsid w:val="42477D10"/>
    <w:rsid w:val="4248C07F"/>
    <w:rsid w:val="424B0049"/>
    <w:rsid w:val="424E795E"/>
    <w:rsid w:val="424FBC97"/>
    <w:rsid w:val="425238BC"/>
    <w:rsid w:val="4253FFA4"/>
    <w:rsid w:val="425EC6D2"/>
    <w:rsid w:val="425FA741"/>
    <w:rsid w:val="426051E6"/>
    <w:rsid w:val="4262382F"/>
    <w:rsid w:val="426392ED"/>
    <w:rsid w:val="4263EC27"/>
    <w:rsid w:val="426A45D9"/>
    <w:rsid w:val="426D969A"/>
    <w:rsid w:val="426E59A6"/>
    <w:rsid w:val="42702A4C"/>
    <w:rsid w:val="427182BF"/>
    <w:rsid w:val="4271C7B2"/>
    <w:rsid w:val="4271F23D"/>
    <w:rsid w:val="4272B89D"/>
    <w:rsid w:val="4275570C"/>
    <w:rsid w:val="4277383A"/>
    <w:rsid w:val="42773F18"/>
    <w:rsid w:val="4277B48E"/>
    <w:rsid w:val="427870E9"/>
    <w:rsid w:val="4279234F"/>
    <w:rsid w:val="427C3780"/>
    <w:rsid w:val="427CB8E4"/>
    <w:rsid w:val="428000F0"/>
    <w:rsid w:val="428186F5"/>
    <w:rsid w:val="4282CC7D"/>
    <w:rsid w:val="4288B47E"/>
    <w:rsid w:val="4288D6DF"/>
    <w:rsid w:val="4289B822"/>
    <w:rsid w:val="428A7EF3"/>
    <w:rsid w:val="428C6CB9"/>
    <w:rsid w:val="428F49C3"/>
    <w:rsid w:val="4290AF30"/>
    <w:rsid w:val="42934C2B"/>
    <w:rsid w:val="429442EE"/>
    <w:rsid w:val="4295D9D4"/>
    <w:rsid w:val="4299FA92"/>
    <w:rsid w:val="429A3FA8"/>
    <w:rsid w:val="429C1AD2"/>
    <w:rsid w:val="429C4E0A"/>
    <w:rsid w:val="429D0A06"/>
    <w:rsid w:val="429D2452"/>
    <w:rsid w:val="429D9DF2"/>
    <w:rsid w:val="429E3DB2"/>
    <w:rsid w:val="429EC89B"/>
    <w:rsid w:val="42A01702"/>
    <w:rsid w:val="42A0A967"/>
    <w:rsid w:val="42A0F06B"/>
    <w:rsid w:val="42A29233"/>
    <w:rsid w:val="42A76004"/>
    <w:rsid w:val="42A9138A"/>
    <w:rsid w:val="42AA019A"/>
    <w:rsid w:val="42AC271C"/>
    <w:rsid w:val="42AC777B"/>
    <w:rsid w:val="42AF05F3"/>
    <w:rsid w:val="42B25C05"/>
    <w:rsid w:val="42B3B8BC"/>
    <w:rsid w:val="42B46674"/>
    <w:rsid w:val="42B52BFD"/>
    <w:rsid w:val="42B5A909"/>
    <w:rsid w:val="42B657A2"/>
    <w:rsid w:val="42B8AC74"/>
    <w:rsid w:val="42B9B0B9"/>
    <w:rsid w:val="42C13F91"/>
    <w:rsid w:val="42C1EE90"/>
    <w:rsid w:val="42C289DA"/>
    <w:rsid w:val="42C2E0DF"/>
    <w:rsid w:val="42C49F79"/>
    <w:rsid w:val="42C4F9A1"/>
    <w:rsid w:val="42C8917E"/>
    <w:rsid w:val="42C8A537"/>
    <w:rsid w:val="42C9972D"/>
    <w:rsid w:val="42CB979E"/>
    <w:rsid w:val="42CE9127"/>
    <w:rsid w:val="42D0185D"/>
    <w:rsid w:val="42D55DCE"/>
    <w:rsid w:val="42D6550E"/>
    <w:rsid w:val="42D6D5F7"/>
    <w:rsid w:val="42D73358"/>
    <w:rsid w:val="42DB487C"/>
    <w:rsid w:val="42DC0F01"/>
    <w:rsid w:val="42DE0ABA"/>
    <w:rsid w:val="42E1167A"/>
    <w:rsid w:val="42E2AA69"/>
    <w:rsid w:val="42E4E930"/>
    <w:rsid w:val="42EB2BF1"/>
    <w:rsid w:val="42EC1331"/>
    <w:rsid w:val="42EFD621"/>
    <w:rsid w:val="42F0EBDF"/>
    <w:rsid w:val="42F22F93"/>
    <w:rsid w:val="42F529F8"/>
    <w:rsid w:val="42F5BF7D"/>
    <w:rsid w:val="42F7108F"/>
    <w:rsid w:val="42FA2B05"/>
    <w:rsid w:val="42FA77E0"/>
    <w:rsid w:val="42FCE9E9"/>
    <w:rsid w:val="42FF0ABD"/>
    <w:rsid w:val="42FFCF4E"/>
    <w:rsid w:val="4300CB70"/>
    <w:rsid w:val="430259AF"/>
    <w:rsid w:val="4303B355"/>
    <w:rsid w:val="43071C6D"/>
    <w:rsid w:val="4308AA3F"/>
    <w:rsid w:val="4309643E"/>
    <w:rsid w:val="430B48B9"/>
    <w:rsid w:val="430CA06A"/>
    <w:rsid w:val="430D557A"/>
    <w:rsid w:val="430EF5FA"/>
    <w:rsid w:val="4314195D"/>
    <w:rsid w:val="431440ED"/>
    <w:rsid w:val="43177460"/>
    <w:rsid w:val="43177C86"/>
    <w:rsid w:val="43185E75"/>
    <w:rsid w:val="43187A1A"/>
    <w:rsid w:val="43188092"/>
    <w:rsid w:val="43189A2A"/>
    <w:rsid w:val="431B9E6C"/>
    <w:rsid w:val="431ED004"/>
    <w:rsid w:val="4320DE9B"/>
    <w:rsid w:val="432301DD"/>
    <w:rsid w:val="4328A62A"/>
    <w:rsid w:val="432A5FB6"/>
    <w:rsid w:val="432BEFCF"/>
    <w:rsid w:val="432C8525"/>
    <w:rsid w:val="432EAEE0"/>
    <w:rsid w:val="4333E698"/>
    <w:rsid w:val="4335023E"/>
    <w:rsid w:val="43399C00"/>
    <w:rsid w:val="433AE84C"/>
    <w:rsid w:val="433B9A9B"/>
    <w:rsid w:val="433D6E53"/>
    <w:rsid w:val="433F7D5A"/>
    <w:rsid w:val="43428618"/>
    <w:rsid w:val="43452B2D"/>
    <w:rsid w:val="43453AF1"/>
    <w:rsid w:val="43486A02"/>
    <w:rsid w:val="43488E72"/>
    <w:rsid w:val="434AE0BF"/>
    <w:rsid w:val="43530E81"/>
    <w:rsid w:val="4354CD0B"/>
    <w:rsid w:val="43580FDA"/>
    <w:rsid w:val="4358A4DD"/>
    <w:rsid w:val="435CFBBF"/>
    <w:rsid w:val="4363B124"/>
    <w:rsid w:val="4365D547"/>
    <w:rsid w:val="43662EE7"/>
    <w:rsid w:val="436798B5"/>
    <w:rsid w:val="436AAC2F"/>
    <w:rsid w:val="436AFB01"/>
    <w:rsid w:val="436B1B0F"/>
    <w:rsid w:val="436B966C"/>
    <w:rsid w:val="436BF259"/>
    <w:rsid w:val="436FDECF"/>
    <w:rsid w:val="4373C237"/>
    <w:rsid w:val="43772C81"/>
    <w:rsid w:val="4377E733"/>
    <w:rsid w:val="4377F02B"/>
    <w:rsid w:val="437849A6"/>
    <w:rsid w:val="437BB4E0"/>
    <w:rsid w:val="437C9217"/>
    <w:rsid w:val="43840AC2"/>
    <w:rsid w:val="43846B8F"/>
    <w:rsid w:val="4385067A"/>
    <w:rsid w:val="43857E24"/>
    <w:rsid w:val="438590C4"/>
    <w:rsid w:val="43861675"/>
    <w:rsid w:val="43877CE9"/>
    <w:rsid w:val="4387A002"/>
    <w:rsid w:val="4388CDAA"/>
    <w:rsid w:val="438A0BB1"/>
    <w:rsid w:val="438A91E4"/>
    <w:rsid w:val="438A9A61"/>
    <w:rsid w:val="438B122C"/>
    <w:rsid w:val="438B43B7"/>
    <w:rsid w:val="43907EA3"/>
    <w:rsid w:val="43911DC3"/>
    <w:rsid w:val="43940C11"/>
    <w:rsid w:val="43949519"/>
    <w:rsid w:val="4394D5BD"/>
    <w:rsid w:val="4396186C"/>
    <w:rsid w:val="43979E07"/>
    <w:rsid w:val="439894EC"/>
    <w:rsid w:val="439898E2"/>
    <w:rsid w:val="439D6FAE"/>
    <w:rsid w:val="43A253BD"/>
    <w:rsid w:val="43A3C97F"/>
    <w:rsid w:val="43A65F4C"/>
    <w:rsid w:val="43A8BFEB"/>
    <w:rsid w:val="43A9941C"/>
    <w:rsid w:val="43AB5834"/>
    <w:rsid w:val="43ADF2DE"/>
    <w:rsid w:val="43AE5190"/>
    <w:rsid w:val="43AFBD44"/>
    <w:rsid w:val="43B1F483"/>
    <w:rsid w:val="43B2226C"/>
    <w:rsid w:val="43B2DACC"/>
    <w:rsid w:val="43B34062"/>
    <w:rsid w:val="43B36898"/>
    <w:rsid w:val="43B3D298"/>
    <w:rsid w:val="43B4217D"/>
    <w:rsid w:val="43B4455A"/>
    <w:rsid w:val="43B4EDBD"/>
    <w:rsid w:val="43B6435D"/>
    <w:rsid w:val="43BCF62C"/>
    <w:rsid w:val="43C05F46"/>
    <w:rsid w:val="43C45A41"/>
    <w:rsid w:val="43C55A29"/>
    <w:rsid w:val="43C65DC2"/>
    <w:rsid w:val="43CA1638"/>
    <w:rsid w:val="43CF75E3"/>
    <w:rsid w:val="43D0C320"/>
    <w:rsid w:val="43D1CE35"/>
    <w:rsid w:val="43D417C0"/>
    <w:rsid w:val="43D4C8F6"/>
    <w:rsid w:val="43D563C9"/>
    <w:rsid w:val="43D9B025"/>
    <w:rsid w:val="43D9CF9C"/>
    <w:rsid w:val="43DCD3E3"/>
    <w:rsid w:val="43DD5EC3"/>
    <w:rsid w:val="43DF31A4"/>
    <w:rsid w:val="43E27129"/>
    <w:rsid w:val="43E3D72A"/>
    <w:rsid w:val="43E4F903"/>
    <w:rsid w:val="43E4FF6F"/>
    <w:rsid w:val="43E6F80A"/>
    <w:rsid w:val="43ED68F0"/>
    <w:rsid w:val="43EED943"/>
    <w:rsid w:val="43EFA6C2"/>
    <w:rsid w:val="43F4B2B8"/>
    <w:rsid w:val="43F539BF"/>
    <w:rsid w:val="43F68F98"/>
    <w:rsid w:val="43F769C4"/>
    <w:rsid w:val="43F89A79"/>
    <w:rsid w:val="43FED7BC"/>
    <w:rsid w:val="43FEE0EF"/>
    <w:rsid w:val="4400EF58"/>
    <w:rsid w:val="44010966"/>
    <w:rsid w:val="440197FC"/>
    <w:rsid w:val="4402226A"/>
    <w:rsid w:val="44030673"/>
    <w:rsid w:val="440458B2"/>
    <w:rsid w:val="4409FFE1"/>
    <w:rsid w:val="4411B379"/>
    <w:rsid w:val="4412C94D"/>
    <w:rsid w:val="44150646"/>
    <w:rsid w:val="44154188"/>
    <w:rsid w:val="44156007"/>
    <w:rsid w:val="4416117E"/>
    <w:rsid w:val="4418A61D"/>
    <w:rsid w:val="441967CD"/>
    <w:rsid w:val="441F8540"/>
    <w:rsid w:val="44218BC1"/>
    <w:rsid w:val="4421B40E"/>
    <w:rsid w:val="44221E1E"/>
    <w:rsid w:val="4423C6B2"/>
    <w:rsid w:val="4427E47E"/>
    <w:rsid w:val="442B9685"/>
    <w:rsid w:val="442E01D5"/>
    <w:rsid w:val="44302628"/>
    <w:rsid w:val="44303DC1"/>
    <w:rsid w:val="4436AEA2"/>
    <w:rsid w:val="4436F072"/>
    <w:rsid w:val="4437121B"/>
    <w:rsid w:val="44376ADA"/>
    <w:rsid w:val="443A5348"/>
    <w:rsid w:val="443AA50C"/>
    <w:rsid w:val="443CCA69"/>
    <w:rsid w:val="443E1417"/>
    <w:rsid w:val="444152D8"/>
    <w:rsid w:val="44452243"/>
    <w:rsid w:val="44455BB4"/>
    <w:rsid w:val="4445DC01"/>
    <w:rsid w:val="4448DF3D"/>
    <w:rsid w:val="444A1974"/>
    <w:rsid w:val="444ACB99"/>
    <w:rsid w:val="444B3F99"/>
    <w:rsid w:val="444D724B"/>
    <w:rsid w:val="444DD4E9"/>
    <w:rsid w:val="444F14CB"/>
    <w:rsid w:val="444FB51A"/>
    <w:rsid w:val="444FD772"/>
    <w:rsid w:val="44502905"/>
    <w:rsid w:val="445124B5"/>
    <w:rsid w:val="4456BC77"/>
    <w:rsid w:val="445E17B8"/>
    <w:rsid w:val="445E9D74"/>
    <w:rsid w:val="446149B0"/>
    <w:rsid w:val="446200BF"/>
    <w:rsid w:val="446301E5"/>
    <w:rsid w:val="44647414"/>
    <w:rsid w:val="4465F34E"/>
    <w:rsid w:val="44671A63"/>
    <w:rsid w:val="4467D4D4"/>
    <w:rsid w:val="4468C316"/>
    <w:rsid w:val="4469504A"/>
    <w:rsid w:val="446BEEC3"/>
    <w:rsid w:val="446C6A9F"/>
    <w:rsid w:val="446C8946"/>
    <w:rsid w:val="44713263"/>
    <w:rsid w:val="4471A0FB"/>
    <w:rsid w:val="447216CE"/>
    <w:rsid w:val="44731746"/>
    <w:rsid w:val="4473B304"/>
    <w:rsid w:val="4476016E"/>
    <w:rsid w:val="447744AF"/>
    <w:rsid w:val="44784279"/>
    <w:rsid w:val="447E37BE"/>
    <w:rsid w:val="447E8BB4"/>
    <w:rsid w:val="44841782"/>
    <w:rsid w:val="44858577"/>
    <w:rsid w:val="44875D0B"/>
    <w:rsid w:val="448D0A84"/>
    <w:rsid w:val="448D2E4A"/>
    <w:rsid w:val="448DB9E4"/>
    <w:rsid w:val="448E8B22"/>
    <w:rsid w:val="44913441"/>
    <w:rsid w:val="4491E90F"/>
    <w:rsid w:val="44929D01"/>
    <w:rsid w:val="44937D49"/>
    <w:rsid w:val="4494EDE5"/>
    <w:rsid w:val="4495A194"/>
    <w:rsid w:val="449A9031"/>
    <w:rsid w:val="449D93A0"/>
    <w:rsid w:val="449EFA08"/>
    <w:rsid w:val="449F5186"/>
    <w:rsid w:val="449FEBD5"/>
    <w:rsid w:val="44A0B5D7"/>
    <w:rsid w:val="44A1AFC6"/>
    <w:rsid w:val="44A1E870"/>
    <w:rsid w:val="44A2BC46"/>
    <w:rsid w:val="44A350D6"/>
    <w:rsid w:val="44A4023A"/>
    <w:rsid w:val="44A52B7E"/>
    <w:rsid w:val="44A5CEDA"/>
    <w:rsid w:val="44A82C3B"/>
    <w:rsid w:val="44AD7056"/>
    <w:rsid w:val="44AF5AB3"/>
    <w:rsid w:val="44B130FE"/>
    <w:rsid w:val="44B4C972"/>
    <w:rsid w:val="44BA2492"/>
    <w:rsid w:val="44BA4E4E"/>
    <w:rsid w:val="44BA82AC"/>
    <w:rsid w:val="44BACAAE"/>
    <w:rsid w:val="44BB2877"/>
    <w:rsid w:val="44BDC282"/>
    <w:rsid w:val="44BDE7B1"/>
    <w:rsid w:val="44BF872B"/>
    <w:rsid w:val="44C07651"/>
    <w:rsid w:val="44C18128"/>
    <w:rsid w:val="44CA4177"/>
    <w:rsid w:val="44CB254A"/>
    <w:rsid w:val="44CD412F"/>
    <w:rsid w:val="44D00CEE"/>
    <w:rsid w:val="44D18C04"/>
    <w:rsid w:val="44D22659"/>
    <w:rsid w:val="44D273EC"/>
    <w:rsid w:val="44D2856D"/>
    <w:rsid w:val="44D38FEA"/>
    <w:rsid w:val="44DA3773"/>
    <w:rsid w:val="44DB910A"/>
    <w:rsid w:val="44E1214A"/>
    <w:rsid w:val="44E180F5"/>
    <w:rsid w:val="44E18247"/>
    <w:rsid w:val="44E3894E"/>
    <w:rsid w:val="44E64F60"/>
    <w:rsid w:val="44E6B4C3"/>
    <w:rsid w:val="44E91DD0"/>
    <w:rsid w:val="44ED21C2"/>
    <w:rsid w:val="44EDBE05"/>
    <w:rsid w:val="44EE4D9D"/>
    <w:rsid w:val="44EF59AB"/>
    <w:rsid w:val="44F2ADCD"/>
    <w:rsid w:val="44F42FEE"/>
    <w:rsid w:val="44F9D259"/>
    <w:rsid w:val="44FAD59E"/>
    <w:rsid w:val="44FC8BAB"/>
    <w:rsid w:val="44FD796A"/>
    <w:rsid w:val="45021307"/>
    <w:rsid w:val="45049A43"/>
    <w:rsid w:val="4504F68B"/>
    <w:rsid w:val="450574A9"/>
    <w:rsid w:val="450617F1"/>
    <w:rsid w:val="45069001"/>
    <w:rsid w:val="4506DD76"/>
    <w:rsid w:val="45073FAA"/>
    <w:rsid w:val="4509FB25"/>
    <w:rsid w:val="450A0D8B"/>
    <w:rsid w:val="450AE2FE"/>
    <w:rsid w:val="450CA590"/>
    <w:rsid w:val="4515B977"/>
    <w:rsid w:val="45160B73"/>
    <w:rsid w:val="4518094D"/>
    <w:rsid w:val="451B8AA8"/>
    <w:rsid w:val="451C9DA0"/>
    <w:rsid w:val="451DB5B2"/>
    <w:rsid w:val="4522E5A8"/>
    <w:rsid w:val="45250ADE"/>
    <w:rsid w:val="4525BDBB"/>
    <w:rsid w:val="4525DD87"/>
    <w:rsid w:val="4526FAB0"/>
    <w:rsid w:val="4529B265"/>
    <w:rsid w:val="452C8B39"/>
    <w:rsid w:val="452DB13B"/>
    <w:rsid w:val="452F2648"/>
    <w:rsid w:val="45346947"/>
    <w:rsid w:val="453621F5"/>
    <w:rsid w:val="453BD2AE"/>
    <w:rsid w:val="453CE33F"/>
    <w:rsid w:val="453D467E"/>
    <w:rsid w:val="453E6838"/>
    <w:rsid w:val="45417FF6"/>
    <w:rsid w:val="45429BE8"/>
    <w:rsid w:val="4546D28A"/>
    <w:rsid w:val="4546D95D"/>
    <w:rsid w:val="4547C672"/>
    <w:rsid w:val="454838C7"/>
    <w:rsid w:val="45495CEA"/>
    <w:rsid w:val="454FC2ED"/>
    <w:rsid w:val="4550D097"/>
    <w:rsid w:val="4553A29C"/>
    <w:rsid w:val="45561285"/>
    <w:rsid w:val="455C39BE"/>
    <w:rsid w:val="455CA051"/>
    <w:rsid w:val="455CE60E"/>
    <w:rsid w:val="455D00DB"/>
    <w:rsid w:val="455ED2A3"/>
    <w:rsid w:val="455FC62D"/>
    <w:rsid w:val="45615F78"/>
    <w:rsid w:val="45623269"/>
    <w:rsid w:val="45644AB5"/>
    <w:rsid w:val="4564C185"/>
    <w:rsid w:val="45689887"/>
    <w:rsid w:val="456B5F96"/>
    <w:rsid w:val="456DB8D7"/>
    <w:rsid w:val="456F3F8E"/>
    <w:rsid w:val="456F9C3D"/>
    <w:rsid w:val="456FEF43"/>
    <w:rsid w:val="456FFC39"/>
    <w:rsid w:val="4570E5CE"/>
    <w:rsid w:val="45719109"/>
    <w:rsid w:val="4573E9B0"/>
    <w:rsid w:val="4579D0DF"/>
    <w:rsid w:val="457A26E2"/>
    <w:rsid w:val="457B579B"/>
    <w:rsid w:val="457E6FED"/>
    <w:rsid w:val="458116A6"/>
    <w:rsid w:val="45836408"/>
    <w:rsid w:val="45844588"/>
    <w:rsid w:val="4585E47A"/>
    <w:rsid w:val="4585EC2A"/>
    <w:rsid w:val="458634AF"/>
    <w:rsid w:val="45864AC1"/>
    <w:rsid w:val="45877E85"/>
    <w:rsid w:val="45882A16"/>
    <w:rsid w:val="458A0BAF"/>
    <w:rsid w:val="458A9DE1"/>
    <w:rsid w:val="458B40DD"/>
    <w:rsid w:val="458B8222"/>
    <w:rsid w:val="458E8086"/>
    <w:rsid w:val="45948E65"/>
    <w:rsid w:val="45970F10"/>
    <w:rsid w:val="4597BB4B"/>
    <w:rsid w:val="4597C865"/>
    <w:rsid w:val="459C3838"/>
    <w:rsid w:val="45A09C57"/>
    <w:rsid w:val="45A0BBB1"/>
    <w:rsid w:val="45A15C96"/>
    <w:rsid w:val="45A1E011"/>
    <w:rsid w:val="45A221D6"/>
    <w:rsid w:val="45A3B084"/>
    <w:rsid w:val="45A61DE5"/>
    <w:rsid w:val="45A6D484"/>
    <w:rsid w:val="45A6FDD4"/>
    <w:rsid w:val="45A7199E"/>
    <w:rsid w:val="45A79F57"/>
    <w:rsid w:val="45AA9F0F"/>
    <w:rsid w:val="45ABF06E"/>
    <w:rsid w:val="45AE332F"/>
    <w:rsid w:val="45AEA393"/>
    <w:rsid w:val="45B08B2C"/>
    <w:rsid w:val="45B32C3F"/>
    <w:rsid w:val="45B3E7CB"/>
    <w:rsid w:val="45B52AFA"/>
    <w:rsid w:val="45B5E08E"/>
    <w:rsid w:val="45B5EFE0"/>
    <w:rsid w:val="45BCFD7E"/>
    <w:rsid w:val="45BD0439"/>
    <w:rsid w:val="45BD966F"/>
    <w:rsid w:val="45BD9AD8"/>
    <w:rsid w:val="45BF47FF"/>
    <w:rsid w:val="45C17ED6"/>
    <w:rsid w:val="45CB3168"/>
    <w:rsid w:val="45CF05AC"/>
    <w:rsid w:val="45CFB885"/>
    <w:rsid w:val="45D02C6D"/>
    <w:rsid w:val="45D03F72"/>
    <w:rsid w:val="45D08992"/>
    <w:rsid w:val="45D1BCC4"/>
    <w:rsid w:val="45D3BB53"/>
    <w:rsid w:val="45D61DF8"/>
    <w:rsid w:val="45D69918"/>
    <w:rsid w:val="45D8809D"/>
    <w:rsid w:val="45E162BB"/>
    <w:rsid w:val="45E1E380"/>
    <w:rsid w:val="45E2CC03"/>
    <w:rsid w:val="45E72A7F"/>
    <w:rsid w:val="45E7761A"/>
    <w:rsid w:val="45E9067F"/>
    <w:rsid w:val="45E9505B"/>
    <w:rsid w:val="45EAB0AF"/>
    <w:rsid w:val="45ED49B7"/>
    <w:rsid w:val="45EF299A"/>
    <w:rsid w:val="45F04635"/>
    <w:rsid w:val="45F626CB"/>
    <w:rsid w:val="45F72C09"/>
    <w:rsid w:val="45FA278B"/>
    <w:rsid w:val="45FABF41"/>
    <w:rsid w:val="45FE8B73"/>
    <w:rsid w:val="45FF5AB9"/>
    <w:rsid w:val="46012756"/>
    <w:rsid w:val="46052F68"/>
    <w:rsid w:val="4607AA87"/>
    <w:rsid w:val="4608B6CD"/>
    <w:rsid w:val="460B9B19"/>
    <w:rsid w:val="460DD84B"/>
    <w:rsid w:val="460F97C5"/>
    <w:rsid w:val="461088FA"/>
    <w:rsid w:val="4610C1BB"/>
    <w:rsid w:val="46135BFB"/>
    <w:rsid w:val="46151811"/>
    <w:rsid w:val="4615955B"/>
    <w:rsid w:val="4619FFDD"/>
    <w:rsid w:val="461A52DC"/>
    <w:rsid w:val="461D6362"/>
    <w:rsid w:val="461DDFBC"/>
    <w:rsid w:val="4620E4F2"/>
    <w:rsid w:val="462108AB"/>
    <w:rsid w:val="46218DA5"/>
    <w:rsid w:val="46260497"/>
    <w:rsid w:val="462C21E9"/>
    <w:rsid w:val="463065B9"/>
    <w:rsid w:val="4632BBE0"/>
    <w:rsid w:val="4632D3D1"/>
    <w:rsid w:val="463636D6"/>
    <w:rsid w:val="46365C2D"/>
    <w:rsid w:val="4638093E"/>
    <w:rsid w:val="46387753"/>
    <w:rsid w:val="4639E822"/>
    <w:rsid w:val="463A3988"/>
    <w:rsid w:val="463CBA70"/>
    <w:rsid w:val="463E6AD4"/>
    <w:rsid w:val="463FF234"/>
    <w:rsid w:val="4642D862"/>
    <w:rsid w:val="46449ED0"/>
    <w:rsid w:val="464696BC"/>
    <w:rsid w:val="464855DA"/>
    <w:rsid w:val="4648EB97"/>
    <w:rsid w:val="464A97C8"/>
    <w:rsid w:val="464C46B2"/>
    <w:rsid w:val="464C5BA0"/>
    <w:rsid w:val="464F0D56"/>
    <w:rsid w:val="46501532"/>
    <w:rsid w:val="46536EF1"/>
    <w:rsid w:val="46548F6D"/>
    <w:rsid w:val="465A79D2"/>
    <w:rsid w:val="465AC798"/>
    <w:rsid w:val="46630880"/>
    <w:rsid w:val="4664DC11"/>
    <w:rsid w:val="466529D4"/>
    <w:rsid w:val="46684E0C"/>
    <w:rsid w:val="46695DED"/>
    <w:rsid w:val="466AEC08"/>
    <w:rsid w:val="466BABCC"/>
    <w:rsid w:val="466C806D"/>
    <w:rsid w:val="466F6481"/>
    <w:rsid w:val="46710562"/>
    <w:rsid w:val="46747830"/>
    <w:rsid w:val="46757D49"/>
    <w:rsid w:val="4677D264"/>
    <w:rsid w:val="4679F9B6"/>
    <w:rsid w:val="467B2F49"/>
    <w:rsid w:val="467D4357"/>
    <w:rsid w:val="467D5156"/>
    <w:rsid w:val="467D6A52"/>
    <w:rsid w:val="467E1262"/>
    <w:rsid w:val="467FA16C"/>
    <w:rsid w:val="46802B4F"/>
    <w:rsid w:val="46825FF8"/>
    <w:rsid w:val="468360EC"/>
    <w:rsid w:val="4684CF2A"/>
    <w:rsid w:val="468D1162"/>
    <w:rsid w:val="468EC515"/>
    <w:rsid w:val="468F624C"/>
    <w:rsid w:val="468FB09C"/>
    <w:rsid w:val="4690CBBF"/>
    <w:rsid w:val="4696EF68"/>
    <w:rsid w:val="46997BD5"/>
    <w:rsid w:val="4699D059"/>
    <w:rsid w:val="469A6D43"/>
    <w:rsid w:val="469BC538"/>
    <w:rsid w:val="469C7563"/>
    <w:rsid w:val="469C9977"/>
    <w:rsid w:val="469D1E23"/>
    <w:rsid w:val="469DA42B"/>
    <w:rsid w:val="469DE293"/>
    <w:rsid w:val="469EDF96"/>
    <w:rsid w:val="46A24104"/>
    <w:rsid w:val="46A2EC77"/>
    <w:rsid w:val="46A6E479"/>
    <w:rsid w:val="46AAEB24"/>
    <w:rsid w:val="46ABBB74"/>
    <w:rsid w:val="46ABCDD9"/>
    <w:rsid w:val="46ACC5F7"/>
    <w:rsid w:val="46AD6F85"/>
    <w:rsid w:val="46B046E7"/>
    <w:rsid w:val="46B0CC95"/>
    <w:rsid w:val="46B1A248"/>
    <w:rsid w:val="46B53228"/>
    <w:rsid w:val="46B54865"/>
    <w:rsid w:val="46BC3E7D"/>
    <w:rsid w:val="46BD6A7B"/>
    <w:rsid w:val="46BF6EC9"/>
    <w:rsid w:val="46C04CC7"/>
    <w:rsid w:val="46C2CB11"/>
    <w:rsid w:val="46C37DA0"/>
    <w:rsid w:val="46C3E80C"/>
    <w:rsid w:val="46C43412"/>
    <w:rsid w:val="46C6BBE6"/>
    <w:rsid w:val="46C770E6"/>
    <w:rsid w:val="46C90600"/>
    <w:rsid w:val="46CB3942"/>
    <w:rsid w:val="46CBDE38"/>
    <w:rsid w:val="46CEEEA5"/>
    <w:rsid w:val="46D21301"/>
    <w:rsid w:val="46D3F42D"/>
    <w:rsid w:val="46D5E936"/>
    <w:rsid w:val="46D65C50"/>
    <w:rsid w:val="46D888E8"/>
    <w:rsid w:val="46D92584"/>
    <w:rsid w:val="46D9F522"/>
    <w:rsid w:val="46DC49A0"/>
    <w:rsid w:val="46DC58B4"/>
    <w:rsid w:val="46DC6C23"/>
    <w:rsid w:val="46DD3D27"/>
    <w:rsid w:val="46DEF90F"/>
    <w:rsid w:val="46E152EA"/>
    <w:rsid w:val="46E39554"/>
    <w:rsid w:val="46E4DFFA"/>
    <w:rsid w:val="46E4F2A6"/>
    <w:rsid w:val="46E6447A"/>
    <w:rsid w:val="46E6DA56"/>
    <w:rsid w:val="46E6DD1B"/>
    <w:rsid w:val="46EA973F"/>
    <w:rsid w:val="46EB934E"/>
    <w:rsid w:val="46EF4671"/>
    <w:rsid w:val="46F467DB"/>
    <w:rsid w:val="46F48CD4"/>
    <w:rsid w:val="46F4A728"/>
    <w:rsid w:val="46F74F61"/>
    <w:rsid w:val="46F87959"/>
    <w:rsid w:val="46F9B6E8"/>
    <w:rsid w:val="46FA9241"/>
    <w:rsid w:val="46FC29D3"/>
    <w:rsid w:val="46FC37D6"/>
    <w:rsid w:val="46FE8A5E"/>
    <w:rsid w:val="470091E6"/>
    <w:rsid w:val="47014007"/>
    <w:rsid w:val="47036D77"/>
    <w:rsid w:val="47039816"/>
    <w:rsid w:val="4707CF80"/>
    <w:rsid w:val="470A9683"/>
    <w:rsid w:val="470DCB68"/>
    <w:rsid w:val="470FED4A"/>
    <w:rsid w:val="471711E8"/>
    <w:rsid w:val="4717F3A9"/>
    <w:rsid w:val="4718615F"/>
    <w:rsid w:val="47191EA9"/>
    <w:rsid w:val="472147A7"/>
    <w:rsid w:val="4721D104"/>
    <w:rsid w:val="4724DC28"/>
    <w:rsid w:val="4724E19D"/>
    <w:rsid w:val="4726B308"/>
    <w:rsid w:val="4727EE11"/>
    <w:rsid w:val="47283E86"/>
    <w:rsid w:val="472AD30C"/>
    <w:rsid w:val="472AE2DE"/>
    <w:rsid w:val="472CA816"/>
    <w:rsid w:val="472DA5D2"/>
    <w:rsid w:val="472F0F59"/>
    <w:rsid w:val="472F3C22"/>
    <w:rsid w:val="472FB20B"/>
    <w:rsid w:val="473091DD"/>
    <w:rsid w:val="4732E6DA"/>
    <w:rsid w:val="4733E510"/>
    <w:rsid w:val="473537E2"/>
    <w:rsid w:val="47371E21"/>
    <w:rsid w:val="4737503D"/>
    <w:rsid w:val="4737BB62"/>
    <w:rsid w:val="473A6380"/>
    <w:rsid w:val="473B8232"/>
    <w:rsid w:val="473BA019"/>
    <w:rsid w:val="473DEE47"/>
    <w:rsid w:val="473E9270"/>
    <w:rsid w:val="473EC946"/>
    <w:rsid w:val="474143EA"/>
    <w:rsid w:val="47426FB0"/>
    <w:rsid w:val="4745ECDA"/>
    <w:rsid w:val="4745FAB5"/>
    <w:rsid w:val="47473892"/>
    <w:rsid w:val="474C69D1"/>
    <w:rsid w:val="474D2645"/>
    <w:rsid w:val="47504075"/>
    <w:rsid w:val="47507127"/>
    <w:rsid w:val="475279D6"/>
    <w:rsid w:val="4752EF3D"/>
    <w:rsid w:val="4753A94D"/>
    <w:rsid w:val="4757206D"/>
    <w:rsid w:val="475955F3"/>
    <w:rsid w:val="475A5D52"/>
    <w:rsid w:val="475B2FDC"/>
    <w:rsid w:val="475D2996"/>
    <w:rsid w:val="475DAC9E"/>
    <w:rsid w:val="4760AA95"/>
    <w:rsid w:val="476225E1"/>
    <w:rsid w:val="47627925"/>
    <w:rsid w:val="4762FE3D"/>
    <w:rsid w:val="4764ECF3"/>
    <w:rsid w:val="476524D8"/>
    <w:rsid w:val="4766BA17"/>
    <w:rsid w:val="47693402"/>
    <w:rsid w:val="476AE88B"/>
    <w:rsid w:val="476B5FB3"/>
    <w:rsid w:val="476D5AD4"/>
    <w:rsid w:val="476FC848"/>
    <w:rsid w:val="47702B97"/>
    <w:rsid w:val="4772731D"/>
    <w:rsid w:val="477274A3"/>
    <w:rsid w:val="4773BCD6"/>
    <w:rsid w:val="47756A4E"/>
    <w:rsid w:val="47769640"/>
    <w:rsid w:val="4777B668"/>
    <w:rsid w:val="477920A9"/>
    <w:rsid w:val="47852E21"/>
    <w:rsid w:val="4786DC2C"/>
    <w:rsid w:val="4787BFD9"/>
    <w:rsid w:val="47881F40"/>
    <w:rsid w:val="478892E0"/>
    <w:rsid w:val="478AD015"/>
    <w:rsid w:val="478C3323"/>
    <w:rsid w:val="478D91F4"/>
    <w:rsid w:val="478F2901"/>
    <w:rsid w:val="478FD711"/>
    <w:rsid w:val="47907960"/>
    <w:rsid w:val="47908AA9"/>
    <w:rsid w:val="4790D8C4"/>
    <w:rsid w:val="4793AC92"/>
    <w:rsid w:val="47961B1F"/>
    <w:rsid w:val="47974205"/>
    <w:rsid w:val="479B666D"/>
    <w:rsid w:val="479E7991"/>
    <w:rsid w:val="479F7002"/>
    <w:rsid w:val="479FD80E"/>
    <w:rsid w:val="47A1CC1F"/>
    <w:rsid w:val="47A54F40"/>
    <w:rsid w:val="47A6583E"/>
    <w:rsid w:val="47A6BE7A"/>
    <w:rsid w:val="47A83AD9"/>
    <w:rsid w:val="47A86053"/>
    <w:rsid w:val="47A8D97D"/>
    <w:rsid w:val="47AB9388"/>
    <w:rsid w:val="47AD9D24"/>
    <w:rsid w:val="47ADA230"/>
    <w:rsid w:val="47ADD418"/>
    <w:rsid w:val="47B035E6"/>
    <w:rsid w:val="47B287E5"/>
    <w:rsid w:val="47B4672B"/>
    <w:rsid w:val="47B7EA40"/>
    <w:rsid w:val="47BA3660"/>
    <w:rsid w:val="47BB36AA"/>
    <w:rsid w:val="47BC4E95"/>
    <w:rsid w:val="47BCCB0F"/>
    <w:rsid w:val="47C1B2E5"/>
    <w:rsid w:val="47C34800"/>
    <w:rsid w:val="47C6127C"/>
    <w:rsid w:val="47C6A7C0"/>
    <w:rsid w:val="47C77EB1"/>
    <w:rsid w:val="47C85E46"/>
    <w:rsid w:val="47C93266"/>
    <w:rsid w:val="47CC5A87"/>
    <w:rsid w:val="47CDE62A"/>
    <w:rsid w:val="47CEBE6B"/>
    <w:rsid w:val="47CF9E8B"/>
    <w:rsid w:val="47D4EFBC"/>
    <w:rsid w:val="47D55747"/>
    <w:rsid w:val="47D7A4E4"/>
    <w:rsid w:val="47D8E566"/>
    <w:rsid w:val="47DACA25"/>
    <w:rsid w:val="47DE5EA2"/>
    <w:rsid w:val="47DE6691"/>
    <w:rsid w:val="47E13FB4"/>
    <w:rsid w:val="47E32D79"/>
    <w:rsid w:val="47E3AFF9"/>
    <w:rsid w:val="47EAAD23"/>
    <w:rsid w:val="47EE7C78"/>
    <w:rsid w:val="47EEE1A7"/>
    <w:rsid w:val="47F85B17"/>
    <w:rsid w:val="47FF9784"/>
    <w:rsid w:val="4800BE5A"/>
    <w:rsid w:val="4800D887"/>
    <w:rsid w:val="4803EFD8"/>
    <w:rsid w:val="4804EAFD"/>
    <w:rsid w:val="4806A62B"/>
    <w:rsid w:val="480B2137"/>
    <w:rsid w:val="480C4822"/>
    <w:rsid w:val="480C95EB"/>
    <w:rsid w:val="480D248A"/>
    <w:rsid w:val="480D9022"/>
    <w:rsid w:val="480E5510"/>
    <w:rsid w:val="481097D6"/>
    <w:rsid w:val="4810E267"/>
    <w:rsid w:val="4811699D"/>
    <w:rsid w:val="4812C170"/>
    <w:rsid w:val="48131769"/>
    <w:rsid w:val="48176F1C"/>
    <w:rsid w:val="481AEFB4"/>
    <w:rsid w:val="481D6064"/>
    <w:rsid w:val="481E4D52"/>
    <w:rsid w:val="48211737"/>
    <w:rsid w:val="4821CD62"/>
    <w:rsid w:val="48262035"/>
    <w:rsid w:val="482D234E"/>
    <w:rsid w:val="48331A44"/>
    <w:rsid w:val="48352915"/>
    <w:rsid w:val="4837C42C"/>
    <w:rsid w:val="483F2A0D"/>
    <w:rsid w:val="484218A4"/>
    <w:rsid w:val="484350E4"/>
    <w:rsid w:val="48438667"/>
    <w:rsid w:val="4843B070"/>
    <w:rsid w:val="48476C21"/>
    <w:rsid w:val="4848E428"/>
    <w:rsid w:val="484AF48C"/>
    <w:rsid w:val="484CB8A7"/>
    <w:rsid w:val="484DDAF0"/>
    <w:rsid w:val="485253B6"/>
    <w:rsid w:val="4853CB88"/>
    <w:rsid w:val="4854B802"/>
    <w:rsid w:val="4854E7CF"/>
    <w:rsid w:val="4856DCCD"/>
    <w:rsid w:val="485708BE"/>
    <w:rsid w:val="485A2D27"/>
    <w:rsid w:val="485BDA87"/>
    <w:rsid w:val="485CAABE"/>
    <w:rsid w:val="485E7BBE"/>
    <w:rsid w:val="485EF373"/>
    <w:rsid w:val="485FB5EC"/>
    <w:rsid w:val="48610CDC"/>
    <w:rsid w:val="4861C2B6"/>
    <w:rsid w:val="48654B0D"/>
    <w:rsid w:val="4868F774"/>
    <w:rsid w:val="486A44A1"/>
    <w:rsid w:val="486B3DAF"/>
    <w:rsid w:val="486C053D"/>
    <w:rsid w:val="486D7CB5"/>
    <w:rsid w:val="4871893D"/>
    <w:rsid w:val="487361F4"/>
    <w:rsid w:val="487742D9"/>
    <w:rsid w:val="48777DDD"/>
    <w:rsid w:val="4878F6F1"/>
    <w:rsid w:val="487B3AFD"/>
    <w:rsid w:val="487BCC21"/>
    <w:rsid w:val="487E0CF8"/>
    <w:rsid w:val="48818174"/>
    <w:rsid w:val="4882CA3C"/>
    <w:rsid w:val="48848370"/>
    <w:rsid w:val="48851ED2"/>
    <w:rsid w:val="48878C68"/>
    <w:rsid w:val="48881B36"/>
    <w:rsid w:val="488A06CA"/>
    <w:rsid w:val="488A9D99"/>
    <w:rsid w:val="4890F7C0"/>
    <w:rsid w:val="489443BC"/>
    <w:rsid w:val="4894E9D4"/>
    <w:rsid w:val="489A2986"/>
    <w:rsid w:val="489AB83F"/>
    <w:rsid w:val="489D0E98"/>
    <w:rsid w:val="489EB5A9"/>
    <w:rsid w:val="48A29C03"/>
    <w:rsid w:val="48A53982"/>
    <w:rsid w:val="48A805C1"/>
    <w:rsid w:val="48A8476C"/>
    <w:rsid w:val="48AAF59F"/>
    <w:rsid w:val="48AF4EB1"/>
    <w:rsid w:val="48B1942B"/>
    <w:rsid w:val="48B24C93"/>
    <w:rsid w:val="48B2BF07"/>
    <w:rsid w:val="48B71478"/>
    <w:rsid w:val="48B82187"/>
    <w:rsid w:val="48BCC495"/>
    <w:rsid w:val="48BD1808"/>
    <w:rsid w:val="48BD9B81"/>
    <w:rsid w:val="48BE2DC3"/>
    <w:rsid w:val="48BEC6AC"/>
    <w:rsid w:val="48C3F205"/>
    <w:rsid w:val="48C520FF"/>
    <w:rsid w:val="48C5EFE1"/>
    <w:rsid w:val="48C828C6"/>
    <w:rsid w:val="48CA15D0"/>
    <w:rsid w:val="48CD0E20"/>
    <w:rsid w:val="48CD53E0"/>
    <w:rsid w:val="48CF24BC"/>
    <w:rsid w:val="48D02071"/>
    <w:rsid w:val="48D06DE5"/>
    <w:rsid w:val="48D0767A"/>
    <w:rsid w:val="48D0B14A"/>
    <w:rsid w:val="48D176CF"/>
    <w:rsid w:val="48D48F6F"/>
    <w:rsid w:val="48D4D38A"/>
    <w:rsid w:val="48D626CD"/>
    <w:rsid w:val="48D6CCC0"/>
    <w:rsid w:val="48D900C0"/>
    <w:rsid w:val="48DAD636"/>
    <w:rsid w:val="48DECEA6"/>
    <w:rsid w:val="48E286E9"/>
    <w:rsid w:val="48E37AC1"/>
    <w:rsid w:val="48E45342"/>
    <w:rsid w:val="48E88E45"/>
    <w:rsid w:val="48ED4F3A"/>
    <w:rsid w:val="48EE5E18"/>
    <w:rsid w:val="48F0FF3E"/>
    <w:rsid w:val="48F2991D"/>
    <w:rsid w:val="48F3F9B2"/>
    <w:rsid w:val="48F45E17"/>
    <w:rsid w:val="48F66668"/>
    <w:rsid w:val="48F690F6"/>
    <w:rsid w:val="48F8137A"/>
    <w:rsid w:val="48F81863"/>
    <w:rsid w:val="48F87949"/>
    <w:rsid w:val="48FA6934"/>
    <w:rsid w:val="48FE1145"/>
    <w:rsid w:val="49001ECA"/>
    <w:rsid w:val="4903C21D"/>
    <w:rsid w:val="49041444"/>
    <w:rsid w:val="49048BFF"/>
    <w:rsid w:val="4904C42C"/>
    <w:rsid w:val="4904F843"/>
    <w:rsid w:val="4907F1EB"/>
    <w:rsid w:val="491085E4"/>
    <w:rsid w:val="49114553"/>
    <w:rsid w:val="491388B4"/>
    <w:rsid w:val="491566FD"/>
    <w:rsid w:val="4915CAC2"/>
    <w:rsid w:val="49177C5E"/>
    <w:rsid w:val="491A1A63"/>
    <w:rsid w:val="491EAD76"/>
    <w:rsid w:val="4920A8BC"/>
    <w:rsid w:val="4922552C"/>
    <w:rsid w:val="4928C97E"/>
    <w:rsid w:val="492A5534"/>
    <w:rsid w:val="492BAF41"/>
    <w:rsid w:val="492DDC26"/>
    <w:rsid w:val="492ECCCB"/>
    <w:rsid w:val="49316801"/>
    <w:rsid w:val="493318FE"/>
    <w:rsid w:val="493347AA"/>
    <w:rsid w:val="4934B492"/>
    <w:rsid w:val="4936B76B"/>
    <w:rsid w:val="49389A8C"/>
    <w:rsid w:val="493ED319"/>
    <w:rsid w:val="493F9D2E"/>
    <w:rsid w:val="49414AA2"/>
    <w:rsid w:val="4941CC67"/>
    <w:rsid w:val="4941DFD4"/>
    <w:rsid w:val="494265B9"/>
    <w:rsid w:val="4944F108"/>
    <w:rsid w:val="4945C626"/>
    <w:rsid w:val="4948E5F4"/>
    <w:rsid w:val="494C4BB3"/>
    <w:rsid w:val="494D1E76"/>
    <w:rsid w:val="494D46FE"/>
    <w:rsid w:val="494F00D2"/>
    <w:rsid w:val="494F3EC7"/>
    <w:rsid w:val="49510BFA"/>
    <w:rsid w:val="4956063C"/>
    <w:rsid w:val="49564193"/>
    <w:rsid w:val="4958010F"/>
    <w:rsid w:val="495AB0CD"/>
    <w:rsid w:val="495B1B8A"/>
    <w:rsid w:val="495BBDE8"/>
    <w:rsid w:val="495DDC58"/>
    <w:rsid w:val="495EADE0"/>
    <w:rsid w:val="495FFD74"/>
    <w:rsid w:val="496059E1"/>
    <w:rsid w:val="49628AD2"/>
    <w:rsid w:val="49632A4C"/>
    <w:rsid w:val="49662907"/>
    <w:rsid w:val="496DE4F6"/>
    <w:rsid w:val="496E4649"/>
    <w:rsid w:val="496EB1A9"/>
    <w:rsid w:val="4973D5EF"/>
    <w:rsid w:val="497414D9"/>
    <w:rsid w:val="49744762"/>
    <w:rsid w:val="497B5E59"/>
    <w:rsid w:val="497D8EE0"/>
    <w:rsid w:val="497FF69C"/>
    <w:rsid w:val="4980C8D3"/>
    <w:rsid w:val="4985D6D9"/>
    <w:rsid w:val="49861D66"/>
    <w:rsid w:val="49887E41"/>
    <w:rsid w:val="498AB982"/>
    <w:rsid w:val="498B2301"/>
    <w:rsid w:val="498B73E8"/>
    <w:rsid w:val="498C6F11"/>
    <w:rsid w:val="498C738A"/>
    <w:rsid w:val="49939E15"/>
    <w:rsid w:val="499522E8"/>
    <w:rsid w:val="49983B0F"/>
    <w:rsid w:val="4998B8BA"/>
    <w:rsid w:val="4999E520"/>
    <w:rsid w:val="499C9CCF"/>
    <w:rsid w:val="49A54FAB"/>
    <w:rsid w:val="49A8178B"/>
    <w:rsid w:val="49AA3EDF"/>
    <w:rsid w:val="49AB592A"/>
    <w:rsid w:val="49AB794B"/>
    <w:rsid w:val="49AD411E"/>
    <w:rsid w:val="49ADBDC8"/>
    <w:rsid w:val="49AE1968"/>
    <w:rsid w:val="49B136DF"/>
    <w:rsid w:val="49B3D88A"/>
    <w:rsid w:val="49BF486D"/>
    <w:rsid w:val="49BFD2AC"/>
    <w:rsid w:val="49C023CC"/>
    <w:rsid w:val="49C08C10"/>
    <w:rsid w:val="49C6B65D"/>
    <w:rsid w:val="49C6BED4"/>
    <w:rsid w:val="49CA4E89"/>
    <w:rsid w:val="49CB2FE6"/>
    <w:rsid w:val="49CDA57F"/>
    <w:rsid w:val="49CDB82A"/>
    <w:rsid w:val="49CF9F29"/>
    <w:rsid w:val="49D5EEC0"/>
    <w:rsid w:val="49D614F7"/>
    <w:rsid w:val="49D7ED1F"/>
    <w:rsid w:val="49DA58F4"/>
    <w:rsid w:val="49DDE058"/>
    <w:rsid w:val="49E36D85"/>
    <w:rsid w:val="49E6CF18"/>
    <w:rsid w:val="49E87457"/>
    <w:rsid w:val="49ED25EB"/>
    <w:rsid w:val="49F51BB1"/>
    <w:rsid w:val="49F92C5A"/>
    <w:rsid w:val="4A003280"/>
    <w:rsid w:val="4A04446E"/>
    <w:rsid w:val="4A0689C3"/>
    <w:rsid w:val="4A08DE1C"/>
    <w:rsid w:val="4A094D16"/>
    <w:rsid w:val="4A09708E"/>
    <w:rsid w:val="4A09988A"/>
    <w:rsid w:val="4A09EBDF"/>
    <w:rsid w:val="4A0CBBAE"/>
    <w:rsid w:val="4A10404A"/>
    <w:rsid w:val="4A136D8C"/>
    <w:rsid w:val="4A14075F"/>
    <w:rsid w:val="4A142C82"/>
    <w:rsid w:val="4A149109"/>
    <w:rsid w:val="4A14D5AF"/>
    <w:rsid w:val="4A15FD12"/>
    <w:rsid w:val="4A186FB5"/>
    <w:rsid w:val="4A190565"/>
    <w:rsid w:val="4A1B434E"/>
    <w:rsid w:val="4A1C6034"/>
    <w:rsid w:val="4A1EC423"/>
    <w:rsid w:val="4A1EEABE"/>
    <w:rsid w:val="4A20366D"/>
    <w:rsid w:val="4A219A79"/>
    <w:rsid w:val="4A26C153"/>
    <w:rsid w:val="4A2779B9"/>
    <w:rsid w:val="4A286A8C"/>
    <w:rsid w:val="4A2A9EF5"/>
    <w:rsid w:val="4A2AB903"/>
    <w:rsid w:val="4A2C004D"/>
    <w:rsid w:val="4A2C901B"/>
    <w:rsid w:val="4A2F426F"/>
    <w:rsid w:val="4A2FC594"/>
    <w:rsid w:val="4A339DE5"/>
    <w:rsid w:val="4A358C3D"/>
    <w:rsid w:val="4A35CE67"/>
    <w:rsid w:val="4A399B75"/>
    <w:rsid w:val="4A40699C"/>
    <w:rsid w:val="4A43F2CF"/>
    <w:rsid w:val="4A44069B"/>
    <w:rsid w:val="4A4D50B1"/>
    <w:rsid w:val="4A5077BD"/>
    <w:rsid w:val="4A54CB94"/>
    <w:rsid w:val="4A5607C0"/>
    <w:rsid w:val="4A56C7FA"/>
    <w:rsid w:val="4A584D02"/>
    <w:rsid w:val="4A5B5BBB"/>
    <w:rsid w:val="4A5BF8AA"/>
    <w:rsid w:val="4A5C4566"/>
    <w:rsid w:val="4A601772"/>
    <w:rsid w:val="4A641335"/>
    <w:rsid w:val="4A6458D4"/>
    <w:rsid w:val="4A66C097"/>
    <w:rsid w:val="4A673A39"/>
    <w:rsid w:val="4A6CDA9B"/>
    <w:rsid w:val="4A6D8023"/>
    <w:rsid w:val="4A6DAB6A"/>
    <w:rsid w:val="4A6F7338"/>
    <w:rsid w:val="4A7089AC"/>
    <w:rsid w:val="4A7114B8"/>
    <w:rsid w:val="4A754421"/>
    <w:rsid w:val="4A784FFE"/>
    <w:rsid w:val="4A799BD3"/>
    <w:rsid w:val="4A7B15A3"/>
    <w:rsid w:val="4A7B2AB4"/>
    <w:rsid w:val="4A7BF3CC"/>
    <w:rsid w:val="4A7D534B"/>
    <w:rsid w:val="4A7D5AE7"/>
    <w:rsid w:val="4A822A81"/>
    <w:rsid w:val="4A824A33"/>
    <w:rsid w:val="4A877D72"/>
    <w:rsid w:val="4A87FB49"/>
    <w:rsid w:val="4A881FB8"/>
    <w:rsid w:val="4A8C4AB3"/>
    <w:rsid w:val="4A8D1C43"/>
    <w:rsid w:val="4A8D6D10"/>
    <w:rsid w:val="4A8F7F50"/>
    <w:rsid w:val="4A901E7A"/>
    <w:rsid w:val="4A911ACB"/>
    <w:rsid w:val="4A92C283"/>
    <w:rsid w:val="4A92FBF9"/>
    <w:rsid w:val="4A93809A"/>
    <w:rsid w:val="4A951513"/>
    <w:rsid w:val="4A98617A"/>
    <w:rsid w:val="4A9AB009"/>
    <w:rsid w:val="4A9BBC99"/>
    <w:rsid w:val="4AA2F63C"/>
    <w:rsid w:val="4AA35E97"/>
    <w:rsid w:val="4AA45333"/>
    <w:rsid w:val="4AA558C5"/>
    <w:rsid w:val="4AA75EAF"/>
    <w:rsid w:val="4AA797E6"/>
    <w:rsid w:val="4AA8DA1D"/>
    <w:rsid w:val="4AA9062F"/>
    <w:rsid w:val="4AAD3426"/>
    <w:rsid w:val="4AAEC347"/>
    <w:rsid w:val="4AB0BB5B"/>
    <w:rsid w:val="4AB1921C"/>
    <w:rsid w:val="4AB2EEA8"/>
    <w:rsid w:val="4AB3B355"/>
    <w:rsid w:val="4AB424A4"/>
    <w:rsid w:val="4AB7628D"/>
    <w:rsid w:val="4ABCDAD4"/>
    <w:rsid w:val="4ABCE8B0"/>
    <w:rsid w:val="4ABD0AD1"/>
    <w:rsid w:val="4ABD3BF0"/>
    <w:rsid w:val="4ABF23FF"/>
    <w:rsid w:val="4AC17E6A"/>
    <w:rsid w:val="4AC2BAC2"/>
    <w:rsid w:val="4AC35BC9"/>
    <w:rsid w:val="4AC48536"/>
    <w:rsid w:val="4AC5A658"/>
    <w:rsid w:val="4ACA6257"/>
    <w:rsid w:val="4ACCA1C6"/>
    <w:rsid w:val="4ACD7662"/>
    <w:rsid w:val="4AD224CD"/>
    <w:rsid w:val="4AD255E0"/>
    <w:rsid w:val="4AD380C1"/>
    <w:rsid w:val="4AD539A9"/>
    <w:rsid w:val="4AD57934"/>
    <w:rsid w:val="4AD69AC7"/>
    <w:rsid w:val="4AD7BDF4"/>
    <w:rsid w:val="4AD96491"/>
    <w:rsid w:val="4ADBCE6F"/>
    <w:rsid w:val="4ADDFEA9"/>
    <w:rsid w:val="4ADE2D0A"/>
    <w:rsid w:val="4ADFE671"/>
    <w:rsid w:val="4AE1A4AA"/>
    <w:rsid w:val="4AE1E784"/>
    <w:rsid w:val="4AE2205E"/>
    <w:rsid w:val="4AE29706"/>
    <w:rsid w:val="4AE2E9A0"/>
    <w:rsid w:val="4AED8404"/>
    <w:rsid w:val="4AF0938E"/>
    <w:rsid w:val="4AF4FBCE"/>
    <w:rsid w:val="4AF51459"/>
    <w:rsid w:val="4AF69AD5"/>
    <w:rsid w:val="4AF84426"/>
    <w:rsid w:val="4AF9BA69"/>
    <w:rsid w:val="4AFC9712"/>
    <w:rsid w:val="4AFD6F51"/>
    <w:rsid w:val="4AFEAA43"/>
    <w:rsid w:val="4AFFAF38"/>
    <w:rsid w:val="4B00C971"/>
    <w:rsid w:val="4B01DA22"/>
    <w:rsid w:val="4B044058"/>
    <w:rsid w:val="4B05D4C2"/>
    <w:rsid w:val="4B0645CF"/>
    <w:rsid w:val="4B06C7A2"/>
    <w:rsid w:val="4B071AB0"/>
    <w:rsid w:val="4B07E8FD"/>
    <w:rsid w:val="4B095311"/>
    <w:rsid w:val="4B09A4B4"/>
    <w:rsid w:val="4B0A3782"/>
    <w:rsid w:val="4B0A7ACD"/>
    <w:rsid w:val="4B0A94AE"/>
    <w:rsid w:val="4B0C2ECE"/>
    <w:rsid w:val="4B0C85DC"/>
    <w:rsid w:val="4B0CD17E"/>
    <w:rsid w:val="4B1242FF"/>
    <w:rsid w:val="4B12A40F"/>
    <w:rsid w:val="4B14F632"/>
    <w:rsid w:val="4B15AD47"/>
    <w:rsid w:val="4B16EA49"/>
    <w:rsid w:val="4B17498C"/>
    <w:rsid w:val="4B17DD99"/>
    <w:rsid w:val="4B1B7B6D"/>
    <w:rsid w:val="4B1EEFED"/>
    <w:rsid w:val="4B1EFD23"/>
    <w:rsid w:val="4B2078A0"/>
    <w:rsid w:val="4B274449"/>
    <w:rsid w:val="4B2829AA"/>
    <w:rsid w:val="4B283F72"/>
    <w:rsid w:val="4B28CD4C"/>
    <w:rsid w:val="4B2A9EFD"/>
    <w:rsid w:val="4B2E0B24"/>
    <w:rsid w:val="4B2FD5DE"/>
    <w:rsid w:val="4B308113"/>
    <w:rsid w:val="4B34F855"/>
    <w:rsid w:val="4B34F970"/>
    <w:rsid w:val="4B36023D"/>
    <w:rsid w:val="4B372C06"/>
    <w:rsid w:val="4B37B318"/>
    <w:rsid w:val="4B37C3CE"/>
    <w:rsid w:val="4B385FC5"/>
    <w:rsid w:val="4B39D70B"/>
    <w:rsid w:val="4B3A8499"/>
    <w:rsid w:val="4B3B9044"/>
    <w:rsid w:val="4B404E9B"/>
    <w:rsid w:val="4B41C6F1"/>
    <w:rsid w:val="4B43315D"/>
    <w:rsid w:val="4B434D38"/>
    <w:rsid w:val="4B4436AD"/>
    <w:rsid w:val="4B44EDAC"/>
    <w:rsid w:val="4B49D296"/>
    <w:rsid w:val="4B4A5793"/>
    <w:rsid w:val="4B4C39A3"/>
    <w:rsid w:val="4B4C78BA"/>
    <w:rsid w:val="4B4E82E0"/>
    <w:rsid w:val="4B4FFD8E"/>
    <w:rsid w:val="4B50AD9C"/>
    <w:rsid w:val="4B512460"/>
    <w:rsid w:val="4B5421F5"/>
    <w:rsid w:val="4B54E9FB"/>
    <w:rsid w:val="4B557924"/>
    <w:rsid w:val="4B594374"/>
    <w:rsid w:val="4B5A8E11"/>
    <w:rsid w:val="4B5C5B91"/>
    <w:rsid w:val="4B5EB429"/>
    <w:rsid w:val="4B5FB897"/>
    <w:rsid w:val="4B64917E"/>
    <w:rsid w:val="4B656BD0"/>
    <w:rsid w:val="4B65AA1A"/>
    <w:rsid w:val="4B673BDA"/>
    <w:rsid w:val="4B687802"/>
    <w:rsid w:val="4B687AD3"/>
    <w:rsid w:val="4B68D0A9"/>
    <w:rsid w:val="4B6A38CF"/>
    <w:rsid w:val="4B6F7902"/>
    <w:rsid w:val="4B703AB0"/>
    <w:rsid w:val="4B70C24C"/>
    <w:rsid w:val="4B716C08"/>
    <w:rsid w:val="4B721755"/>
    <w:rsid w:val="4B74FFA1"/>
    <w:rsid w:val="4B75B53C"/>
    <w:rsid w:val="4B7765F2"/>
    <w:rsid w:val="4B77D32A"/>
    <w:rsid w:val="4B78A565"/>
    <w:rsid w:val="4B78A7D9"/>
    <w:rsid w:val="4B7981D7"/>
    <w:rsid w:val="4B7A9820"/>
    <w:rsid w:val="4B7AC4F7"/>
    <w:rsid w:val="4B7C27C4"/>
    <w:rsid w:val="4B7CC27D"/>
    <w:rsid w:val="4B7EE453"/>
    <w:rsid w:val="4B84FDF3"/>
    <w:rsid w:val="4B891EF5"/>
    <w:rsid w:val="4B8DDBD8"/>
    <w:rsid w:val="4B907F2E"/>
    <w:rsid w:val="4B94265E"/>
    <w:rsid w:val="4B9657F2"/>
    <w:rsid w:val="4B978820"/>
    <w:rsid w:val="4B9ACF67"/>
    <w:rsid w:val="4B9BE611"/>
    <w:rsid w:val="4BA02A23"/>
    <w:rsid w:val="4BA13FCF"/>
    <w:rsid w:val="4BA22DD3"/>
    <w:rsid w:val="4BA27B89"/>
    <w:rsid w:val="4BA43674"/>
    <w:rsid w:val="4BA5D17F"/>
    <w:rsid w:val="4BA617B6"/>
    <w:rsid w:val="4BAD0E50"/>
    <w:rsid w:val="4BB554E3"/>
    <w:rsid w:val="4BB73227"/>
    <w:rsid w:val="4BBBF70E"/>
    <w:rsid w:val="4BBD77A9"/>
    <w:rsid w:val="4BC22FD7"/>
    <w:rsid w:val="4BC31880"/>
    <w:rsid w:val="4BC4EA89"/>
    <w:rsid w:val="4BC9CC8E"/>
    <w:rsid w:val="4BCEAC96"/>
    <w:rsid w:val="4BCF6316"/>
    <w:rsid w:val="4BCFB09C"/>
    <w:rsid w:val="4BD14BB2"/>
    <w:rsid w:val="4BD58640"/>
    <w:rsid w:val="4BD68C76"/>
    <w:rsid w:val="4BDAA0C3"/>
    <w:rsid w:val="4BDB3974"/>
    <w:rsid w:val="4BDCCCC8"/>
    <w:rsid w:val="4BDEB3EE"/>
    <w:rsid w:val="4BDF51F8"/>
    <w:rsid w:val="4BE3108C"/>
    <w:rsid w:val="4BE698A6"/>
    <w:rsid w:val="4BE69CE0"/>
    <w:rsid w:val="4BE6B5BF"/>
    <w:rsid w:val="4BE839CF"/>
    <w:rsid w:val="4BEBFF5D"/>
    <w:rsid w:val="4BEC6DD0"/>
    <w:rsid w:val="4BEECC2D"/>
    <w:rsid w:val="4BF01D71"/>
    <w:rsid w:val="4BF13922"/>
    <w:rsid w:val="4BF78996"/>
    <w:rsid w:val="4BF7BA9C"/>
    <w:rsid w:val="4BF7F650"/>
    <w:rsid w:val="4BF84ECB"/>
    <w:rsid w:val="4BFB8796"/>
    <w:rsid w:val="4BFBE0ED"/>
    <w:rsid w:val="4C020EC7"/>
    <w:rsid w:val="4C044C56"/>
    <w:rsid w:val="4C0601C7"/>
    <w:rsid w:val="4C06F3E8"/>
    <w:rsid w:val="4C07F28C"/>
    <w:rsid w:val="4C0D934E"/>
    <w:rsid w:val="4C11347F"/>
    <w:rsid w:val="4C13E33C"/>
    <w:rsid w:val="4C1582B4"/>
    <w:rsid w:val="4C18C9AC"/>
    <w:rsid w:val="4C1A416C"/>
    <w:rsid w:val="4C1E96AC"/>
    <w:rsid w:val="4C1EB8A6"/>
    <w:rsid w:val="4C2070CA"/>
    <w:rsid w:val="4C21ACD5"/>
    <w:rsid w:val="4C24E30B"/>
    <w:rsid w:val="4C2596E5"/>
    <w:rsid w:val="4C261665"/>
    <w:rsid w:val="4C26BEC9"/>
    <w:rsid w:val="4C280C8A"/>
    <w:rsid w:val="4C29BFEF"/>
    <w:rsid w:val="4C29F0AA"/>
    <w:rsid w:val="4C2A28CC"/>
    <w:rsid w:val="4C2AC52A"/>
    <w:rsid w:val="4C2B760B"/>
    <w:rsid w:val="4C2C2FAB"/>
    <w:rsid w:val="4C2C4C60"/>
    <w:rsid w:val="4C2C7923"/>
    <w:rsid w:val="4C2E6E15"/>
    <w:rsid w:val="4C3134AD"/>
    <w:rsid w:val="4C3BD2FB"/>
    <w:rsid w:val="4C40A375"/>
    <w:rsid w:val="4C4171A3"/>
    <w:rsid w:val="4C42B7AA"/>
    <w:rsid w:val="4C430A75"/>
    <w:rsid w:val="4C450691"/>
    <w:rsid w:val="4C457AB5"/>
    <w:rsid w:val="4C4A4CE0"/>
    <w:rsid w:val="4C4BBDC4"/>
    <w:rsid w:val="4C502FEE"/>
    <w:rsid w:val="4C55186B"/>
    <w:rsid w:val="4C55200E"/>
    <w:rsid w:val="4C5AAC9E"/>
    <w:rsid w:val="4C5AED97"/>
    <w:rsid w:val="4C5BD520"/>
    <w:rsid w:val="4C5DFD38"/>
    <w:rsid w:val="4C605FBE"/>
    <w:rsid w:val="4C615282"/>
    <w:rsid w:val="4C62F1FC"/>
    <w:rsid w:val="4C63841A"/>
    <w:rsid w:val="4C6C0C87"/>
    <w:rsid w:val="4C6C639B"/>
    <w:rsid w:val="4C6D00AC"/>
    <w:rsid w:val="4C71A8D6"/>
    <w:rsid w:val="4C730DA1"/>
    <w:rsid w:val="4C74990F"/>
    <w:rsid w:val="4C774797"/>
    <w:rsid w:val="4C78A664"/>
    <w:rsid w:val="4C7925E9"/>
    <w:rsid w:val="4C79EFCF"/>
    <w:rsid w:val="4C8207E0"/>
    <w:rsid w:val="4C866FFE"/>
    <w:rsid w:val="4C86C31D"/>
    <w:rsid w:val="4C8BD960"/>
    <w:rsid w:val="4C8C79BA"/>
    <w:rsid w:val="4C8DFA97"/>
    <w:rsid w:val="4C8EE07A"/>
    <w:rsid w:val="4C90097C"/>
    <w:rsid w:val="4C91992A"/>
    <w:rsid w:val="4C939683"/>
    <w:rsid w:val="4C93CE29"/>
    <w:rsid w:val="4C94F9D9"/>
    <w:rsid w:val="4C967B89"/>
    <w:rsid w:val="4C976EDA"/>
    <w:rsid w:val="4C99475E"/>
    <w:rsid w:val="4C9CDA14"/>
    <w:rsid w:val="4C9D5DCC"/>
    <w:rsid w:val="4C9DE185"/>
    <w:rsid w:val="4C9E5176"/>
    <w:rsid w:val="4CA22620"/>
    <w:rsid w:val="4CA3BC68"/>
    <w:rsid w:val="4CA4846D"/>
    <w:rsid w:val="4CA57515"/>
    <w:rsid w:val="4CA8676F"/>
    <w:rsid w:val="4CA8F492"/>
    <w:rsid w:val="4CAA942F"/>
    <w:rsid w:val="4CABCFB4"/>
    <w:rsid w:val="4CAFE21A"/>
    <w:rsid w:val="4CB21F23"/>
    <w:rsid w:val="4CB264A3"/>
    <w:rsid w:val="4CB7DF5C"/>
    <w:rsid w:val="4CBB1E7A"/>
    <w:rsid w:val="4CBB9195"/>
    <w:rsid w:val="4CC07E60"/>
    <w:rsid w:val="4CC4E47C"/>
    <w:rsid w:val="4CC5653A"/>
    <w:rsid w:val="4CC6C19E"/>
    <w:rsid w:val="4CC9D43B"/>
    <w:rsid w:val="4CC9DBAA"/>
    <w:rsid w:val="4CCBEFC1"/>
    <w:rsid w:val="4CD0B128"/>
    <w:rsid w:val="4CD38379"/>
    <w:rsid w:val="4CD74CA0"/>
    <w:rsid w:val="4CD86BB0"/>
    <w:rsid w:val="4CDD74C6"/>
    <w:rsid w:val="4CDD88BC"/>
    <w:rsid w:val="4CDD9004"/>
    <w:rsid w:val="4CDD99F0"/>
    <w:rsid w:val="4CDE2CAC"/>
    <w:rsid w:val="4CE020C6"/>
    <w:rsid w:val="4CE02E1F"/>
    <w:rsid w:val="4CE2F58F"/>
    <w:rsid w:val="4CE48956"/>
    <w:rsid w:val="4CE4C3AB"/>
    <w:rsid w:val="4CE53CCF"/>
    <w:rsid w:val="4CE616E3"/>
    <w:rsid w:val="4CE63643"/>
    <w:rsid w:val="4CE790FD"/>
    <w:rsid w:val="4CE92BF7"/>
    <w:rsid w:val="4CE9517D"/>
    <w:rsid w:val="4CECBE70"/>
    <w:rsid w:val="4CED5458"/>
    <w:rsid w:val="4CF22F4D"/>
    <w:rsid w:val="4CF83105"/>
    <w:rsid w:val="4CF889FF"/>
    <w:rsid w:val="4CFA78F4"/>
    <w:rsid w:val="4CFAEEE9"/>
    <w:rsid w:val="4CFEBA89"/>
    <w:rsid w:val="4D02B51B"/>
    <w:rsid w:val="4D03606B"/>
    <w:rsid w:val="4D04F6E6"/>
    <w:rsid w:val="4D06F8DC"/>
    <w:rsid w:val="4D07D08C"/>
    <w:rsid w:val="4D08EC7E"/>
    <w:rsid w:val="4D0B6EAF"/>
    <w:rsid w:val="4D0BC730"/>
    <w:rsid w:val="4D0E275F"/>
    <w:rsid w:val="4D132B37"/>
    <w:rsid w:val="4D14172A"/>
    <w:rsid w:val="4D1612E7"/>
    <w:rsid w:val="4D1852F3"/>
    <w:rsid w:val="4D1D4CE1"/>
    <w:rsid w:val="4D1D5738"/>
    <w:rsid w:val="4D1E2588"/>
    <w:rsid w:val="4D1F368A"/>
    <w:rsid w:val="4D208E3F"/>
    <w:rsid w:val="4D20CE54"/>
    <w:rsid w:val="4D2340E0"/>
    <w:rsid w:val="4D24E484"/>
    <w:rsid w:val="4D254009"/>
    <w:rsid w:val="4D2645CD"/>
    <w:rsid w:val="4D27347B"/>
    <w:rsid w:val="4D2A330E"/>
    <w:rsid w:val="4D2F622B"/>
    <w:rsid w:val="4D35B451"/>
    <w:rsid w:val="4D37D342"/>
    <w:rsid w:val="4D3A224F"/>
    <w:rsid w:val="4D3C45A4"/>
    <w:rsid w:val="4D3D588E"/>
    <w:rsid w:val="4D3E3AE2"/>
    <w:rsid w:val="4D3F37E2"/>
    <w:rsid w:val="4D410FD5"/>
    <w:rsid w:val="4D422569"/>
    <w:rsid w:val="4D43D9BB"/>
    <w:rsid w:val="4D4489D0"/>
    <w:rsid w:val="4D46708B"/>
    <w:rsid w:val="4D46D317"/>
    <w:rsid w:val="4D46F3D7"/>
    <w:rsid w:val="4D47198C"/>
    <w:rsid w:val="4D474970"/>
    <w:rsid w:val="4D4ACF26"/>
    <w:rsid w:val="4D4B87B8"/>
    <w:rsid w:val="4D4CAD13"/>
    <w:rsid w:val="4D4F0057"/>
    <w:rsid w:val="4D528AA4"/>
    <w:rsid w:val="4D55AAC8"/>
    <w:rsid w:val="4D5747AB"/>
    <w:rsid w:val="4D5AAE05"/>
    <w:rsid w:val="4D5B0C8B"/>
    <w:rsid w:val="4D601FE8"/>
    <w:rsid w:val="4D63D4CC"/>
    <w:rsid w:val="4D64C033"/>
    <w:rsid w:val="4D67C8CE"/>
    <w:rsid w:val="4D6A0528"/>
    <w:rsid w:val="4D6A6DE6"/>
    <w:rsid w:val="4D6BF233"/>
    <w:rsid w:val="4D6EE56C"/>
    <w:rsid w:val="4D6FBEBB"/>
    <w:rsid w:val="4D70F611"/>
    <w:rsid w:val="4D73F1B3"/>
    <w:rsid w:val="4D792D27"/>
    <w:rsid w:val="4D7C0F0F"/>
    <w:rsid w:val="4D7F5D60"/>
    <w:rsid w:val="4D7F8B43"/>
    <w:rsid w:val="4D7F97EA"/>
    <w:rsid w:val="4D827262"/>
    <w:rsid w:val="4D834C42"/>
    <w:rsid w:val="4D837B41"/>
    <w:rsid w:val="4D8547C8"/>
    <w:rsid w:val="4D8B7E9D"/>
    <w:rsid w:val="4D8E076F"/>
    <w:rsid w:val="4D8ECCCD"/>
    <w:rsid w:val="4D9312A9"/>
    <w:rsid w:val="4D94A1B1"/>
    <w:rsid w:val="4D95B295"/>
    <w:rsid w:val="4D98F127"/>
    <w:rsid w:val="4D99A046"/>
    <w:rsid w:val="4D9BB1D9"/>
    <w:rsid w:val="4DA3199B"/>
    <w:rsid w:val="4DA88953"/>
    <w:rsid w:val="4DAB42C1"/>
    <w:rsid w:val="4DAD33BB"/>
    <w:rsid w:val="4DAD5508"/>
    <w:rsid w:val="4DAFFB84"/>
    <w:rsid w:val="4DB0D244"/>
    <w:rsid w:val="4DB2EC54"/>
    <w:rsid w:val="4DB50E7D"/>
    <w:rsid w:val="4DBB4A22"/>
    <w:rsid w:val="4DBF8863"/>
    <w:rsid w:val="4DC2EDC5"/>
    <w:rsid w:val="4DC608C4"/>
    <w:rsid w:val="4DC672BC"/>
    <w:rsid w:val="4DC9BB7B"/>
    <w:rsid w:val="4DCA5AFB"/>
    <w:rsid w:val="4DCB73CA"/>
    <w:rsid w:val="4DCBCFE3"/>
    <w:rsid w:val="4DCD9F6C"/>
    <w:rsid w:val="4DCF5EAF"/>
    <w:rsid w:val="4DD0D0EC"/>
    <w:rsid w:val="4DD17081"/>
    <w:rsid w:val="4DD31F6C"/>
    <w:rsid w:val="4DD35333"/>
    <w:rsid w:val="4DD7AD84"/>
    <w:rsid w:val="4DD7F641"/>
    <w:rsid w:val="4DDCD91C"/>
    <w:rsid w:val="4DDDA8A8"/>
    <w:rsid w:val="4DDE8CDE"/>
    <w:rsid w:val="4DDF29AE"/>
    <w:rsid w:val="4DE4B1C7"/>
    <w:rsid w:val="4DE6A3D0"/>
    <w:rsid w:val="4DE82FE0"/>
    <w:rsid w:val="4DECCDDC"/>
    <w:rsid w:val="4DEE7FE6"/>
    <w:rsid w:val="4DEEDA23"/>
    <w:rsid w:val="4DEFD70B"/>
    <w:rsid w:val="4DF053A4"/>
    <w:rsid w:val="4DF45965"/>
    <w:rsid w:val="4DF49455"/>
    <w:rsid w:val="4DF4C3FF"/>
    <w:rsid w:val="4DF5CCB1"/>
    <w:rsid w:val="4DF718F0"/>
    <w:rsid w:val="4DF76F86"/>
    <w:rsid w:val="4DF7951C"/>
    <w:rsid w:val="4DF8AEA2"/>
    <w:rsid w:val="4E08384C"/>
    <w:rsid w:val="4E08E921"/>
    <w:rsid w:val="4E09287E"/>
    <w:rsid w:val="4E09FC64"/>
    <w:rsid w:val="4E0BAB0F"/>
    <w:rsid w:val="4E0C2BE9"/>
    <w:rsid w:val="4E0CB454"/>
    <w:rsid w:val="4E0D3CEF"/>
    <w:rsid w:val="4E13C13B"/>
    <w:rsid w:val="4E1584BE"/>
    <w:rsid w:val="4E16D99E"/>
    <w:rsid w:val="4E180138"/>
    <w:rsid w:val="4E18DAD5"/>
    <w:rsid w:val="4E19AB1A"/>
    <w:rsid w:val="4E1AD33E"/>
    <w:rsid w:val="4E1F1A19"/>
    <w:rsid w:val="4E1FA5C8"/>
    <w:rsid w:val="4E20606F"/>
    <w:rsid w:val="4E22FEEE"/>
    <w:rsid w:val="4E23848F"/>
    <w:rsid w:val="4E254EFA"/>
    <w:rsid w:val="4E26008B"/>
    <w:rsid w:val="4E27CE8B"/>
    <w:rsid w:val="4E27DACA"/>
    <w:rsid w:val="4E29CAF8"/>
    <w:rsid w:val="4E2A1635"/>
    <w:rsid w:val="4E2A676C"/>
    <w:rsid w:val="4E2C7AED"/>
    <w:rsid w:val="4E2EF59B"/>
    <w:rsid w:val="4E2F733B"/>
    <w:rsid w:val="4E32EF90"/>
    <w:rsid w:val="4E34407D"/>
    <w:rsid w:val="4E354AED"/>
    <w:rsid w:val="4E37912E"/>
    <w:rsid w:val="4E3BBE15"/>
    <w:rsid w:val="4E3BF4A1"/>
    <w:rsid w:val="4E3CF642"/>
    <w:rsid w:val="4E3E883A"/>
    <w:rsid w:val="4E409985"/>
    <w:rsid w:val="4E440FC6"/>
    <w:rsid w:val="4E49798D"/>
    <w:rsid w:val="4E4AA46F"/>
    <w:rsid w:val="4E4E303A"/>
    <w:rsid w:val="4E53751C"/>
    <w:rsid w:val="4E553277"/>
    <w:rsid w:val="4E5536A4"/>
    <w:rsid w:val="4E569026"/>
    <w:rsid w:val="4E56F22D"/>
    <w:rsid w:val="4E5E3851"/>
    <w:rsid w:val="4E5F5D9A"/>
    <w:rsid w:val="4E633A29"/>
    <w:rsid w:val="4E643588"/>
    <w:rsid w:val="4E64BA1A"/>
    <w:rsid w:val="4E67710E"/>
    <w:rsid w:val="4E6A4641"/>
    <w:rsid w:val="4E6C718B"/>
    <w:rsid w:val="4E6DB2A4"/>
    <w:rsid w:val="4E707D31"/>
    <w:rsid w:val="4E71470A"/>
    <w:rsid w:val="4E7628C2"/>
    <w:rsid w:val="4E78185C"/>
    <w:rsid w:val="4E78A49A"/>
    <w:rsid w:val="4E7A77A8"/>
    <w:rsid w:val="4E7C0F1B"/>
    <w:rsid w:val="4E7F249F"/>
    <w:rsid w:val="4E836C3D"/>
    <w:rsid w:val="4E83E007"/>
    <w:rsid w:val="4E843DA9"/>
    <w:rsid w:val="4E844D9A"/>
    <w:rsid w:val="4E855682"/>
    <w:rsid w:val="4E874997"/>
    <w:rsid w:val="4E8B70AA"/>
    <w:rsid w:val="4E8BC4F1"/>
    <w:rsid w:val="4E8CA855"/>
    <w:rsid w:val="4E8D6339"/>
    <w:rsid w:val="4E8EE60E"/>
    <w:rsid w:val="4E8F174C"/>
    <w:rsid w:val="4E8F26FC"/>
    <w:rsid w:val="4E8FBEEC"/>
    <w:rsid w:val="4E9138E7"/>
    <w:rsid w:val="4E9272D1"/>
    <w:rsid w:val="4E95751E"/>
    <w:rsid w:val="4E97340B"/>
    <w:rsid w:val="4E989581"/>
    <w:rsid w:val="4E99F8A0"/>
    <w:rsid w:val="4E9D4B75"/>
    <w:rsid w:val="4E9E2D50"/>
    <w:rsid w:val="4E9EE144"/>
    <w:rsid w:val="4EA0B131"/>
    <w:rsid w:val="4EA0CD6C"/>
    <w:rsid w:val="4EA3C8E2"/>
    <w:rsid w:val="4EA40F35"/>
    <w:rsid w:val="4EA59448"/>
    <w:rsid w:val="4EA78DA5"/>
    <w:rsid w:val="4EA7EAB9"/>
    <w:rsid w:val="4EA92C35"/>
    <w:rsid w:val="4EAACB2D"/>
    <w:rsid w:val="4EAB2D49"/>
    <w:rsid w:val="4EAEDCFE"/>
    <w:rsid w:val="4EB02ABC"/>
    <w:rsid w:val="4EB0489B"/>
    <w:rsid w:val="4EB31AE4"/>
    <w:rsid w:val="4EB3648F"/>
    <w:rsid w:val="4EB43120"/>
    <w:rsid w:val="4EB54CD5"/>
    <w:rsid w:val="4EB596A2"/>
    <w:rsid w:val="4EB7174E"/>
    <w:rsid w:val="4EB79A2D"/>
    <w:rsid w:val="4EBA62D6"/>
    <w:rsid w:val="4EBC54AC"/>
    <w:rsid w:val="4EBCA4A0"/>
    <w:rsid w:val="4EBD92BC"/>
    <w:rsid w:val="4EBF0811"/>
    <w:rsid w:val="4EBFBC3E"/>
    <w:rsid w:val="4EC0C0EE"/>
    <w:rsid w:val="4EC7B27A"/>
    <w:rsid w:val="4EC923C7"/>
    <w:rsid w:val="4EC9D985"/>
    <w:rsid w:val="4ECAE39C"/>
    <w:rsid w:val="4ECCD1C9"/>
    <w:rsid w:val="4ECDB21B"/>
    <w:rsid w:val="4ECE6473"/>
    <w:rsid w:val="4ED046D2"/>
    <w:rsid w:val="4ED1AED3"/>
    <w:rsid w:val="4ED1C4AF"/>
    <w:rsid w:val="4ED3E6AD"/>
    <w:rsid w:val="4ED45F19"/>
    <w:rsid w:val="4ED4B34C"/>
    <w:rsid w:val="4ED6D8F6"/>
    <w:rsid w:val="4ED89E8A"/>
    <w:rsid w:val="4EDA7E20"/>
    <w:rsid w:val="4EDC1692"/>
    <w:rsid w:val="4EDDEA44"/>
    <w:rsid w:val="4EDF2859"/>
    <w:rsid w:val="4EE20866"/>
    <w:rsid w:val="4EE28A86"/>
    <w:rsid w:val="4EEA3EB6"/>
    <w:rsid w:val="4EEBB8FE"/>
    <w:rsid w:val="4EED4827"/>
    <w:rsid w:val="4EED6A01"/>
    <w:rsid w:val="4EF10870"/>
    <w:rsid w:val="4EF1265D"/>
    <w:rsid w:val="4EF1FA1C"/>
    <w:rsid w:val="4EF28550"/>
    <w:rsid w:val="4EF3BF37"/>
    <w:rsid w:val="4EFACA20"/>
    <w:rsid w:val="4EFB452D"/>
    <w:rsid w:val="4EFD389C"/>
    <w:rsid w:val="4F02F440"/>
    <w:rsid w:val="4F07F678"/>
    <w:rsid w:val="4F0940EC"/>
    <w:rsid w:val="4F09EDD9"/>
    <w:rsid w:val="4F0D4E0E"/>
    <w:rsid w:val="4F101AB4"/>
    <w:rsid w:val="4F1105DC"/>
    <w:rsid w:val="4F11F40A"/>
    <w:rsid w:val="4F17A61D"/>
    <w:rsid w:val="4F1815C2"/>
    <w:rsid w:val="4F18236A"/>
    <w:rsid w:val="4F1F6FDC"/>
    <w:rsid w:val="4F1FCE50"/>
    <w:rsid w:val="4F1FE67D"/>
    <w:rsid w:val="4F21B396"/>
    <w:rsid w:val="4F27D033"/>
    <w:rsid w:val="4F28F6E1"/>
    <w:rsid w:val="4F2B880B"/>
    <w:rsid w:val="4F2DB7CC"/>
    <w:rsid w:val="4F2DFC63"/>
    <w:rsid w:val="4F304D68"/>
    <w:rsid w:val="4F3278E2"/>
    <w:rsid w:val="4F35D484"/>
    <w:rsid w:val="4F38A5D5"/>
    <w:rsid w:val="4F38A5EA"/>
    <w:rsid w:val="4F3B4F3E"/>
    <w:rsid w:val="4F4BB0C8"/>
    <w:rsid w:val="4F4FD6F6"/>
    <w:rsid w:val="4F5069AD"/>
    <w:rsid w:val="4F511583"/>
    <w:rsid w:val="4F5373E6"/>
    <w:rsid w:val="4F541033"/>
    <w:rsid w:val="4F54F387"/>
    <w:rsid w:val="4F576922"/>
    <w:rsid w:val="4F59D041"/>
    <w:rsid w:val="4F5AFD34"/>
    <w:rsid w:val="4F5C110F"/>
    <w:rsid w:val="4F5CDBF8"/>
    <w:rsid w:val="4F5E393E"/>
    <w:rsid w:val="4F63985D"/>
    <w:rsid w:val="4F66AACC"/>
    <w:rsid w:val="4F66C9C5"/>
    <w:rsid w:val="4F67B707"/>
    <w:rsid w:val="4F6BE6A3"/>
    <w:rsid w:val="4F6E552B"/>
    <w:rsid w:val="4F739D3F"/>
    <w:rsid w:val="4F749520"/>
    <w:rsid w:val="4F750B44"/>
    <w:rsid w:val="4F7A07F4"/>
    <w:rsid w:val="4F7B8F38"/>
    <w:rsid w:val="4F7BD612"/>
    <w:rsid w:val="4F7EE5FB"/>
    <w:rsid w:val="4F8100F1"/>
    <w:rsid w:val="4F82D8D3"/>
    <w:rsid w:val="4F845CFC"/>
    <w:rsid w:val="4F89AA9A"/>
    <w:rsid w:val="4F89BA09"/>
    <w:rsid w:val="4F901B81"/>
    <w:rsid w:val="4F908181"/>
    <w:rsid w:val="4F922B1E"/>
    <w:rsid w:val="4F937752"/>
    <w:rsid w:val="4F999D7C"/>
    <w:rsid w:val="4F9BD5F9"/>
    <w:rsid w:val="4F9EE5B7"/>
    <w:rsid w:val="4F9FB9A0"/>
    <w:rsid w:val="4FA12EA0"/>
    <w:rsid w:val="4FA1D1B1"/>
    <w:rsid w:val="4FA433B1"/>
    <w:rsid w:val="4FA54E9D"/>
    <w:rsid w:val="4FA626D4"/>
    <w:rsid w:val="4FA87852"/>
    <w:rsid w:val="4FAC35D9"/>
    <w:rsid w:val="4FAD38BB"/>
    <w:rsid w:val="4FAF805C"/>
    <w:rsid w:val="4FAFA624"/>
    <w:rsid w:val="4FAFC3B5"/>
    <w:rsid w:val="4FB0537B"/>
    <w:rsid w:val="4FB1767A"/>
    <w:rsid w:val="4FB409E3"/>
    <w:rsid w:val="4FB8A85F"/>
    <w:rsid w:val="4FB908CC"/>
    <w:rsid w:val="4FBA619B"/>
    <w:rsid w:val="4FBA7FB6"/>
    <w:rsid w:val="4FBBC465"/>
    <w:rsid w:val="4FBC77C9"/>
    <w:rsid w:val="4FBCAAF7"/>
    <w:rsid w:val="4FBF6CF8"/>
    <w:rsid w:val="4FC6DE72"/>
    <w:rsid w:val="4FC958F3"/>
    <w:rsid w:val="4FC9D9A6"/>
    <w:rsid w:val="4FCA5E08"/>
    <w:rsid w:val="4FCACEEE"/>
    <w:rsid w:val="4FCBE92F"/>
    <w:rsid w:val="4FCCD804"/>
    <w:rsid w:val="4FCE315A"/>
    <w:rsid w:val="4FD043EE"/>
    <w:rsid w:val="4FD1AE8A"/>
    <w:rsid w:val="4FD487FE"/>
    <w:rsid w:val="4FD6C86D"/>
    <w:rsid w:val="4FD6F924"/>
    <w:rsid w:val="4FD94041"/>
    <w:rsid w:val="4FD9544A"/>
    <w:rsid w:val="4FDB05C4"/>
    <w:rsid w:val="4FDCA4C0"/>
    <w:rsid w:val="4FDCEDA7"/>
    <w:rsid w:val="4FE06C59"/>
    <w:rsid w:val="4FE09AEA"/>
    <w:rsid w:val="4FE14E43"/>
    <w:rsid w:val="4FE78DE6"/>
    <w:rsid w:val="4FE7F79E"/>
    <w:rsid w:val="4FE9FC01"/>
    <w:rsid w:val="4FEA3E47"/>
    <w:rsid w:val="4FEA5CC5"/>
    <w:rsid w:val="4FEF1A2B"/>
    <w:rsid w:val="4FF04B48"/>
    <w:rsid w:val="4FF6B7E1"/>
    <w:rsid w:val="4FF88498"/>
    <w:rsid w:val="4FF89DB1"/>
    <w:rsid w:val="5000475C"/>
    <w:rsid w:val="50010AB2"/>
    <w:rsid w:val="5008AA87"/>
    <w:rsid w:val="500ABBB5"/>
    <w:rsid w:val="50116E34"/>
    <w:rsid w:val="5011836D"/>
    <w:rsid w:val="50118C85"/>
    <w:rsid w:val="5015D5C4"/>
    <w:rsid w:val="5016E057"/>
    <w:rsid w:val="501AFC5D"/>
    <w:rsid w:val="501E22BE"/>
    <w:rsid w:val="50202355"/>
    <w:rsid w:val="502322A4"/>
    <w:rsid w:val="5027C35E"/>
    <w:rsid w:val="50291C33"/>
    <w:rsid w:val="502BFBBA"/>
    <w:rsid w:val="502C37D1"/>
    <w:rsid w:val="502CD973"/>
    <w:rsid w:val="502ED91C"/>
    <w:rsid w:val="50330F02"/>
    <w:rsid w:val="5035AA23"/>
    <w:rsid w:val="5036ABD6"/>
    <w:rsid w:val="5037C866"/>
    <w:rsid w:val="5039F7D1"/>
    <w:rsid w:val="503ACC64"/>
    <w:rsid w:val="503C1649"/>
    <w:rsid w:val="503DD695"/>
    <w:rsid w:val="503E5A64"/>
    <w:rsid w:val="50406496"/>
    <w:rsid w:val="5040F286"/>
    <w:rsid w:val="50411EA4"/>
    <w:rsid w:val="50419E81"/>
    <w:rsid w:val="504238CC"/>
    <w:rsid w:val="504443DF"/>
    <w:rsid w:val="504529AF"/>
    <w:rsid w:val="5045700C"/>
    <w:rsid w:val="50472692"/>
    <w:rsid w:val="5047548F"/>
    <w:rsid w:val="50488D5C"/>
    <w:rsid w:val="50494ED3"/>
    <w:rsid w:val="504CDAC0"/>
    <w:rsid w:val="50563337"/>
    <w:rsid w:val="505777C6"/>
    <w:rsid w:val="505C700D"/>
    <w:rsid w:val="505C96B4"/>
    <w:rsid w:val="505D1689"/>
    <w:rsid w:val="505D7B54"/>
    <w:rsid w:val="505DB5EC"/>
    <w:rsid w:val="505DB6FE"/>
    <w:rsid w:val="505DBA65"/>
    <w:rsid w:val="506118CB"/>
    <w:rsid w:val="50636A39"/>
    <w:rsid w:val="5064EB18"/>
    <w:rsid w:val="50666B86"/>
    <w:rsid w:val="50690EA3"/>
    <w:rsid w:val="5069EC6E"/>
    <w:rsid w:val="506CB925"/>
    <w:rsid w:val="506E4FA9"/>
    <w:rsid w:val="507175E1"/>
    <w:rsid w:val="5071B19A"/>
    <w:rsid w:val="5076242C"/>
    <w:rsid w:val="5076ABAF"/>
    <w:rsid w:val="5078914B"/>
    <w:rsid w:val="50789D8D"/>
    <w:rsid w:val="5079D485"/>
    <w:rsid w:val="5079F230"/>
    <w:rsid w:val="507DFF3C"/>
    <w:rsid w:val="50819F92"/>
    <w:rsid w:val="50838136"/>
    <w:rsid w:val="5083A795"/>
    <w:rsid w:val="5083C567"/>
    <w:rsid w:val="50893A62"/>
    <w:rsid w:val="50899B05"/>
    <w:rsid w:val="508AABEA"/>
    <w:rsid w:val="508C1287"/>
    <w:rsid w:val="508D318E"/>
    <w:rsid w:val="5090F58A"/>
    <w:rsid w:val="50998804"/>
    <w:rsid w:val="509B805A"/>
    <w:rsid w:val="509E4F00"/>
    <w:rsid w:val="50A03631"/>
    <w:rsid w:val="50A221C6"/>
    <w:rsid w:val="50A3A548"/>
    <w:rsid w:val="50A3CFCA"/>
    <w:rsid w:val="50A45A61"/>
    <w:rsid w:val="50A5F1A8"/>
    <w:rsid w:val="50A6AFFF"/>
    <w:rsid w:val="50AA3AD1"/>
    <w:rsid w:val="50AA4681"/>
    <w:rsid w:val="50AAA681"/>
    <w:rsid w:val="50AC6CF4"/>
    <w:rsid w:val="50B61A08"/>
    <w:rsid w:val="50B964E0"/>
    <w:rsid w:val="50B9A881"/>
    <w:rsid w:val="50BA2315"/>
    <w:rsid w:val="50BC1C02"/>
    <w:rsid w:val="50BEAD91"/>
    <w:rsid w:val="50BF040D"/>
    <w:rsid w:val="50C1829E"/>
    <w:rsid w:val="50C5E70D"/>
    <w:rsid w:val="50C80143"/>
    <w:rsid w:val="50C83FB9"/>
    <w:rsid w:val="50C94D79"/>
    <w:rsid w:val="50CA9FB7"/>
    <w:rsid w:val="50CB3869"/>
    <w:rsid w:val="50CB83D3"/>
    <w:rsid w:val="50D1C01D"/>
    <w:rsid w:val="50D4F7B4"/>
    <w:rsid w:val="50D814FE"/>
    <w:rsid w:val="50DB2038"/>
    <w:rsid w:val="50E135C9"/>
    <w:rsid w:val="50E259C3"/>
    <w:rsid w:val="50E44E56"/>
    <w:rsid w:val="50E778C9"/>
    <w:rsid w:val="50E7E6AC"/>
    <w:rsid w:val="50E88769"/>
    <w:rsid w:val="50E9DCDE"/>
    <w:rsid w:val="50EAA5CA"/>
    <w:rsid w:val="50EB0B07"/>
    <w:rsid w:val="50EF019B"/>
    <w:rsid w:val="50F2F853"/>
    <w:rsid w:val="50F64E15"/>
    <w:rsid w:val="50F700D5"/>
    <w:rsid w:val="50F91E3E"/>
    <w:rsid w:val="50FC217C"/>
    <w:rsid w:val="50FC7EF9"/>
    <w:rsid w:val="50FD20E0"/>
    <w:rsid w:val="50FD2822"/>
    <w:rsid w:val="50FF9357"/>
    <w:rsid w:val="50FF9B80"/>
    <w:rsid w:val="51010C0A"/>
    <w:rsid w:val="5101D453"/>
    <w:rsid w:val="51062754"/>
    <w:rsid w:val="51081418"/>
    <w:rsid w:val="510A212A"/>
    <w:rsid w:val="510A453F"/>
    <w:rsid w:val="510BAD0F"/>
    <w:rsid w:val="510BFF46"/>
    <w:rsid w:val="510F1C9F"/>
    <w:rsid w:val="5110AD0D"/>
    <w:rsid w:val="51113748"/>
    <w:rsid w:val="5111B59C"/>
    <w:rsid w:val="51186B56"/>
    <w:rsid w:val="51190BED"/>
    <w:rsid w:val="511C88EB"/>
    <w:rsid w:val="511E16B6"/>
    <w:rsid w:val="511E4121"/>
    <w:rsid w:val="511FEC0F"/>
    <w:rsid w:val="5124D070"/>
    <w:rsid w:val="5128B611"/>
    <w:rsid w:val="5128F8D7"/>
    <w:rsid w:val="51290CD2"/>
    <w:rsid w:val="512AC8EB"/>
    <w:rsid w:val="512CC04F"/>
    <w:rsid w:val="512CEF5A"/>
    <w:rsid w:val="512D9CBE"/>
    <w:rsid w:val="512E1AA0"/>
    <w:rsid w:val="5131EB64"/>
    <w:rsid w:val="5135F4AF"/>
    <w:rsid w:val="5136C3EF"/>
    <w:rsid w:val="5136FC05"/>
    <w:rsid w:val="513D63CF"/>
    <w:rsid w:val="513F539B"/>
    <w:rsid w:val="51406A62"/>
    <w:rsid w:val="51445C65"/>
    <w:rsid w:val="5144CCEA"/>
    <w:rsid w:val="514A40E9"/>
    <w:rsid w:val="514E3E14"/>
    <w:rsid w:val="514EE82B"/>
    <w:rsid w:val="51504F07"/>
    <w:rsid w:val="51541819"/>
    <w:rsid w:val="51543E1E"/>
    <w:rsid w:val="51562F87"/>
    <w:rsid w:val="5156D7DC"/>
    <w:rsid w:val="5159E32B"/>
    <w:rsid w:val="515B17C2"/>
    <w:rsid w:val="515E8251"/>
    <w:rsid w:val="515EDF30"/>
    <w:rsid w:val="515EE480"/>
    <w:rsid w:val="515FE5B2"/>
    <w:rsid w:val="5160F802"/>
    <w:rsid w:val="516132D5"/>
    <w:rsid w:val="51624F0F"/>
    <w:rsid w:val="516384A7"/>
    <w:rsid w:val="5168B16E"/>
    <w:rsid w:val="516FCB40"/>
    <w:rsid w:val="51707ED2"/>
    <w:rsid w:val="51716F33"/>
    <w:rsid w:val="5175751D"/>
    <w:rsid w:val="5176A67C"/>
    <w:rsid w:val="5176CFD5"/>
    <w:rsid w:val="5177367E"/>
    <w:rsid w:val="51791AB8"/>
    <w:rsid w:val="51791DB7"/>
    <w:rsid w:val="517B26AD"/>
    <w:rsid w:val="517E2CF0"/>
    <w:rsid w:val="51817D34"/>
    <w:rsid w:val="5183230E"/>
    <w:rsid w:val="5183624C"/>
    <w:rsid w:val="5185F331"/>
    <w:rsid w:val="5186C0DB"/>
    <w:rsid w:val="5188C38B"/>
    <w:rsid w:val="518E78EC"/>
    <w:rsid w:val="518E8115"/>
    <w:rsid w:val="5192958C"/>
    <w:rsid w:val="5194D79D"/>
    <w:rsid w:val="5198EB8E"/>
    <w:rsid w:val="519C23CA"/>
    <w:rsid w:val="519CDB13"/>
    <w:rsid w:val="519F963D"/>
    <w:rsid w:val="51A2F369"/>
    <w:rsid w:val="51A3BDA1"/>
    <w:rsid w:val="51A3EFDC"/>
    <w:rsid w:val="51A57CC2"/>
    <w:rsid w:val="51AB10E8"/>
    <w:rsid w:val="51ADAA17"/>
    <w:rsid w:val="51AF7814"/>
    <w:rsid w:val="51AF7E7E"/>
    <w:rsid w:val="51B336BB"/>
    <w:rsid w:val="51B90E90"/>
    <w:rsid w:val="51BB9B27"/>
    <w:rsid w:val="51C0EFAA"/>
    <w:rsid w:val="51C25B06"/>
    <w:rsid w:val="51C31F44"/>
    <w:rsid w:val="51C37FA8"/>
    <w:rsid w:val="51C423FC"/>
    <w:rsid w:val="51C447D1"/>
    <w:rsid w:val="51C5225E"/>
    <w:rsid w:val="51C5C07D"/>
    <w:rsid w:val="51C77998"/>
    <w:rsid w:val="51C7CC1B"/>
    <w:rsid w:val="51D0DCFB"/>
    <w:rsid w:val="51D307C0"/>
    <w:rsid w:val="51D3B2B0"/>
    <w:rsid w:val="51D4D2BA"/>
    <w:rsid w:val="51D54E81"/>
    <w:rsid w:val="51D66570"/>
    <w:rsid w:val="51D71479"/>
    <w:rsid w:val="51D8B5E4"/>
    <w:rsid w:val="51D997D5"/>
    <w:rsid w:val="51DC27BF"/>
    <w:rsid w:val="51DD6BC1"/>
    <w:rsid w:val="51DF3DAF"/>
    <w:rsid w:val="51DF94CE"/>
    <w:rsid w:val="51E003D0"/>
    <w:rsid w:val="51E0A2EB"/>
    <w:rsid w:val="51E0D4F3"/>
    <w:rsid w:val="51E1651F"/>
    <w:rsid w:val="51E2E787"/>
    <w:rsid w:val="51E32D45"/>
    <w:rsid w:val="51E6F69A"/>
    <w:rsid w:val="51E74E96"/>
    <w:rsid w:val="51E8C42A"/>
    <w:rsid w:val="51EB264C"/>
    <w:rsid w:val="51EBC547"/>
    <w:rsid w:val="51ED2E18"/>
    <w:rsid w:val="51ED3764"/>
    <w:rsid w:val="51ED3BDA"/>
    <w:rsid w:val="51EE3891"/>
    <w:rsid w:val="51EEA50C"/>
    <w:rsid w:val="51EF6AC1"/>
    <w:rsid w:val="51EFD2C0"/>
    <w:rsid w:val="51F051CC"/>
    <w:rsid w:val="51F430A6"/>
    <w:rsid w:val="51F44B34"/>
    <w:rsid w:val="51F51B1E"/>
    <w:rsid w:val="51FC1D1D"/>
    <w:rsid w:val="51FD6BF5"/>
    <w:rsid w:val="52000B3A"/>
    <w:rsid w:val="52025799"/>
    <w:rsid w:val="5204DDFC"/>
    <w:rsid w:val="52079F78"/>
    <w:rsid w:val="52082950"/>
    <w:rsid w:val="520891BC"/>
    <w:rsid w:val="52092F4F"/>
    <w:rsid w:val="5209BE6E"/>
    <w:rsid w:val="520A3362"/>
    <w:rsid w:val="520EE0C7"/>
    <w:rsid w:val="5215F772"/>
    <w:rsid w:val="5216602C"/>
    <w:rsid w:val="52193428"/>
    <w:rsid w:val="521AAA5F"/>
    <w:rsid w:val="521B5E27"/>
    <w:rsid w:val="52272A80"/>
    <w:rsid w:val="52287A27"/>
    <w:rsid w:val="522AFF99"/>
    <w:rsid w:val="522DEB2C"/>
    <w:rsid w:val="522F093A"/>
    <w:rsid w:val="522F8300"/>
    <w:rsid w:val="5233A745"/>
    <w:rsid w:val="5234996E"/>
    <w:rsid w:val="5234DCCA"/>
    <w:rsid w:val="5234F1E9"/>
    <w:rsid w:val="5236CA9A"/>
    <w:rsid w:val="52389012"/>
    <w:rsid w:val="5239897F"/>
    <w:rsid w:val="523D1113"/>
    <w:rsid w:val="523D58FB"/>
    <w:rsid w:val="523E2542"/>
    <w:rsid w:val="523F1FE0"/>
    <w:rsid w:val="524179EF"/>
    <w:rsid w:val="5241901A"/>
    <w:rsid w:val="5241F68E"/>
    <w:rsid w:val="5242E03E"/>
    <w:rsid w:val="5243F595"/>
    <w:rsid w:val="52447E98"/>
    <w:rsid w:val="5247DC85"/>
    <w:rsid w:val="524D8ECC"/>
    <w:rsid w:val="525A4C1D"/>
    <w:rsid w:val="525B9D0A"/>
    <w:rsid w:val="525DA9AD"/>
    <w:rsid w:val="52635B77"/>
    <w:rsid w:val="5265FA11"/>
    <w:rsid w:val="52675E65"/>
    <w:rsid w:val="526A305C"/>
    <w:rsid w:val="526FB24B"/>
    <w:rsid w:val="52705112"/>
    <w:rsid w:val="5270B743"/>
    <w:rsid w:val="52721B8C"/>
    <w:rsid w:val="5272CCDC"/>
    <w:rsid w:val="5272E70B"/>
    <w:rsid w:val="5274E7C7"/>
    <w:rsid w:val="52773583"/>
    <w:rsid w:val="52778FF7"/>
    <w:rsid w:val="5277FFDF"/>
    <w:rsid w:val="527CAC38"/>
    <w:rsid w:val="527D0D62"/>
    <w:rsid w:val="527D3294"/>
    <w:rsid w:val="5283075E"/>
    <w:rsid w:val="52840247"/>
    <w:rsid w:val="528657E5"/>
    <w:rsid w:val="528812D3"/>
    <w:rsid w:val="528982F0"/>
    <w:rsid w:val="528B09B7"/>
    <w:rsid w:val="528CFFF2"/>
    <w:rsid w:val="528DA4ED"/>
    <w:rsid w:val="528EC378"/>
    <w:rsid w:val="528ED659"/>
    <w:rsid w:val="52900893"/>
    <w:rsid w:val="5297FB14"/>
    <w:rsid w:val="52996E59"/>
    <w:rsid w:val="52999C1A"/>
    <w:rsid w:val="529B166D"/>
    <w:rsid w:val="529C7A32"/>
    <w:rsid w:val="529F041D"/>
    <w:rsid w:val="52A0C353"/>
    <w:rsid w:val="52A0C6FE"/>
    <w:rsid w:val="52A1FCF4"/>
    <w:rsid w:val="52A45E21"/>
    <w:rsid w:val="52A57C59"/>
    <w:rsid w:val="52A60CF1"/>
    <w:rsid w:val="52A8BCEA"/>
    <w:rsid w:val="52AB1035"/>
    <w:rsid w:val="52AF5F63"/>
    <w:rsid w:val="52B021BF"/>
    <w:rsid w:val="52B026B1"/>
    <w:rsid w:val="52B0C8FE"/>
    <w:rsid w:val="52B18483"/>
    <w:rsid w:val="52B2C4E6"/>
    <w:rsid w:val="52B3A805"/>
    <w:rsid w:val="52B45186"/>
    <w:rsid w:val="52B5339D"/>
    <w:rsid w:val="52B6CFB6"/>
    <w:rsid w:val="52B84414"/>
    <w:rsid w:val="52BBA9D9"/>
    <w:rsid w:val="52BE3685"/>
    <w:rsid w:val="52BFA78B"/>
    <w:rsid w:val="52C22FD5"/>
    <w:rsid w:val="52C4FD27"/>
    <w:rsid w:val="52C6DF73"/>
    <w:rsid w:val="52C73E2A"/>
    <w:rsid w:val="52C887C0"/>
    <w:rsid w:val="52C964CC"/>
    <w:rsid w:val="52CA3F2E"/>
    <w:rsid w:val="52CBD69F"/>
    <w:rsid w:val="52CD07C1"/>
    <w:rsid w:val="52CDCC0C"/>
    <w:rsid w:val="52CE1E00"/>
    <w:rsid w:val="52D1530F"/>
    <w:rsid w:val="52D6CDAF"/>
    <w:rsid w:val="52DCA37D"/>
    <w:rsid w:val="52E04800"/>
    <w:rsid w:val="52E2FF9E"/>
    <w:rsid w:val="52E473EE"/>
    <w:rsid w:val="52E9484A"/>
    <w:rsid w:val="52E94DDC"/>
    <w:rsid w:val="52E9CFBD"/>
    <w:rsid w:val="52EAECCE"/>
    <w:rsid w:val="52EBE27D"/>
    <w:rsid w:val="52EF6E71"/>
    <w:rsid w:val="52F045DE"/>
    <w:rsid w:val="52F08A13"/>
    <w:rsid w:val="52F60392"/>
    <w:rsid w:val="52F699BC"/>
    <w:rsid w:val="52F9442F"/>
    <w:rsid w:val="52FBD969"/>
    <w:rsid w:val="52FDCC1F"/>
    <w:rsid w:val="52FE5251"/>
    <w:rsid w:val="52FE849F"/>
    <w:rsid w:val="53005E23"/>
    <w:rsid w:val="53024702"/>
    <w:rsid w:val="5302AEA7"/>
    <w:rsid w:val="5304DB8F"/>
    <w:rsid w:val="530649E7"/>
    <w:rsid w:val="5306E932"/>
    <w:rsid w:val="5308D0E3"/>
    <w:rsid w:val="530B7933"/>
    <w:rsid w:val="530BF832"/>
    <w:rsid w:val="531009DA"/>
    <w:rsid w:val="5310D8EC"/>
    <w:rsid w:val="531138DC"/>
    <w:rsid w:val="53125D45"/>
    <w:rsid w:val="531E68E1"/>
    <w:rsid w:val="531FA8A8"/>
    <w:rsid w:val="532175B3"/>
    <w:rsid w:val="532381ED"/>
    <w:rsid w:val="532C7A53"/>
    <w:rsid w:val="532D907A"/>
    <w:rsid w:val="532E75AD"/>
    <w:rsid w:val="53316B4E"/>
    <w:rsid w:val="5333C8BC"/>
    <w:rsid w:val="53341CD6"/>
    <w:rsid w:val="53352B30"/>
    <w:rsid w:val="5335DECC"/>
    <w:rsid w:val="533637C5"/>
    <w:rsid w:val="5337055A"/>
    <w:rsid w:val="53370F69"/>
    <w:rsid w:val="53376576"/>
    <w:rsid w:val="5339D026"/>
    <w:rsid w:val="533D0F15"/>
    <w:rsid w:val="53430ECC"/>
    <w:rsid w:val="53462009"/>
    <w:rsid w:val="5347A0CE"/>
    <w:rsid w:val="534952DD"/>
    <w:rsid w:val="534B1C93"/>
    <w:rsid w:val="534CC76D"/>
    <w:rsid w:val="534EB00B"/>
    <w:rsid w:val="534ECFBF"/>
    <w:rsid w:val="534FD731"/>
    <w:rsid w:val="5350D29C"/>
    <w:rsid w:val="5351DC54"/>
    <w:rsid w:val="53522BDC"/>
    <w:rsid w:val="53533B38"/>
    <w:rsid w:val="5353AD67"/>
    <w:rsid w:val="5357E7A3"/>
    <w:rsid w:val="53583EB5"/>
    <w:rsid w:val="535CE2EB"/>
    <w:rsid w:val="535D0DA2"/>
    <w:rsid w:val="5360025C"/>
    <w:rsid w:val="5366B426"/>
    <w:rsid w:val="5367D868"/>
    <w:rsid w:val="5368967F"/>
    <w:rsid w:val="536C66D4"/>
    <w:rsid w:val="536CD837"/>
    <w:rsid w:val="536DA0EC"/>
    <w:rsid w:val="536DEFC0"/>
    <w:rsid w:val="536F522E"/>
    <w:rsid w:val="53708667"/>
    <w:rsid w:val="5371914D"/>
    <w:rsid w:val="53738B9C"/>
    <w:rsid w:val="537571C9"/>
    <w:rsid w:val="53771956"/>
    <w:rsid w:val="537825D2"/>
    <w:rsid w:val="537D8A0C"/>
    <w:rsid w:val="53809A88"/>
    <w:rsid w:val="5382AE8E"/>
    <w:rsid w:val="5384AECD"/>
    <w:rsid w:val="53861E10"/>
    <w:rsid w:val="5388DBE8"/>
    <w:rsid w:val="538A3997"/>
    <w:rsid w:val="538CBE03"/>
    <w:rsid w:val="53947D3C"/>
    <w:rsid w:val="5396A6D2"/>
    <w:rsid w:val="53979F56"/>
    <w:rsid w:val="5398A417"/>
    <w:rsid w:val="53A2005F"/>
    <w:rsid w:val="53A3BC5C"/>
    <w:rsid w:val="53A5D923"/>
    <w:rsid w:val="53A73D14"/>
    <w:rsid w:val="53A8FEBC"/>
    <w:rsid w:val="53AA49B0"/>
    <w:rsid w:val="53AAA705"/>
    <w:rsid w:val="53ABF90B"/>
    <w:rsid w:val="53AE62EE"/>
    <w:rsid w:val="53B08A30"/>
    <w:rsid w:val="53B17EEB"/>
    <w:rsid w:val="53B504AF"/>
    <w:rsid w:val="53B7AB90"/>
    <w:rsid w:val="53B7AFEF"/>
    <w:rsid w:val="53BAAC82"/>
    <w:rsid w:val="53BB98C6"/>
    <w:rsid w:val="53BE9348"/>
    <w:rsid w:val="53C0B966"/>
    <w:rsid w:val="53C19338"/>
    <w:rsid w:val="53C2CDE0"/>
    <w:rsid w:val="53C3A57B"/>
    <w:rsid w:val="53C44DDB"/>
    <w:rsid w:val="53C5B2C8"/>
    <w:rsid w:val="53C78282"/>
    <w:rsid w:val="53CAF4BC"/>
    <w:rsid w:val="53CBB01E"/>
    <w:rsid w:val="53CD1C11"/>
    <w:rsid w:val="53CD4F71"/>
    <w:rsid w:val="53CD6F03"/>
    <w:rsid w:val="53CD9FD7"/>
    <w:rsid w:val="53D1A7AB"/>
    <w:rsid w:val="53D256BB"/>
    <w:rsid w:val="53D280CE"/>
    <w:rsid w:val="53D69451"/>
    <w:rsid w:val="53D6A3E0"/>
    <w:rsid w:val="53D6A7DA"/>
    <w:rsid w:val="53D80EF1"/>
    <w:rsid w:val="53D83D19"/>
    <w:rsid w:val="53D8C9E9"/>
    <w:rsid w:val="53D9143D"/>
    <w:rsid w:val="53D959BD"/>
    <w:rsid w:val="53DF8311"/>
    <w:rsid w:val="53DF9407"/>
    <w:rsid w:val="53E1EB8E"/>
    <w:rsid w:val="53E3C2D9"/>
    <w:rsid w:val="53E3DA76"/>
    <w:rsid w:val="53E417CA"/>
    <w:rsid w:val="53E69BDC"/>
    <w:rsid w:val="53E74968"/>
    <w:rsid w:val="53E810DF"/>
    <w:rsid w:val="53E90E23"/>
    <w:rsid w:val="53E946F3"/>
    <w:rsid w:val="53EE7662"/>
    <w:rsid w:val="53F03256"/>
    <w:rsid w:val="53F28083"/>
    <w:rsid w:val="53F54BC1"/>
    <w:rsid w:val="53F87775"/>
    <w:rsid w:val="53F9B00F"/>
    <w:rsid w:val="53FD94DE"/>
    <w:rsid w:val="53FE3BA6"/>
    <w:rsid w:val="53FFC14F"/>
    <w:rsid w:val="5400CFBD"/>
    <w:rsid w:val="540199FD"/>
    <w:rsid w:val="5401CE98"/>
    <w:rsid w:val="54070001"/>
    <w:rsid w:val="54084215"/>
    <w:rsid w:val="540A0213"/>
    <w:rsid w:val="540A5032"/>
    <w:rsid w:val="540A855A"/>
    <w:rsid w:val="540C846E"/>
    <w:rsid w:val="540C9CDD"/>
    <w:rsid w:val="540D37CF"/>
    <w:rsid w:val="5414836A"/>
    <w:rsid w:val="5415DF7B"/>
    <w:rsid w:val="5417398C"/>
    <w:rsid w:val="541B32A7"/>
    <w:rsid w:val="541BA9CD"/>
    <w:rsid w:val="541CB9A9"/>
    <w:rsid w:val="541EA864"/>
    <w:rsid w:val="541F4E5E"/>
    <w:rsid w:val="54201749"/>
    <w:rsid w:val="5424F050"/>
    <w:rsid w:val="5429EFCC"/>
    <w:rsid w:val="542A4740"/>
    <w:rsid w:val="542A47A2"/>
    <w:rsid w:val="542B4011"/>
    <w:rsid w:val="542C3C1A"/>
    <w:rsid w:val="542C96A7"/>
    <w:rsid w:val="542D1CF6"/>
    <w:rsid w:val="5432FEE9"/>
    <w:rsid w:val="5434FE8D"/>
    <w:rsid w:val="543510BC"/>
    <w:rsid w:val="54354663"/>
    <w:rsid w:val="5435A7E1"/>
    <w:rsid w:val="54370E3C"/>
    <w:rsid w:val="54379A4F"/>
    <w:rsid w:val="543AAB42"/>
    <w:rsid w:val="543C6676"/>
    <w:rsid w:val="543D49BD"/>
    <w:rsid w:val="543D96ED"/>
    <w:rsid w:val="543E3165"/>
    <w:rsid w:val="54409505"/>
    <w:rsid w:val="544286F5"/>
    <w:rsid w:val="5445855F"/>
    <w:rsid w:val="54460896"/>
    <w:rsid w:val="54467152"/>
    <w:rsid w:val="54497F74"/>
    <w:rsid w:val="544A657E"/>
    <w:rsid w:val="544D9A5A"/>
    <w:rsid w:val="544EC7C9"/>
    <w:rsid w:val="5455FF99"/>
    <w:rsid w:val="5456EA47"/>
    <w:rsid w:val="5457F278"/>
    <w:rsid w:val="5459E05A"/>
    <w:rsid w:val="545A3417"/>
    <w:rsid w:val="545B1904"/>
    <w:rsid w:val="545D9353"/>
    <w:rsid w:val="545F7C27"/>
    <w:rsid w:val="5460AD75"/>
    <w:rsid w:val="54657E7F"/>
    <w:rsid w:val="5468F628"/>
    <w:rsid w:val="54695212"/>
    <w:rsid w:val="546B52D4"/>
    <w:rsid w:val="546B93E6"/>
    <w:rsid w:val="546BCE53"/>
    <w:rsid w:val="546D3282"/>
    <w:rsid w:val="5471CAA2"/>
    <w:rsid w:val="54727394"/>
    <w:rsid w:val="54731105"/>
    <w:rsid w:val="5475BC7B"/>
    <w:rsid w:val="5476BB55"/>
    <w:rsid w:val="54799E8B"/>
    <w:rsid w:val="547C45DE"/>
    <w:rsid w:val="547DAA04"/>
    <w:rsid w:val="547EA4C4"/>
    <w:rsid w:val="5480B3D3"/>
    <w:rsid w:val="54810163"/>
    <w:rsid w:val="5481133E"/>
    <w:rsid w:val="54848D76"/>
    <w:rsid w:val="548872D8"/>
    <w:rsid w:val="54893EA0"/>
    <w:rsid w:val="548D08F9"/>
    <w:rsid w:val="548D7EBF"/>
    <w:rsid w:val="548F91F9"/>
    <w:rsid w:val="54907AA5"/>
    <w:rsid w:val="54916B9A"/>
    <w:rsid w:val="54929916"/>
    <w:rsid w:val="5494E178"/>
    <w:rsid w:val="54953361"/>
    <w:rsid w:val="54963F53"/>
    <w:rsid w:val="549A3DA5"/>
    <w:rsid w:val="549C127A"/>
    <w:rsid w:val="549C65F5"/>
    <w:rsid w:val="54A068F3"/>
    <w:rsid w:val="54A1221F"/>
    <w:rsid w:val="54A24F01"/>
    <w:rsid w:val="54A41A34"/>
    <w:rsid w:val="54A50FFC"/>
    <w:rsid w:val="54A608A0"/>
    <w:rsid w:val="54A769A9"/>
    <w:rsid w:val="54A95927"/>
    <w:rsid w:val="54A9BC0D"/>
    <w:rsid w:val="54A9E911"/>
    <w:rsid w:val="54AAAC58"/>
    <w:rsid w:val="54AADD08"/>
    <w:rsid w:val="54AB04D5"/>
    <w:rsid w:val="54AE10B6"/>
    <w:rsid w:val="54AF0946"/>
    <w:rsid w:val="54AF7AE8"/>
    <w:rsid w:val="54B11DA9"/>
    <w:rsid w:val="54B2BF9B"/>
    <w:rsid w:val="54B4FCCF"/>
    <w:rsid w:val="54B65FCC"/>
    <w:rsid w:val="54BC8290"/>
    <w:rsid w:val="54C0B4CF"/>
    <w:rsid w:val="54C1DD81"/>
    <w:rsid w:val="54C32D14"/>
    <w:rsid w:val="54C35CEF"/>
    <w:rsid w:val="54C434C2"/>
    <w:rsid w:val="54C55BE1"/>
    <w:rsid w:val="54C59C7E"/>
    <w:rsid w:val="54C5D50A"/>
    <w:rsid w:val="54C6A426"/>
    <w:rsid w:val="54C7209B"/>
    <w:rsid w:val="54CCE66C"/>
    <w:rsid w:val="54CE07BA"/>
    <w:rsid w:val="54D2FFB7"/>
    <w:rsid w:val="54D44FB9"/>
    <w:rsid w:val="54D5A7CD"/>
    <w:rsid w:val="54D661ED"/>
    <w:rsid w:val="54DA0FC5"/>
    <w:rsid w:val="54DB9DEB"/>
    <w:rsid w:val="54DE2F51"/>
    <w:rsid w:val="54E0480F"/>
    <w:rsid w:val="54E47008"/>
    <w:rsid w:val="54EB9369"/>
    <w:rsid w:val="54EBC6CE"/>
    <w:rsid w:val="54EDD35A"/>
    <w:rsid w:val="54EE66AC"/>
    <w:rsid w:val="54EEBAA7"/>
    <w:rsid w:val="54F341D5"/>
    <w:rsid w:val="54F523A6"/>
    <w:rsid w:val="54F8A21A"/>
    <w:rsid w:val="54FA1D7D"/>
    <w:rsid w:val="54FA7831"/>
    <w:rsid w:val="54FCE9F9"/>
    <w:rsid w:val="54FEC2BD"/>
    <w:rsid w:val="5503B141"/>
    <w:rsid w:val="5503DB81"/>
    <w:rsid w:val="550661C2"/>
    <w:rsid w:val="55075F1C"/>
    <w:rsid w:val="55085209"/>
    <w:rsid w:val="55085E10"/>
    <w:rsid w:val="5508BD2B"/>
    <w:rsid w:val="5509E1AD"/>
    <w:rsid w:val="550BF0F6"/>
    <w:rsid w:val="550CBE4F"/>
    <w:rsid w:val="550D3E8D"/>
    <w:rsid w:val="550E3B24"/>
    <w:rsid w:val="550F1C77"/>
    <w:rsid w:val="55130CAE"/>
    <w:rsid w:val="55142D6A"/>
    <w:rsid w:val="55145C05"/>
    <w:rsid w:val="5514C086"/>
    <w:rsid w:val="55167F3A"/>
    <w:rsid w:val="55171BEB"/>
    <w:rsid w:val="5517A492"/>
    <w:rsid w:val="551AB11F"/>
    <w:rsid w:val="551D7508"/>
    <w:rsid w:val="551E5831"/>
    <w:rsid w:val="5520023F"/>
    <w:rsid w:val="55223CD2"/>
    <w:rsid w:val="5525B772"/>
    <w:rsid w:val="55267270"/>
    <w:rsid w:val="5528EE7A"/>
    <w:rsid w:val="5529C576"/>
    <w:rsid w:val="5529E1D6"/>
    <w:rsid w:val="552EF8AF"/>
    <w:rsid w:val="552F1E65"/>
    <w:rsid w:val="5533D97C"/>
    <w:rsid w:val="55344E8E"/>
    <w:rsid w:val="5536203E"/>
    <w:rsid w:val="55374AC3"/>
    <w:rsid w:val="55392B5B"/>
    <w:rsid w:val="55393810"/>
    <w:rsid w:val="553AB090"/>
    <w:rsid w:val="553BD9D4"/>
    <w:rsid w:val="55410705"/>
    <w:rsid w:val="55414AB1"/>
    <w:rsid w:val="5542DE7A"/>
    <w:rsid w:val="554900B9"/>
    <w:rsid w:val="554A042E"/>
    <w:rsid w:val="554D120A"/>
    <w:rsid w:val="554DD552"/>
    <w:rsid w:val="554F05CD"/>
    <w:rsid w:val="555057F9"/>
    <w:rsid w:val="55550E94"/>
    <w:rsid w:val="5557490B"/>
    <w:rsid w:val="555B543C"/>
    <w:rsid w:val="555C53AB"/>
    <w:rsid w:val="555C9ED2"/>
    <w:rsid w:val="555F4976"/>
    <w:rsid w:val="55605A94"/>
    <w:rsid w:val="5564A7A5"/>
    <w:rsid w:val="55662868"/>
    <w:rsid w:val="556952DB"/>
    <w:rsid w:val="55696260"/>
    <w:rsid w:val="556F904E"/>
    <w:rsid w:val="55733EEB"/>
    <w:rsid w:val="5575AFB8"/>
    <w:rsid w:val="55784DB0"/>
    <w:rsid w:val="557D50F9"/>
    <w:rsid w:val="557E1160"/>
    <w:rsid w:val="557F8332"/>
    <w:rsid w:val="55818BE8"/>
    <w:rsid w:val="55862152"/>
    <w:rsid w:val="5588E74F"/>
    <w:rsid w:val="558B05B0"/>
    <w:rsid w:val="558BD4C6"/>
    <w:rsid w:val="558C0C8C"/>
    <w:rsid w:val="5592C0F1"/>
    <w:rsid w:val="559339E7"/>
    <w:rsid w:val="5594435C"/>
    <w:rsid w:val="559570F7"/>
    <w:rsid w:val="559898F4"/>
    <w:rsid w:val="5598A42B"/>
    <w:rsid w:val="5598E004"/>
    <w:rsid w:val="559A64F4"/>
    <w:rsid w:val="559B0F0F"/>
    <w:rsid w:val="559FFEF5"/>
    <w:rsid w:val="55A1F5C1"/>
    <w:rsid w:val="55A57119"/>
    <w:rsid w:val="55A6E45E"/>
    <w:rsid w:val="55A868D7"/>
    <w:rsid w:val="55A89584"/>
    <w:rsid w:val="55AD44B9"/>
    <w:rsid w:val="55AD9C27"/>
    <w:rsid w:val="55AEE2E8"/>
    <w:rsid w:val="55B0C6EE"/>
    <w:rsid w:val="55B3D3BE"/>
    <w:rsid w:val="55B4F619"/>
    <w:rsid w:val="55B73361"/>
    <w:rsid w:val="55B951FC"/>
    <w:rsid w:val="55BAE2A5"/>
    <w:rsid w:val="55BE5C63"/>
    <w:rsid w:val="55C0DAD1"/>
    <w:rsid w:val="55C83C97"/>
    <w:rsid w:val="55CA253E"/>
    <w:rsid w:val="55D09E2C"/>
    <w:rsid w:val="55D30DD1"/>
    <w:rsid w:val="55D3C6C9"/>
    <w:rsid w:val="55D46863"/>
    <w:rsid w:val="55D51675"/>
    <w:rsid w:val="55D7CB9A"/>
    <w:rsid w:val="55D97BEA"/>
    <w:rsid w:val="55DB0113"/>
    <w:rsid w:val="55DB2548"/>
    <w:rsid w:val="55DBC545"/>
    <w:rsid w:val="55DC7EDC"/>
    <w:rsid w:val="55DEBE47"/>
    <w:rsid w:val="55E05A31"/>
    <w:rsid w:val="55E70579"/>
    <w:rsid w:val="55EB765B"/>
    <w:rsid w:val="55EB8D8A"/>
    <w:rsid w:val="55F27675"/>
    <w:rsid w:val="55F2EF99"/>
    <w:rsid w:val="55F30BC3"/>
    <w:rsid w:val="55F5937E"/>
    <w:rsid w:val="55F9472F"/>
    <w:rsid w:val="55FC7E89"/>
    <w:rsid w:val="55FD9639"/>
    <w:rsid w:val="55FDC092"/>
    <w:rsid w:val="55FDC6F8"/>
    <w:rsid w:val="55FE6A5F"/>
    <w:rsid w:val="56022E34"/>
    <w:rsid w:val="56034967"/>
    <w:rsid w:val="56037761"/>
    <w:rsid w:val="56079016"/>
    <w:rsid w:val="56083BD7"/>
    <w:rsid w:val="560886AD"/>
    <w:rsid w:val="560ADE12"/>
    <w:rsid w:val="560FCF22"/>
    <w:rsid w:val="5611C996"/>
    <w:rsid w:val="561356D8"/>
    <w:rsid w:val="56146482"/>
    <w:rsid w:val="5614EE62"/>
    <w:rsid w:val="561540BA"/>
    <w:rsid w:val="5616BF25"/>
    <w:rsid w:val="5617CA76"/>
    <w:rsid w:val="56184B94"/>
    <w:rsid w:val="561A998C"/>
    <w:rsid w:val="561CFB80"/>
    <w:rsid w:val="5626C459"/>
    <w:rsid w:val="5627E7F8"/>
    <w:rsid w:val="562851CD"/>
    <w:rsid w:val="5629C739"/>
    <w:rsid w:val="562A0F59"/>
    <w:rsid w:val="562CA6CD"/>
    <w:rsid w:val="562EA88B"/>
    <w:rsid w:val="56306C0D"/>
    <w:rsid w:val="56341B78"/>
    <w:rsid w:val="563575C8"/>
    <w:rsid w:val="5635D4F8"/>
    <w:rsid w:val="5636BE1B"/>
    <w:rsid w:val="563AD5A3"/>
    <w:rsid w:val="563C7D05"/>
    <w:rsid w:val="5643B175"/>
    <w:rsid w:val="5644CCF9"/>
    <w:rsid w:val="56459B7F"/>
    <w:rsid w:val="5645D86E"/>
    <w:rsid w:val="5646CDFF"/>
    <w:rsid w:val="564940F4"/>
    <w:rsid w:val="564BD74D"/>
    <w:rsid w:val="564D5179"/>
    <w:rsid w:val="564FD212"/>
    <w:rsid w:val="5650BDA0"/>
    <w:rsid w:val="56539080"/>
    <w:rsid w:val="5653BEDA"/>
    <w:rsid w:val="5656707D"/>
    <w:rsid w:val="56567F48"/>
    <w:rsid w:val="5658D06C"/>
    <w:rsid w:val="5659623B"/>
    <w:rsid w:val="56597A24"/>
    <w:rsid w:val="565E94F8"/>
    <w:rsid w:val="565EF952"/>
    <w:rsid w:val="56617CB0"/>
    <w:rsid w:val="5661CD69"/>
    <w:rsid w:val="566252A9"/>
    <w:rsid w:val="5662C655"/>
    <w:rsid w:val="5662E34A"/>
    <w:rsid w:val="5662F470"/>
    <w:rsid w:val="56663B2E"/>
    <w:rsid w:val="566860FB"/>
    <w:rsid w:val="5668BFA9"/>
    <w:rsid w:val="5669E95B"/>
    <w:rsid w:val="566C77C9"/>
    <w:rsid w:val="566CB1C0"/>
    <w:rsid w:val="5671DF2E"/>
    <w:rsid w:val="56722460"/>
    <w:rsid w:val="5674398D"/>
    <w:rsid w:val="5675C73B"/>
    <w:rsid w:val="567621AC"/>
    <w:rsid w:val="56765464"/>
    <w:rsid w:val="56771408"/>
    <w:rsid w:val="5679B472"/>
    <w:rsid w:val="567AF2F9"/>
    <w:rsid w:val="567BB762"/>
    <w:rsid w:val="567CC4BF"/>
    <w:rsid w:val="567DE09E"/>
    <w:rsid w:val="56802045"/>
    <w:rsid w:val="5685DE96"/>
    <w:rsid w:val="568BC1E7"/>
    <w:rsid w:val="568C7D5A"/>
    <w:rsid w:val="568C7F00"/>
    <w:rsid w:val="568E92D7"/>
    <w:rsid w:val="5691C7B8"/>
    <w:rsid w:val="5693B8F1"/>
    <w:rsid w:val="56943042"/>
    <w:rsid w:val="56955F70"/>
    <w:rsid w:val="5696173F"/>
    <w:rsid w:val="5697B1DB"/>
    <w:rsid w:val="56985A31"/>
    <w:rsid w:val="569ABD65"/>
    <w:rsid w:val="56A340D6"/>
    <w:rsid w:val="56A6D5C3"/>
    <w:rsid w:val="56A7C751"/>
    <w:rsid w:val="56AC1B5C"/>
    <w:rsid w:val="56ADF11D"/>
    <w:rsid w:val="56B00E44"/>
    <w:rsid w:val="56B3284A"/>
    <w:rsid w:val="56B5D572"/>
    <w:rsid w:val="56B70F6B"/>
    <w:rsid w:val="56B8727B"/>
    <w:rsid w:val="56BBB6EB"/>
    <w:rsid w:val="56BC2199"/>
    <w:rsid w:val="56BCE937"/>
    <w:rsid w:val="56BCEDDA"/>
    <w:rsid w:val="56C11A53"/>
    <w:rsid w:val="56C32DDC"/>
    <w:rsid w:val="56C76311"/>
    <w:rsid w:val="56C81E2D"/>
    <w:rsid w:val="56C9F634"/>
    <w:rsid w:val="56CC34FD"/>
    <w:rsid w:val="56CC5CAA"/>
    <w:rsid w:val="56D15676"/>
    <w:rsid w:val="56D700C5"/>
    <w:rsid w:val="56DB483C"/>
    <w:rsid w:val="56DB5500"/>
    <w:rsid w:val="56DD1A38"/>
    <w:rsid w:val="56DEF437"/>
    <w:rsid w:val="56DF0930"/>
    <w:rsid w:val="56E01AAC"/>
    <w:rsid w:val="56E0D10E"/>
    <w:rsid w:val="56E554E2"/>
    <w:rsid w:val="56E78910"/>
    <w:rsid w:val="56EB69A4"/>
    <w:rsid w:val="56EE71CF"/>
    <w:rsid w:val="56EEEBED"/>
    <w:rsid w:val="56F0C37D"/>
    <w:rsid w:val="56F44C09"/>
    <w:rsid w:val="56F717D6"/>
    <w:rsid w:val="56FB3D4B"/>
    <w:rsid w:val="56FFB351"/>
    <w:rsid w:val="5704D235"/>
    <w:rsid w:val="57073C7E"/>
    <w:rsid w:val="570B7B29"/>
    <w:rsid w:val="570FC1EB"/>
    <w:rsid w:val="57103A6C"/>
    <w:rsid w:val="57163622"/>
    <w:rsid w:val="57163DF6"/>
    <w:rsid w:val="5718A2E7"/>
    <w:rsid w:val="571BA2D7"/>
    <w:rsid w:val="571E4A8A"/>
    <w:rsid w:val="57204943"/>
    <w:rsid w:val="5720E0F0"/>
    <w:rsid w:val="5726F760"/>
    <w:rsid w:val="5728A664"/>
    <w:rsid w:val="57295917"/>
    <w:rsid w:val="572BAB0E"/>
    <w:rsid w:val="572D4CD3"/>
    <w:rsid w:val="572ED25D"/>
    <w:rsid w:val="573087E4"/>
    <w:rsid w:val="5732261D"/>
    <w:rsid w:val="57336F89"/>
    <w:rsid w:val="573680A4"/>
    <w:rsid w:val="57386B99"/>
    <w:rsid w:val="573A2271"/>
    <w:rsid w:val="573FE254"/>
    <w:rsid w:val="57414139"/>
    <w:rsid w:val="5742BB73"/>
    <w:rsid w:val="5743CC0C"/>
    <w:rsid w:val="5743CE86"/>
    <w:rsid w:val="5745AF63"/>
    <w:rsid w:val="5746892A"/>
    <w:rsid w:val="574791CF"/>
    <w:rsid w:val="57494303"/>
    <w:rsid w:val="574959D1"/>
    <w:rsid w:val="574B6BCC"/>
    <w:rsid w:val="574BB3FB"/>
    <w:rsid w:val="574D4AC9"/>
    <w:rsid w:val="574D7C28"/>
    <w:rsid w:val="575095B4"/>
    <w:rsid w:val="575222A7"/>
    <w:rsid w:val="57527313"/>
    <w:rsid w:val="57538DC6"/>
    <w:rsid w:val="5758FB1D"/>
    <w:rsid w:val="575C3B61"/>
    <w:rsid w:val="575D3B98"/>
    <w:rsid w:val="575E02F0"/>
    <w:rsid w:val="575EC771"/>
    <w:rsid w:val="57612B8F"/>
    <w:rsid w:val="57653528"/>
    <w:rsid w:val="57689E67"/>
    <w:rsid w:val="576B065D"/>
    <w:rsid w:val="576C049E"/>
    <w:rsid w:val="576FDF62"/>
    <w:rsid w:val="57717F01"/>
    <w:rsid w:val="57720535"/>
    <w:rsid w:val="5772A4D2"/>
    <w:rsid w:val="5775455B"/>
    <w:rsid w:val="577828E5"/>
    <w:rsid w:val="57783326"/>
    <w:rsid w:val="577A35C2"/>
    <w:rsid w:val="577B5CF8"/>
    <w:rsid w:val="577CFB72"/>
    <w:rsid w:val="577D51A2"/>
    <w:rsid w:val="577EBD00"/>
    <w:rsid w:val="577ECC9A"/>
    <w:rsid w:val="577FC218"/>
    <w:rsid w:val="577FED46"/>
    <w:rsid w:val="5781639A"/>
    <w:rsid w:val="578384D1"/>
    <w:rsid w:val="57846E08"/>
    <w:rsid w:val="57861E6F"/>
    <w:rsid w:val="5786AA86"/>
    <w:rsid w:val="5787989D"/>
    <w:rsid w:val="57884D88"/>
    <w:rsid w:val="5789F075"/>
    <w:rsid w:val="578BC094"/>
    <w:rsid w:val="578D8616"/>
    <w:rsid w:val="578F2D93"/>
    <w:rsid w:val="57952E4D"/>
    <w:rsid w:val="579736FA"/>
    <w:rsid w:val="5799EB9A"/>
    <w:rsid w:val="579A3E7B"/>
    <w:rsid w:val="579CC807"/>
    <w:rsid w:val="57A02CF5"/>
    <w:rsid w:val="57A12E08"/>
    <w:rsid w:val="57A33F71"/>
    <w:rsid w:val="57A4FAAC"/>
    <w:rsid w:val="57A72868"/>
    <w:rsid w:val="57A84E9A"/>
    <w:rsid w:val="57AAD2C4"/>
    <w:rsid w:val="57AE9859"/>
    <w:rsid w:val="57B0B7AD"/>
    <w:rsid w:val="57B0EED0"/>
    <w:rsid w:val="57B2BD24"/>
    <w:rsid w:val="57B32784"/>
    <w:rsid w:val="57B4DF42"/>
    <w:rsid w:val="57B730BF"/>
    <w:rsid w:val="57B97541"/>
    <w:rsid w:val="57BBE47D"/>
    <w:rsid w:val="57BE0CA4"/>
    <w:rsid w:val="57BEC8F9"/>
    <w:rsid w:val="57C05A06"/>
    <w:rsid w:val="57C2F6A8"/>
    <w:rsid w:val="57C342DE"/>
    <w:rsid w:val="57C3AB99"/>
    <w:rsid w:val="57C8EBB0"/>
    <w:rsid w:val="57CA8620"/>
    <w:rsid w:val="57CB4EFB"/>
    <w:rsid w:val="57CEA883"/>
    <w:rsid w:val="57D0035E"/>
    <w:rsid w:val="57D16D5F"/>
    <w:rsid w:val="57D25614"/>
    <w:rsid w:val="57D33DD3"/>
    <w:rsid w:val="57D781D7"/>
    <w:rsid w:val="57D882F0"/>
    <w:rsid w:val="57DC5F46"/>
    <w:rsid w:val="57DC6E90"/>
    <w:rsid w:val="57DD6058"/>
    <w:rsid w:val="57DD79E9"/>
    <w:rsid w:val="57DD9D46"/>
    <w:rsid w:val="57E168FC"/>
    <w:rsid w:val="57E16BE0"/>
    <w:rsid w:val="57E2576D"/>
    <w:rsid w:val="57E3F8B2"/>
    <w:rsid w:val="57E4270C"/>
    <w:rsid w:val="57E533E5"/>
    <w:rsid w:val="57E6A7D7"/>
    <w:rsid w:val="57E74CCD"/>
    <w:rsid w:val="57E781E6"/>
    <w:rsid w:val="57E8D4BE"/>
    <w:rsid w:val="57EA3376"/>
    <w:rsid w:val="57F045F3"/>
    <w:rsid w:val="57F15E07"/>
    <w:rsid w:val="57F350A7"/>
    <w:rsid w:val="57F3793A"/>
    <w:rsid w:val="57F587A3"/>
    <w:rsid w:val="57F7E8E5"/>
    <w:rsid w:val="57F8F0B5"/>
    <w:rsid w:val="57FB8E63"/>
    <w:rsid w:val="57FEDC0A"/>
    <w:rsid w:val="57FFE1F2"/>
    <w:rsid w:val="58009A58"/>
    <w:rsid w:val="5800D890"/>
    <w:rsid w:val="5801550A"/>
    <w:rsid w:val="58028A24"/>
    <w:rsid w:val="580359CF"/>
    <w:rsid w:val="58075E92"/>
    <w:rsid w:val="5810E4DE"/>
    <w:rsid w:val="58117EDE"/>
    <w:rsid w:val="581540D6"/>
    <w:rsid w:val="5815A645"/>
    <w:rsid w:val="58168CB1"/>
    <w:rsid w:val="5817C13A"/>
    <w:rsid w:val="5819FD8B"/>
    <w:rsid w:val="581BC5C6"/>
    <w:rsid w:val="581CC195"/>
    <w:rsid w:val="58210B66"/>
    <w:rsid w:val="58219BD8"/>
    <w:rsid w:val="5822518B"/>
    <w:rsid w:val="582379B7"/>
    <w:rsid w:val="582B70B3"/>
    <w:rsid w:val="582BB252"/>
    <w:rsid w:val="582E9B0F"/>
    <w:rsid w:val="582EA094"/>
    <w:rsid w:val="582F1289"/>
    <w:rsid w:val="5831FAE9"/>
    <w:rsid w:val="5832DCF7"/>
    <w:rsid w:val="5835B771"/>
    <w:rsid w:val="58370446"/>
    <w:rsid w:val="58396FF8"/>
    <w:rsid w:val="583AACFB"/>
    <w:rsid w:val="583AC063"/>
    <w:rsid w:val="58403CB7"/>
    <w:rsid w:val="58425ABF"/>
    <w:rsid w:val="58454452"/>
    <w:rsid w:val="5845CB3B"/>
    <w:rsid w:val="5845FC4C"/>
    <w:rsid w:val="584603D7"/>
    <w:rsid w:val="5849848B"/>
    <w:rsid w:val="58499C53"/>
    <w:rsid w:val="5849EE9E"/>
    <w:rsid w:val="584AE005"/>
    <w:rsid w:val="584D0662"/>
    <w:rsid w:val="584D32DF"/>
    <w:rsid w:val="584E4508"/>
    <w:rsid w:val="58514FF8"/>
    <w:rsid w:val="5851E944"/>
    <w:rsid w:val="5857081F"/>
    <w:rsid w:val="585739D3"/>
    <w:rsid w:val="58589A35"/>
    <w:rsid w:val="5858D2B2"/>
    <w:rsid w:val="5858F1AC"/>
    <w:rsid w:val="585941FD"/>
    <w:rsid w:val="585ABB16"/>
    <w:rsid w:val="585D5834"/>
    <w:rsid w:val="585D97F3"/>
    <w:rsid w:val="58640B34"/>
    <w:rsid w:val="5864784F"/>
    <w:rsid w:val="5864E0A1"/>
    <w:rsid w:val="5865826E"/>
    <w:rsid w:val="58672DF3"/>
    <w:rsid w:val="5867600A"/>
    <w:rsid w:val="5867C974"/>
    <w:rsid w:val="5869DE68"/>
    <w:rsid w:val="586A6AEA"/>
    <w:rsid w:val="586A719D"/>
    <w:rsid w:val="587034C0"/>
    <w:rsid w:val="587237F8"/>
    <w:rsid w:val="587418F6"/>
    <w:rsid w:val="5879F816"/>
    <w:rsid w:val="587B9824"/>
    <w:rsid w:val="587BB27D"/>
    <w:rsid w:val="587C138B"/>
    <w:rsid w:val="587CA252"/>
    <w:rsid w:val="587FA6A4"/>
    <w:rsid w:val="588152C1"/>
    <w:rsid w:val="5881678D"/>
    <w:rsid w:val="5884A397"/>
    <w:rsid w:val="5884B2CC"/>
    <w:rsid w:val="58860F70"/>
    <w:rsid w:val="5886B23A"/>
    <w:rsid w:val="58892924"/>
    <w:rsid w:val="588A5EF5"/>
    <w:rsid w:val="588A931F"/>
    <w:rsid w:val="588F2E73"/>
    <w:rsid w:val="58922CF8"/>
    <w:rsid w:val="589292CE"/>
    <w:rsid w:val="5897D19A"/>
    <w:rsid w:val="5899B211"/>
    <w:rsid w:val="5899C40E"/>
    <w:rsid w:val="5899CBA9"/>
    <w:rsid w:val="589C4F80"/>
    <w:rsid w:val="589C9ED6"/>
    <w:rsid w:val="589CDE3D"/>
    <w:rsid w:val="589EEB98"/>
    <w:rsid w:val="589F0844"/>
    <w:rsid w:val="58A5F540"/>
    <w:rsid w:val="58AA1B18"/>
    <w:rsid w:val="58AB0399"/>
    <w:rsid w:val="58AD4E6F"/>
    <w:rsid w:val="58AE1DC6"/>
    <w:rsid w:val="58AFB285"/>
    <w:rsid w:val="58AFB8EF"/>
    <w:rsid w:val="58B0C7F5"/>
    <w:rsid w:val="58B2393B"/>
    <w:rsid w:val="58B27489"/>
    <w:rsid w:val="58B4A547"/>
    <w:rsid w:val="58B4D2E9"/>
    <w:rsid w:val="58B75903"/>
    <w:rsid w:val="58B8348D"/>
    <w:rsid w:val="58BA7314"/>
    <w:rsid w:val="58BECDE0"/>
    <w:rsid w:val="58BF6E56"/>
    <w:rsid w:val="58C08914"/>
    <w:rsid w:val="58C1BA30"/>
    <w:rsid w:val="58C2AE2D"/>
    <w:rsid w:val="58C64480"/>
    <w:rsid w:val="58C8705B"/>
    <w:rsid w:val="58C9C5C2"/>
    <w:rsid w:val="58CA6A3F"/>
    <w:rsid w:val="58CBB586"/>
    <w:rsid w:val="58D25717"/>
    <w:rsid w:val="58D396B1"/>
    <w:rsid w:val="58D4DEA9"/>
    <w:rsid w:val="58DE5A95"/>
    <w:rsid w:val="58E51513"/>
    <w:rsid w:val="58E53702"/>
    <w:rsid w:val="58E6761A"/>
    <w:rsid w:val="58E6C0B9"/>
    <w:rsid w:val="58E7324B"/>
    <w:rsid w:val="58E74467"/>
    <w:rsid w:val="58EA6B92"/>
    <w:rsid w:val="58EB1A0F"/>
    <w:rsid w:val="58EB4C10"/>
    <w:rsid w:val="58EC3992"/>
    <w:rsid w:val="58ECE9DF"/>
    <w:rsid w:val="58EE5182"/>
    <w:rsid w:val="58EF47DA"/>
    <w:rsid w:val="58F00F72"/>
    <w:rsid w:val="58F01F64"/>
    <w:rsid w:val="58F18530"/>
    <w:rsid w:val="58F343CB"/>
    <w:rsid w:val="58F3E94D"/>
    <w:rsid w:val="58F468E7"/>
    <w:rsid w:val="58F825EB"/>
    <w:rsid w:val="58F9544C"/>
    <w:rsid w:val="58F97C7A"/>
    <w:rsid w:val="58F9E4AF"/>
    <w:rsid w:val="58FAD799"/>
    <w:rsid w:val="58FDB8A8"/>
    <w:rsid w:val="58FDD275"/>
    <w:rsid w:val="59003F40"/>
    <w:rsid w:val="5900D7EA"/>
    <w:rsid w:val="59010501"/>
    <w:rsid w:val="5901EA70"/>
    <w:rsid w:val="590301DD"/>
    <w:rsid w:val="5903D009"/>
    <w:rsid w:val="5905CC21"/>
    <w:rsid w:val="59115A0A"/>
    <w:rsid w:val="5913EE6F"/>
    <w:rsid w:val="59163865"/>
    <w:rsid w:val="5916536A"/>
    <w:rsid w:val="59172D59"/>
    <w:rsid w:val="59183B63"/>
    <w:rsid w:val="591C507E"/>
    <w:rsid w:val="591D472C"/>
    <w:rsid w:val="591D967B"/>
    <w:rsid w:val="591FAC49"/>
    <w:rsid w:val="592738EF"/>
    <w:rsid w:val="59276C6F"/>
    <w:rsid w:val="59290B64"/>
    <w:rsid w:val="592937A6"/>
    <w:rsid w:val="592AABAF"/>
    <w:rsid w:val="592AFDF4"/>
    <w:rsid w:val="592BC633"/>
    <w:rsid w:val="592CCFEA"/>
    <w:rsid w:val="592D1E23"/>
    <w:rsid w:val="592EFC2A"/>
    <w:rsid w:val="592F4773"/>
    <w:rsid w:val="592F97C4"/>
    <w:rsid w:val="59310476"/>
    <w:rsid w:val="59352394"/>
    <w:rsid w:val="59365373"/>
    <w:rsid w:val="5937D032"/>
    <w:rsid w:val="59391AAF"/>
    <w:rsid w:val="59396F99"/>
    <w:rsid w:val="5939CA50"/>
    <w:rsid w:val="593CE69A"/>
    <w:rsid w:val="593E1C73"/>
    <w:rsid w:val="594289FC"/>
    <w:rsid w:val="5945E15D"/>
    <w:rsid w:val="59494720"/>
    <w:rsid w:val="594A97B2"/>
    <w:rsid w:val="594B6E87"/>
    <w:rsid w:val="594C18AA"/>
    <w:rsid w:val="594CFF29"/>
    <w:rsid w:val="594E8407"/>
    <w:rsid w:val="595279A8"/>
    <w:rsid w:val="5952C216"/>
    <w:rsid w:val="5952ED70"/>
    <w:rsid w:val="5954037D"/>
    <w:rsid w:val="5957CCEC"/>
    <w:rsid w:val="5957F171"/>
    <w:rsid w:val="59583198"/>
    <w:rsid w:val="59598988"/>
    <w:rsid w:val="595A8B7B"/>
    <w:rsid w:val="595C1937"/>
    <w:rsid w:val="595CE3BA"/>
    <w:rsid w:val="595E0225"/>
    <w:rsid w:val="595E03C0"/>
    <w:rsid w:val="595EDB82"/>
    <w:rsid w:val="5960D105"/>
    <w:rsid w:val="5962DA19"/>
    <w:rsid w:val="59656B64"/>
    <w:rsid w:val="596B233C"/>
    <w:rsid w:val="596C009E"/>
    <w:rsid w:val="5970E9A2"/>
    <w:rsid w:val="59711292"/>
    <w:rsid w:val="5979EEC1"/>
    <w:rsid w:val="597AFE44"/>
    <w:rsid w:val="597BAB05"/>
    <w:rsid w:val="5980538D"/>
    <w:rsid w:val="59812466"/>
    <w:rsid w:val="598129E5"/>
    <w:rsid w:val="59815AC4"/>
    <w:rsid w:val="5982A16D"/>
    <w:rsid w:val="59842461"/>
    <w:rsid w:val="59878C12"/>
    <w:rsid w:val="5987EF9F"/>
    <w:rsid w:val="598BE10E"/>
    <w:rsid w:val="598E118E"/>
    <w:rsid w:val="598ED892"/>
    <w:rsid w:val="59982727"/>
    <w:rsid w:val="599AAE50"/>
    <w:rsid w:val="599D8611"/>
    <w:rsid w:val="599D9A27"/>
    <w:rsid w:val="599E688D"/>
    <w:rsid w:val="599FEDC3"/>
    <w:rsid w:val="59A026DC"/>
    <w:rsid w:val="59A06A09"/>
    <w:rsid w:val="59A2CE92"/>
    <w:rsid w:val="59A41413"/>
    <w:rsid w:val="59A542A1"/>
    <w:rsid w:val="59A712AC"/>
    <w:rsid w:val="59A9BB52"/>
    <w:rsid w:val="59AA1E56"/>
    <w:rsid w:val="59AC6956"/>
    <w:rsid w:val="59AD4A07"/>
    <w:rsid w:val="59AD7842"/>
    <w:rsid w:val="59AE9A0C"/>
    <w:rsid w:val="59AF500F"/>
    <w:rsid w:val="59AFF66F"/>
    <w:rsid w:val="59B0EECA"/>
    <w:rsid w:val="59B250C9"/>
    <w:rsid w:val="59B4EA67"/>
    <w:rsid w:val="59BC58CF"/>
    <w:rsid w:val="59BD233F"/>
    <w:rsid w:val="59C1A4BF"/>
    <w:rsid w:val="59C35309"/>
    <w:rsid w:val="59C44505"/>
    <w:rsid w:val="59C53AB8"/>
    <w:rsid w:val="59C61A0A"/>
    <w:rsid w:val="59C7A22C"/>
    <w:rsid w:val="59C7F06A"/>
    <w:rsid w:val="59D0F1F8"/>
    <w:rsid w:val="59D10CFD"/>
    <w:rsid w:val="59D1F6A4"/>
    <w:rsid w:val="59DCCC03"/>
    <w:rsid w:val="59DD5AF9"/>
    <w:rsid w:val="59DE0F0F"/>
    <w:rsid w:val="59E1B85B"/>
    <w:rsid w:val="59E5990F"/>
    <w:rsid w:val="59E77299"/>
    <w:rsid w:val="59EB4EA7"/>
    <w:rsid w:val="59ECF655"/>
    <w:rsid w:val="59EE13CD"/>
    <w:rsid w:val="59EF84A6"/>
    <w:rsid w:val="59F0E7D5"/>
    <w:rsid w:val="59F1548E"/>
    <w:rsid w:val="59F1D560"/>
    <w:rsid w:val="59F2E098"/>
    <w:rsid w:val="59F4EB89"/>
    <w:rsid w:val="59F4ED63"/>
    <w:rsid w:val="59F8274A"/>
    <w:rsid w:val="59F892DC"/>
    <w:rsid w:val="59F977E9"/>
    <w:rsid w:val="59FCD78B"/>
    <w:rsid w:val="59FDACBD"/>
    <w:rsid w:val="59FE5471"/>
    <w:rsid w:val="59FFBEEF"/>
    <w:rsid w:val="5A046C7C"/>
    <w:rsid w:val="5A054096"/>
    <w:rsid w:val="5A07330F"/>
    <w:rsid w:val="5A09F6D3"/>
    <w:rsid w:val="5A0B336A"/>
    <w:rsid w:val="5A0BACE7"/>
    <w:rsid w:val="5A0BD5DA"/>
    <w:rsid w:val="5A0C2ACC"/>
    <w:rsid w:val="5A0D2B06"/>
    <w:rsid w:val="5A0EDB82"/>
    <w:rsid w:val="5A11F227"/>
    <w:rsid w:val="5A127E72"/>
    <w:rsid w:val="5A16DA1C"/>
    <w:rsid w:val="5A18B3E5"/>
    <w:rsid w:val="5A19ABCD"/>
    <w:rsid w:val="5A1C85A1"/>
    <w:rsid w:val="5A1CF11D"/>
    <w:rsid w:val="5A21BB43"/>
    <w:rsid w:val="5A255842"/>
    <w:rsid w:val="5A2930E2"/>
    <w:rsid w:val="5A2B35FD"/>
    <w:rsid w:val="5A2CDA41"/>
    <w:rsid w:val="5A2FC5F6"/>
    <w:rsid w:val="5A331B09"/>
    <w:rsid w:val="5A3352ED"/>
    <w:rsid w:val="5A35D07E"/>
    <w:rsid w:val="5A37FC87"/>
    <w:rsid w:val="5A3A6703"/>
    <w:rsid w:val="5A3D2F19"/>
    <w:rsid w:val="5A3F0EF0"/>
    <w:rsid w:val="5A436536"/>
    <w:rsid w:val="5A44B627"/>
    <w:rsid w:val="5A4961D1"/>
    <w:rsid w:val="5A4D0696"/>
    <w:rsid w:val="5A4F907D"/>
    <w:rsid w:val="5A4FC1E3"/>
    <w:rsid w:val="5A517927"/>
    <w:rsid w:val="5A554BC5"/>
    <w:rsid w:val="5A55A839"/>
    <w:rsid w:val="5A5662E5"/>
    <w:rsid w:val="5A566979"/>
    <w:rsid w:val="5A57649E"/>
    <w:rsid w:val="5A61719A"/>
    <w:rsid w:val="5A61AF01"/>
    <w:rsid w:val="5A62DC55"/>
    <w:rsid w:val="5A65CAAF"/>
    <w:rsid w:val="5A66C48A"/>
    <w:rsid w:val="5A6BFA20"/>
    <w:rsid w:val="5A6C5D1E"/>
    <w:rsid w:val="5A6D8E40"/>
    <w:rsid w:val="5A6E6FFB"/>
    <w:rsid w:val="5A6E868E"/>
    <w:rsid w:val="5A6FCFED"/>
    <w:rsid w:val="5A72D340"/>
    <w:rsid w:val="5A74D780"/>
    <w:rsid w:val="5A74E038"/>
    <w:rsid w:val="5A75F5C6"/>
    <w:rsid w:val="5A819852"/>
    <w:rsid w:val="5A83B6AE"/>
    <w:rsid w:val="5A849793"/>
    <w:rsid w:val="5A85173B"/>
    <w:rsid w:val="5A8562BC"/>
    <w:rsid w:val="5A86DF64"/>
    <w:rsid w:val="5A877C8F"/>
    <w:rsid w:val="5A888F68"/>
    <w:rsid w:val="5A8C1203"/>
    <w:rsid w:val="5A8C4A05"/>
    <w:rsid w:val="5A8F782D"/>
    <w:rsid w:val="5A904AF2"/>
    <w:rsid w:val="5A90CA70"/>
    <w:rsid w:val="5A91D8DC"/>
    <w:rsid w:val="5A9369B2"/>
    <w:rsid w:val="5A955CCC"/>
    <w:rsid w:val="5A962462"/>
    <w:rsid w:val="5A963A1E"/>
    <w:rsid w:val="5A9784C0"/>
    <w:rsid w:val="5A99F8BB"/>
    <w:rsid w:val="5A9D2AFA"/>
    <w:rsid w:val="5A9FD7D0"/>
    <w:rsid w:val="5AA8DA1D"/>
    <w:rsid w:val="5AA983BF"/>
    <w:rsid w:val="5AAB32DF"/>
    <w:rsid w:val="5AAB71A0"/>
    <w:rsid w:val="5AAC4D5B"/>
    <w:rsid w:val="5AB1AB0A"/>
    <w:rsid w:val="5AB4A05F"/>
    <w:rsid w:val="5AB5870F"/>
    <w:rsid w:val="5AB5DA6A"/>
    <w:rsid w:val="5AB79C5A"/>
    <w:rsid w:val="5ABA62ED"/>
    <w:rsid w:val="5ABE7B65"/>
    <w:rsid w:val="5AC15CD1"/>
    <w:rsid w:val="5AC39823"/>
    <w:rsid w:val="5AC44F77"/>
    <w:rsid w:val="5AC479C3"/>
    <w:rsid w:val="5AC526D8"/>
    <w:rsid w:val="5AC5CF02"/>
    <w:rsid w:val="5AC97771"/>
    <w:rsid w:val="5ACAC9D6"/>
    <w:rsid w:val="5ACC7705"/>
    <w:rsid w:val="5ACDCFD4"/>
    <w:rsid w:val="5AD18184"/>
    <w:rsid w:val="5AD277AE"/>
    <w:rsid w:val="5AD42507"/>
    <w:rsid w:val="5AD8FE8D"/>
    <w:rsid w:val="5AD9116D"/>
    <w:rsid w:val="5AD97023"/>
    <w:rsid w:val="5ADA4738"/>
    <w:rsid w:val="5ADCD6E9"/>
    <w:rsid w:val="5AE17C8C"/>
    <w:rsid w:val="5AE2C181"/>
    <w:rsid w:val="5AE52909"/>
    <w:rsid w:val="5AE733EF"/>
    <w:rsid w:val="5AEE863E"/>
    <w:rsid w:val="5AEE9277"/>
    <w:rsid w:val="5AEF7657"/>
    <w:rsid w:val="5AF40FFB"/>
    <w:rsid w:val="5AF82F6A"/>
    <w:rsid w:val="5AFA4A31"/>
    <w:rsid w:val="5AFCB587"/>
    <w:rsid w:val="5B00F42D"/>
    <w:rsid w:val="5B03B8DC"/>
    <w:rsid w:val="5B0C392A"/>
    <w:rsid w:val="5B0EE7DD"/>
    <w:rsid w:val="5B1006CA"/>
    <w:rsid w:val="5B116CFE"/>
    <w:rsid w:val="5B129A9E"/>
    <w:rsid w:val="5B12D7D1"/>
    <w:rsid w:val="5B13FA7C"/>
    <w:rsid w:val="5B157C21"/>
    <w:rsid w:val="5B163FAD"/>
    <w:rsid w:val="5B17E255"/>
    <w:rsid w:val="5B17F0B2"/>
    <w:rsid w:val="5B207406"/>
    <w:rsid w:val="5B22A850"/>
    <w:rsid w:val="5B22E58D"/>
    <w:rsid w:val="5B237CB6"/>
    <w:rsid w:val="5B24EBDA"/>
    <w:rsid w:val="5B2615CB"/>
    <w:rsid w:val="5B2734E6"/>
    <w:rsid w:val="5B276F23"/>
    <w:rsid w:val="5B2ABC4D"/>
    <w:rsid w:val="5B2D940A"/>
    <w:rsid w:val="5B2DEDAF"/>
    <w:rsid w:val="5B300B3E"/>
    <w:rsid w:val="5B30881B"/>
    <w:rsid w:val="5B31A495"/>
    <w:rsid w:val="5B31B907"/>
    <w:rsid w:val="5B36896F"/>
    <w:rsid w:val="5B378061"/>
    <w:rsid w:val="5B3786B0"/>
    <w:rsid w:val="5B381D04"/>
    <w:rsid w:val="5B39C758"/>
    <w:rsid w:val="5B3B258E"/>
    <w:rsid w:val="5B3E1437"/>
    <w:rsid w:val="5B424DB8"/>
    <w:rsid w:val="5B42538E"/>
    <w:rsid w:val="5B435450"/>
    <w:rsid w:val="5B4435B7"/>
    <w:rsid w:val="5B444E9A"/>
    <w:rsid w:val="5B44B8BD"/>
    <w:rsid w:val="5B44E103"/>
    <w:rsid w:val="5B460F07"/>
    <w:rsid w:val="5B47AA2B"/>
    <w:rsid w:val="5B489D71"/>
    <w:rsid w:val="5B497817"/>
    <w:rsid w:val="5B4A7A1E"/>
    <w:rsid w:val="5B4A7A21"/>
    <w:rsid w:val="5B4B3F23"/>
    <w:rsid w:val="5B4D7F4D"/>
    <w:rsid w:val="5B4FB4C3"/>
    <w:rsid w:val="5B51F39E"/>
    <w:rsid w:val="5B525757"/>
    <w:rsid w:val="5B52A901"/>
    <w:rsid w:val="5B52AB53"/>
    <w:rsid w:val="5B563130"/>
    <w:rsid w:val="5B5720D9"/>
    <w:rsid w:val="5B581364"/>
    <w:rsid w:val="5B58F535"/>
    <w:rsid w:val="5B5B8646"/>
    <w:rsid w:val="5B5C1B36"/>
    <w:rsid w:val="5B5F9CC1"/>
    <w:rsid w:val="5B62F43F"/>
    <w:rsid w:val="5B680185"/>
    <w:rsid w:val="5B69582B"/>
    <w:rsid w:val="5B6AF425"/>
    <w:rsid w:val="5B6AF9DD"/>
    <w:rsid w:val="5B6CD511"/>
    <w:rsid w:val="5B6D6EE4"/>
    <w:rsid w:val="5B71F361"/>
    <w:rsid w:val="5B73A73E"/>
    <w:rsid w:val="5B73BCFA"/>
    <w:rsid w:val="5B741AC8"/>
    <w:rsid w:val="5B74DA20"/>
    <w:rsid w:val="5B76764E"/>
    <w:rsid w:val="5B776822"/>
    <w:rsid w:val="5B77F73E"/>
    <w:rsid w:val="5B7967B1"/>
    <w:rsid w:val="5B7EB6D2"/>
    <w:rsid w:val="5B7EF375"/>
    <w:rsid w:val="5B822DC2"/>
    <w:rsid w:val="5B82B5CD"/>
    <w:rsid w:val="5B849284"/>
    <w:rsid w:val="5B85D1AA"/>
    <w:rsid w:val="5B87B78A"/>
    <w:rsid w:val="5B8857C8"/>
    <w:rsid w:val="5B88A25D"/>
    <w:rsid w:val="5B89D753"/>
    <w:rsid w:val="5B8EAB23"/>
    <w:rsid w:val="5B8EB4AF"/>
    <w:rsid w:val="5B919353"/>
    <w:rsid w:val="5B9300E5"/>
    <w:rsid w:val="5B933592"/>
    <w:rsid w:val="5B95FB62"/>
    <w:rsid w:val="5B9815B9"/>
    <w:rsid w:val="5B983F6C"/>
    <w:rsid w:val="5B98A7EC"/>
    <w:rsid w:val="5B99E6CB"/>
    <w:rsid w:val="5B9C983B"/>
    <w:rsid w:val="5B9D6757"/>
    <w:rsid w:val="5BA100C0"/>
    <w:rsid w:val="5BA453FF"/>
    <w:rsid w:val="5BA886C9"/>
    <w:rsid w:val="5BADED15"/>
    <w:rsid w:val="5BAEBB45"/>
    <w:rsid w:val="5BAF1A11"/>
    <w:rsid w:val="5BAF4C0E"/>
    <w:rsid w:val="5BB13E6A"/>
    <w:rsid w:val="5BB36E35"/>
    <w:rsid w:val="5BB5E454"/>
    <w:rsid w:val="5BB6C42E"/>
    <w:rsid w:val="5BB83075"/>
    <w:rsid w:val="5BBCC5CC"/>
    <w:rsid w:val="5BBE1700"/>
    <w:rsid w:val="5BBF0A4D"/>
    <w:rsid w:val="5BC0322B"/>
    <w:rsid w:val="5BC12680"/>
    <w:rsid w:val="5BC18F09"/>
    <w:rsid w:val="5BC3B557"/>
    <w:rsid w:val="5BC3D54A"/>
    <w:rsid w:val="5BC4F017"/>
    <w:rsid w:val="5BC80798"/>
    <w:rsid w:val="5BC845A5"/>
    <w:rsid w:val="5BC89DC7"/>
    <w:rsid w:val="5BCB7AAA"/>
    <w:rsid w:val="5BCD3DB5"/>
    <w:rsid w:val="5BD07EE8"/>
    <w:rsid w:val="5BD0B080"/>
    <w:rsid w:val="5BD3E1F4"/>
    <w:rsid w:val="5BD64361"/>
    <w:rsid w:val="5BD67F5C"/>
    <w:rsid w:val="5BD720D9"/>
    <w:rsid w:val="5BD8E6E1"/>
    <w:rsid w:val="5BD9727F"/>
    <w:rsid w:val="5BD9AC9B"/>
    <w:rsid w:val="5BDD1DD1"/>
    <w:rsid w:val="5BDD9FFF"/>
    <w:rsid w:val="5BE08533"/>
    <w:rsid w:val="5BE27D71"/>
    <w:rsid w:val="5BE40B16"/>
    <w:rsid w:val="5BE62BB2"/>
    <w:rsid w:val="5BE63E7C"/>
    <w:rsid w:val="5BE9D270"/>
    <w:rsid w:val="5BEA8F4D"/>
    <w:rsid w:val="5BEA93F4"/>
    <w:rsid w:val="5BEAEAE0"/>
    <w:rsid w:val="5BEAF0D0"/>
    <w:rsid w:val="5BEB5605"/>
    <w:rsid w:val="5BEB8DCE"/>
    <w:rsid w:val="5BEC69F3"/>
    <w:rsid w:val="5BED3FC6"/>
    <w:rsid w:val="5BEEF3E0"/>
    <w:rsid w:val="5BF0EFDD"/>
    <w:rsid w:val="5BF190EC"/>
    <w:rsid w:val="5BF4C454"/>
    <w:rsid w:val="5BF57F58"/>
    <w:rsid w:val="5BF6A9DD"/>
    <w:rsid w:val="5BF6B043"/>
    <w:rsid w:val="5BF75172"/>
    <w:rsid w:val="5BF9DAB4"/>
    <w:rsid w:val="5BFBB168"/>
    <w:rsid w:val="5BFCF312"/>
    <w:rsid w:val="5BFDA6BF"/>
    <w:rsid w:val="5BFEE063"/>
    <w:rsid w:val="5C029606"/>
    <w:rsid w:val="5C089674"/>
    <w:rsid w:val="5C0C31EA"/>
    <w:rsid w:val="5C0D988D"/>
    <w:rsid w:val="5C13D3AB"/>
    <w:rsid w:val="5C16CE48"/>
    <w:rsid w:val="5C184B02"/>
    <w:rsid w:val="5C18FDD2"/>
    <w:rsid w:val="5C1C2E81"/>
    <w:rsid w:val="5C21BA6B"/>
    <w:rsid w:val="5C228B0E"/>
    <w:rsid w:val="5C23098D"/>
    <w:rsid w:val="5C289743"/>
    <w:rsid w:val="5C2B26C0"/>
    <w:rsid w:val="5C2E2012"/>
    <w:rsid w:val="5C2F1D0D"/>
    <w:rsid w:val="5C34CE0B"/>
    <w:rsid w:val="5C3524B7"/>
    <w:rsid w:val="5C35BA9A"/>
    <w:rsid w:val="5C381E78"/>
    <w:rsid w:val="5C39851A"/>
    <w:rsid w:val="5C39C3DF"/>
    <w:rsid w:val="5C3A3E3E"/>
    <w:rsid w:val="5C3BC0D9"/>
    <w:rsid w:val="5C3C4CF0"/>
    <w:rsid w:val="5C404F5E"/>
    <w:rsid w:val="5C406F97"/>
    <w:rsid w:val="5C411D93"/>
    <w:rsid w:val="5C42F5E1"/>
    <w:rsid w:val="5C4743A4"/>
    <w:rsid w:val="5C48214A"/>
    <w:rsid w:val="5C4B1DBA"/>
    <w:rsid w:val="5C4E4D81"/>
    <w:rsid w:val="5C4E8B84"/>
    <w:rsid w:val="5C4E8E3E"/>
    <w:rsid w:val="5C4F0F2F"/>
    <w:rsid w:val="5C504C92"/>
    <w:rsid w:val="5C50DDC4"/>
    <w:rsid w:val="5C522E23"/>
    <w:rsid w:val="5C541CE7"/>
    <w:rsid w:val="5C54DF45"/>
    <w:rsid w:val="5C57E196"/>
    <w:rsid w:val="5C5A1BA9"/>
    <w:rsid w:val="5C5AE418"/>
    <w:rsid w:val="5C5E1DBE"/>
    <w:rsid w:val="5C5F25BD"/>
    <w:rsid w:val="5C61CACE"/>
    <w:rsid w:val="5C6390DC"/>
    <w:rsid w:val="5C677972"/>
    <w:rsid w:val="5C678022"/>
    <w:rsid w:val="5C68AA88"/>
    <w:rsid w:val="5C6AC5C3"/>
    <w:rsid w:val="5C6D6ECA"/>
    <w:rsid w:val="5C6F9B8A"/>
    <w:rsid w:val="5C71FA9C"/>
    <w:rsid w:val="5C73C2EB"/>
    <w:rsid w:val="5C74868C"/>
    <w:rsid w:val="5C74E6EB"/>
    <w:rsid w:val="5C755805"/>
    <w:rsid w:val="5C7680D2"/>
    <w:rsid w:val="5C790EBB"/>
    <w:rsid w:val="5C7BEDB3"/>
    <w:rsid w:val="5C7DD003"/>
    <w:rsid w:val="5C812430"/>
    <w:rsid w:val="5C834E03"/>
    <w:rsid w:val="5C8C7C0B"/>
    <w:rsid w:val="5C8E65B9"/>
    <w:rsid w:val="5C8F63CE"/>
    <w:rsid w:val="5C9644C8"/>
    <w:rsid w:val="5C9B597A"/>
    <w:rsid w:val="5C9BB485"/>
    <w:rsid w:val="5C9BC116"/>
    <w:rsid w:val="5C9C64E7"/>
    <w:rsid w:val="5C9C937B"/>
    <w:rsid w:val="5C9F3E10"/>
    <w:rsid w:val="5CA32A9C"/>
    <w:rsid w:val="5CA4DF5B"/>
    <w:rsid w:val="5CA7F927"/>
    <w:rsid w:val="5CA87073"/>
    <w:rsid w:val="5CAA1C92"/>
    <w:rsid w:val="5CAA59B7"/>
    <w:rsid w:val="5CACB637"/>
    <w:rsid w:val="5CAD5E87"/>
    <w:rsid w:val="5CB01F01"/>
    <w:rsid w:val="5CB11BBC"/>
    <w:rsid w:val="5CB27012"/>
    <w:rsid w:val="5CB2C6B4"/>
    <w:rsid w:val="5CB45601"/>
    <w:rsid w:val="5CB5DCE8"/>
    <w:rsid w:val="5CBA8CCD"/>
    <w:rsid w:val="5CBAA1C4"/>
    <w:rsid w:val="5CBB564D"/>
    <w:rsid w:val="5CBC14C8"/>
    <w:rsid w:val="5CBDD92D"/>
    <w:rsid w:val="5CBE2677"/>
    <w:rsid w:val="5CC36EF3"/>
    <w:rsid w:val="5CC5BB87"/>
    <w:rsid w:val="5CC8DFA6"/>
    <w:rsid w:val="5CCD63A7"/>
    <w:rsid w:val="5CCED6A5"/>
    <w:rsid w:val="5CCF53EC"/>
    <w:rsid w:val="5CD40E1F"/>
    <w:rsid w:val="5CD465DB"/>
    <w:rsid w:val="5CD4902A"/>
    <w:rsid w:val="5CD6036C"/>
    <w:rsid w:val="5CD72EC4"/>
    <w:rsid w:val="5CD75126"/>
    <w:rsid w:val="5CDA1120"/>
    <w:rsid w:val="5CDA8C3D"/>
    <w:rsid w:val="5CE125FA"/>
    <w:rsid w:val="5CE40EDF"/>
    <w:rsid w:val="5CE4A2A1"/>
    <w:rsid w:val="5CE5649B"/>
    <w:rsid w:val="5CE69610"/>
    <w:rsid w:val="5CE93FAA"/>
    <w:rsid w:val="5CEDCFA8"/>
    <w:rsid w:val="5CEEEC19"/>
    <w:rsid w:val="5CEF7CE9"/>
    <w:rsid w:val="5CF29ACB"/>
    <w:rsid w:val="5CF45C22"/>
    <w:rsid w:val="5CF491F8"/>
    <w:rsid w:val="5CF85615"/>
    <w:rsid w:val="5CFD88DE"/>
    <w:rsid w:val="5CFEE8CC"/>
    <w:rsid w:val="5CFF8963"/>
    <w:rsid w:val="5D00AE37"/>
    <w:rsid w:val="5D011410"/>
    <w:rsid w:val="5D03748C"/>
    <w:rsid w:val="5D038260"/>
    <w:rsid w:val="5D03B068"/>
    <w:rsid w:val="5D0AB4E4"/>
    <w:rsid w:val="5D0D9A06"/>
    <w:rsid w:val="5D13A7DE"/>
    <w:rsid w:val="5D14954C"/>
    <w:rsid w:val="5D168AA1"/>
    <w:rsid w:val="5D1A7A1C"/>
    <w:rsid w:val="5D1CABBA"/>
    <w:rsid w:val="5D224083"/>
    <w:rsid w:val="5D269605"/>
    <w:rsid w:val="5D26D691"/>
    <w:rsid w:val="5D2EE01B"/>
    <w:rsid w:val="5D37038F"/>
    <w:rsid w:val="5D3836DA"/>
    <w:rsid w:val="5D39F1EA"/>
    <w:rsid w:val="5D3AE7F8"/>
    <w:rsid w:val="5D3B43D9"/>
    <w:rsid w:val="5D3CF026"/>
    <w:rsid w:val="5D3FF2D9"/>
    <w:rsid w:val="5D3FF4D0"/>
    <w:rsid w:val="5D4892F3"/>
    <w:rsid w:val="5D48E964"/>
    <w:rsid w:val="5D4A6B03"/>
    <w:rsid w:val="5D4AF5CD"/>
    <w:rsid w:val="5D4BF95A"/>
    <w:rsid w:val="5D4E6C29"/>
    <w:rsid w:val="5D4E97B8"/>
    <w:rsid w:val="5D517ACE"/>
    <w:rsid w:val="5D531837"/>
    <w:rsid w:val="5D548532"/>
    <w:rsid w:val="5D558D78"/>
    <w:rsid w:val="5D56F12B"/>
    <w:rsid w:val="5D57A7AE"/>
    <w:rsid w:val="5D5AD5FA"/>
    <w:rsid w:val="5D5C646A"/>
    <w:rsid w:val="5D5EDBBE"/>
    <w:rsid w:val="5D67CFA5"/>
    <w:rsid w:val="5D68911C"/>
    <w:rsid w:val="5D6AEDFD"/>
    <w:rsid w:val="5D6C8C4D"/>
    <w:rsid w:val="5D6D3989"/>
    <w:rsid w:val="5D6E24D6"/>
    <w:rsid w:val="5D6EA2C6"/>
    <w:rsid w:val="5D72F767"/>
    <w:rsid w:val="5D75C9C9"/>
    <w:rsid w:val="5D7781FF"/>
    <w:rsid w:val="5D77D3A6"/>
    <w:rsid w:val="5D77E523"/>
    <w:rsid w:val="5D78E6A3"/>
    <w:rsid w:val="5D7CE790"/>
    <w:rsid w:val="5D7DCCEA"/>
    <w:rsid w:val="5D824756"/>
    <w:rsid w:val="5D83ADAE"/>
    <w:rsid w:val="5D8658FA"/>
    <w:rsid w:val="5D86DA3E"/>
    <w:rsid w:val="5D8907BB"/>
    <w:rsid w:val="5D8BFCD4"/>
    <w:rsid w:val="5D8D1112"/>
    <w:rsid w:val="5D8E4908"/>
    <w:rsid w:val="5D8EE314"/>
    <w:rsid w:val="5D8F6695"/>
    <w:rsid w:val="5D8FC178"/>
    <w:rsid w:val="5D8FE079"/>
    <w:rsid w:val="5D8FF069"/>
    <w:rsid w:val="5D921339"/>
    <w:rsid w:val="5D93E9C7"/>
    <w:rsid w:val="5D93FD8D"/>
    <w:rsid w:val="5D9413B9"/>
    <w:rsid w:val="5D95718A"/>
    <w:rsid w:val="5D99888E"/>
    <w:rsid w:val="5D9C56C1"/>
    <w:rsid w:val="5D9F0621"/>
    <w:rsid w:val="5DA40F67"/>
    <w:rsid w:val="5DA511ED"/>
    <w:rsid w:val="5DA5CCC9"/>
    <w:rsid w:val="5DA73D94"/>
    <w:rsid w:val="5DA76F55"/>
    <w:rsid w:val="5DA85B5A"/>
    <w:rsid w:val="5DAF8CF8"/>
    <w:rsid w:val="5DB3D001"/>
    <w:rsid w:val="5DB633F5"/>
    <w:rsid w:val="5DB67336"/>
    <w:rsid w:val="5DB691A7"/>
    <w:rsid w:val="5DB6F0AC"/>
    <w:rsid w:val="5DBA04D9"/>
    <w:rsid w:val="5DBB9920"/>
    <w:rsid w:val="5DC661B7"/>
    <w:rsid w:val="5DC79BEE"/>
    <w:rsid w:val="5DCCE25E"/>
    <w:rsid w:val="5DCE4B97"/>
    <w:rsid w:val="5DD074F4"/>
    <w:rsid w:val="5DD59B41"/>
    <w:rsid w:val="5DD70F97"/>
    <w:rsid w:val="5DDCE240"/>
    <w:rsid w:val="5DDE5DB6"/>
    <w:rsid w:val="5DDF1B9B"/>
    <w:rsid w:val="5DDFC52D"/>
    <w:rsid w:val="5DE17286"/>
    <w:rsid w:val="5DE17C6D"/>
    <w:rsid w:val="5DE6D628"/>
    <w:rsid w:val="5DE8B2C4"/>
    <w:rsid w:val="5DE9231E"/>
    <w:rsid w:val="5DEC7414"/>
    <w:rsid w:val="5DEE6B8F"/>
    <w:rsid w:val="5DF04C82"/>
    <w:rsid w:val="5DF1D662"/>
    <w:rsid w:val="5DF50C9B"/>
    <w:rsid w:val="5DF93A5D"/>
    <w:rsid w:val="5DF9E0C5"/>
    <w:rsid w:val="5DFC2CB1"/>
    <w:rsid w:val="5E000189"/>
    <w:rsid w:val="5E0210F3"/>
    <w:rsid w:val="5E049670"/>
    <w:rsid w:val="5E06EA3E"/>
    <w:rsid w:val="5E0725F5"/>
    <w:rsid w:val="5E073F05"/>
    <w:rsid w:val="5E07B562"/>
    <w:rsid w:val="5E0976EF"/>
    <w:rsid w:val="5E09BAF1"/>
    <w:rsid w:val="5E0AFB0B"/>
    <w:rsid w:val="5E0BAB3E"/>
    <w:rsid w:val="5E0C272F"/>
    <w:rsid w:val="5E0D9290"/>
    <w:rsid w:val="5E154A7A"/>
    <w:rsid w:val="5E1622D9"/>
    <w:rsid w:val="5E19BA2C"/>
    <w:rsid w:val="5E1CAE8C"/>
    <w:rsid w:val="5E208BAC"/>
    <w:rsid w:val="5E21B4EA"/>
    <w:rsid w:val="5E22215E"/>
    <w:rsid w:val="5E257B8D"/>
    <w:rsid w:val="5E263339"/>
    <w:rsid w:val="5E29A629"/>
    <w:rsid w:val="5E2B460E"/>
    <w:rsid w:val="5E2CAC2C"/>
    <w:rsid w:val="5E389383"/>
    <w:rsid w:val="5E38DC87"/>
    <w:rsid w:val="5E3A59F3"/>
    <w:rsid w:val="5E40D06F"/>
    <w:rsid w:val="5E41BB21"/>
    <w:rsid w:val="5E41F06D"/>
    <w:rsid w:val="5E42B6B8"/>
    <w:rsid w:val="5E43126D"/>
    <w:rsid w:val="5E44A4AB"/>
    <w:rsid w:val="5E46CD8C"/>
    <w:rsid w:val="5E4985AE"/>
    <w:rsid w:val="5E4C1AAB"/>
    <w:rsid w:val="5E4DC57F"/>
    <w:rsid w:val="5E4E5B92"/>
    <w:rsid w:val="5E4E9715"/>
    <w:rsid w:val="5E4F5035"/>
    <w:rsid w:val="5E4F6928"/>
    <w:rsid w:val="5E57A18C"/>
    <w:rsid w:val="5E59986A"/>
    <w:rsid w:val="5E5A1055"/>
    <w:rsid w:val="5E5C9081"/>
    <w:rsid w:val="5E5DC169"/>
    <w:rsid w:val="5E5ED04C"/>
    <w:rsid w:val="5E61F610"/>
    <w:rsid w:val="5E631CC7"/>
    <w:rsid w:val="5E6421BE"/>
    <w:rsid w:val="5E647EDE"/>
    <w:rsid w:val="5E648FF4"/>
    <w:rsid w:val="5E66DE35"/>
    <w:rsid w:val="5E673044"/>
    <w:rsid w:val="5E6822F4"/>
    <w:rsid w:val="5E68F4C4"/>
    <w:rsid w:val="5E6A325C"/>
    <w:rsid w:val="5E705D5C"/>
    <w:rsid w:val="5E714A9B"/>
    <w:rsid w:val="5E733C40"/>
    <w:rsid w:val="5E736E73"/>
    <w:rsid w:val="5E77A876"/>
    <w:rsid w:val="5E77CE53"/>
    <w:rsid w:val="5E7AC9F9"/>
    <w:rsid w:val="5E7CC734"/>
    <w:rsid w:val="5E7F4AED"/>
    <w:rsid w:val="5E800EBD"/>
    <w:rsid w:val="5E81C6A1"/>
    <w:rsid w:val="5E83A782"/>
    <w:rsid w:val="5E8419A5"/>
    <w:rsid w:val="5E856112"/>
    <w:rsid w:val="5E85CE80"/>
    <w:rsid w:val="5E85CFC3"/>
    <w:rsid w:val="5E85E8CE"/>
    <w:rsid w:val="5E86A0B5"/>
    <w:rsid w:val="5E8D3E2F"/>
    <w:rsid w:val="5E8E5BDA"/>
    <w:rsid w:val="5E8FC9F2"/>
    <w:rsid w:val="5E975105"/>
    <w:rsid w:val="5E9961FE"/>
    <w:rsid w:val="5E99621A"/>
    <w:rsid w:val="5E9C54DF"/>
    <w:rsid w:val="5E9D650C"/>
    <w:rsid w:val="5E9E0410"/>
    <w:rsid w:val="5EA21C0F"/>
    <w:rsid w:val="5EA30BE9"/>
    <w:rsid w:val="5EA40446"/>
    <w:rsid w:val="5EA6D808"/>
    <w:rsid w:val="5EA8C7B3"/>
    <w:rsid w:val="5EAAA5C1"/>
    <w:rsid w:val="5EAC203D"/>
    <w:rsid w:val="5EAC3A50"/>
    <w:rsid w:val="5EB1D5F8"/>
    <w:rsid w:val="5EB27C71"/>
    <w:rsid w:val="5EB2B326"/>
    <w:rsid w:val="5EB2C27A"/>
    <w:rsid w:val="5EB62478"/>
    <w:rsid w:val="5EB8FC10"/>
    <w:rsid w:val="5EB98B5C"/>
    <w:rsid w:val="5EBED48F"/>
    <w:rsid w:val="5EBF7275"/>
    <w:rsid w:val="5EC2F02A"/>
    <w:rsid w:val="5EC54DD5"/>
    <w:rsid w:val="5EC8DD2A"/>
    <w:rsid w:val="5ECA3A4E"/>
    <w:rsid w:val="5ECB6AB2"/>
    <w:rsid w:val="5ECDC42F"/>
    <w:rsid w:val="5ED334B8"/>
    <w:rsid w:val="5ED47CEB"/>
    <w:rsid w:val="5ED4AB7C"/>
    <w:rsid w:val="5ED7A13E"/>
    <w:rsid w:val="5ED9D8AB"/>
    <w:rsid w:val="5EDA85ED"/>
    <w:rsid w:val="5EDABB71"/>
    <w:rsid w:val="5EDB48B6"/>
    <w:rsid w:val="5EDC83E9"/>
    <w:rsid w:val="5EDFF8C4"/>
    <w:rsid w:val="5EE344C1"/>
    <w:rsid w:val="5EE94597"/>
    <w:rsid w:val="5EE96B1F"/>
    <w:rsid w:val="5EEDD1BF"/>
    <w:rsid w:val="5EEE335A"/>
    <w:rsid w:val="5EEE9884"/>
    <w:rsid w:val="5EEF6B4F"/>
    <w:rsid w:val="5EF25332"/>
    <w:rsid w:val="5EF3981C"/>
    <w:rsid w:val="5EF79775"/>
    <w:rsid w:val="5EF79A94"/>
    <w:rsid w:val="5EF86AA8"/>
    <w:rsid w:val="5EF9BE0A"/>
    <w:rsid w:val="5EFEFEED"/>
    <w:rsid w:val="5F02A313"/>
    <w:rsid w:val="5F0396DA"/>
    <w:rsid w:val="5F06983C"/>
    <w:rsid w:val="5F06A723"/>
    <w:rsid w:val="5F0CC5ED"/>
    <w:rsid w:val="5F0F2788"/>
    <w:rsid w:val="5F1049A5"/>
    <w:rsid w:val="5F15E4BC"/>
    <w:rsid w:val="5F1C942A"/>
    <w:rsid w:val="5F1F4F43"/>
    <w:rsid w:val="5F206B33"/>
    <w:rsid w:val="5F2301A0"/>
    <w:rsid w:val="5F233DBD"/>
    <w:rsid w:val="5F258976"/>
    <w:rsid w:val="5F29936E"/>
    <w:rsid w:val="5F29EF44"/>
    <w:rsid w:val="5F2AB8BD"/>
    <w:rsid w:val="5F2B0BA7"/>
    <w:rsid w:val="5F2BA513"/>
    <w:rsid w:val="5F301CEE"/>
    <w:rsid w:val="5F30B2CB"/>
    <w:rsid w:val="5F30EC52"/>
    <w:rsid w:val="5F31340A"/>
    <w:rsid w:val="5F31D3E9"/>
    <w:rsid w:val="5F32897B"/>
    <w:rsid w:val="5F34F0D2"/>
    <w:rsid w:val="5F35A24A"/>
    <w:rsid w:val="5F36B7B3"/>
    <w:rsid w:val="5F39C0BF"/>
    <w:rsid w:val="5F3EF0BF"/>
    <w:rsid w:val="5F40117F"/>
    <w:rsid w:val="5F403736"/>
    <w:rsid w:val="5F423CF2"/>
    <w:rsid w:val="5F427A5E"/>
    <w:rsid w:val="5F431571"/>
    <w:rsid w:val="5F444A7C"/>
    <w:rsid w:val="5F44F3E6"/>
    <w:rsid w:val="5F4526FA"/>
    <w:rsid w:val="5F457E8C"/>
    <w:rsid w:val="5F4B5D80"/>
    <w:rsid w:val="5F4FCA85"/>
    <w:rsid w:val="5F51B5DA"/>
    <w:rsid w:val="5F51EFC6"/>
    <w:rsid w:val="5F55FDE0"/>
    <w:rsid w:val="5F576547"/>
    <w:rsid w:val="5F5833C9"/>
    <w:rsid w:val="5F585F01"/>
    <w:rsid w:val="5F587127"/>
    <w:rsid w:val="5F5B0095"/>
    <w:rsid w:val="5F5CF57F"/>
    <w:rsid w:val="5F5D1149"/>
    <w:rsid w:val="5F5D6B8A"/>
    <w:rsid w:val="5F5F3304"/>
    <w:rsid w:val="5F65258F"/>
    <w:rsid w:val="5F659872"/>
    <w:rsid w:val="5F6702A8"/>
    <w:rsid w:val="5F676096"/>
    <w:rsid w:val="5F68B168"/>
    <w:rsid w:val="5F6C4D02"/>
    <w:rsid w:val="5F6FD038"/>
    <w:rsid w:val="5F70F714"/>
    <w:rsid w:val="5F70FB3B"/>
    <w:rsid w:val="5F747709"/>
    <w:rsid w:val="5F750DA5"/>
    <w:rsid w:val="5F76C050"/>
    <w:rsid w:val="5F790DD0"/>
    <w:rsid w:val="5F797A0C"/>
    <w:rsid w:val="5F7BB47B"/>
    <w:rsid w:val="5F7D84D6"/>
    <w:rsid w:val="5F84A6BB"/>
    <w:rsid w:val="5F891313"/>
    <w:rsid w:val="5F8BCB85"/>
    <w:rsid w:val="5F8D8B0F"/>
    <w:rsid w:val="5F93185E"/>
    <w:rsid w:val="5F94AE83"/>
    <w:rsid w:val="5F97B6F0"/>
    <w:rsid w:val="5F980406"/>
    <w:rsid w:val="5F9A5D36"/>
    <w:rsid w:val="5F9AC896"/>
    <w:rsid w:val="5FA09DF1"/>
    <w:rsid w:val="5FA0A89E"/>
    <w:rsid w:val="5FA379A0"/>
    <w:rsid w:val="5FA58267"/>
    <w:rsid w:val="5FA5E5E1"/>
    <w:rsid w:val="5FA629BC"/>
    <w:rsid w:val="5FA86C50"/>
    <w:rsid w:val="5FAFFDCA"/>
    <w:rsid w:val="5FB01C1E"/>
    <w:rsid w:val="5FB05EB0"/>
    <w:rsid w:val="5FB61AC5"/>
    <w:rsid w:val="5FB6C70A"/>
    <w:rsid w:val="5FB70771"/>
    <w:rsid w:val="5FB7DC96"/>
    <w:rsid w:val="5FBA2193"/>
    <w:rsid w:val="5FBC5C0D"/>
    <w:rsid w:val="5FBCBFFE"/>
    <w:rsid w:val="5FC0714A"/>
    <w:rsid w:val="5FC28050"/>
    <w:rsid w:val="5FC3C129"/>
    <w:rsid w:val="5FC3D4A1"/>
    <w:rsid w:val="5FC5E70C"/>
    <w:rsid w:val="5FC7B6D0"/>
    <w:rsid w:val="5FC7C3C9"/>
    <w:rsid w:val="5FC8223E"/>
    <w:rsid w:val="5FC8369F"/>
    <w:rsid w:val="5FC9D6DB"/>
    <w:rsid w:val="5FC9F4FD"/>
    <w:rsid w:val="5FCEF8A5"/>
    <w:rsid w:val="5FCFEF0E"/>
    <w:rsid w:val="5FD120B4"/>
    <w:rsid w:val="5FD368C8"/>
    <w:rsid w:val="5FD87E7B"/>
    <w:rsid w:val="5FD99BF7"/>
    <w:rsid w:val="5FDC2984"/>
    <w:rsid w:val="5FDE4CC2"/>
    <w:rsid w:val="5FE134B4"/>
    <w:rsid w:val="5FE39649"/>
    <w:rsid w:val="5FE4A9D0"/>
    <w:rsid w:val="5FE4FBA5"/>
    <w:rsid w:val="5FE8E379"/>
    <w:rsid w:val="5FE9208B"/>
    <w:rsid w:val="5FE9DDA9"/>
    <w:rsid w:val="5FF2817C"/>
    <w:rsid w:val="5FF2A21D"/>
    <w:rsid w:val="5FF3E550"/>
    <w:rsid w:val="5FF481B4"/>
    <w:rsid w:val="5FF70941"/>
    <w:rsid w:val="5FF9A750"/>
    <w:rsid w:val="5FF9BC31"/>
    <w:rsid w:val="5FF9DC14"/>
    <w:rsid w:val="5FFBC238"/>
    <w:rsid w:val="5FFD8072"/>
    <w:rsid w:val="5FFDF7C7"/>
    <w:rsid w:val="5FFF845D"/>
    <w:rsid w:val="5FFFD00F"/>
    <w:rsid w:val="6001305E"/>
    <w:rsid w:val="60048C67"/>
    <w:rsid w:val="6005C437"/>
    <w:rsid w:val="600B4CE3"/>
    <w:rsid w:val="600BEE92"/>
    <w:rsid w:val="600C069D"/>
    <w:rsid w:val="600CC145"/>
    <w:rsid w:val="600FB61C"/>
    <w:rsid w:val="601052A4"/>
    <w:rsid w:val="601271F6"/>
    <w:rsid w:val="601738C6"/>
    <w:rsid w:val="6018BFBB"/>
    <w:rsid w:val="601CB0ED"/>
    <w:rsid w:val="601D79ED"/>
    <w:rsid w:val="601F5678"/>
    <w:rsid w:val="60229D3D"/>
    <w:rsid w:val="6022FE70"/>
    <w:rsid w:val="6024087F"/>
    <w:rsid w:val="60283B75"/>
    <w:rsid w:val="60290DAE"/>
    <w:rsid w:val="60290E90"/>
    <w:rsid w:val="602A6B26"/>
    <w:rsid w:val="602A902F"/>
    <w:rsid w:val="602B392A"/>
    <w:rsid w:val="602B6B32"/>
    <w:rsid w:val="602BDC5C"/>
    <w:rsid w:val="60302342"/>
    <w:rsid w:val="60326EF8"/>
    <w:rsid w:val="60330C4B"/>
    <w:rsid w:val="6038478C"/>
    <w:rsid w:val="603B68C7"/>
    <w:rsid w:val="603D1B6C"/>
    <w:rsid w:val="603E2D03"/>
    <w:rsid w:val="6040F27F"/>
    <w:rsid w:val="6040F2DC"/>
    <w:rsid w:val="604521A6"/>
    <w:rsid w:val="6046C8C1"/>
    <w:rsid w:val="604EB750"/>
    <w:rsid w:val="604F5B3B"/>
    <w:rsid w:val="60521ADE"/>
    <w:rsid w:val="6052A0F5"/>
    <w:rsid w:val="6058A3FB"/>
    <w:rsid w:val="6059D1C8"/>
    <w:rsid w:val="605F5F44"/>
    <w:rsid w:val="60605F20"/>
    <w:rsid w:val="60627171"/>
    <w:rsid w:val="60628372"/>
    <w:rsid w:val="606334F2"/>
    <w:rsid w:val="606345DB"/>
    <w:rsid w:val="6068A134"/>
    <w:rsid w:val="606D2F1A"/>
    <w:rsid w:val="606E38A0"/>
    <w:rsid w:val="606E4D6F"/>
    <w:rsid w:val="60706A90"/>
    <w:rsid w:val="6070E381"/>
    <w:rsid w:val="6071131C"/>
    <w:rsid w:val="60718F3D"/>
    <w:rsid w:val="60747D4D"/>
    <w:rsid w:val="6075458C"/>
    <w:rsid w:val="6075CCBB"/>
    <w:rsid w:val="607861AA"/>
    <w:rsid w:val="607D0CB7"/>
    <w:rsid w:val="607D5330"/>
    <w:rsid w:val="607D8A7B"/>
    <w:rsid w:val="60847A47"/>
    <w:rsid w:val="60881498"/>
    <w:rsid w:val="6088DA2A"/>
    <w:rsid w:val="608A00D7"/>
    <w:rsid w:val="608A64ED"/>
    <w:rsid w:val="608BA1EC"/>
    <w:rsid w:val="608DA288"/>
    <w:rsid w:val="608DD9EF"/>
    <w:rsid w:val="608E253A"/>
    <w:rsid w:val="608F94DD"/>
    <w:rsid w:val="60915E42"/>
    <w:rsid w:val="609318E2"/>
    <w:rsid w:val="60969FEA"/>
    <w:rsid w:val="6096BA35"/>
    <w:rsid w:val="609734CC"/>
    <w:rsid w:val="6098AB80"/>
    <w:rsid w:val="609A16E0"/>
    <w:rsid w:val="609ACF4E"/>
    <w:rsid w:val="609AE82C"/>
    <w:rsid w:val="609B4DE6"/>
    <w:rsid w:val="609D31D1"/>
    <w:rsid w:val="609DCB9B"/>
    <w:rsid w:val="60A25C8D"/>
    <w:rsid w:val="60A4D431"/>
    <w:rsid w:val="60A983FD"/>
    <w:rsid w:val="60ABC4D9"/>
    <w:rsid w:val="60B31575"/>
    <w:rsid w:val="60B51810"/>
    <w:rsid w:val="60BCD1A7"/>
    <w:rsid w:val="60BF014A"/>
    <w:rsid w:val="60C30541"/>
    <w:rsid w:val="60C526BF"/>
    <w:rsid w:val="60C62582"/>
    <w:rsid w:val="60C750F8"/>
    <w:rsid w:val="60C77324"/>
    <w:rsid w:val="60C778D1"/>
    <w:rsid w:val="60C87A63"/>
    <w:rsid w:val="60C92E1E"/>
    <w:rsid w:val="60CBB5FF"/>
    <w:rsid w:val="60CBD671"/>
    <w:rsid w:val="60D17C2E"/>
    <w:rsid w:val="60D2DAF4"/>
    <w:rsid w:val="60D30A42"/>
    <w:rsid w:val="60D3177B"/>
    <w:rsid w:val="60D3F384"/>
    <w:rsid w:val="60D484D2"/>
    <w:rsid w:val="60D57773"/>
    <w:rsid w:val="60D62000"/>
    <w:rsid w:val="60D7D427"/>
    <w:rsid w:val="60DD7B1E"/>
    <w:rsid w:val="60DF49EC"/>
    <w:rsid w:val="60E131BC"/>
    <w:rsid w:val="60E3ACC0"/>
    <w:rsid w:val="60E4F0EE"/>
    <w:rsid w:val="60E505B9"/>
    <w:rsid w:val="60E8BC14"/>
    <w:rsid w:val="60EAE26C"/>
    <w:rsid w:val="60EC91EC"/>
    <w:rsid w:val="60ED68F9"/>
    <w:rsid w:val="60ED9602"/>
    <w:rsid w:val="60F10695"/>
    <w:rsid w:val="60F4CC3D"/>
    <w:rsid w:val="60F5BC63"/>
    <w:rsid w:val="60F764E5"/>
    <w:rsid w:val="60F7E53F"/>
    <w:rsid w:val="60F80F08"/>
    <w:rsid w:val="60F89BE8"/>
    <w:rsid w:val="60FA8F12"/>
    <w:rsid w:val="6102BA34"/>
    <w:rsid w:val="610322C1"/>
    <w:rsid w:val="61048E78"/>
    <w:rsid w:val="6105AF3C"/>
    <w:rsid w:val="610683D7"/>
    <w:rsid w:val="6108DBEF"/>
    <w:rsid w:val="6109BB4F"/>
    <w:rsid w:val="610C41A1"/>
    <w:rsid w:val="610E72D8"/>
    <w:rsid w:val="610F28FC"/>
    <w:rsid w:val="610F5223"/>
    <w:rsid w:val="610F98A9"/>
    <w:rsid w:val="6114646F"/>
    <w:rsid w:val="611512A3"/>
    <w:rsid w:val="6115D4E6"/>
    <w:rsid w:val="6117BEEB"/>
    <w:rsid w:val="611AAED5"/>
    <w:rsid w:val="611BFD68"/>
    <w:rsid w:val="611DA491"/>
    <w:rsid w:val="611EC083"/>
    <w:rsid w:val="611ECB10"/>
    <w:rsid w:val="612181E2"/>
    <w:rsid w:val="6122EDFE"/>
    <w:rsid w:val="6126FC0A"/>
    <w:rsid w:val="6127349A"/>
    <w:rsid w:val="61273CD2"/>
    <w:rsid w:val="612836B9"/>
    <w:rsid w:val="612A5DE4"/>
    <w:rsid w:val="612A93B8"/>
    <w:rsid w:val="612C3E68"/>
    <w:rsid w:val="612C5D9D"/>
    <w:rsid w:val="61368F7B"/>
    <w:rsid w:val="6136EF40"/>
    <w:rsid w:val="6136F58A"/>
    <w:rsid w:val="6138ECFA"/>
    <w:rsid w:val="61391332"/>
    <w:rsid w:val="61391684"/>
    <w:rsid w:val="61397CB9"/>
    <w:rsid w:val="6139F3B9"/>
    <w:rsid w:val="613B1D77"/>
    <w:rsid w:val="613CCEA6"/>
    <w:rsid w:val="613D6FED"/>
    <w:rsid w:val="613EC7A3"/>
    <w:rsid w:val="61400F43"/>
    <w:rsid w:val="61425069"/>
    <w:rsid w:val="61492A7E"/>
    <w:rsid w:val="614BFE2C"/>
    <w:rsid w:val="6150A441"/>
    <w:rsid w:val="615109D0"/>
    <w:rsid w:val="6151DC74"/>
    <w:rsid w:val="61533F24"/>
    <w:rsid w:val="61548E69"/>
    <w:rsid w:val="615582C9"/>
    <w:rsid w:val="615BBC0F"/>
    <w:rsid w:val="615CC04E"/>
    <w:rsid w:val="615D25DD"/>
    <w:rsid w:val="615E086D"/>
    <w:rsid w:val="616216B0"/>
    <w:rsid w:val="61628723"/>
    <w:rsid w:val="61630E58"/>
    <w:rsid w:val="61634EA2"/>
    <w:rsid w:val="616836A8"/>
    <w:rsid w:val="616C159D"/>
    <w:rsid w:val="616F1880"/>
    <w:rsid w:val="616F5DC2"/>
    <w:rsid w:val="6171F21F"/>
    <w:rsid w:val="6172577E"/>
    <w:rsid w:val="617396E7"/>
    <w:rsid w:val="617643DA"/>
    <w:rsid w:val="6176EC7E"/>
    <w:rsid w:val="6178D2DD"/>
    <w:rsid w:val="6178ED4D"/>
    <w:rsid w:val="617AF352"/>
    <w:rsid w:val="617BB704"/>
    <w:rsid w:val="617C7F70"/>
    <w:rsid w:val="617DB133"/>
    <w:rsid w:val="617DE662"/>
    <w:rsid w:val="617F81C8"/>
    <w:rsid w:val="618082A1"/>
    <w:rsid w:val="6180D720"/>
    <w:rsid w:val="61896798"/>
    <w:rsid w:val="6190624B"/>
    <w:rsid w:val="619319DB"/>
    <w:rsid w:val="61962590"/>
    <w:rsid w:val="61992CC3"/>
    <w:rsid w:val="619C9A05"/>
    <w:rsid w:val="61A01EAB"/>
    <w:rsid w:val="61A08714"/>
    <w:rsid w:val="61A0FC4B"/>
    <w:rsid w:val="61A36140"/>
    <w:rsid w:val="61A41CFB"/>
    <w:rsid w:val="61A7366E"/>
    <w:rsid w:val="61A9504D"/>
    <w:rsid w:val="61AA065E"/>
    <w:rsid w:val="61AADB3D"/>
    <w:rsid w:val="61AC9494"/>
    <w:rsid w:val="61AD259F"/>
    <w:rsid w:val="61ADBDCF"/>
    <w:rsid w:val="61B0588D"/>
    <w:rsid w:val="61B362AD"/>
    <w:rsid w:val="61B39E09"/>
    <w:rsid w:val="61B42241"/>
    <w:rsid w:val="61B9FCFE"/>
    <w:rsid w:val="61BA7E18"/>
    <w:rsid w:val="61BE3E16"/>
    <w:rsid w:val="61BE4D1C"/>
    <w:rsid w:val="61BF8C39"/>
    <w:rsid w:val="61BFB3C5"/>
    <w:rsid w:val="61C07E3E"/>
    <w:rsid w:val="61C244DF"/>
    <w:rsid w:val="61C2B19A"/>
    <w:rsid w:val="61C6BE9E"/>
    <w:rsid w:val="61CCD2B1"/>
    <w:rsid w:val="61CE98CB"/>
    <w:rsid w:val="61CEE060"/>
    <w:rsid w:val="61D003CD"/>
    <w:rsid w:val="61D19285"/>
    <w:rsid w:val="61D2D76F"/>
    <w:rsid w:val="61D32B7A"/>
    <w:rsid w:val="61D4BA1F"/>
    <w:rsid w:val="61D53683"/>
    <w:rsid w:val="61D5F5C6"/>
    <w:rsid w:val="61DAA18F"/>
    <w:rsid w:val="61DFA065"/>
    <w:rsid w:val="61E5D25E"/>
    <w:rsid w:val="61E62881"/>
    <w:rsid w:val="61E7EEDD"/>
    <w:rsid w:val="61E84369"/>
    <w:rsid w:val="61EBD4C8"/>
    <w:rsid w:val="61F061B6"/>
    <w:rsid w:val="61F49D8F"/>
    <w:rsid w:val="61F70809"/>
    <w:rsid w:val="61FBBF31"/>
    <w:rsid w:val="61FBCA78"/>
    <w:rsid w:val="62001FD7"/>
    <w:rsid w:val="6203632C"/>
    <w:rsid w:val="6203C9D3"/>
    <w:rsid w:val="6206445D"/>
    <w:rsid w:val="620DC5EF"/>
    <w:rsid w:val="620E8792"/>
    <w:rsid w:val="620F0F7A"/>
    <w:rsid w:val="62101350"/>
    <w:rsid w:val="6213C331"/>
    <w:rsid w:val="62149DA5"/>
    <w:rsid w:val="62186B83"/>
    <w:rsid w:val="6219591A"/>
    <w:rsid w:val="62196239"/>
    <w:rsid w:val="621B66A1"/>
    <w:rsid w:val="621C2C9F"/>
    <w:rsid w:val="622154F1"/>
    <w:rsid w:val="62219063"/>
    <w:rsid w:val="6224CE1F"/>
    <w:rsid w:val="62270C03"/>
    <w:rsid w:val="62271CB2"/>
    <w:rsid w:val="6227AEEB"/>
    <w:rsid w:val="62280B20"/>
    <w:rsid w:val="622BC7CA"/>
    <w:rsid w:val="622C9CDE"/>
    <w:rsid w:val="622DBCEB"/>
    <w:rsid w:val="622E88D5"/>
    <w:rsid w:val="622FCE5D"/>
    <w:rsid w:val="622FD97B"/>
    <w:rsid w:val="623010A5"/>
    <w:rsid w:val="6231095B"/>
    <w:rsid w:val="62329B10"/>
    <w:rsid w:val="62335A88"/>
    <w:rsid w:val="623558F4"/>
    <w:rsid w:val="6237995E"/>
    <w:rsid w:val="6239488A"/>
    <w:rsid w:val="6239EE88"/>
    <w:rsid w:val="623AB9AB"/>
    <w:rsid w:val="624253DA"/>
    <w:rsid w:val="624450E4"/>
    <w:rsid w:val="6245D1D9"/>
    <w:rsid w:val="62463C9A"/>
    <w:rsid w:val="62463DF8"/>
    <w:rsid w:val="62466A96"/>
    <w:rsid w:val="624B3947"/>
    <w:rsid w:val="624CC3FF"/>
    <w:rsid w:val="624D5469"/>
    <w:rsid w:val="624D7046"/>
    <w:rsid w:val="62569DCA"/>
    <w:rsid w:val="62578BE8"/>
    <w:rsid w:val="6259E929"/>
    <w:rsid w:val="625AA262"/>
    <w:rsid w:val="625BCD4F"/>
    <w:rsid w:val="625D16A9"/>
    <w:rsid w:val="625DBEE2"/>
    <w:rsid w:val="625DFED6"/>
    <w:rsid w:val="6260228B"/>
    <w:rsid w:val="626469EA"/>
    <w:rsid w:val="62658DE0"/>
    <w:rsid w:val="62661DD2"/>
    <w:rsid w:val="626D6149"/>
    <w:rsid w:val="626E1E30"/>
    <w:rsid w:val="6270EA40"/>
    <w:rsid w:val="62731D32"/>
    <w:rsid w:val="627415CB"/>
    <w:rsid w:val="62751C88"/>
    <w:rsid w:val="6276F5D8"/>
    <w:rsid w:val="627A5596"/>
    <w:rsid w:val="627BCDCC"/>
    <w:rsid w:val="62801FED"/>
    <w:rsid w:val="6281D3CF"/>
    <w:rsid w:val="628410E7"/>
    <w:rsid w:val="6284AA62"/>
    <w:rsid w:val="6286E0FD"/>
    <w:rsid w:val="62873B83"/>
    <w:rsid w:val="628995DD"/>
    <w:rsid w:val="628DC042"/>
    <w:rsid w:val="62909E96"/>
    <w:rsid w:val="62915FF3"/>
    <w:rsid w:val="6292FBBA"/>
    <w:rsid w:val="62930188"/>
    <w:rsid w:val="6293D6B1"/>
    <w:rsid w:val="6294CEA8"/>
    <w:rsid w:val="6295845A"/>
    <w:rsid w:val="6296196E"/>
    <w:rsid w:val="62969F4F"/>
    <w:rsid w:val="629766DE"/>
    <w:rsid w:val="6297F23D"/>
    <w:rsid w:val="629C416D"/>
    <w:rsid w:val="629C946E"/>
    <w:rsid w:val="629F8433"/>
    <w:rsid w:val="629FD1BE"/>
    <w:rsid w:val="62A1B274"/>
    <w:rsid w:val="62A1D8E8"/>
    <w:rsid w:val="62A24F7E"/>
    <w:rsid w:val="62A287A0"/>
    <w:rsid w:val="62A346DF"/>
    <w:rsid w:val="62A6340C"/>
    <w:rsid w:val="62A6AD51"/>
    <w:rsid w:val="62A89192"/>
    <w:rsid w:val="62ACA062"/>
    <w:rsid w:val="62AD9F0C"/>
    <w:rsid w:val="62AF4DFA"/>
    <w:rsid w:val="62B09C71"/>
    <w:rsid w:val="62B25AC8"/>
    <w:rsid w:val="62B54504"/>
    <w:rsid w:val="62B5568C"/>
    <w:rsid w:val="62B8F63C"/>
    <w:rsid w:val="62BF32AA"/>
    <w:rsid w:val="62BF4378"/>
    <w:rsid w:val="62C207CF"/>
    <w:rsid w:val="62C326E5"/>
    <w:rsid w:val="62C703DC"/>
    <w:rsid w:val="62C7D2D9"/>
    <w:rsid w:val="62C99ABA"/>
    <w:rsid w:val="62CA4C4D"/>
    <w:rsid w:val="62CA5F81"/>
    <w:rsid w:val="62CE63FC"/>
    <w:rsid w:val="62CFDD79"/>
    <w:rsid w:val="62CFE1D5"/>
    <w:rsid w:val="62D23A9A"/>
    <w:rsid w:val="62D4CB4E"/>
    <w:rsid w:val="62D8539F"/>
    <w:rsid w:val="62DD7C3E"/>
    <w:rsid w:val="62DDA4E3"/>
    <w:rsid w:val="62E2CA2F"/>
    <w:rsid w:val="62E52F54"/>
    <w:rsid w:val="62E55E4E"/>
    <w:rsid w:val="62E5C629"/>
    <w:rsid w:val="62E7FF72"/>
    <w:rsid w:val="62E9EFA8"/>
    <w:rsid w:val="62EA8FBB"/>
    <w:rsid w:val="62EF6CF0"/>
    <w:rsid w:val="62EFE741"/>
    <w:rsid w:val="62EFF61C"/>
    <w:rsid w:val="62F07517"/>
    <w:rsid w:val="62F0A5A0"/>
    <w:rsid w:val="62F27C8B"/>
    <w:rsid w:val="62F5A1D2"/>
    <w:rsid w:val="62F76288"/>
    <w:rsid w:val="62F936B2"/>
    <w:rsid w:val="62F95644"/>
    <w:rsid w:val="62F9A45C"/>
    <w:rsid w:val="62FCD29D"/>
    <w:rsid w:val="62FFCB9F"/>
    <w:rsid w:val="63080293"/>
    <w:rsid w:val="630B1873"/>
    <w:rsid w:val="630EECA0"/>
    <w:rsid w:val="630FD6A4"/>
    <w:rsid w:val="63129386"/>
    <w:rsid w:val="63178807"/>
    <w:rsid w:val="631A25CB"/>
    <w:rsid w:val="631D214C"/>
    <w:rsid w:val="631D4927"/>
    <w:rsid w:val="631DF309"/>
    <w:rsid w:val="63213466"/>
    <w:rsid w:val="6324F944"/>
    <w:rsid w:val="6325E9B9"/>
    <w:rsid w:val="632A6B4B"/>
    <w:rsid w:val="632D6B3E"/>
    <w:rsid w:val="632DAF72"/>
    <w:rsid w:val="632E1463"/>
    <w:rsid w:val="632F9ADA"/>
    <w:rsid w:val="6330B033"/>
    <w:rsid w:val="6331C2E8"/>
    <w:rsid w:val="633244DC"/>
    <w:rsid w:val="63357066"/>
    <w:rsid w:val="6338445C"/>
    <w:rsid w:val="633C427E"/>
    <w:rsid w:val="633C449E"/>
    <w:rsid w:val="633F4E9D"/>
    <w:rsid w:val="6340D16A"/>
    <w:rsid w:val="6340D302"/>
    <w:rsid w:val="6344079E"/>
    <w:rsid w:val="6344D88F"/>
    <w:rsid w:val="63462999"/>
    <w:rsid w:val="634E7A08"/>
    <w:rsid w:val="634EA8F9"/>
    <w:rsid w:val="635149D7"/>
    <w:rsid w:val="63517935"/>
    <w:rsid w:val="6351DDAE"/>
    <w:rsid w:val="635250D6"/>
    <w:rsid w:val="6352A7BD"/>
    <w:rsid w:val="635655D2"/>
    <w:rsid w:val="63574891"/>
    <w:rsid w:val="635C69E4"/>
    <w:rsid w:val="635F40E1"/>
    <w:rsid w:val="63600E4F"/>
    <w:rsid w:val="6360FA51"/>
    <w:rsid w:val="6361B4E6"/>
    <w:rsid w:val="6361CF23"/>
    <w:rsid w:val="6362067E"/>
    <w:rsid w:val="6362535D"/>
    <w:rsid w:val="636B5271"/>
    <w:rsid w:val="636C306C"/>
    <w:rsid w:val="636DCE04"/>
    <w:rsid w:val="636E9449"/>
    <w:rsid w:val="636EBC13"/>
    <w:rsid w:val="636F08F7"/>
    <w:rsid w:val="637056D5"/>
    <w:rsid w:val="6370BFB2"/>
    <w:rsid w:val="63713A97"/>
    <w:rsid w:val="637394F4"/>
    <w:rsid w:val="637437BA"/>
    <w:rsid w:val="63750CF4"/>
    <w:rsid w:val="63757030"/>
    <w:rsid w:val="63764FDB"/>
    <w:rsid w:val="637740E9"/>
    <w:rsid w:val="6378773E"/>
    <w:rsid w:val="6378CD00"/>
    <w:rsid w:val="637B569E"/>
    <w:rsid w:val="637D576A"/>
    <w:rsid w:val="637E2656"/>
    <w:rsid w:val="6381E9E3"/>
    <w:rsid w:val="63830388"/>
    <w:rsid w:val="63853E35"/>
    <w:rsid w:val="638670DA"/>
    <w:rsid w:val="63883B68"/>
    <w:rsid w:val="63885323"/>
    <w:rsid w:val="638DA36B"/>
    <w:rsid w:val="638F5EA3"/>
    <w:rsid w:val="638F86EF"/>
    <w:rsid w:val="6390A49B"/>
    <w:rsid w:val="63920E03"/>
    <w:rsid w:val="639339FB"/>
    <w:rsid w:val="6395EDFC"/>
    <w:rsid w:val="639657F1"/>
    <w:rsid w:val="63969A2E"/>
    <w:rsid w:val="63976B32"/>
    <w:rsid w:val="6397F984"/>
    <w:rsid w:val="63991B18"/>
    <w:rsid w:val="6399B890"/>
    <w:rsid w:val="639A6738"/>
    <w:rsid w:val="639C9327"/>
    <w:rsid w:val="639CE78C"/>
    <w:rsid w:val="639D0C8C"/>
    <w:rsid w:val="639E3EE7"/>
    <w:rsid w:val="639EABBE"/>
    <w:rsid w:val="639EF0EA"/>
    <w:rsid w:val="63A09B12"/>
    <w:rsid w:val="63A33C2B"/>
    <w:rsid w:val="63A52498"/>
    <w:rsid w:val="63A557EC"/>
    <w:rsid w:val="63A58307"/>
    <w:rsid w:val="63A68EC8"/>
    <w:rsid w:val="63A710E1"/>
    <w:rsid w:val="63A75294"/>
    <w:rsid w:val="63AB95EF"/>
    <w:rsid w:val="63ADF76A"/>
    <w:rsid w:val="63AF8C5B"/>
    <w:rsid w:val="63B1E663"/>
    <w:rsid w:val="63B21E36"/>
    <w:rsid w:val="63B38B7C"/>
    <w:rsid w:val="63B446D0"/>
    <w:rsid w:val="63B45712"/>
    <w:rsid w:val="63B63D0A"/>
    <w:rsid w:val="63B7BAEF"/>
    <w:rsid w:val="63B86387"/>
    <w:rsid w:val="63BA7285"/>
    <w:rsid w:val="63BEA493"/>
    <w:rsid w:val="63BEA9E3"/>
    <w:rsid w:val="63BF33E1"/>
    <w:rsid w:val="63C02B44"/>
    <w:rsid w:val="63C1D844"/>
    <w:rsid w:val="63C1F486"/>
    <w:rsid w:val="63C34818"/>
    <w:rsid w:val="63C44C44"/>
    <w:rsid w:val="63C4E997"/>
    <w:rsid w:val="63C813C6"/>
    <w:rsid w:val="63C89B7A"/>
    <w:rsid w:val="63C9FFE3"/>
    <w:rsid w:val="63CA1E7D"/>
    <w:rsid w:val="63CB9EBE"/>
    <w:rsid w:val="63CD1FD6"/>
    <w:rsid w:val="63CFE5DF"/>
    <w:rsid w:val="63D84765"/>
    <w:rsid w:val="63DB8988"/>
    <w:rsid w:val="63E029BD"/>
    <w:rsid w:val="63E27530"/>
    <w:rsid w:val="63E2BCB9"/>
    <w:rsid w:val="63E2C28C"/>
    <w:rsid w:val="63E32616"/>
    <w:rsid w:val="63EB9ABC"/>
    <w:rsid w:val="63F00CAB"/>
    <w:rsid w:val="63F1A996"/>
    <w:rsid w:val="63F2565E"/>
    <w:rsid w:val="63F33D56"/>
    <w:rsid w:val="63F75A19"/>
    <w:rsid w:val="63FB18B1"/>
    <w:rsid w:val="63FB97BC"/>
    <w:rsid w:val="63FD47F4"/>
    <w:rsid w:val="63FD5C83"/>
    <w:rsid w:val="63FE0D57"/>
    <w:rsid w:val="63FEFF1C"/>
    <w:rsid w:val="63FF1220"/>
    <w:rsid w:val="63FF6DD9"/>
    <w:rsid w:val="640302F5"/>
    <w:rsid w:val="640314E5"/>
    <w:rsid w:val="640317C8"/>
    <w:rsid w:val="64039135"/>
    <w:rsid w:val="640644DB"/>
    <w:rsid w:val="64071E05"/>
    <w:rsid w:val="64072BCC"/>
    <w:rsid w:val="64096EC3"/>
    <w:rsid w:val="640B94D6"/>
    <w:rsid w:val="640C0A6B"/>
    <w:rsid w:val="6415DB00"/>
    <w:rsid w:val="6415DC1C"/>
    <w:rsid w:val="641747BE"/>
    <w:rsid w:val="6418FB8C"/>
    <w:rsid w:val="641ABC24"/>
    <w:rsid w:val="641B0483"/>
    <w:rsid w:val="641CCF7D"/>
    <w:rsid w:val="641EAFFF"/>
    <w:rsid w:val="64212ECB"/>
    <w:rsid w:val="6421E6D0"/>
    <w:rsid w:val="6422880B"/>
    <w:rsid w:val="642536C4"/>
    <w:rsid w:val="64253FA8"/>
    <w:rsid w:val="6425A9A3"/>
    <w:rsid w:val="6427710F"/>
    <w:rsid w:val="642934D2"/>
    <w:rsid w:val="642B743A"/>
    <w:rsid w:val="642C537F"/>
    <w:rsid w:val="643197F7"/>
    <w:rsid w:val="64336626"/>
    <w:rsid w:val="64342320"/>
    <w:rsid w:val="6434C52C"/>
    <w:rsid w:val="6439309B"/>
    <w:rsid w:val="6439AC13"/>
    <w:rsid w:val="643A909E"/>
    <w:rsid w:val="643B9CD5"/>
    <w:rsid w:val="643CCE91"/>
    <w:rsid w:val="643D4470"/>
    <w:rsid w:val="64407A7D"/>
    <w:rsid w:val="6441319A"/>
    <w:rsid w:val="644164C1"/>
    <w:rsid w:val="6441A61D"/>
    <w:rsid w:val="644218BF"/>
    <w:rsid w:val="6446E12D"/>
    <w:rsid w:val="64481671"/>
    <w:rsid w:val="644D5C38"/>
    <w:rsid w:val="644F2CCB"/>
    <w:rsid w:val="6450635D"/>
    <w:rsid w:val="64517B55"/>
    <w:rsid w:val="6452E17C"/>
    <w:rsid w:val="6453B235"/>
    <w:rsid w:val="6453BD52"/>
    <w:rsid w:val="64540645"/>
    <w:rsid w:val="6454C69D"/>
    <w:rsid w:val="6454DC22"/>
    <w:rsid w:val="645534BC"/>
    <w:rsid w:val="6456E92C"/>
    <w:rsid w:val="645D94A8"/>
    <w:rsid w:val="645DE47F"/>
    <w:rsid w:val="64611532"/>
    <w:rsid w:val="64630AFC"/>
    <w:rsid w:val="646B5ECE"/>
    <w:rsid w:val="646CAE0D"/>
    <w:rsid w:val="646D435D"/>
    <w:rsid w:val="6479715A"/>
    <w:rsid w:val="647B57E4"/>
    <w:rsid w:val="647BFA93"/>
    <w:rsid w:val="647E9BE6"/>
    <w:rsid w:val="6480E21D"/>
    <w:rsid w:val="64823AEA"/>
    <w:rsid w:val="6483A26E"/>
    <w:rsid w:val="648CB25A"/>
    <w:rsid w:val="648E8910"/>
    <w:rsid w:val="648FCD30"/>
    <w:rsid w:val="6490CDF5"/>
    <w:rsid w:val="64964300"/>
    <w:rsid w:val="64965696"/>
    <w:rsid w:val="6496A810"/>
    <w:rsid w:val="649A9522"/>
    <w:rsid w:val="64A1656E"/>
    <w:rsid w:val="64A2AE63"/>
    <w:rsid w:val="64A37EE6"/>
    <w:rsid w:val="64A3ACFF"/>
    <w:rsid w:val="64A44708"/>
    <w:rsid w:val="64A5AFE1"/>
    <w:rsid w:val="64AACCA7"/>
    <w:rsid w:val="64AB47AD"/>
    <w:rsid w:val="64AEBEF5"/>
    <w:rsid w:val="64B3B411"/>
    <w:rsid w:val="64B41326"/>
    <w:rsid w:val="64B4CEFD"/>
    <w:rsid w:val="64B5A52A"/>
    <w:rsid w:val="64B5E0B7"/>
    <w:rsid w:val="64B81082"/>
    <w:rsid w:val="64B89E46"/>
    <w:rsid w:val="64B9B50D"/>
    <w:rsid w:val="64B9BB84"/>
    <w:rsid w:val="64BC87D2"/>
    <w:rsid w:val="64C008D4"/>
    <w:rsid w:val="64C091A8"/>
    <w:rsid w:val="64C0C16B"/>
    <w:rsid w:val="64C20C4C"/>
    <w:rsid w:val="64C228FB"/>
    <w:rsid w:val="64C56D76"/>
    <w:rsid w:val="64C7796B"/>
    <w:rsid w:val="64C89954"/>
    <w:rsid w:val="64CE8D3A"/>
    <w:rsid w:val="64CF3C7B"/>
    <w:rsid w:val="64CF48E2"/>
    <w:rsid w:val="64D1483D"/>
    <w:rsid w:val="64D1E447"/>
    <w:rsid w:val="64D1EC25"/>
    <w:rsid w:val="64D33A51"/>
    <w:rsid w:val="64D3535F"/>
    <w:rsid w:val="64D4F270"/>
    <w:rsid w:val="64D6C14C"/>
    <w:rsid w:val="64D8E4D7"/>
    <w:rsid w:val="64DA0D0B"/>
    <w:rsid w:val="64DAE3DD"/>
    <w:rsid w:val="64E3C5F8"/>
    <w:rsid w:val="64E454B4"/>
    <w:rsid w:val="64EA35B6"/>
    <w:rsid w:val="64ECAA95"/>
    <w:rsid w:val="64ED7167"/>
    <w:rsid w:val="64ED8FA4"/>
    <w:rsid w:val="64ED9F83"/>
    <w:rsid w:val="64EE2549"/>
    <w:rsid w:val="64EE9333"/>
    <w:rsid w:val="64EF70E9"/>
    <w:rsid w:val="64F01DA9"/>
    <w:rsid w:val="64F03A8F"/>
    <w:rsid w:val="64F0A53F"/>
    <w:rsid w:val="64F3DE75"/>
    <w:rsid w:val="64F4F577"/>
    <w:rsid w:val="64F67E36"/>
    <w:rsid w:val="64F8F57B"/>
    <w:rsid w:val="64FAE5CB"/>
    <w:rsid w:val="64FE02FB"/>
    <w:rsid w:val="6501FF95"/>
    <w:rsid w:val="65066561"/>
    <w:rsid w:val="6506A975"/>
    <w:rsid w:val="6507653C"/>
    <w:rsid w:val="6507CE1D"/>
    <w:rsid w:val="650A14D8"/>
    <w:rsid w:val="65118841"/>
    <w:rsid w:val="6512A520"/>
    <w:rsid w:val="65149C6B"/>
    <w:rsid w:val="6514E687"/>
    <w:rsid w:val="6515FAEC"/>
    <w:rsid w:val="65173D95"/>
    <w:rsid w:val="651788D2"/>
    <w:rsid w:val="6517B77B"/>
    <w:rsid w:val="651B9514"/>
    <w:rsid w:val="65222413"/>
    <w:rsid w:val="6523543F"/>
    <w:rsid w:val="652829CD"/>
    <w:rsid w:val="6529AC3A"/>
    <w:rsid w:val="652CB5B9"/>
    <w:rsid w:val="652DA5EA"/>
    <w:rsid w:val="652DEAE6"/>
    <w:rsid w:val="652F7528"/>
    <w:rsid w:val="6537324C"/>
    <w:rsid w:val="65377BDA"/>
    <w:rsid w:val="653B2006"/>
    <w:rsid w:val="6540799A"/>
    <w:rsid w:val="6541C869"/>
    <w:rsid w:val="6547DA41"/>
    <w:rsid w:val="654A4AC0"/>
    <w:rsid w:val="654AE26C"/>
    <w:rsid w:val="654DC073"/>
    <w:rsid w:val="65520F3A"/>
    <w:rsid w:val="6553673D"/>
    <w:rsid w:val="6553A807"/>
    <w:rsid w:val="6553E186"/>
    <w:rsid w:val="6555F043"/>
    <w:rsid w:val="6557025A"/>
    <w:rsid w:val="6559AA28"/>
    <w:rsid w:val="655A870E"/>
    <w:rsid w:val="655C6962"/>
    <w:rsid w:val="655CEE09"/>
    <w:rsid w:val="655EF0CD"/>
    <w:rsid w:val="65602FAC"/>
    <w:rsid w:val="656B20A0"/>
    <w:rsid w:val="656B332B"/>
    <w:rsid w:val="656C9CD0"/>
    <w:rsid w:val="656DBA90"/>
    <w:rsid w:val="656E7977"/>
    <w:rsid w:val="656EB083"/>
    <w:rsid w:val="6570E0FA"/>
    <w:rsid w:val="6571CC64"/>
    <w:rsid w:val="65735ECF"/>
    <w:rsid w:val="657383CC"/>
    <w:rsid w:val="65755A4C"/>
    <w:rsid w:val="65762CBC"/>
    <w:rsid w:val="657C8A7F"/>
    <w:rsid w:val="657D1771"/>
    <w:rsid w:val="657D2E79"/>
    <w:rsid w:val="6580449B"/>
    <w:rsid w:val="65850241"/>
    <w:rsid w:val="6586A6B4"/>
    <w:rsid w:val="65885AF7"/>
    <w:rsid w:val="658937B0"/>
    <w:rsid w:val="6589EC7E"/>
    <w:rsid w:val="658B957A"/>
    <w:rsid w:val="658DFFFC"/>
    <w:rsid w:val="658E5B1E"/>
    <w:rsid w:val="658F39FC"/>
    <w:rsid w:val="658FDA96"/>
    <w:rsid w:val="65900C1E"/>
    <w:rsid w:val="65901A30"/>
    <w:rsid w:val="65929054"/>
    <w:rsid w:val="6595338D"/>
    <w:rsid w:val="659539A2"/>
    <w:rsid w:val="65963735"/>
    <w:rsid w:val="65970D78"/>
    <w:rsid w:val="659AB8DF"/>
    <w:rsid w:val="659B2634"/>
    <w:rsid w:val="65A074D6"/>
    <w:rsid w:val="65A6607F"/>
    <w:rsid w:val="65AA7B7B"/>
    <w:rsid w:val="65AE6DCA"/>
    <w:rsid w:val="65B17382"/>
    <w:rsid w:val="65B1C677"/>
    <w:rsid w:val="65B27CE9"/>
    <w:rsid w:val="65B3058A"/>
    <w:rsid w:val="65B5E643"/>
    <w:rsid w:val="65B69798"/>
    <w:rsid w:val="65B6DFDB"/>
    <w:rsid w:val="65B7BA9A"/>
    <w:rsid w:val="65B94D6B"/>
    <w:rsid w:val="65BA2490"/>
    <w:rsid w:val="65BE0919"/>
    <w:rsid w:val="65BE4A98"/>
    <w:rsid w:val="65BF4F74"/>
    <w:rsid w:val="65C10725"/>
    <w:rsid w:val="65C5D961"/>
    <w:rsid w:val="65C91241"/>
    <w:rsid w:val="65C935A5"/>
    <w:rsid w:val="65C99B5B"/>
    <w:rsid w:val="65CB2916"/>
    <w:rsid w:val="65D25906"/>
    <w:rsid w:val="65D30CF7"/>
    <w:rsid w:val="65D65CC9"/>
    <w:rsid w:val="65D923CE"/>
    <w:rsid w:val="65D99AB1"/>
    <w:rsid w:val="65DCEEDC"/>
    <w:rsid w:val="65E029AE"/>
    <w:rsid w:val="65E03B9B"/>
    <w:rsid w:val="65E13AFF"/>
    <w:rsid w:val="65E21631"/>
    <w:rsid w:val="65E3D4A1"/>
    <w:rsid w:val="65E6CCAB"/>
    <w:rsid w:val="65E990D7"/>
    <w:rsid w:val="65EB15C4"/>
    <w:rsid w:val="65EB6941"/>
    <w:rsid w:val="65EB7173"/>
    <w:rsid w:val="65EBA38A"/>
    <w:rsid w:val="65EC0F5B"/>
    <w:rsid w:val="65EF529B"/>
    <w:rsid w:val="65F1FA94"/>
    <w:rsid w:val="65F2A055"/>
    <w:rsid w:val="65F55DC0"/>
    <w:rsid w:val="65F7CA8A"/>
    <w:rsid w:val="65F7D88C"/>
    <w:rsid w:val="65FF5107"/>
    <w:rsid w:val="66039FEC"/>
    <w:rsid w:val="6604A8C9"/>
    <w:rsid w:val="6604DAFA"/>
    <w:rsid w:val="6605A449"/>
    <w:rsid w:val="66066016"/>
    <w:rsid w:val="660862F2"/>
    <w:rsid w:val="6608A97A"/>
    <w:rsid w:val="660C16A7"/>
    <w:rsid w:val="660CCE53"/>
    <w:rsid w:val="660CE646"/>
    <w:rsid w:val="660FE14A"/>
    <w:rsid w:val="660FEF5A"/>
    <w:rsid w:val="66137CCC"/>
    <w:rsid w:val="6614B9F2"/>
    <w:rsid w:val="6616F557"/>
    <w:rsid w:val="661725E7"/>
    <w:rsid w:val="661BA97C"/>
    <w:rsid w:val="661DC3E4"/>
    <w:rsid w:val="662129BF"/>
    <w:rsid w:val="66222D53"/>
    <w:rsid w:val="66246D34"/>
    <w:rsid w:val="662497DC"/>
    <w:rsid w:val="662770F8"/>
    <w:rsid w:val="662C2BF2"/>
    <w:rsid w:val="662CC5C4"/>
    <w:rsid w:val="662D5DDB"/>
    <w:rsid w:val="662E7F8B"/>
    <w:rsid w:val="6631D377"/>
    <w:rsid w:val="66320A22"/>
    <w:rsid w:val="6633517A"/>
    <w:rsid w:val="6633732D"/>
    <w:rsid w:val="6634450A"/>
    <w:rsid w:val="6637B063"/>
    <w:rsid w:val="663BB288"/>
    <w:rsid w:val="663C9CFE"/>
    <w:rsid w:val="663D2B18"/>
    <w:rsid w:val="663E033D"/>
    <w:rsid w:val="663FD1F0"/>
    <w:rsid w:val="664109A7"/>
    <w:rsid w:val="664246C2"/>
    <w:rsid w:val="6643778A"/>
    <w:rsid w:val="664A5684"/>
    <w:rsid w:val="664B8FB1"/>
    <w:rsid w:val="664D69E5"/>
    <w:rsid w:val="664F9E1F"/>
    <w:rsid w:val="664FB1C1"/>
    <w:rsid w:val="66535DFA"/>
    <w:rsid w:val="66548E88"/>
    <w:rsid w:val="66554B5C"/>
    <w:rsid w:val="6655DEF6"/>
    <w:rsid w:val="6656D563"/>
    <w:rsid w:val="665BE77A"/>
    <w:rsid w:val="665E9EBE"/>
    <w:rsid w:val="6662E9D2"/>
    <w:rsid w:val="6664AACC"/>
    <w:rsid w:val="6664CEFB"/>
    <w:rsid w:val="66666059"/>
    <w:rsid w:val="6666B132"/>
    <w:rsid w:val="6666E7E9"/>
    <w:rsid w:val="6667DBDF"/>
    <w:rsid w:val="66689507"/>
    <w:rsid w:val="666C3D12"/>
    <w:rsid w:val="667226C3"/>
    <w:rsid w:val="6672B174"/>
    <w:rsid w:val="66750827"/>
    <w:rsid w:val="6675B591"/>
    <w:rsid w:val="667A20B5"/>
    <w:rsid w:val="667A4A6D"/>
    <w:rsid w:val="667DE4CD"/>
    <w:rsid w:val="667E8291"/>
    <w:rsid w:val="667ED3E0"/>
    <w:rsid w:val="667EF23C"/>
    <w:rsid w:val="667F0699"/>
    <w:rsid w:val="667FBA32"/>
    <w:rsid w:val="6680088B"/>
    <w:rsid w:val="66804855"/>
    <w:rsid w:val="66822854"/>
    <w:rsid w:val="66827EA2"/>
    <w:rsid w:val="6684919F"/>
    <w:rsid w:val="66897B25"/>
    <w:rsid w:val="668A16BB"/>
    <w:rsid w:val="668BEF17"/>
    <w:rsid w:val="66905491"/>
    <w:rsid w:val="6693EFCA"/>
    <w:rsid w:val="669457BE"/>
    <w:rsid w:val="66951CBB"/>
    <w:rsid w:val="669CAEF2"/>
    <w:rsid w:val="669D4DFF"/>
    <w:rsid w:val="66A30CB0"/>
    <w:rsid w:val="66A658AB"/>
    <w:rsid w:val="66A822AC"/>
    <w:rsid w:val="66AC6803"/>
    <w:rsid w:val="66B5E516"/>
    <w:rsid w:val="66B64311"/>
    <w:rsid w:val="66B677C7"/>
    <w:rsid w:val="66B98613"/>
    <w:rsid w:val="66B9B2EF"/>
    <w:rsid w:val="66BA8EFE"/>
    <w:rsid w:val="66BAAA45"/>
    <w:rsid w:val="66BCA263"/>
    <w:rsid w:val="66BD230A"/>
    <w:rsid w:val="66BDAB53"/>
    <w:rsid w:val="66C2ED41"/>
    <w:rsid w:val="66C8EA81"/>
    <w:rsid w:val="66C98817"/>
    <w:rsid w:val="66CED8A0"/>
    <w:rsid w:val="66D11C35"/>
    <w:rsid w:val="66D13739"/>
    <w:rsid w:val="66D433E9"/>
    <w:rsid w:val="66D68A85"/>
    <w:rsid w:val="66D709C8"/>
    <w:rsid w:val="66D7E2B8"/>
    <w:rsid w:val="66D8EBBA"/>
    <w:rsid w:val="66D93F34"/>
    <w:rsid w:val="66DB0C6E"/>
    <w:rsid w:val="66DB6127"/>
    <w:rsid w:val="66DCEF2E"/>
    <w:rsid w:val="66DE53F9"/>
    <w:rsid w:val="66DF1187"/>
    <w:rsid w:val="66DF8901"/>
    <w:rsid w:val="66E315A4"/>
    <w:rsid w:val="66E33919"/>
    <w:rsid w:val="66E37A78"/>
    <w:rsid w:val="66E5069B"/>
    <w:rsid w:val="66E7BAD6"/>
    <w:rsid w:val="66EA5562"/>
    <w:rsid w:val="66EB549B"/>
    <w:rsid w:val="66ECB911"/>
    <w:rsid w:val="66EDD60F"/>
    <w:rsid w:val="66EE7477"/>
    <w:rsid w:val="66EEF222"/>
    <w:rsid w:val="66F51FA2"/>
    <w:rsid w:val="66F6523A"/>
    <w:rsid w:val="66F889DD"/>
    <w:rsid w:val="66F908D2"/>
    <w:rsid w:val="66F90FEB"/>
    <w:rsid w:val="66FA42F0"/>
    <w:rsid w:val="66FB287B"/>
    <w:rsid w:val="66FBF52F"/>
    <w:rsid w:val="66FC48E5"/>
    <w:rsid w:val="66FD169D"/>
    <w:rsid w:val="6705AFAE"/>
    <w:rsid w:val="67070DE7"/>
    <w:rsid w:val="67094616"/>
    <w:rsid w:val="670A8CF7"/>
    <w:rsid w:val="670ADDA0"/>
    <w:rsid w:val="670E945D"/>
    <w:rsid w:val="6710846C"/>
    <w:rsid w:val="6713B733"/>
    <w:rsid w:val="67187827"/>
    <w:rsid w:val="671A31AD"/>
    <w:rsid w:val="671AA432"/>
    <w:rsid w:val="671CA4EA"/>
    <w:rsid w:val="6722A4DE"/>
    <w:rsid w:val="6722EF5A"/>
    <w:rsid w:val="672579D1"/>
    <w:rsid w:val="67272144"/>
    <w:rsid w:val="672765DE"/>
    <w:rsid w:val="67279916"/>
    <w:rsid w:val="6727B011"/>
    <w:rsid w:val="6729063E"/>
    <w:rsid w:val="672B472F"/>
    <w:rsid w:val="672B8D5B"/>
    <w:rsid w:val="672E5D48"/>
    <w:rsid w:val="6732B74E"/>
    <w:rsid w:val="673327D6"/>
    <w:rsid w:val="67340473"/>
    <w:rsid w:val="673505C6"/>
    <w:rsid w:val="67360AFE"/>
    <w:rsid w:val="673943A1"/>
    <w:rsid w:val="67398CF7"/>
    <w:rsid w:val="673BEBDA"/>
    <w:rsid w:val="673ED951"/>
    <w:rsid w:val="673F45E0"/>
    <w:rsid w:val="673F9A92"/>
    <w:rsid w:val="6740ED4D"/>
    <w:rsid w:val="6740F639"/>
    <w:rsid w:val="6742C703"/>
    <w:rsid w:val="67431037"/>
    <w:rsid w:val="67469CED"/>
    <w:rsid w:val="6746E918"/>
    <w:rsid w:val="67475291"/>
    <w:rsid w:val="674859FE"/>
    <w:rsid w:val="67490F7F"/>
    <w:rsid w:val="674A8648"/>
    <w:rsid w:val="674AC2D0"/>
    <w:rsid w:val="674C3C8C"/>
    <w:rsid w:val="674FB2D9"/>
    <w:rsid w:val="6751FA8B"/>
    <w:rsid w:val="6752D3BA"/>
    <w:rsid w:val="6754FEDB"/>
    <w:rsid w:val="675516B3"/>
    <w:rsid w:val="6755C490"/>
    <w:rsid w:val="67560297"/>
    <w:rsid w:val="675727D3"/>
    <w:rsid w:val="67576E22"/>
    <w:rsid w:val="6758EC30"/>
    <w:rsid w:val="675AAA8B"/>
    <w:rsid w:val="675ABC27"/>
    <w:rsid w:val="675CD786"/>
    <w:rsid w:val="675DE663"/>
    <w:rsid w:val="675E772C"/>
    <w:rsid w:val="675EE714"/>
    <w:rsid w:val="676292FF"/>
    <w:rsid w:val="676451CD"/>
    <w:rsid w:val="67665CBD"/>
    <w:rsid w:val="676B2D5D"/>
    <w:rsid w:val="676D762B"/>
    <w:rsid w:val="6772829D"/>
    <w:rsid w:val="67784230"/>
    <w:rsid w:val="6779AB81"/>
    <w:rsid w:val="677A19EF"/>
    <w:rsid w:val="677C939D"/>
    <w:rsid w:val="677FEBE2"/>
    <w:rsid w:val="677FECCF"/>
    <w:rsid w:val="67816929"/>
    <w:rsid w:val="6782DC5F"/>
    <w:rsid w:val="67834027"/>
    <w:rsid w:val="67837181"/>
    <w:rsid w:val="6789ACD4"/>
    <w:rsid w:val="678CBF34"/>
    <w:rsid w:val="678DD504"/>
    <w:rsid w:val="678DD85B"/>
    <w:rsid w:val="678FC0F0"/>
    <w:rsid w:val="67922F42"/>
    <w:rsid w:val="67947BB5"/>
    <w:rsid w:val="6794E0CA"/>
    <w:rsid w:val="6795AE1F"/>
    <w:rsid w:val="679CAFD1"/>
    <w:rsid w:val="679F84B6"/>
    <w:rsid w:val="679FD902"/>
    <w:rsid w:val="67A67465"/>
    <w:rsid w:val="67A72353"/>
    <w:rsid w:val="67A81EA6"/>
    <w:rsid w:val="67AA101C"/>
    <w:rsid w:val="67AAFFA2"/>
    <w:rsid w:val="67AB9BF0"/>
    <w:rsid w:val="67AC9393"/>
    <w:rsid w:val="67ACA497"/>
    <w:rsid w:val="67ADB23F"/>
    <w:rsid w:val="67B02609"/>
    <w:rsid w:val="67B0F14D"/>
    <w:rsid w:val="67B2AE02"/>
    <w:rsid w:val="67B5A9B0"/>
    <w:rsid w:val="67B60145"/>
    <w:rsid w:val="67B6D661"/>
    <w:rsid w:val="67B6E390"/>
    <w:rsid w:val="67BFDCBE"/>
    <w:rsid w:val="67C17744"/>
    <w:rsid w:val="67C1A046"/>
    <w:rsid w:val="67C1AB75"/>
    <w:rsid w:val="67C4B578"/>
    <w:rsid w:val="67C963B5"/>
    <w:rsid w:val="67CAD3AB"/>
    <w:rsid w:val="67CAF452"/>
    <w:rsid w:val="67CB2DE7"/>
    <w:rsid w:val="67D023AE"/>
    <w:rsid w:val="67D80259"/>
    <w:rsid w:val="67D91DD3"/>
    <w:rsid w:val="67D99551"/>
    <w:rsid w:val="67D9DE1D"/>
    <w:rsid w:val="67DB3784"/>
    <w:rsid w:val="67DCEC23"/>
    <w:rsid w:val="67DE6469"/>
    <w:rsid w:val="67E12908"/>
    <w:rsid w:val="67E1432C"/>
    <w:rsid w:val="67E85A30"/>
    <w:rsid w:val="67EA1E96"/>
    <w:rsid w:val="67EAF8BA"/>
    <w:rsid w:val="67F019E6"/>
    <w:rsid w:val="67F0FF6B"/>
    <w:rsid w:val="67F179B6"/>
    <w:rsid w:val="67F4657F"/>
    <w:rsid w:val="67F6ADD3"/>
    <w:rsid w:val="67F90514"/>
    <w:rsid w:val="67F9AB55"/>
    <w:rsid w:val="67FB3FA9"/>
    <w:rsid w:val="67FFC651"/>
    <w:rsid w:val="68054235"/>
    <w:rsid w:val="6807FBD5"/>
    <w:rsid w:val="68087A11"/>
    <w:rsid w:val="680BA089"/>
    <w:rsid w:val="680EB20F"/>
    <w:rsid w:val="680F0F06"/>
    <w:rsid w:val="680F2E23"/>
    <w:rsid w:val="6811A4B6"/>
    <w:rsid w:val="6813881E"/>
    <w:rsid w:val="68146B40"/>
    <w:rsid w:val="681762E4"/>
    <w:rsid w:val="6817A45C"/>
    <w:rsid w:val="68185237"/>
    <w:rsid w:val="6818A3AD"/>
    <w:rsid w:val="6818F0B2"/>
    <w:rsid w:val="681C384B"/>
    <w:rsid w:val="681D50BC"/>
    <w:rsid w:val="681EDC8C"/>
    <w:rsid w:val="681EF24F"/>
    <w:rsid w:val="68209E50"/>
    <w:rsid w:val="68262E98"/>
    <w:rsid w:val="6828258B"/>
    <w:rsid w:val="68299758"/>
    <w:rsid w:val="682997DA"/>
    <w:rsid w:val="682AE72C"/>
    <w:rsid w:val="682B90F6"/>
    <w:rsid w:val="682DC531"/>
    <w:rsid w:val="683303A1"/>
    <w:rsid w:val="6835058C"/>
    <w:rsid w:val="6835B040"/>
    <w:rsid w:val="6836038A"/>
    <w:rsid w:val="68395E9F"/>
    <w:rsid w:val="683B0D92"/>
    <w:rsid w:val="683EE04D"/>
    <w:rsid w:val="68422ED6"/>
    <w:rsid w:val="6842FF44"/>
    <w:rsid w:val="6845BD8D"/>
    <w:rsid w:val="6845D68B"/>
    <w:rsid w:val="6847B39F"/>
    <w:rsid w:val="6847F789"/>
    <w:rsid w:val="68493C02"/>
    <w:rsid w:val="684966F6"/>
    <w:rsid w:val="684A208E"/>
    <w:rsid w:val="684AA73F"/>
    <w:rsid w:val="684D96C1"/>
    <w:rsid w:val="684F7B99"/>
    <w:rsid w:val="68558E90"/>
    <w:rsid w:val="68590D0F"/>
    <w:rsid w:val="685A0A2B"/>
    <w:rsid w:val="685C7191"/>
    <w:rsid w:val="685D582A"/>
    <w:rsid w:val="685E30F2"/>
    <w:rsid w:val="68626F50"/>
    <w:rsid w:val="686270BA"/>
    <w:rsid w:val="68641462"/>
    <w:rsid w:val="686680E2"/>
    <w:rsid w:val="68684987"/>
    <w:rsid w:val="686A0BAF"/>
    <w:rsid w:val="686A4572"/>
    <w:rsid w:val="686B3B86"/>
    <w:rsid w:val="686CCB53"/>
    <w:rsid w:val="686E44BC"/>
    <w:rsid w:val="687269E1"/>
    <w:rsid w:val="68737706"/>
    <w:rsid w:val="68799FE2"/>
    <w:rsid w:val="687B5418"/>
    <w:rsid w:val="687C526D"/>
    <w:rsid w:val="687E9D33"/>
    <w:rsid w:val="688059F9"/>
    <w:rsid w:val="6880DF0F"/>
    <w:rsid w:val="6885B1E8"/>
    <w:rsid w:val="6889B47C"/>
    <w:rsid w:val="688FAA6D"/>
    <w:rsid w:val="689316FD"/>
    <w:rsid w:val="6893C4F1"/>
    <w:rsid w:val="6895A5E5"/>
    <w:rsid w:val="6896AA23"/>
    <w:rsid w:val="6899AF21"/>
    <w:rsid w:val="689CDA39"/>
    <w:rsid w:val="68A1BAB3"/>
    <w:rsid w:val="68A5E133"/>
    <w:rsid w:val="68A61092"/>
    <w:rsid w:val="68A9C649"/>
    <w:rsid w:val="68A9D155"/>
    <w:rsid w:val="68AA0D0E"/>
    <w:rsid w:val="68AB3CFB"/>
    <w:rsid w:val="68AC7C6D"/>
    <w:rsid w:val="68AD889B"/>
    <w:rsid w:val="68B09D67"/>
    <w:rsid w:val="68B778E6"/>
    <w:rsid w:val="68C56E4E"/>
    <w:rsid w:val="68C5CBC3"/>
    <w:rsid w:val="68C86271"/>
    <w:rsid w:val="68C91B56"/>
    <w:rsid w:val="68CE0654"/>
    <w:rsid w:val="68CE1B25"/>
    <w:rsid w:val="68D07F42"/>
    <w:rsid w:val="68D1F4A5"/>
    <w:rsid w:val="68D23B95"/>
    <w:rsid w:val="68D70B07"/>
    <w:rsid w:val="68DB46E8"/>
    <w:rsid w:val="68E1984B"/>
    <w:rsid w:val="68E322F2"/>
    <w:rsid w:val="68E3B79F"/>
    <w:rsid w:val="68E489C6"/>
    <w:rsid w:val="68EC7DEF"/>
    <w:rsid w:val="68EEC6DF"/>
    <w:rsid w:val="68F0AB8D"/>
    <w:rsid w:val="68F2D44C"/>
    <w:rsid w:val="68F3211A"/>
    <w:rsid w:val="68F5B60F"/>
    <w:rsid w:val="68F5C6E0"/>
    <w:rsid w:val="68F64EB2"/>
    <w:rsid w:val="68F692D9"/>
    <w:rsid w:val="68F6A1A6"/>
    <w:rsid w:val="68F6F833"/>
    <w:rsid w:val="68F7C64B"/>
    <w:rsid w:val="68FAC3EA"/>
    <w:rsid w:val="69012979"/>
    <w:rsid w:val="69037714"/>
    <w:rsid w:val="69038698"/>
    <w:rsid w:val="69041972"/>
    <w:rsid w:val="69045791"/>
    <w:rsid w:val="690567A9"/>
    <w:rsid w:val="690B1AF6"/>
    <w:rsid w:val="690B683B"/>
    <w:rsid w:val="690BEBFB"/>
    <w:rsid w:val="690DE446"/>
    <w:rsid w:val="690DFDCE"/>
    <w:rsid w:val="69107D21"/>
    <w:rsid w:val="691110C9"/>
    <w:rsid w:val="69139CB5"/>
    <w:rsid w:val="6915831A"/>
    <w:rsid w:val="69180349"/>
    <w:rsid w:val="69196C35"/>
    <w:rsid w:val="6919C737"/>
    <w:rsid w:val="6919E71D"/>
    <w:rsid w:val="691A040C"/>
    <w:rsid w:val="691B2B27"/>
    <w:rsid w:val="691C5E37"/>
    <w:rsid w:val="691CEB2A"/>
    <w:rsid w:val="6920ABBB"/>
    <w:rsid w:val="69225D1E"/>
    <w:rsid w:val="6925673C"/>
    <w:rsid w:val="6925BEB2"/>
    <w:rsid w:val="6928717E"/>
    <w:rsid w:val="69299FE1"/>
    <w:rsid w:val="6929F28C"/>
    <w:rsid w:val="692B25BB"/>
    <w:rsid w:val="692C07EB"/>
    <w:rsid w:val="692D4AF1"/>
    <w:rsid w:val="692EF2D2"/>
    <w:rsid w:val="692F2A8D"/>
    <w:rsid w:val="6930D4D2"/>
    <w:rsid w:val="6930F354"/>
    <w:rsid w:val="6931C6B6"/>
    <w:rsid w:val="69326C9D"/>
    <w:rsid w:val="69331A22"/>
    <w:rsid w:val="69362517"/>
    <w:rsid w:val="6938852F"/>
    <w:rsid w:val="6939AE4C"/>
    <w:rsid w:val="693AAAEF"/>
    <w:rsid w:val="693CF27D"/>
    <w:rsid w:val="693D0423"/>
    <w:rsid w:val="693D230E"/>
    <w:rsid w:val="693D376D"/>
    <w:rsid w:val="693F1E76"/>
    <w:rsid w:val="69427580"/>
    <w:rsid w:val="69435F15"/>
    <w:rsid w:val="69453773"/>
    <w:rsid w:val="69475CF0"/>
    <w:rsid w:val="6947B23E"/>
    <w:rsid w:val="69491184"/>
    <w:rsid w:val="694F12A4"/>
    <w:rsid w:val="695023C3"/>
    <w:rsid w:val="6951AE19"/>
    <w:rsid w:val="69562B4D"/>
    <w:rsid w:val="69596B59"/>
    <w:rsid w:val="695B9111"/>
    <w:rsid w:val="695E494F"/>
    <w:rsid w:val="695F0C51"/>
    <w:rsid w:val="696321D8"/>
    <w:rsid w:val="696790F1"/>
    <w:rsid w:val="6967DFF2"/>
    <w:rsid w:val="696F2AF4"/>
    <w:rsid w:val="696F8373"/>
    <w:rsid w:val="69722A54"/>
    <w:rsid w:val="6973929F"/>
    <w:rsid w:val="6973DA3C"/>
    <w:rsid w:val="6976480C"/>
    <w:rsid w:val="69766DA4"/>
    <w:rsid w:val="6976CAA3"/>
    <w:rsid w:val="6977611F"/>
    <w:rsid w:val="6977DEE6"/>
    <w:rsid w:val="6978F359"/>
    <w:rsid w:val="697C6207"/>
    <w:rsid w:val="6980A3B7"/>
    <w:rsid w:val="6982F8C3"/>
    <w:rsid w:val="69850EE6"/>
    <w:rsid w:val="69897015"/>
    <w:rsid w:val="698A46EB"/>
    <w:rsid w:val="698AE910"/>
    <w:rsid w:val="698C4508"/>
    <w:rsid w:val="698C624D"/>
    <w:rsid w:val="698CC599"/>
    <w:rsid w:val="698CE84B"/>
    <w:rsid w:val="69934B64"/>
    <w:rsid w:val="6998A5E9"/>
    <w:rsid w:val="6998CC07"/>
    <w:rsid w:val="69997E67"/>
    <w:rsid w:val="6999E508"/>
    <w:rsid w:val="699D1DB7"/>
    <w:rsid w:val="69A06CE1"/>
    <w:rsid w:val="69A1F91B"/>
    <w:rsid w:val="69A44A72"/>
    <w:rsid w:val="69A5DEE7"/>
    <w:rsid w:val="69A81763"/>
    <w:rsid w:val="69B00649"/>
    <w:rsid w:val="69B05C6B"/>
    <w:rsid w:val="69B0C422"/>
    <w:rsid w:val="69B4B4ED"/>
    <w:rsid w:val="69B66062"/>
    <w:rsid w:val="69B8546D"/>
    <w:rsid w:val="69BB9CAF"/>
    <w:rsid w:val="69C083B5"/>
    <w:rsid w:val="69C1357C"/>
    <w:rsid w:val="69C25D86"/>
    <w:rsid w:val="69C2E636"/>
    <w:rsid w:val="69C2F976"/>
    <w:rsid w:val="69C37309"/>
    <w:rsid w:val="69C47121"/>
    <w:rsid w:val="69C69A24"/>
    <w:rsid w:val="69C71998"/>
    <w:rsid w:val="69C7BF85"/>
    <w:rsid w:val="69C9260F"/>
    <w:rsid w:val="69CA2821"/>
    <w:rsid w:val="69CC323F"/>
    <w:rsid w:val="69CEF02A"/>
    <w:rsid w:val="69CF4D1D"/>
    <w:rsid w:val="69CFC662"/>
    <w:rsid w:val="69CFDE04"/>
    <w:rsid w:val="69D08DBC"/>
    <w:rsid w:val="69D365EB"/>
    <w:rsid w:val="69D400D1"/>
    <w:rsid w:val="69D46738"/>
    <w:rsid w:val="69D91070"/>
    <w:rsid w:val="69DA5543"/>
    <w:rsid w:val="69DCD7D4"/>
    <w:rsid w:val="69DD1843"/>
    <w:rsid w:val="69DD8E0F"/>
    <w:rsid w:val="69DE270F"/>
    <w:rsid w:val="69DE67D1"/>
    <w:rsid w:val="69DE89DF"/>
    <w:rsid w:val="69E12658"/>
    <w:rsid w:val="69E1A53F"/>
    <w:rsid w:val="69E1A99F"/>
    <w:rsid w:val="69E477DD"/>
    <w:rsid w:val="69E9248B"/>
    <w:rsid w:val="69E9CE1F"/>
    <w:rsid w:val="69EC942D"/>
    <w:rsid w:val="69ECD16C"/>
    <w:rsid w:val="69F12B91"/>
    <w:rsid w:val="69F20C57"/>
    <w:rsid w:val="69F21306"/>
    <w:rsid w:val="69F25F8A"/>
    <w:rsid w:val="69F6812F"/>
    <w:rsid w:val="69F68932"/>
    <w:rsid w:val="69F8AE9B"/>
    <w:rsid w:val="69F9D1F6"/>
    <w:rsid w:val="69FA8C07"/>
    <w:rsid w:val="69FB6BED"/>
    <w:rsid w:val="69FB9DF0"/>
    <w:rsid w:val="69FCA694"/>
    <w:rsid w:val="69FEEEE7"/>
    <w:rsid w:val="69FF69B4"/>
    <w:rsid w:val="6A01D1AA"/>
    <w:rsid w:val="6A059FBA"/>
    <w:rsid w:val="6A0D0CF4"/>
    <w:rsid w:val="6A0EC145"/>
    <w:rsid w:val="6A100DFA"/>
    <w:rsid w:val="6A119226"/>
    <w:rsid w:val="6A142159"/>
    <w:rsid w:val="6A1498D8"/>
    <w:rsid w:val="6A14B1B3"/>
    <w:rsid w:val="6A1705A7"/>
    <w:rsid w:val="6A190BD3"/>
    <w:rsid w:val="6A19FBDB"/>
    <w:rsid w:val="6A2765AD"/>
    <w:rsid w:val="6A289682"/>
    <w:rsid w:val="6A2938F4"/>
    <w:rsid w:val="6A29769F"/>
    <w:rsid w:val="6A2AEC7B"/>
    <w:rsid w:val="6A2B6E5C"/>
    <w:rsid w:val="6A2BC45E"/>
    <w:rsid w:val="6A2D252B"/>
    <w:rsid w:val="6A2DF6DD"/>
    <w:rsid w:val="6A3153E8"/>
    <w:rsid w:val="6A335A0F"/>
    <w:rsid w:val="6A338CD8"/>
    <w:rsid w:val="6A37DEC0"/>
    <w:rsid w:val="6A38287A"/>
    <w:rsid w:val="6A3A54DE"/>
    <w:rsid w:val="6A3CB311"/>
    <w:rsid w:val="6A3D16AF"/>
    <w:rsid w:val="6A3D6CD1"/>
    <w:rsid w:val="6A40348E"/>
    <w:rsid w:val="6A40953A"/>
    <w:rsid w:val="6A43C4F6"/>
    <w:rsid w:val="6A4564CA"/>
    <w:rsid w:val="6A475187"/>
    <w:rsid w:val="6A47AF16"/>
    <w:rsid w:val="6A483704"/>
    <w:rsid w:val="6A49FF31"/>
    <w:rsid w:val="6A4CC68B"/>
    <w:rsid w:val="6A4D5835"/>
    <w:rsid w:val="6A4ECBD5"/>
    <w:rsid w:val="6A5050A1"/>
    <w:rsid w:val="6A50F840"/>
    <w:rsid w:val="6A523995"/>
    <w:rsid w:val="6A5364B2"/>
    <w:rsid w:val="6A53CD23"/>
    <w:rsid w:val="6A5539F1"/>
    <w:rsid w:val="6A55A356"/>
    <w:rsid w:val="6A564A65"/>
    <w:rsid w:val="6A5684AB"/>
    <w:rsid w:val="6A58838B"/>
    <w:rsid w:val="6A608A39"/>
    <w:rsid w:val="6A644F4E"/>
    <w:rsid w:val="6A67030E"/>
    <w:rsid w:val="6A68AD26"/>
    <w:rsid w:val="6A69AAD7"/>
    <w:rsid w:val="6A6B1FEA"/>
    <w:rsid w:val="6A6B33AF"/>
    <w:rsid w:val="6A6B9F8B"/>
    <w:rsid w:val="6A6C672A"/>
    <w:rsid w:val="6A6CB793"/>
    <w:rsid w:val="6A72012F"/>
    <w:rsid w:val="6A75FCD1"/>
    <w:rsid w:val="6A762B52"/>
    <w:rsid w:val="6A7B1F62"/>
    <w:rsid w:val="6A7B945C"/>
    <w:rsid w:val="6A7CFE39"/>
    <w:rsid w:val="6A7D4937"/>
    <w:rsid w:val="6A7F0687"/>
    <w:rsid w:val="6A826E53"/>
    <w:rsid w:val="6A838B7A"/>
    <w:rsid w:val="6A877322"/>
    <w:rsid w:val="6A8B7D09"/>
    <w:rsid w:val="6A8C259C"/>
    <w:rsid w:val="6A8DBB8C"/>
    <w:rsid w:val="6A8ED39B"/>
    <w:rsid w:val="6A91EC66"/>
    <w:rsid w:val="6A93D8D0"/>
    <w:rsid w:val="6A94824B"/>
    <w:rsid w:val="6A963211"/>
    <w:rsid w:val="6A98D83E"/>
    <w:rsid w:val="6A9A83F4"/>
    <w:rsid w:val="6A9B7D7A"/>
    <w:rsid w:val="6A9BEB39"/>
    <w:rsid w:val="6AA2E04A"/>
    <w:rsid w:val="6AA4DB7D"/>
    <w:rsid w:val="6AA8009F"/>
    <w:rsid w:val="6AA8F818"/>
    <w:rsid w:val="6AAE9751"/>
    <w:rsid w:val="6AB11B30"/>
    <w:rsid w:val="6AB2B7F1"/>
    <w:rsid w:val="6AB7541E"/>
    <w:rsid w:val="6AB7E306"/>
    <w:rsid w:val="6AB87936"/>
    <w:rsid w:val="6AB8A0BD"/>
    <w:rsid w:val="6AB95137"/>
    <w:rsid w:val="6ABBE50B"/>
    <w:rsid w:val="6AC2BD2A"/>
    <w:rsid w:val="6AC3E133"/>
    <w:rsid w:val="6AC4ABD6"/>
    <w:rsid w:val="6AC4E662"/>
    <w:rsid w:val="6AC59BB8"/>
    <w:rsid w:val="6AC8DBBC"/>
    <w:rsid w:val="6ACA42DC"/>
    <w:rsid w:val="6ACBAD60"/>
    <w:rsid w:val="6ACE85C6"/>
    <w:rsid w:val="6ACFE04A"/>
    <w:rsid w:val="6AD3A154"/>
    <w:rsid w:val="6AD6E467"/>
    <w:rsid w:val="6AD74559"/>
    <w:rsid w:val="6AD7A97A"/>
    <w:rsid w:val="6AD8CBFC"/>
    <w:rsid w:val="6AD9B0CB"/>
    <w:rsid w:val="6ADD2AD0"/>
    <w:rsid w:val="6ADE873F"/>
    <w:rsid w:val="6AE611CB"/>
    <w:rsid w:val="6AE9EFA1"/>
    <w:rsid w:val="6AEB1F7D"/>
    <w:rsid w:val="6AEC999F"/>
    <w:rsid w:val="6AECBA92"/>
    <w:rsid w:val="6AEF53A4"/>
    <w:rsid w:val="6AF1210A"/>
    <w:rsid w:val="6AF294D6"/>
    <w:rsid w:val="6AF2F0C6"/>
    <w:rsid w:val="6AF6941F"/>
    <w:rsid w:val="6AF73722"/>
    <w:rsid w:val="6AF74574"/>
    <w:rsid w:val="6AF827C0"/>
    <w:rsid w:val="6AF8EB74"/>
    <w:rsid w:val="6AF9AD4E"/>
    <w:rsid w:val="6AFD4C92"/>
    <w:rsid w:val="6AFD6AD3"/>
    <w:rsid w:val="6AFFF154"/>
    <w:rsid w:val="6B011C3A"/>
    <w:rsid w:val="6B043769"/>
    <w:rsid w:val="6B046B2F"/>
    <w:rsid w:val="6B09297F"/>
    <w:rsid w:val="6B09B63C"/>
    <w:rsid w:val="6B0A1C40"/>
    <w:rsid w:val="6B0A99CC"/>
    <w:rsid w:val="6B0CA3C7"/>
    <w:rsid w:val="6B0F01EA"/>
    <w:rsid w:val="6B0FEB48"/>
    <w:rsid w:val="6B1689A9"/>
    <w:rsid w:val="6B16DCE7"/>
    <w:rsid w:val="6B180641"/>
    <w:rsid w:val="6B18842E"/>
    <w:rsid w:val="6B1963E6"/>
    <w:rsid w:val="6B199367"/>
    <w:rsid w:val="6B1A33AD"/>
    <w:rsid w:val="6B1AA102"/>
    <w:rsid w:val="6B1BDB99"/>
    <w:rsid w:val="6B1C98B6"/>
    <w:rsid w:val="6B1D2D27"/>
    <w:rsid w:val="6B21B260"/>
    <w:rsid w:val="6B287742"/>
    <w:rsid w:val="6B2A3A80"/>
    <w:rsid w:val="6B31AA04"/>
    <w:rsid w:val="6B3C04FB"/>
    <w:rsid w:val="6B3CFBAA"/>
    <w:rsid w:val="6B3ECB7D"/>
    <w:rsid w:val="6B3ECF3D"/>
    <w:rsid w:val="6B432DEC"/>
    <w:rsid w:val="6B439FA4"/>
    <w:rsid w:val="6B482C59"/>
    <w:rsid w:val="6B4B28E0"/>
    <w:rsid w:val="6B4B86E2"/>
    <w:rsid w:val="6B4E3F72"/>
    <w:rsid w:val="6B50B275"/>
    <w:rsid w:val="6B53E935"/>
    <w:rsid w:val="6B5A8FD1"/>
    <w:rsid w:val="6B5B0AE8"/>
    <w:rsid w:val="6B5CE738"/>
    <w:rsid w:val="6B5D0DB8"/>
    <w:rsid w:val="6B6469D4"/>
    <w:rsid w:val="6B64F18A"/>
    <w:rsid w:val="6B6AAC47"/>
    <w:rsid w:val="6B6C5F2A"/>
    <w:rsid w:val="6B6E4B33"/>
    <w:rsid w:val="6B6E6886"/>
    <w:rsid w:val="6B75B115"/>
    <w:rsid w:val="6B786034"/>
    <w:rsid w:val="6B7ADA5E"/>
    <w:rsid w:val="6B7B3143"/>
    <w:rsid w:val="6B7C2231"/>
    <w:rsid w:val="6B7F2C29"/>
    <w:rsid w:val="6B7F57B5"/>
    <w:rsid w:val="6B822B78"/>
    <w:rsid w:val="6B83830F"/>
    <w:rsid w:val="6B89A15C"/>
    <w:rsid w:val="6B8A0119"/>
    <w:rsid w:val="6B8B6983"/>
    <w:rsid w:val="6B8E8BD7"/>
    <w:rsid w:val="6B8EF0DF"/>
    <w:rsid w:val="6B9046E5"/>
    <w:rsid w:val="6B92294C"/>
    <w:rsid w:val="6B940BA2"/>
    <w:rsid w:val="6B9630C2"/>
    <w:rsid w:val="6B9838C3"/>
    <w:rsid w:val="6B9B971B"/>
    <w:rsid w:val="6B9F7B5E"/>
    <w:rsid w:val="6BA20649"/>
    <w:rsid w:val="6BA46637"/>
    <w:rsid w:val="6BA4BA53"/>
    <w:rsid w:val="6BA4F818"/>
    <w:rsid w:val="6BAAA12F"/>
    <w:rsid w:val="6BAE126C"/>
    <w:rsid w:val="6BAE126F"/>
    <w:rsid w:val="6BB0A2B2"/>
    <w:rsid w:val="6BB0ED46"/>
    <w:rsid w:val="6BB2E0FE"/>
    <w:rsid w:val="6BB487D8"/>
    <w:rsid w:val="6BB512BE"/>
    <w:rsid w:val="6BB78CB5"/>
    <w:rsid w:val="6BB7DA25"/>
    <w:rsid w:val="6BB91B23"/>
    <w:rsid w:val="6BB92D7E"/>
    <w:rsid w:val="6BBAA06F"/>
    <w:rsid w:val="6BBCBF27"/>
    <w:rsid w:val="6BBD1A69"/>
    <w:rsid w:val="6BBF8BC8"/>
    <w:rsid w:val="6BBFD057"/>
    <w:rsid w:val="6BC0D46C"/>
    <w:rsid w:val="6BC13963"/>
    <w:rsid w:val="6BC1A4A8"/>
    <w:rsid w:val="6BC1BD5B"/>
    <w:rsid w:val="6BC1F67B"/>
    <w:rsid w:val="6BC4F5C9"/>
    <w:rsid w:val="6BC88C82"/>
    <w:rsid w:val="6BC9F70E"/>
    <w:rsid w:val="6BCBE733"/>
    <w:rsid w:val="6BCC26B7"/>
    <w:rsid w:val="6BD02D45"/>
    <w:rsid w:val="6BD64F90"/>
    <w:rsid w:val="6BD6BB94"/>
    <w:rsid w:val="6BE0476F"/>
    <w:rsid w:val="6BE3944C"/>
    <w:rsid w:val="6BE7E56C"/>
    <w:rsid w:val="6BEACA68"/>
    <w:rsid w:val="6BEAD2C3"/>
    <w:rsid w:val="6BEB026C"/>
    <w:rsid w:val="6BEBDEC4"/>
    <w:rsid w:val="6BEC9F8B"/>
    <w:rsid w:val="6BED55B2"/>
    <w:rsid w:val="6BED8D42"/>
    <w:rsid w:val="6BEEB582"/>
    <w:rsid w:val="6BEF4004"/>
    <w:rsid w:val="6BF0DC6D"/>
    <w:rsid w:val="6BF6F831"/>
    <w:rsid w:val="6BF79848"/>
    <w:rsid w:val="6BF8FB6C"/>
    <w:rsid w:val="6BF9899D"/>
    <w:rsid w:val="6BFA5336"/>
    <w:rsid w:val="6BFE77C6"/>
    <w:rsid w:val="6C0121D2"/>
    <w:rsid w:val="6C06EE27"/>
    <w:rsid w:val="6C079494"/>
    <w:rsid w:val="6C0A25C4"/>
    <w:rsid w:val="6C0B1789"/>
    <w:rsid w:val="6C0DDF62"/>
    <w:rsid w:val="6C135E34"/>
    <w:rsid w:val="6C154550"/>
    <w:rsid w:val="6C1870B9"/>
    <w:rsid w:val="6C19F443"/>
    <w:rsid w:val="6C1B7DDE"/>
    <w:rsid w:val="6C1C7E0E"/>
    <w:rsid w:val="6C1CCEF6"/>
    <w:rsid w:val="6C1E071B"/>
    <w:rsid w:val="6C1E90A2"/>
    <w:rsid w:val="6C20669E"/>
    <w:rsid w:val="6C21A56B"/>
    <w:rsid w:val="6C22BDF1"/>
    <w:rsid w:val="6C2367C7"/>
    <w:rsid w:val="6C2492E8"/>
    <w:rsid w:val="6C2515F1"/>
    <w:rsid w:val="6C256091"/>
    <w:rsid w:val="6C2A3BA3"/>
    <w:rsid w:val="6C2B0430"/>
    <w:rsid w:val="6C2B299D"/>
    <w:rsid w:val="6C2BB5E6"/>
    <w:rsid w:val="6C2C21D1"/>
    <w:rsid w:val="6C2C7017"/>
    <w:rsid w:val="6C301F4D"/>
    <w:rsid w:val="6C313A7E"/>
    <w:rsid w:val="6C3652CF"/>
    <w:rsid w:val="6C36E48D"/>
    <w:rsid w:val="6C3709D8"/>
    <w:rsid w:val="6C397DD0"/>
    <w:rsid w:val="6C39DE00"/>
    <w:rsid w:val="6C3F7BFE"/>
    <w:rsid w:val="6C3FAA89"/>
    <w:rsid w:val="6C4023C3"/>
    <w:rsid w:val="6C441481"/>
    <w:rsid w:val="6C4423EF"/>
    <w:rsid w:val="6C451CCA"/>
    <w:rsid w:val="6C478170"/>
    <w:rsid w:val="6C4D44FD"/>
    <w:rsid w:val="6C4E943B"/>
    <w:rsid w:val="6C4F646F"/>
    <w:rsid w:val="6C4F8223"/>
    <w:rsid w:val="6C500984"/>
    <w:rsid w:val="6C52A48C"/>
    <w:rsid w:val="6C5357BA"/>
    <w:rsid w:val="6C5486D7"/>
    <w:rsid w:val="6C553BEB"/>
    <w:rsid w:val="6C55B42D"/>
    <w:rsid w:val="6C5848A7"/>
    <w:rsid w:val="6C58D41D"/>
    <w:rsid w:val="6C59C9AA"/>
    <w:rsid w:val="6C5BF3C3"/>
    <w:rsid w:val="6C5C6605"/>
    <w:rsid w:val="6C5CC9B5"/>
    <w:rsid w:val="6C5CCC38"/>
    <w:rsid w:val="6C5D9945"/>
    <w:rsid w:val="6C5E40A1"/>
    <w:rsid w:val="6C61976D"/>
    <w:rsid w:val="6C622D9A"/>
    <w:rsid w:val="6C6328C9"/>
    <w:rsid w:val="6C656B51"/>
    <w:rsid w:val="6C672353"/>
    <w:rsid w:val="6C6CBD93"/>
    <w:rsid w:val="6C6FD6D9"/>
    <w:rsid w:val="6C702552"/>
    <w:rsid w:val="6C70358E"/>
    <w:rsid w:val="6C71E02E"/>
    <w:rsid w:val="6C72B8B6"/>
    <w:rsid w:val="6C74BAB4"/>
    <w:rsid w:val="6C79311A"/>
    <w:rsid w:val="6C7A1DDA"/>
    <w:rsid w:val="6C7A860B"/>
    <w:rsid w:val="6C7BC525"/>
    <w:rsid w:val="6C7BDF0D"/>
    <w:rsid w:val="6C7C66A7"/>
    <w:rsid w:val="6C7E56B0"/>
    <w:rsid w:val="6C8092A5"/>
    <w:rsid w:val="6C8119D8"/>
    <w:rsid w:val="6C8976F7"/>
    <w:rsid w:val="6C89A4DD"/>
    <w:rsid w:val="6C8AFAAC"/>
    <w:rsid w:val="6C8C229E"/>
    <w:rsid w:val="6C8D0C96"/>
    <w:rsid w:val="6C8D60A4"/>
    <w:rsid w:val="6C8D8FE7"/>
    <w:rsid w:val="6C8F8FC8"/>
    <w:rsid w:val="6C90C3C1"/>
    <w:rsid w:val="6C92B574"/>
    <w:rsid w:val="6C92F5F1"/>
    <w:rsid w:val="6C951E27"/>
    <w:rsid w:val="6C960079"/>
    <w:rsid w:val="6C9B6BF5"/>
    <w:rsid w:val="6C9BE930"/>
    <w:rsid w:val="6CA7D4B4"/>
    <w:rsid w:val="6CA8D6F2"/>
    <w:rsid w:val="6CA95A35"/>
    <w:rsid w:val="6CAB785F"/>
    <w:rsid w:val="6CAD4300"/>
    <w:rsid w:val="6CAD7BAD"/>
    <w:rsid w:val="6CADC5EF"/>
    <w:rsid w:val="6CAE5FBF"/>
    <w:rsid w:val="6CAF78D1"/>
    <w:rsid w:val="6CAFE451"/>
    <w:rsid w:val="6CB04E6A"/>
    <w:rsid w:val="6CB0C923"/>
    <w:rsid w:val="6CB178FF"/>
    <w:rsid w:val="6CB22C26"/>
    <w:rsid w:val="6CB3C243"/>
    <w:rsid w:val="6CB4E091"/>
    <w:rsid w:val="6CB53ACF"/>
    <w:rsid w:val="6CB6CD8A"/>
    <w:rsid w:val="6CB90B17"/>
    <w:rsid w:val="6CBAEAA9"/>
    <w:rsid w:val="6CBBCC09"/>
    <w:rsid w:val="6CBD9B5C"/>
    <w:rsid w:val="6CBE61C7"/>
    <w:rsid w:val="6CBF01A5"/>
    <w:rsid w:val="6CC1C5C8"/>
    <w:rsid w:val="6CC53CA8"/>
    <w:rsid w:val="6CC5624A"/>
    <w:rsid w:val="6CC7D6E5"/>
    <w:rsid w:val="6CCB7835"/>
    <w:rsid w:val="6CCCAD35"/>
    <w:rsid w:val="6CCCF90B"/>
    <w:rsid w:val="6CCD271C"/>
    <w:rsid w:val="6CCE6D28"/>
    <w:rsid w:val="6CD16148"/>
    <w:rsid w:val="6CD29CE8"/>
    <w:rsid w:val="6CD47530"/>
    <w:rsid w:val="6CD9C324"/>
    <w:rsid w:val="6CD9DE23"/>
    <w:rsid w:val="6CDB629A"/>
    <w:rsid w:val="6CDBB199"/>
    <w:rsid w:val="6CE25254"/>
    <w:rsid w:val="6CE65F13"/>
    <w:rsid w:val="6CE68193"/>
    <w:rsid w:val="6CEB5430"/>
    <w:rsid w:val="6CEBA57B"/>
    <w:rsid w:val="6CEBCC9A"/>
    <w:rsid w:val="6CF0731D"/>
    <w:rsid w:val="6CF2EFB3"/>
    <w:rsid w:val="6CF45B13"/>
    <w:rsid w:val="6CF4CF3E"/>
    <w:rsid w:val="6CF78490"/>
    <w:rsid w:val="6CF94034"/>
    <w:rsid w:val="6CFA5A54"/>
    <w:rsid w:val="6CFA7A94"/>
    <w:rsid w:val="6CFB1AE2"/>
    <w:rsid w:val="6CFB511B"/>
    <w:rsid w:val="6CFE10BE"/>
    <w:rsid w:val="6CFE33B1"/>
    <w:rsid w:val="6CFF30E0"/>
    <w:rsid w:val="6D03D293"/>
    <w:rsid w:val="6D06CA2F"/>
    <w:rsid w:val="6D0AD394"/>
    <w:rsid w:val="6D0FFADC"/>
    <w:rsid w:val="6D1170A4"/>
    <w:rsid w:val="6D130AFD"/>
    <w:rsid w:val="6D142964"/>
    <w:rsid w:val="6D143729"/>
    <w:rsid w:val="6D163940"/>
    <w:rsid w:val="6D192EE4"/>
    <w:rsid w:val="6D19C63D"/>
    <w:rsid w:val="6D19DE17"/>
    <w:rsid w:val="6D1BBAEF"/>
    <w:rsid w:val="6D1EA543"/>
    <w:rsid w:val="6D1F57F1"/>
    <w:rsid w:val="6D210E0C"/>
    <w:rsid w:val="6D210F71"/>
    <w:rsid w:val="6D236E74"/>
    <w:rsid w:val="6D258020"/>
    <w:rsid w:val="6D25BB9E"/>
    <w:rsid w:val="6D2AABF7"/>
    <w:rsid w:val="6D2D392E"/>
    <w:rsid w:val="6D2DD69D"/>
    <w:rsid w:val="6D31E9EE"/>
    <w:rsid w:val="6D340844"/>
    <w:rsid w:val="6D351BF2"/>
    <w:rsid w:val="6D37F4BA"/>
    <w:rsid w:val="6D3AD7CF"/>
    <w:rsid w:val="6D3ECF31"/>
    <w:rsid w:val="6D3F8C7B"/>
    <w:rsid w:val="6D3FC02E"/>
    <w:rsid w:val="6D434718"/>
    <w:rsid w:val="6D446243"/>
    <w:rsid w:val="6D45E9A5"/>
    <w:rsid w:val="6D46AD41"/>
    <w:rsid w:val="6D470FC5"/>
    <w:rsid w:val="6D49A6CE"/>
    <w:rsid w:val="6D4A7589"/>
    <w:rsid w:val="6D4BED9F"/>
    <w:rsid w:val="6D4F8B9B"/>
    <w:rsid w:val="6D4FD829"/>
    <w:rsid w:val="6D5139D4"/>
    <w:rsid w:val="6D52BBFC"/>
    <w:rsid w:val="6D53A15A"/>
    <w:rsid w:val="6D53DCB8"/>
    <w:rsid w:val="6D560D14"/>
    <w:rsid w:val="6D58840C"/>
    <w:rsid w:val="6D59D1F1"/>
    <w:rsid w:val="6D5A6B61"/>
    <w:rsid w:val="6D646940"/>
    <w:rsid w:val="6D649202"/>
    <w:rsid w:val="6D655C6B"/>
    <w:rsid w:val="6D66728D"/>
    <w:rsid w:val="6D678A8C"/>
    <w:rsid w:val="6D67F718"/>
    <w:rsid w:val="6D6F6094"/>
    <w:rsid w:val="6D70D246"/>
    <w:rsid w:val="6D719E61"/>
    <w:rsid w:val="6D758488"/>
    <w:rsid w:val="6D77D3C6"/>
    <w:rsid w:val="6D780385"/>
    <w:rsid w:val="6D7A3C0D"/>
    <w:rsid w:val="6D7E6632"/>
    <w:rsid w:val="6D7F0887"/>
    <w:rsid w:val="6D7F5F68"/>
    <w:rsid w:val="6D80360C"/>
    <w:rsid w:val="6D84AD70"/>
    <w:rsid w:val="6D856BD5"/>
    <w:rsid w:val="6D87AF25"/>
    <w:rsid w:val="6D89A19B"/>
    <w:rsid w:val="6D8B6200"/>
    <w:rsid w:val="6D90DF08"/>
    <w:rsid w:val="6D95A231"/>
    <w:rsid w:val="6D9764BE"/>
    <w:rsid w:val="6D9773C8"/>
    <w:rsid w:val="6D989EE7"/>
    <w:rsid w:val="6D9948C4"/>
    <w:rsid w:val="6D9B232D"/>
    <w:rsid w:val="6D9B3F81"/>
    <w:rsid w:val="6D9CF211"/>
    <w:rsid w:val="6D9DD7AB"/>
    <w:rsid w:val="6D9EEDF6"/>
    <w:rsid w:val="6D9FFE2A"/>
    <w:rsid w:val="6DA4EF12"/>
    <w:rsid w:val="6DA62A37"/>
    <w:rsid w:val="6DA745DF"/>
    <w:rsid w:val="6DA8884C"/>
    <w:rsid w:val="6DAD33BF"/>
    <w:rsid w:val="6DADF4C9"/>
    <w:rsid w:val="6DAE9A86"/>
    <w:rsid w:val="6DAEDC3A"/>
    <w:rsid w:val="6DB2AF83"/>
    <w:rsid w:val="6DB786C5"/>
    <w:rsid w:val="6DB7EE8F"/>
    <w:rsid w:val="6DB9D7C0"/>
    <w:rsid w:val="6DBB26EC"/>
    <w:rsid w:val="6DBBCB84"/>
    <w:rsid w:val="6DBDDCCE"/>
    <w:rsid w:val="6DBF9505"/>
    <w:rsid w:val="6DC2B081"/>
    <w:rsid w:val="6DC2CC3F"/>
    <w:rsid w:val="6DC6A541"/>
    <w:rsid w:val="6DCB22CF"/>
    <w:rsid w:val="6DD08821"/>
    <w:rsid w:val="6DD0DC5F"/>
    <w:rsid w:val="6DD10F4F"/>
    <w:rsid w:val="6DD210B2"/>
    <w:rsid w:val="6DD32707"/>
    <w:rsid w:val="6DD39F88"/>
    <w:rsid w:val="6DD4F3DA"/>
    <w:rsid w:val="6DDA4B44"/>
    <w:rsid w:val="6DE098DA"/>
    <w:rsid w:val="6DE1AD3F"/>
    <w:rsid w:val="6DE3BC26"/>
    <w:rsid w:val="6DE57C36"/>
    <w:rsid w:val="6DEE5407"/>
    <w:rsid w:val="6DEEF484"/>
    <w:rsid w:val="6DEF7AB7"/>
    <w:rsid w:val="6DF0DE47"/>
    <w:rsid w:val="6DF2A1A3"/>
    <w:rsid w:val="6DF7ED95"/>
    <w:rsid w:val="6DF8CE8B"/>
    <w:rsid w:val="6DF8D6BE"/>
    <w:rsid w:val="6DFA64CC"/>
    <w:rsid w:val="6DFAC8D9"/>
    <w:rsid w:val="6DFC4748"/>
    <w:rsid w:val="6DFCAF28"/>
    <w:rsid w:val="6DFD3C7A"/>
    <w:rsid w:val="6DFD4A52"/>
    <w:rsid w:val="6DFDBE33"/>
    <w:rsid w:val="6E001ECE"/>
    <w:rsid w:val="6E004B21"/>
    <w:rsid w:val="6E0360A2"/>
    <w:rsid w:val="6E03EB86"/>
    <w:rsid w:val="6E07B2DF"/>
    <w:rsid w:val="6E091D46"/>
    <w:rsid w:val="6E10441D"/>
    <w:rsid w:val="6E10597C"/>
    <w:rsid w:val="6E106930"/>
    <w:rsid w:val="6E12389B"/>
    <w:rsid w:val="6E13AE70"/>
    <w:rsid w:val="6E14D626"/>
    <w:rsid w:val="6E14DC64"/>
    <w:rsid w:val="6E15700D"/>
    <w:rsid w:val="6E168421"/>
    <w:rsid w:val="6E1B99E2"/>
    <w:rsid w:val="6E1C54B0"/>
    <w:rsid w:val="6E1F11D9"/>
    <w:rsid w:val="6E1F533C"/>
    <w:rsid w:val="6E1F7B5F"/>
    <w:rsid w:val="6E223374"/>
    <w:rsid w:val="6E236BFB"/>
    <w:rsid w:val="6E2402B9"/>
    <w:rsid w:val="6E2461BB"/>
    <w:rsid w:val="6E258D9D"/>
    <w:rsid w:val="6E2715C8"/>
    <w:rsid w:val="6E287720"/>
    <w:rsid w:val="6E28E6C0"/>
    <w:rsid w:val="6E291FF1"/>
    <w:rsid w:val="6E31B91B"/>
    <w:rsid w:val="6E31DD01"/>
    <w:rsid w:val="6E341DC9"/>
    <w:rsid w:val="6E3493D4"/>
    <w:rsid w:val="6E35C40C"/>
    <w:rsid w:val="6E3CD137"/>
    <w:rsid w:val="6E3DAE9C"/>
    <w:rsid w:val="6E3DE2A4"/>
    <w:rsid w:val="6E3E10E5"/>
    <w:rsid w:val="6E3FCC0B"/>
    <w:rsid w:val="6E431DDA"/>
    <w:rsid w:val="6E444F3A"/>
    <w:rsid w:val="6E449D7C"/>
    <w:rsid w:val="6E4B6CC6"/>
    <w:rsid w:val="6E535DF6"/>
    <w:rsid w:val="6E5551BB"/>
    <w:rsid w:val="6E55BCF6"/>
    <w:rsid w:val="6E56405B"/>
    <w:rsid w:val="6E573A38"/>
    <w:rsid w:val="6E5818E5"/>
    <w:rsid w:val="6E59C0F2"/>
    <w:rsid w:val="6E5B9F23"/>
    <w:rsid w:val="6E5C062C"/>
    <w:rsid w:val="6E5E7D26"/>
    <w:rsid w:val="6E6277D7"/>
    <w:rsid w:val="6E627F42"/>
    <w:rsid w:val="6E669E5D"/>
    <w:rsid w:val="6E6B3AD7"/>
    <w:rsid w:val="6E6C2D83"/>
    <w:rsid w:val="6E6FB0E6"/>
    <w:rsid w:val="6E7073AA"/>
    <w:rsid w:val="6E729494"/>
    <w:rsid w:val="6E7321AD"/>
    <w:rsid w:val="6E73AAB0"/>
    <w:rsid w:val="6E75F43D"/>
    <w:rsid w:val="6E76764F"/>
    <w:rsid w:val="6E77DF12"/>
    <w:rsid w:val="6E789E43"/>
    <w:rsid w:val="6E798EE0"/>
    <w:rsid w:val="6E7A74EA"/>
    <w:rsid w:val="6E7A7A47"/>
    <w:rsid w:val="6E7B6DB8"/>
    <w:rsid w:val="6E7B74A9"/>
    <w:rsid w:val="6E7B8886"/>
    <w:rsid w:val="6E7B8955"/>
    <w:rsid w:val="6E7C4755"/>
    <w:rsid w:val="6E7C9866"/>
    <w:rsid w:val="6E7F559E"/>
    <w:rsid w:val="6E802894"/>
    <w:rsid w:val="6E812B3F"/>
    <w:rsid w:val="6E841A38"/>
    <w:rsid w:val="6E84CD1A"/>
    <w:rsid w:val="6E85AEE7"/>
    <w:rsid w:val="6E85D2D2"/>
    <w:rsid w:val="6E8858BB"/>
    <w:rsid w:val="6E8982B0"/>
    <w:rsid w:val="6E8A1A5A"/>
    <w:rsid w:val="6E8B698F"/>
    <w:rsid w:val="6E8BF14A"/>
    <w:rsid w:val="6E8CF4DC"/>
    <w:rsid w:val="6E8CFAB9"/>
    <w:rsid w:val="6E8D41D5"/>
    <w:rsid w:val="6E8DE838"/>
    <w:rsid w:val="6E8F5E63"/>
    <w:rsid w:val="6E9740FA"/>
    <w:rsid w:val="6E97B03C"/>
    <w:rsid w:val="6E97DE54"/>
    <w:rsid w:val="6E98A618"/>
    <w:rsid w:val="6E9AE617"/>
    <w:rsid w:val="6E9B6ADE"/>
    <w:rsid w:val="6E9C8B76"/>
    <w:rsid w:val="6E9DC67D"/>
    <w:rsid w:val="6E9E22A6"/>
    <w:rsid w:val="6EA1CD09"/>
    <w:rsid w:val="6EA3CE6A"/>
    <w:rsid w:val="6EA58C93"/>
    <w:rsid w:val="6EA9C857"/>
    <w:rsid w:val="6EAA39F2"/>
    <w:rsid w:val="6EAABD67"/>
    <w:rsid w:val="6EAB26A3"/>
    <w:rsid w:val="6EAB3FC0"/>
    <w:rsid w:val="6EAD9707"/>
    <w:rsid w:val="6EB1CA3F"/>
    <w:rsid w:val="6EB3B77C"/>
    <w:rsid w:val="6EB45B5E"/>
    <w:rsid w:val="6EB6FE7C"/>
    <w:rsid w:val="6EB71D32"/>
    <w:rsid w:val="6EB839B8"/>
    <w:rsid w:val="6EB9E911"/>
    <w:rsid w:val="6EBBC78E"/>
    <w:rsid w:val="6EBE59A0"/>
    <w:rsid w:val="6EBFCBB0"/>
    <w:rsid w:val="6EC074C1"/>
    <w:rsid w:val="6EC935C0"/>
    <w:rsid w:val="6ECA5DFE"/>
    <w:rsid w:val="6ECBC374"/>
    <w:rsid w:val="6ECBF872"/>
    <w:rsid w:val="6ECC1853"/>
    <w:rsid w:val="6ECE5C6D"/>
    <w:rsid w:val="6ECEA0C0"/>
    <w:rsid w:val="6ECF0398"/>
    <w:rsid w:val="6ED17EE5"/>
    <w:rsid w:val="6ED26C4F"/>
    <w:rsid w:val="6ED2812F"/>
    <w:rsid w:val="6ED2FD50"/>
    <w:rsid w:val="6ED38CFB"/>
    <w:rsid w:val="6ED513C7"/>
    <w:rsid w:val="6ED562BF"/>
    <w:rsid w:val="6ED659A1"/>
    <w:rsid w:val="6ED735B5"/>
    <w:rsid w:val="6ED7DF4B"/>
    <w:rsid w:val="6ED7EC45"/>
    <w:rsid w:val="6ED84A2E"/>
    <w:rsid w:val="6EDA5936"/>
    <w:rsid w:val="6EDB84E5"/>
    <w:rsid w:val="6EDE0A44"/>
    <w:rsid w:val="6EE018AF"/>
    <w:rsid w:val="6EE3A112"/>
    <w:rsid w:val="6EE63EEC"/>
    <w:rsid w:val="6EE69968"/>
    <w:rsid w:val="6EEAC6E0"/>
    <w:rsid w:val="6EEE80D8"/>
    <w:rsid w:val="6EF0C47B"/>
    <w:rsid w:val="6EF1ED60"/>
    <w:rsid w:val="6EF35970"/>
    <w:rsid w:val="6EF3D329"/>
    <w:rsid w:val="6EF9C1D3"/>
    <w:rsid w:val="6EFA5123"/>
    <w:rsid w:val="6EFE20D9"/>
    <w:rsid w:val="6EFEBB4E"/>
    <w:rsid w:val="6F03921D"/>
    <w:rsid w:val="6F0468D6"/>
    <w:rsid w:val="6F05931B"/>
    <w:rsid w:val="6F07DAFD"/>
    <w:rsid w:val="6F0874E8"/>
    <w:rsid w:val="6F0C2D5B"/>
    <w:rsid w:val="6F118388"/>
    <w:rsid w:val="6F129D42"/>
    <w:rsid w:val="6F19F0AC"/>
    <w:rsid w:val="6F1A2FB0"/>
    <w:rsid w:val="6F1A7480"/>
    <w:rsid w:val="6F1B0B8E"/>
    <w:rsid w:val="6F1D73D0"/>
    <w:rsid w:val="6F1F8789"/>
    <w:rsid w:val="6F1FB221"/>
    <w:rsid w:val="6F1FFD0D"/>
    <w:rsid w:val="6F22513F"/>
    <w:rsid w:val="6F22DE2B"/>
    <w:rsid w:val="6F231827"/>
    <w:rsid w:val="6F24FC6C"/>
    <w:rsid w:val="6F25E633"/>
    <w:rsid w:val="6F26B2BD"/>
    <w:rsid w:val="6F28AC87"/>
    <w:rsid w:val="6F28CB48"/>
    <w:rsid w:val="6F2AD710"/>
    <w:rsid w:val="6F2CFC43"/>
    <w:rsid w:val="6F2D7766"/>
    <w:rsid w:val="6F359E8B"/>
    <w:rsid w:val="6F35D7B0"/>
    <w:rsid w:val="6F360081"/>
    <w:rsid w:val="6F3EAA04"/>
    <w:rsid w:val="6F40BF73"/>
    <w:rsid w:val="6F4129E2"/>
    <w:rsid w:val="6F439907"/>
    <w:rsid w:val="6F447567"/>
    <w:rsid w:val="6F471A33"/>
    <w:rsid w:val="6F4A455A"/>
    <w:rsid w:val="6F4F7436"/>
    <w:rsid w:val="6F4FCE45"/>
    <w:rsid w:val="6F4FFB91"/>
    <w:rsid w:val="6F51B513"/>
    <w:rsid w:val="6F520607"/>
    <w:rsid w:val="6F52DD76"/>
    <w:rsid w:val="6F535398"/>
    <w:rsid w:val="6F5579EF"/>
    <w:rsid w:val="6F5B4C83"/>
    <w:rsid w:val="6F5D1674"/>
    <w:rsid w:val="6F5E34D5"/>
    <w:rsid w:val="6F5E41E6"/>
    <w:rsid w:val="6F5EABC6"/>
    <w:rsid w:val="6F5F0D44"/>
    <w:rsid w:val="6F609277"/>
    <w:rsid w:val="6F609ABC"/>
    <w:rsid w:val="6F6181A9"/>
    <w:rsid w:val="6F625753"/>
    <w:rsid w:val="6F65FD0F"/>
    <w:rsid w:val="6F6800D2"/>
    <w:rsid w:val="6F68F1BA"/>
    <w:rsid w:val="6F68F805"/>
    <w:rsid w:val="6F692174"/>
    <w:rsid w:val="6F69E04C"/>
    <w:rsid w:val="6F6A57EB"/>
    <w:rsid w:val="6F6B6876"/>
    <w:rsid w:val="6F6BFAAC"/>
    <w:rsid w:val="6F6C3EBD"/>
    <w:rsid w:val="6F6D0F5F"/>
    <w:rsid w:val="6F6F46BA"/>
    <w:rsid w:val="6F72FCCA"/>
    <w:rsid w:val="6F746BD2"/>
    <w:rsid w:val="6F74BFC8"/>
    <w:rsid w:val="6F787D83"/>
    <w:rsid w:val="6F79C622"/>
    <w:rsid w:val="6F7AE7F9"/>
    <w:rsid w:val="6F7B5060"/>
    <w:rsid w:val="6F7EACBD"/>
    <w:rsid w:val="6F80DD2F"/>
    <w:rsid w:val="6F8143E8"/>
    <w:rsid w:val="6F840B3A"/>
    <w:rsid w:val="6F87F561"/>
    <w:rsid w:val="6F88A212"/>
    <w:rsid w:val="6F88E8BF"/>
    <w:rsid w:val="6F89F398"/>
    <w:rsid w:val="6F8DDD54"/>
    <w:rsid w:val="6F8F5738"/>
    <w:rsid w:val="6F8FE969"/>
    <w:rsid w:val="6F9015ED"/>
    <w:rsid w:val="6F9586B4"/>
    <w:rsid w:val="6F9722EA"/>
    <w:rsid w:val="6F97240A"/>
    <w:rsid w:val="6FA19904"/>
    <w:rsid w:val="6FA2E7F7"/>
    <w:rsid w:val="6FA30E8F"/>
    <w:rsid w:val="6FA49A9C"/>
    <w:rsid w:val="6FA610AA"/>
    <w:rsid w:val="6FABFCAB"/>
    <w:rsid w:val="6FAD6DC0"/>
    <w:rsid w:val="6FB01708"/>
    <w:rsid w:val="6FB23EEF"/>
    <w:rsid w:val="6FB3819F"/>
    <w:rsid w:val="6FB50912"/>
    <w:rsid w:val="6FB6B12E"/>
    <w:rsid w:val="6FB70CE6"/>
    <w:rsid w:val="6FB7B399"/>
    <w:rsid w:val="6FB87C13"/>
    <w:rsid w:val="6FBA2BA5"/>
    <w:rsid w:val="6FBABA24"/>
    <w:rsid w:val="6FBBBB3C"/>
    <w:rsid w:val="6FBC73DF"/>
    <w:rsid w:val="6FBC8DC9"/>
    <w:rsid w:val="6FBD8D01"/>
    <w:rsid w:val="6FBDA880"/>
    <w:rsid w:val="6FBDB248"/>
    <w:rsid w:val="6FBE5450"/>
    <w:rsid w:val="6FC284FE"/>
    <w:rsid w:val="6FC288CF"/>
    <w:rsid w:val="6FC3E7FB"/>
    <w:rsid w:val="6FC4AF85"/>
    <w:rsid w:val="6FC51699"/>
    <w:rsid w:val="6FC58735"/>
    <w:rsid w:val="6FC8E102"/>
    <w:rsid w:val="6FC8E67D"/>
    <w:rsid w:val="6FCD4EFC"/>
    <w:rsid w:val="6FD3ACAC"/>
    <w:rsid w:val="6FD496A6"/>
    <w:rsid w:val="6FD794EA"/>
    <w:rsid w:val="6FD8C699"/>
    <w:rsid w:val="6FD9C827"/>
    <w:rsid w:val="6FDCF7E7"/>
    <w:rsid w:val="6FDE5D85"/>
    <w:rsid w:val="6FE0E244"/>
    <w:rsid w:val="6FE38E1A"/>
    <w:rsid w:val="6FE3FDE6"/>
    <w:rsid w:val="6FE5463B"/>
    <w:rsid w:val="6FE58116"/>
    <w:rsid w:val="6FE6F972"/>
    <w:rsid w:val="6FE905EC"/>
    <w:rsid w:val="6FE9DBAD"/>
    <w:rsid w:val="6FEEFDE5"/>
    <w:rsid w:val="6FEF2E57"/>
    <w:rsid w:val="6FF2434D"/>
    <w:rsid w:val="6FF39078"/>
    <w:rsid w:val="6FF3DC5E"/>
    <w:rsid w:val="6FF45033"/>
    <w:rsid w:val="6FF4B992"/>
    <w:rsid w:val="6FF705CE"/>
    <w:rsid w:val="6FF75B73"/>
    <w:rsid w:val="6FF8A251"/>
    <w:rsid w:val="6FFA704E"/>
    <w:rsid w:val="6FFB60E0"/>
    <w:rsid w:val="6FFD9333"/>
    <w:rsid w:val="6FFEBDC3"/>
    <w:rsid w:val="6FFF6F2A"/>
    <w:rsid w:val="700112C9"/>
    <w:rsid w:val="7001EBA4"/>
    <w:rsid w:val="7002AD37"/>
    <w:rsid w:val="70059B53"/>
    <w:rsid w:val="7006FF4C"/>
    <w:rsid w:val="700B4549"/>
    <w:rsid w:val="700BA922"/>
    <w:rsid w:val="700C431E"/>
    <w:rsid w:val="700C7CB6"/>
    <w:rsid w:val="701403A4"/>
    <w:rsid w:val="7015EAF6"/>
    <w:rsid w:val="701AAB2B"/>
    <w:rsid w:val="701BE0F4"/>
    <w:rsid w:val="701C6B43"/>
    <w:rsid w:val="701D31C8"/>
    <w:rsid w:val="701E9786"/>
    <w:rsid w:val="701EBC97"/>
    <w:rsid w:val="7023A75B"/>
    <w:rsid w:val="70244F5E"/>
    <w:rsid w:val="7024828E"/>
    <w:rsid w:val="7024B399"/>
    <w:rsid w:val="70264A80"/>
    <w:rsid w:val="702D5C3A"/>
    <w:rsid w:val="702D6C35"/>
    <w:rsid w:val="70303E0D"/>
    <w:rsid w:val="7030BE85"/>
    <w:rsid w:val="70327D9F"/>
    <w:rsid w:val="70384AF1"/>
    <w:rsid w:val="7039400F"/>
    <w:rsid w:val="7042FD9A"/>
    <w:rsid w:val="70430011"/>
    <w:rsid w:val="704416B8"/>
    <w:rsid w:val="70463587"/>
    <w:rsid w:val="70468C67"/>
    <w:rsid w:val="7047A2A6"/>
    <w:rsid w:val="704A5B09"/>
    <w:rsid w:val="704B52E6"/>
    <w:rsid w:val="704F14CC"/>
    <w:rsid w:val="7052912D"/>
    <w:rsid w:val="7054E303"/>
    <w:rsid w:val="70587B88"/>
    <w:rsid w:val="705AD980"/>
    <w:rsid w:val="705DDDFB"/>
    <w:rsid w:val="705E1936"/>
    <w:rsid w:val="7060186D"/>
    <w:rsid w:val="7060A489"/>
    <w:rsid w:val="70611A6F"/>
    <w:rsid w:val="7062632A"/>
    <w:rsid w:val="70646DD2"/>
    <w:rsid w:val="70662564"/>
    <w:rsid w:val="7066F91D"/>
    <w:rsid w:val="70684CAB"/>
    <w:rsid w:val="7068C900"/>
    <w:rsid w:val="706B319A"/>
    <w:rsid w:val="706DAD54"/>
    <w:rsid w:val="706F8BCF"/>
    <w:rsid w:val="707086BB"/>
    <w:rsid w:val="7071C3D9"/>
    <w:rsid w:val="70730D86"/>
    <w:rsid w:val="707414BA"/>
    <w:rsid w:val="7078BE09"/>
    <w:rsid w:val="707A3B86"/>
    <w:rsid w:val="707BDB6C"/>
    <w:rsid w:val="707CD994"/>
    <w:rsid w:val="70810FDA"/>
    <w:rsid w:val="7082B7EF"/>
    <w:rsid w:val="7084ACB1"/>
    <w:rsid w:val="7085F967"/>
    <w:rsid w:val="708AEAD4"/>
    <w:rsid w:val="708C8C46"/>
    <w:rsid w:val="708CAFED"/>
    <w:rsid w:val="709153FE"/>
    <w:rsid w:val="70936CBF"/>
    <w:rsid w:val="7094E1C4"/>
    <w:rsid w:val="709515CB"/>
    <w:rsid w:val="7096A731"/>
    <w:rsid w:val="70978FDC"/>
    <w:rsid w:val="7097AA54"/>
    <w:rsid w:val="70987AB2"/>
    <w:rsid w:val="709967CA"/>
    <w:rsid w:val="709C610F"/>
    <w:rsid w:val="709D45BD"/>
    <w:rsid w:val="70A287B4"/>
    <w:rsid w:val="70A38B09"/>
    <w:rsid w:val="70A3C03E"/>
    <w:rsid w:val="70A3E551"/>
    <w:rsid w:val="70A3EFD2"/>
    <w:rsid w:val="70A4A5D7"/>
    <w:rsid w:val="70A7972B"/>
    <w:rsid w:val="70AB1439"/>
    <w:rsid w:val="70AD8E27"/>
    <w:rsid w:val="70ADBCD7"/>
    <w:rsid w:val="70B12544"/>
    <w:rsid w:val="70B1A74F"/>
    <w:rsid w:val="70B606F6"/>
    <w:rsid w:val="70B7028C"/>
    <w:rsid w:val="70B977AD"/>
    <w:rsid w:val="70BB6C47"/>
    <w:rsid w:val="70BD7151"/>
    <w:rsid w:val="70BD8130"/>
    <w:rsid w:val="70C03F35"/>
    <w:rsid w:val="70C1A38B"/>
    <w:rsid w:val="70C240DF"/>
    <w:rsid w:val="70C3EC1C"/>
    <w:rsid w:val="70C4DE7E"/>
    <w:rsid w:val="70C7FA56"/>
    <w:rsid w:val="70CCC307"/>
    <w:rsid w:val="70CE17AB"/>
    <w:rsid w:val="70CE27E8"/>
    <w:rsid w:val="70CF035F"/>
    <w:rsid w:val="70CF1347"/>
    <w:rsid w:val="70CF8BE7"/>
    <w:rsid w:val="70D04319"/>
    <w:rsid w:val="70D0E986"/>
    <w:rsid w:val="70D23A55"/>
    <w:rsid w:val="70D2DCE1"/>
    <w:rsid w:val="70D5B11A"/>
    <w:rsid w:val="70D84C1B"/>
    <w:rsid w:val="70D84FE1"/>
    <w:rsid w:val="70DA1450"/>
    <w:rsid w:val="70DA48EC"/>
    <w:rsid w:val="70DC36CE"/>
    <w:rsid w:val="70DC9AAB"/>
    <w:rsid w:val="70DF85BE"/>
    <w:rsid w:val="70E0A40E"/>
    <w:rsid w:val="70E1241D"/>
    <w:rsid w:val="70E1638F"/>
    <w:rsid w:val="70E2167B"/>
    <w:rsid w:val="70E4464A"/>
    <w:rsid w:val="70E47D81"/>
    <w:rsid w:val="70E6CD71"/>
    <w:rsid w:val="70E6E6A1"/>
    <w:rsid w:val="70E7EA2D"/>
    <w:rsid w:val="70EB9EA6"/>
    <w:rsid w:val="70EFF39F"/>
    <w:rsid w:val="70F113A5"/>
    <w:rsid w:val="70F410A0"/>
    <w:rsid w:val="70F5FBB9"/>
    <w:rsid w:val="70FAAC4F"/>
    <w:rsid w:val="70FC2649"/>
    <w:rsid w:val="70FFF04B"/>
    <w:rsid w:val="71007B55"/>
    <w:rsid w:val="71062C10"/>
    <w:rsid w:val="710638F0"/>
    <w:rsid w:val="71065393"/>
    <w:rsid w:val="710740AE"/>
    <w:rsid w:val="710C0360"/>
    <w:rsid w:val="710F8F95"/>
    <w:rsid w:val="710FE616"/>
    <w:rsid w:val="71109BA3"/>
    <w:rsid w:val="7114CE7A"/>
    <w:rsid w:val="71155952"/>
    <w:rsid w:val="7115BC5E"/>
    <w:rsid w:val="71164AB9"/>
    <w:rsid w:val="7119D12B"/>
    <w:rsid w:val="711C58B3"/>
    <w:rsid w:val="711D032A"/>
    <w:rsid w:val="711E9A12"/>
    <w:rsid w:val="712074CB"/>
    <w:rsid w:val="712174B2"/>
    <w:rsid w:val="71229530"/>
    <w:rsid w:val="7124A2AC"/>
    <w:rsid w:val="7125F13C"/>
    <w:rsid w:val="71294B96"/>
    <w:rsid w:val="71295195"/>
    <w:rsid w:val="712A49AF"/>
    <w:rsid w:val="712B6F67"/>
    <w:rsid w:val="712C7A9B"/>
    <w:rsid w:val="712CC1ED"/>
    <w:rsid w:val="71309A4D"/>
    <w:rsid w:val="71322D6D"/>
    <w:rsid w:val="71336ED2"/>
    <w:rsid w:val="71362A91"/>
    <w:rsid w:val="713696E9"/>
    <w:rsid w:val="713B2603"/>
    <w:rsid w:val="713DF9FF"/>
    <w:rsid w:val="71416C37"/>
    <w:rsid w:val="71476659"/>
    <w:rsid w:val="714AC6C4"/>
    <w:rsid w:val="714CA479"/>
    <w:rsid w:val="714E40E7"/>
    <w:rsid w:val="714E58EA"/>
    <w:rsid w:val="714EAF46"/>
    <w:rsid w:val="714F194D"/>
    <w:rsid w:val="71502AF6"/>
    <w:rsid w:val="715A36CB"/>
    <w:rsid w:val="715E7A96"/>
    <w:rsid w:val="715F5A2A"/>
    <w:rsid w:val="71611F2B"/>
    <w:rsid w:val="7161719E"/>
    <w:rsid w:val="71622DA2"/>
    <w:rsid w:val="7165C3DF"/>
    <w:rsid w:val="71672B50"/>
    <w:rsid w:val="71691F6F"/>
    <w:rsid w:val="716B28E0"/>
    <w:rsid w:val="716BEC40"/>
    <w:rsid w:val="716C75EF"/>
    <w:rsid w:val="71707CF0"/>
    <w:rsid w:val="7170CC21"/>
    <w:rsid w:val="7170F4FC"/>
    <w:rsid w:val="71728EDE"/>
    <w:rsid w:val="717460FE"/>
    <w:rsid w:val="71780D6F"/>
    <w:rsid w:val="7179D9F0"/>
    <w:rsid w:val="717A8863"/>
    <w:rsid w:val="717B8385"/>
    <w:rsid w:val="717EBC8A"/>
    <w:rsid w:val="718004BF"/>
    <w:rsid w:val="7183B132"/>
    <w:rsid w:val="7184CDDA"/>
    <w:rsid w:val="718A3D2B"/>
    <w:rsid w:val="718C4295"/>
    <w:rsid w:val="718D3B02"/>
    <w:rsid w:val="718E2F30"/>
    <w:rsid w:val="719139AA"/>
    <w:rsid w:val="71956199"/>
    <w:rsid w:val="719B4D8C"/>
    <w:rsid w:val="719DB2B3"/>
    <w:rsid w:val="719F3075"/>
    <w:rsid w:val="719F4473"/>
    <w:rsid w:val="719FB86E"/>
    <w:rsid w:val="71A09FCC"/>
    <w:rsid w:val="71A14EA8"/>
    <w:rsid w:val="71A1783C"/>
    <w:rsid w:val="71A22E5F"/>
    <w:rsid w:val="71A34440"/>
    <w:rsid w:val="71A4BD68"/>
    <w:rsid w:val="71A53F58"/>
    <w:rsid w:val="71A8041B"/>
    <w:rsid w:val="71AE2934"/>
    <w:rsid w:val="71AED01A"/>
    <w:rsid w:val="71B20979"/>
    <w:rsid w:val="71B4D5D6"/>
    <w:rsid w:val="71B5BDA6"/>
    <w:rsid w:val="71B742E0"/>
    <w:rsid w:val="71B979A6"/>
    <w:rsid w:val="71BA4850"/>
    <w:rsid w:val="71BB016A"/>
    <w:rsid w:val="71BB78B8"/>
    <w:rsid w:val="71BEF51D"/>
    <w:rsid w:val="71BF6159"/>
    <w:rsid w:val="71C63606"/>
    <w:rsid w:val="71C8D669"/>
    <w:rsid w:val="71CAA202"/>
    <w:rsid w:val="71CB3076"/>
    <w:rsid w:val="71CC3FAD"/>
    <w:rsid w:val="71CCAE2A"/>
    <w:rsid w:val="71CF3AE1"/>
    <w:rsid w:val="71D12AC8"/>
    <w:rsid w:val="71D12EC6"/>
    <w:rsid w:val="71D1ED1C"/>
    <w:rsid w:val="71D3DD47"/>
    <w:rsid w:val="71D3FDB7"/>
    <w:rsid w:val="71D4A765"/>
    <w:rsid w:val="71D512CE"/>
    <w:rsid w:val="71D53660"/>
    <w:rsid w:val="71D55826"/>
    <w:rsid w:val="71D970B9"/>
    <w:rsid w:val="71D9AFF5"/>
    <w:rsid w:val="71DBCEAB"/>
    <w:rsid w:val="71DC3389"/>
    <w:rsid w:val="71E17AB9"/>
    <w:rsid w:val="71E277AA"/>
    <w:rsid w:val="71E57339"/>
    <w:rsid w:val="71E590DC"/>
    <w:rsid w:val="71EA6D5D"/>
    <w:rsid w:val="71ECED40"/>
    <w:rsid w:val="71EDF7C9"/>
    <w:rsid w:val="71F03AB7"/>
    <w:rsid w:val="71F29289"/>
    <w:rsid w:val="71F56619"/>
    <w:rsid w:val="71F61E19"/>
    <w:rsid w:val="71F7EEF8"/>
    <w:rsid w:val="71FCD616"/>
    <w:rsid w:val="720093AE"/>
    <w:rsid w:val="72036B50"/>
    <w:rsid w:val="7207F5BD"/>
    <w:rsid w:val="72091FA7"/>
    <w:rsid w:val="720AB944"/>
    <w:rsid w:val="720C8023"/>
    <w:rsid w:val="720E4B19"/>
    <w:rsid w:val="72108483"/>
    <w:rsid w:val="7212B7ED"/>
    <w:rsid w:val="7218FC04"/>
    <w:rsid w:val="721FFECA"/>
    <w:rsid w:val="72228F74"/>
    <w:rsid w:val="72232942"/>
    <w:rsid w:val="72232998"/>
    <w:rsid w:val="722408E4"/>
    <w:rsid w:val="722873C2"/>
    <w:rsid w:val="72292B5E"/>
    <w:rsid w:val="7230FB1C"/>
    <w:rsid w:val="7236A397"/>
    <w:rsid w:val="7237A66E"/>
    <w:rsid w:val="723853EF"/>
    <w:rsid w:val="7238F60F"/>
    <w:rsid w:val="723A84B3"/>
    <w:rsid w:val="7242B170"/>
    <w:rsid w:val="724751E4"/>
    <w:rsid w:val="7247B281"/>
    <w:rsid w:val="724A252F"/>
    <w:rsid w:val="724A4BD9"/>
    <w:rsid w:val="724A9634"/>
    <w:rsid w:val="724CBCB8"/>
    <w:rsid w:val="72521213"/>
    <w:rsid w:val="7258C325"/>
    <w:rsid w:val="7259D6B4"/>
    <w:rsid w:val="725B3566"/>
    <w:rsid w:val="725DD1BC"/>
    <w:rsid w:val="72605913"/>
    <w:rsid w:val="726162E5"/>
    <w:rsid w:val="72631AC8"/>
    <w:rsid w:val="72634A12"/>
    <w:rsid w:val="7263B616"/>
    <w:rsid w:val="72653A72"/>
    <w:rsid w:val="72669BF7"/>
    <w:rsid w:val="7267A5F8"/>
    <w:rsid w:val="72692302"/>
    <w:rsid w:val="726D85EA"/>
    <w:rsid w:val="726F31A7"/>
    <w:rsid w:val="726FB80C"/>
    <w:rsid w:val="7274D5EF"/>
    <w:rsid w:val="727574CE"/>
    <w:rsid w:val="727662E9"/>
    <w:rsid w:val="727B1F4C"/>
    <w:rsid w:val="727FF764"/>
    <w:rsid w:val="72818D75"/>
    <w:rsid w:val="728287C2"/>
    <w:rsid w:val="7283A036"/>
    <w:rsid w:val="728447CA"/>
    <w:rsid w:val="7285AD18"/>
    <w:rsid w:val="7286DD72"/>
    <w:rsid w:val="7287DBB6"/>
    <w:rsid w:val="7287DE32"/>
    <w:rsid w:val="72894554"/>
    <w:rsid w:val="7289F20A"/>
    <w:rsid w:val="728A6AD0"/>
    <w:rsid w:val="728C899A"/>
    <w:rsid w:val="72917696"/>
    <w:rsid w:val="72921DB8"/>
    <w:rsid w:val="7292E757"/>
    <w:rsid w:val="72932DE0"/>
    <w:rsid w:val="729336EE"/>
    <w:rsid w:val="7295CE31"/>
    <w:rsid w:val="72963B67"/>
    <w:rsid w:val="7297E4AD"/>
    <w:rsid w:val="72996AAB"/>
    <w:rsid w:val="729B16B3"/>
    <w:rsid w:val="729BE033"/>
    <w:rsid w:val="729CBAE3"/>
    <w:rsid w:val="729D0098"/>
    <w:rsid w:val="72A081A5"/>
    <w:rsid w:val="72A245A5"/>
    <w:rsid w:val="72A53DCD"/>
    <w:rsid w:val="72AC3188"/>
    <w:rsid w:val="72ADEB48"/>
    <w:rsid w:val="72B29808"/>
    <w:rsid w:val="72B50D64"/>
    <w:rsid w:val="72B7EF53"/>
    <w:rsid w:val="72B9512C"/>
    <w:rsid w:val="72BB24A8"/>
    <w:rsid w:val="72BFEE61"/>
    <w:rsid w:val="72C2F48D"/>
    <w:rsid w:val="72C757E0"/>
    <w:rsid w:val="72C8493A"/>
    <w:rsid w:val="72C8F82A"/>
    <w:rsid w:val="72C980F4"/>
    <w:rsid w:val="72CA3939"/>
    <w:rsid w:val="72CB5E30"/>
    <w:rsid w:val="72CE1B3B"/>
    <w:rsid w:val="72CF53AB"/>
    <w:rsid w:val="72D8A734"/>
    <w:rsid w:val="72DA5B61"/>
    <w:rsid w:val="72DC8E00"/>
    <w:rsid w:val="72E06D27"/>
    <w:rsid w:val="72E0EEFC"/>
    <w:rsid w:val="72E21DE6"/>
    <w:rsid w:val="72E240DD"/>
    <w:rsid w:val="72E41D69"/>
    <w:rsid w:val="72E428F8"/>
    <w:rsid w:val="72E4D818"/>
    <w:rsid w:val="72E5DAD3"/>
    <w:rsid w:val="72E7E169"/>
    <w:rsid w:val="72E919E2"/>
    <w:rsid w:val="72E9EFF4"/>
    <w:rsid w:val="72EA7FA7"/>
    <w:rsid w:val="72EB2B72"/>
    <w:rsid w:val="72EB5602"/>
    <w:rsid w:val="72EC7346"/>
    <w:rsid w:val="72ECEBD8"/>
    <w:rsid w:val="72EDAE08"/>
    <w:rsid w:val="72EEADA8"/>
    <w:rsid w:val="72EF8737"/>
    <w:rsid w:val="72F45402"/>
    <w:rsid w:val="72F49CE7"/>
    <w:rsid w:val="72F62EEE"/>
    <w:rsid w:val="72F6F5EA"/>
    <w:rsid w:val="72F73BF2"/>
    <w:rsid w:val="72FDB70B"/>
    <w:rsid w:val="7303302D"/>
    <w:rsid w:val="7303C137"/>
    <w:rsid w:val="730498F1"/>
    <w:rsid w:val="7305A3D7"/>
    <w:rsid w:val="7308F7FD"/>
    <w:rsid w:val="73093030"/>
    <w:rsid w:val="7309AC5B"/>
    <w:rsid w:val="7309CB46"/>
    <w:rsid w:val="730ADD3A"/>
    <w:rsid w:val="730B1DE9"/>
    <w:rsid w:val="730B3300"/>
    <w:rsid w:val="730B9ACA"/>
    <w:rsid w:val="7311369D"/>
    <w:rsid w:val="73120AB2"/>
    <w:rsid w:val="73146E41"/>
    <w:rsid w:val="7315620B"/>
    <w:rsid w:val="7316AF4C"/>
    <w:rsid w:val="7319F012"/>
    <w:rsid w:val="731BBE55"/>
    <w:rsid w:val="731D92B7"/>
    <w:rsid w:val="731EFE4F"/>
    <w:rsid w:val="732124F9"/>
    <w:rsid w:val="73218D2B"/>
    <w:rsid w:val="73252510"/>
    <w:rsid w:val="7325DD55"/>
    <w:rsid w:val="73274010"/>
    <w:rsid w:val="7327AE68"/>
    <w:rsid w:val="7329077A"/>
    <w:rsid w:val="732B6D0E"/>
    <w:rsid w:val="732C36A4"/>
    <w:rsid w:val="732E90CA"/>
    <w:rsid w:val="732EE31A"/>
    <w:rsid w:val="732FA495"/>
    <w:rsid w:val="7332600A"/>
    <w:rsid w:val="733412E0"/>
    <w:rsid w:val="7335AC42"/>
    <w:rsid w:val="73386C52"/>
    <w:rsid w:val="733BCBA4"/>
    <w:rsid w:val="7340E408"/>
    <w:rsid w:val="7341D165"/>
    <w:rsid w:val="73443DF6"/>
    <w:rsid w:val="7345560A"/>
    <w:rsid w:val="73455F69"/>
    <w:rsid w:val="734E7B3C"/>
    <w:rsid w:val="734EFCF0"/>
    <w:rsid w:val="734FBFD0"/>
    <w:rsid w:val="73527470"/>
    <w:rsid w:val="7355D61E"/>
    <w:rsid w:val="735C2979"/>
    <w:rsid w:val="735ECF6B"/>
    <w:rsid w:val="735F9EAC"/>
    <w:rsid w:val="735FD345"/>
    <w:rsid w:val="73646C87"/>
    <w:rsid w:val="7364BB29"/>
    <w:rsid w:val="7368E9C8"/>
    <w:rsid w:val="7368F477"/>
    <w:rsid w:val="736D9BC9"/>
    <w:rsid w:val="73730B22"/>
    <w:rsid w:val="73751765"/>
    <w:rsid w:val="73780DAD"/>
    <w:rsid w:val="7378FDB6"/>
    <w:rsid w:val="737C4322"/>
    <w:rsid w:val="737D30BC"/>
    <w:rsid w:val="738031F5"/>
    <w:rsid w:val="73819962"/>
    <w:rsid w:val="7381FC29"/>
    <w:rsid w:val="7383BA1A"/>
    <w:rsid w:val="7383EE80"/>
    <w:rsid w:val="738B4A94"/>
    <w:rsid w:val="738C26E6"/>
    <w:rsid w:val="738DE684"/>
    <w:rsid w:val="7394B341"/>
    <w:rsid w:val="7395C41D"/>
    <w:rsid w:val="7396F681"/>
    <w:rsid w:val="73998216"/>
    <w:rsid w:val="739C4877"/>
    <w:rsid w:val="739FC413"/>
    <w:rsid w:val="73A2B267"/>
    <w:rsid w:val="73A3C2D9"/>
    <w:rsid w:val="73A44A68"/>
    <w:rsid w:val="73A773B3"/>
    <w:rsid w:val="73A84635"/>
    <w:rsid w:val="73AE570D"/>
    <w:rsid w:val="73AF39E7"/>
    <w:rsid w:val="73B1850E"/>
    <w:rsid w:val="73B2C8A6"/>
    <w:rsid w:val="73B82D93"/>
    <w:rsid w:val="73B84A67"/>
    <w:rsid w:val="73B861C9"/>
    <w:rsid w:val="73B865FE"/>
    <w:rsid w:val="73BD8146"/>
    <w:rsid w:val="73BE563B"/>
    <w:rsid w:val="73BEEE0C"/>
    <w:rsid w:val="73BF1F3C"/>
    <w:rsid w:val="73C23E15"/>
    <w:rsid w:val="73C66600"/>
    <w:rsid w:val="73C7A712"/>
    <w:rsid w:val="73C87243"/>
    <w:rsid w:val="73CB0E22"/>
    <w:rsid w:val="73CB3E22"/>
    <w:rsid w:val="73CC9EA6"/>
    <w:rsid w:val="73CDA327"/>
    <w:rsid w:val="73D610C6"/>
    <w:rsid w:val="73D674FA"/>
    <w:rsid w:val="73D6C118"/>
    <w:rsid w:val="73D6D10F"/>
    <w:rsid w:val="73D9C892"/>
    <w:rsid w:val="73DBABD7"/>
    <w:rsid w:val="73DF5B64"/>
    <w:rsid w:val="73DFDCAC"/>
    <w:rsid w:val="73E07591"/>
    <w:rsid w:val="73E15C9B"/>
    <w:rsid w:val="73E1FF95"/>
    <w:rsid w:val="73E28E7A"/>
    <w:rsid w:val="73E34F63"/>
    <w:rsid w:val="73E4C4B5"/>
    <w:rsid w:val="73E56D32"/>
    <w:rsid w:val="73E86746"/>
    <w:rsid w:val="73E9A571"/>
    <w:rsid w:val="73EFF145"/>
    <w:rsid w:val="73F23041"/>
    <w:rsid w:val="73F3805D"/>
    <w:rsid w:val="73F6B293"/>
    <w:rsid w:val="73F73FDA"/>
    <w:rsid w:val="73F75DE2"/>
    <w:rsid w:val="73F816B1"/>
    <w:rsid w:val="73FA741A"/>
    <w:rsid w:val="73FC3FAB"/>
    <w:rsid w:val="73FE915D"/>
    <w:rsid w:val="7402B3FD"/>
    <w:rsid w:val="7403FFDC"/>
    <w:rsid w:val="740B3DC1"/>
    <w:rsid w:val="740C5057"/>
    <w:rsid w:val="740E52FA"/>
    <w:rsid w:val="740F5322"/>
    <w:rsid w:val="74103EF2"/>
    <w:rsid w:val="741155C2"/>
    <w:rsid w:val="74122DD5"/>
    <w:rsid w:val="7412841F"/>
    <w:rsid w:val="74137BD3"/>
    <w:rsid w:val="74158D28"/>
    <w:rsid w:val="7417CFC8"/>
    <w:rsid w:val="7418D87D"/>
    <w:rsid w:val="7419BE7D"/>
    <w:rsid w:val="741A1EA2"/>
    <w:rsid w:val="741A4C59"/>
    <w:rsid w:val="741BD794"/>
    <w:rsid w:val="741E5DC1"/>
    <w:rsid w:val="741F84EE"/>
    <w:rsid w:val="742120E2"/>
    <w:rsid w:val="74216EC4"/>
    <w:rsid w:val="7422698E"/>
    <w:rsid w:val="7426D04A"/>
    <w:rsid w:val="74288E61"/>
    <w:rsid w:val="742939A9"/>
    <w:rsid w:val="742DC460"/>
    <w:rsid w:val="742E436F"/>
    <w:rsid w:val="7430E240"/>
    <w:rsid w:val="743228E9"/>
    <w:rsid w:val="7432A0F2"/>
    <w:rsid w:val="7432D643"/>
    <w:rsid w:val="74336BF4"/>
    <w:rsid w:val="74380046"/>
    <w:rsid w:val="74385D30"/>
    <w:rsid w:val="743BC6C6"/>
    <w:rsid w:val="74433608"/>
    <w:rsid w:val="7444D301"/>
    <w:rsid w:val="744534EC"/>
    <w:rsid w:val="7446AA5F"/>
    <w:rsid w:val="744DCA94"/>
    <w:rsid w:val="744F7E48"/>
    <w:rsid w:val="744FA763"/>
    <w:rsid w:val="745194AD"/>
    <w:rsid w:val="74524776"/>
    <w:rsid w:val="7455EEDA"/>
    <w:rsid w:val="7456A276"/>
    <w:rsid w:val="74575C5F"/>
    <w:rsid w:val="74579A8A"/>
    <w:rsid w:val="74596749"/>
    <w:rsid w:val="745B0414"/>
    <w:rsid w:val="745D608A"/>
    <w:rsid w:val="745E2F50"/>
    <w:rsid w:val="745FD1AF"/>
    <w:rsid w:val="74604AA4"/>
    <w:rsid w:val="7460E24E"/>
    <w:rsid w:val="74618F1D"/>
    <w:rsid w:val="74622A55"/>
    <w:rsid w:val="74660606"/>
    <w:rsid w:val="746613C3"/>
    <w:rsid w:val="7466DFF5"/>
    <w:rsid w:val="7467C7F5"/>
    <w:rsid w:val="7468CECF"/>
    <w:rsid w:val="746BA23A"/>
    <w:rsid w:val="746C0BBA"/>
    <w:rsid w:val="746C2F26"/>
    <w:rsid w:val="746D22BC"/>
    <w:rsid w:val="746E350F"/>
    <w:rsid w:val="7472FDC7"/>
    <w:rsid w:val="747DE825"/>
    <w:rsid w:val="747E44B2"/>
    <w:rsid w:val="747E50A6"/>
    <w:rsid w:val="748011AC"/>
    <w:rsid w:val="7480568C"/>
    <w:rsid w:val="74827DCE"/>
    <w:rsid w:val="7484A92A"/>
    <w:rsid w:val="74868B4F"/>
    <w:rsid w:val="7486F3B0"/>
    <w:rsid w:val="748A1A6E"/>
    <w:rsid w:val="748A2B63"/>
    <w:rsid w:val="748C2671"/>
    <w:rsid w:val="74937E9D"/>
    <w:rsid w:val="74942A22"/>
    <w:rsid w:val="7496334C"/>
    <w:rsid w:val="749715F0"/>
    <w:rsid w:val="749851A8"/>
    <w:rsid w:val="74999680"/>
    <w:rsid w:val="749D27EA"/>
    <w:rsid w:val="749EF6A1"/>
    <w:rsid w:val="749EFF61"/>
    <w:rsid w:val="74A2F852"/>
    <w:rsid w:val="74A34B02"/>
    <w:rsid w:val="74AA5421"/>
    <w:rsid w:val="74ACC7F9"/>
    <w:rsid w:val="74B2C8E9"/>
    <w:rsid w:val="74B37AFB"/>
    <w:rsid w:val="74B59D8E"/>
    <w:rsid w:val="74BE1630"/>
    <w:rsid w:val="74BED4F6"/>
    <w:rsid w:val="74BF6E37"/>
    <w:rsid w:val="74C2565C"/>
    <w:rsid w:val="74CAEF03"/>
    <w:rsid w:val="74CE5493"/>
    <w:rsid w:val="74D0D4AC"/>
    <w:rsid w:val="74D278CB"/>
    <w:rsid w:val="74D362E7"/>
    <w:rsid w:val="74D65981"/>
    <w:rsid w:val="74D724B8"/>
    <w:rsid w:val="74D743A8"/>
    <w:rsid w:val="74D7B693"/>
    <w:rsid w:val="74DBE3F0"/>
    <w:rsid w:val="74DE9B40"/>
    <w:rsid w:val="74E2E825"/>
    <w:rsid w:val="74E353FB"/>
    <w:rsid w:val="74E4274E"/>
    <w:rsid w:val="74E6FE9E"/>
    <w:rsid w:val="74E72A68"/>
    <w:rsid w:val="74E84B09"/>
    <w:rsid w:val="74E9F915"/>
    <w:rsid w:val="74EAE5CE"/>
    <w:rsid w:val="74EC1B9E"/>
    <w:rsid w:val="74ECDAF0"/>
    <w:rsid w:val="74ED3C47"/>
    <w:rsid w:val="74EEBB32"/>
    <w:rsid w:val="74EF05DD"/>
    <w:rsid w:val="74EF3B3A"/>
    <w:rsid w:val="74F4D040"/>
    <w:rsid w:val="74F61296"/>
    <w:rsid w:val="74F8C434"/>
    <w:rsid w:val="74F9983B"/>
    <w:rsid w:val="74FAD0DF"/>
    <w:rsid w:val="74FE0A5B"/>
    <w:rsid w:val="75024F4A"/>
    <w:rsid w:val="7504FFDC"/>
    <w:rsid w:val="750620B1"/>
    <w:rsid w:val="750784E1"/>
    <w:rsid w:val="750833D6"/>
    <w:rsid w:val="75098E6B"/>
    <w:rsid w:val="750DD948"/>
    <w:rsid w:val="750E0A2C"/>
    <w:rsid w:val="751036E0"/>
    <w:rsid w:val="75110A76"/>
    <w:rsid w:val="75111E7D"/>
    <w:rsid w:val="75123B66"/>
    <w:rsid w:val="751336F9"/>
    <w:rsid w:val="75134114"/>
    <w:rsid w:val="75145650"/>
    <w:rsid w:val="751EE96F"/>
    <w:rsid w:val="75211461"/>
    <w:rsid w:val="752329DA"/>
    <w:rsid w:val="7523E15F"/>
    <w:rsid w:val="7524CCDE"/>
    <w:rsid w:val="752B1214"/>
    <w:rsid w:val="752C6AAA"/>
    <w:rsid w:val="752EF991"/>
    <w:rsid w:val="7530BA74"/>
    <w:rsid w:val="75337C78"/>
    <w:rsid w:val="7536EEA4"/>
    <w:rsid w:val="75374110"/>
    <w:rsid w:val="75397D79"/>
    <w:rsid w:val="753ADB0E"/>
    <w:rsid w:val="753D84B4"/>
    <w:rsid w:val="753EAF35"/>
    <w:rsid w:val="75440EC4"/>
    <w:rsid w:val="7548C8D1"/>
    <w:rsid w:val="754B42CE"/>
    <w:rsid w:val="754CB32F"/>
    <w:rsid w:val="754D2D97"/>
    <w:rsid w:val="754DBF9C"/>
    <w:rsid w:val="754E15A3"/>
    <w:rsid w:val="754F1146"/>
    <w:rsid w:val="7550162E"/>
    <w:rsid w:val="755088C7"/>
    <w:rsid w:val="755411A5"/>
    <w:rsid w:val="75579028"/>
    <w:rsid w:val="75581A24"/>
    <w:rsid w:val="755870AD"/>
    <w:rsid w:val="755943C4"/>
    <w:rsid w:val="755BF5E1"/>
    <w:rsid w:val="755DA4B2"/>
    <w:rsid w:val="755E34B4"/>
    <w:rsid w:val="755E7DAA"/>
    <w:rsid w:val="75673263"/>
    <w:rsid w:val="756BD84B"/>
    <w:rsid w:val="756C897F"/>
    <w:rsid w:val="756E63AB"/>
    <w:rsid w:val="7570FCB2"/>
    <w:rsid w:val="757274B6"/>
    <w:rsid w:val="75785478"/>
    <w:rsid w:val="757AB6A3"/>
    <w:rsid w:val="757B1742"/>
    <w:rsid w:val="757E4622"/>
    <w:rsid w:val="757EA7CC"/>
    <w:rsid w:val="757EAE43"/>
    <w:rsid w:val="758119DD"/>
    <w:rsid w:val="7581F577"/>
    <w:rsid w:val="758423EE"/>
    <w:rsid w:val="7586992F"/>
    <w:rsid w:val="75883F54"/>
    <w:rsid w:val="7588837D"/>
    <w:rsid w:val="7589624F"/>
    <w:rsid w:val="758B8136"/>
    <w:rsid w:val="758E2840"/>
    <w:rsid w:val="758EFE04"/>
    <w:rsid w:val="75924C89"/>
    <w:rsid w:val="7595C548"/>
    <w:rsid w:val="75996F13"/>
    <w:rsid w:val="759CADC8"/>
    <w:rsid w:val="759F6C7F"/>
    <w:rsid w:val="759FA482"/>
    <w:rsid w:val="75A33BB1"/>
    <w:rsid w:val="75AA753E"/>
    <w:rsid w:val="75AB1BC7"/>
    <w:rsid w:val="75AB6440"/>
    <w:rsid w:val="75AD77FF"/>
    <w:rsid w:val="75AED51F"/>
    <w:rsid w:val="75AF5F54"/>
    <w:rsid w:val="75B461D9"/>
    <w:rsid w:val="75B5A58C"/>
    <w:rsid w:val="75B6D0FC"/>
    <w:rsid w:val="75B6E150"/>
    <w:rsid w:val="75B793C8"/>
    <w:rsid w:val="75BAFE29"/>
    <w:rsid w:val="75BC729E"/>
    <w:rsid w:val="75BE83AC"/>
    <w:rsid w:val="75BFC912"/>
    <w:rsid w:val="75C3A863"/>
    <w:rsid w:val="75C5AF79"/>
    <w:rsid w:val="75C7BE3C"/>
    <w:rsid w:val="75C915F1"/>
    <w:rsid w:val="75CBE1B4"/>
    <w:rsid w:val="75CDDF54"/>
    <w:rsid w:val="75D5DF34"/>
    <w:rsid w:val="75D98E0F"/>
    <w:rsid w:val="75E06F14"/>
    <w:rsid w:val="75E2B5FC"/>
    <w:rsid w:val="75E5DB9D"/>
    <w:rsid w:val="75E76442"/>
    <w:rsid w:val="75E79E34"/>
    <w:rsid w:val="75E8CB68"/>
    <w:rsid w:val="75EA954B"/>
    <w:rsid w:val="75EC159E"/>
    <w:rsid w:val="75EDBA3E"/>
    <w:rsid w:val="75EE3D93"/>
    <w:rsid w:val="75EF8845"/>
    <w:rsid w:val="75F1B5CB"/>
    <w:rsid w:val="75F1C86D"/>
    <w:rsid w:val="75F54473"/>
    <w:rsid w:val="75F6ACD2"/>
    <w:rsid w:val="75F7381D"/>
    <w:rsid w:val="7601EA88"/>
    <w:rsid w:val="7604A1CF"/>
    <w:rsid w:val="7606261A"/>
    <w:rsid w:val="7606746F"/>
    <w:rsid w:val="7607250A"/>
    <w:rsid w:val="76077AAC"/>
    <w:rsid w:val="7607BD4B"/>
    <w:rsid w:val="7608514F"/>
    <w:rsid w:val="760882FA"/>
    <w:rsid w:val="760E2EF5"/>
    <w:rsid w:val="7611B3A1"/>
    <w:rsid w:val="7614129F"/>
    <w:rsid w:val="76189DF0"/>
    <w:rsid w:val="761B4A6F"/>
    <w:rsid w:val="761B9C93"/>
    <w:rsid w:val="761C8939"/>
    <w:rsid w:val="761D10D7"/>
    <w:rsid w:val="761F3D43"/>
    <w:rsid w:val="762219D2"/>
    <w:rsid w:val="7622DFDD"/>
    <w:rsid w:val="7622EA40"/>
    <w:rsid w:val="762CC202"/>
    <w:rsid w:val="762CEEA9"/>
    <w:rsid w:val="762F279F"/>
    <w:rsid w:val="762FE891"/>
    <w:rsid w:val="7633AF37"/>
    <w:rsid w:val="763400BA"/>
    <w:rsid w:val="763638C2"/>
    <w:rsid w:val="7638ADB0"/>
    <w:rsid w:val="763A3312"/>
    <w:rsid w:val="763C42B1"/>
    <w:rsid w:val="763CD36E"/>
    <w:rsid w:val="763E8600"/>
    <w:rsid w:val="763F4FF6"/>
    <w:rsid w:val="763FE847"/>
    <w:rsid w:val="7644F41C"/>
    <w:rsid w:val="7645880A"/>
    <w:rsid w:val="76475590"/>
    <w:rsid w:val="764C4CE6"/>
    <w:rsid w:val="764CBF8B"/>
    <w:rsid w:val="764F6142"/>
    <w:rsid w:val="764FA262"/>
    <w:rsid w:val="764FB340"/>
    <w:rsid w:val="76561B1C"/>
    <w:rsid w:val="76577160"/>
    <w:rsid w:val="765C82B0"/>
    <w:rsid w:val="765FB142"/>
    <w:rsid w:val="76616125"/>
    <w:rsid w:val="76717059"/>
    <w:rsid w:val="7672226F"/>
    <w:rsid w:val="7672B596"/>
    <w:rsid w:val="7672DB12"/>
    <w:rsid w:val="76730F21"/>
    <w:rsid w:val="7677C8B9"/>
    <w:rsid w:val="76788923"/>
    <w:rsid w:val="767E4AF5"/>
    <w:rsid w:val="767F652D"/>
    <w:rsid w:val="76827628"/>
    <w:rsid w:val="768A4333"/>
    <w:rsid w:val="768F0E39"/>
    <w:rsid w:val="768F6F77"/>
    <w:rsid w:val="76921DEF"/>
    <w:rsid w:val="76952B4E"/>
    <w:rsid w:val="7696B797"/>
    <w:rsid w:val="769A86EC"/>
    <w:rsid w:val="769B0222"/>
    <w:rsid w:val="769EFD30"/>
    <w:rsid w:val="769F0508"/>
    <w:rsid w:val="769F1624"/>
    <w:rsid w:val="769F4661"/>
    <w:rsid w:val="769F9965"/>
    <w:rsid w:val="76A1F728"/>
    <w:rsid w:val="76A266E5"/>
    <w:rsid w:val="76A42011"/>
    <w:rsid w:val="76A47832"/>
    <w:rsid w:val="76A711FF"/>
    <w:rsid w:val="76AEE04F"/>
    <w:rsid w:val="76B394C6"/>
    <w:rsid w:val="76B4CD00"/>
    <w:rsid w:val="76B55DA6"/>
    <w:rsid w:val="76B7E24D"/>
    <w:rsid w:val="76BAE259"/>
    <w:rsid w:val="76BCF15D"/>
    <w:rsid w:val="76C37797"/>
    <w:rsid w:val="76C44043"/>
    <w:rsid w:val="76C4A08F"/>
    <w:rsid w:val="76CBC6B7"/>
    <w:rsid w:val="76CBF15E"/>
    <w:rsid w:val="76CFD89A"/>
    <w:rsid w:val="76D77D2C"/>
    <w:rsid w:val="76D77FD4"/>
    <w:rsid w:val="76D91380"/>
    <w:rsid w:val="76D94A26"/>
    <w:rsid w:val="76DC959C"/>
    <w:rsid w:val="76E04386"/>
    <w:rsid w:val="76E1C06C"/>
    <w:rsid w:val="76E4FB9A"/>
    <w:rsid w:val="76E8E6E3"/>
    <w:rsid w:val="76E98FFD"/>
    <w:rsid w:val="76E9F8FF"/>
    <w:rsid w:val="76ED55C7"/>
    <w:rsid w:val="76EE94AE"/>
    <w:rsid w:val="76F166EC"/>
    <w:rsid w:val="76F48984"/>
    <w:rsid w:val="76F4B7DC"/>
    <w:rsid w:val="76F55881"/>
    <w:rsid w:val="76F5686B"/>
    <w:rsid w:val="76F73E3B"/>
    <w:rsid w:val="76FBF260"/>
    <w:rsid w:val="76FCDFFC"/>
    <w:rsid w:val="76FD2798"/>
    <w:rsid w:val="77007E63"/>
    <w:rsid w:val="7703AC98"/>
    <w:rsid w:val="7704574F"/>
    <w:rsid w:val="770A046C"/>
    <w:rsid w:val="770D0E3C"/>
    <w:rsid w:val="770F05BA"/>
    <w:rsid w:val="770F2B00"/>
    <w:rsid w:val="7711FD06"/>
    <w:rsid w:val="7712404D"/>
    <w:rsid w:val="7714759B"/>
    <w:rsid w:val="7714BDAB"/>
    <w:rsid w:val="77180BF9"/>
    <w:rsid w:val="771AB40B"/>
    <w:rsid w:val="771BA28A"/>
    <w:rsid w:val="771CA20A"/>
    <w:rsid w:val="771DB734"/>
    <w:rsid w:val="771DC5D8"/>
    <w:rsid w:val="771E4C2B"/>
    <w:rsid w:val="771EFB5A"/>
    <w:rsid w:val="77205C8F"/>
    <w:rsid w:val="7722B13E"/>
    <w:rsid w:val="77261519"/>
    <w:rsid w:val="77270991"/>
    <w:rsid w:val="772AAF40"/>
    <w:rsid w:val="772C7625"/>
    <w:rsid w:val="77305899"/>
    <w:rsid w:val="7731DF40"/>
    <w:rsid w:val="7736B288"/>
    <w:rsid w:val="77397784"/>
    <w:rsid w:val="7742E25B"/>
    <w:rsid w:val="77441977"/>
    <w:rsid w:val="77452040"/>
    <w:rsid w:val="7747DA07"/>
    <w:rsid w:val="7749A553"/>
    <w:rsid w:val="7749C04E"/>
    <w:rsid w:val="774A4273"/>
    <w:rsid w:val="774DADEA"/>
    <w:rsid w:val="77524201"/>
    <w:rsid w:val="775261D9"/>
    <w:rsid w:val="77533E09"/>
    <w:rsid w:val="77545773"/>
    <w:rsid w:val="7754C2C6"/>
    <w:rsid w:val="77568109"/>
    <w:rsid w:val="7757DD17"/>
    <w:rsid w:val="775924B6"/>
    <w:rsid w:val="775E1153"/>
    <w:rsid w:val="7763918F"/>
    <w:rsid w:val="776699DF"/>
    <w:rsid w:val="776711B9"/>
    <w:rsid w:val="776ACCD0"/>
    <w:rsid w:val="776BAE66"/>
    <w:rsid w:val="776EC821"/>
    <w:rsid w:val="7771C94F"/>
    <w:rsid w:val="7774D839"/>
    <w:rsid w:val="77793192"/>
    <w:rsid w:val="77793F57"/>
    <w:rsid w:val="7779CDE3"/>
    <w:rsid w:val="77836E95"/>
    <w:rsid w:val="7784AD32"/>
    <w:rsid w:val="7784B13B"/>
    <w:rsid w:val="77850FB1"/>
    <w:rsid w:val="7786A7C9"/>
    <w:rsid w:val="778915CD"/>
    <w:rsid w:val="778B2535"/>
    <w:rsid w:val="778B3527"/>
    <w:rsid w:val="778DA5EC"/>
    <w:rsid w:val="77903A04"/>
    <w:rsid w:val="7790CFA4"/>
    <w:rsid w:val="7791741B"/>
    <w:rsid w:val="77934B04"/>
    <w:rsid w:val="77941AA0"/>
    <w:rsid w:val="7798DFA8"/>
    <w:rsid w:val="77998C7A"/>
    <w:rsid w:val="7799925F"/>
    <w:rsid w:val="779C50F9"/>
    <w:rsid w:val="779CA4EA"/>
    <w:rsid w:val="779D7AED"/>
    <w:rsid w:val="779E3AA9"/>
    <w:rsid w:val="779E9995"/>
    <w:rsid w:val="779EBF1D"/>
    <w:rsid w:val="77A107F4"/>
    <w:rsid w:val="77A562E4"/>
    <w:rsid w:val="77A5AE6A"/>
    <w:rsid w:val="77A7D972"/>
    <w:rsid w:val="77A7E637"/>
    <w:rsid w:val="77A8EAC2"/>
    <w:rsid w:val="77A90783"/>
    <w:rsid w:val="77A9A854"/>
    <w:rsid w:val="77AD0033"/>
    <w:rsid w:val="77AFBF9C"/>
    <w:rsid w:val="77B00166"/>
    <w:rsid w:val="77B245EE"/>
    <w:rsid w:val="77B29099"/>
    <w:rsid w:val="77B6B481"/>
    <w:rsid w:val="77B86741"/>
    <w:rsid w:val="77BA547F"/>
    <w:rsid w:val="77BC42F8"/>
    <w:rsid w:val="77BD6F21"/>
    <w:rsid w:val="77BF49F5"/>
    <w:rsid w:val="77C05531"/>
    <w:rsid w:val="77C07EC0"/>
    <w:rsid w:val="77C34495"/>
    <w:rsid w:val="77C42240"/>
    <w:rsid w:val="77C53EC1"/>
    <w:rsid w:val="77C9535B"/>
    <w:rsid w:val="77CEF372"/>
    <w:rsid w:val="77D056E7"/>
    <w:rsid w:val="77D0EFE8"/>
    <w:rsid w:val="77D642BA"/>
    <w:rsid w:val="77D76128"/>
    <w:rsid w:val="77D89895"/>
    <w:rsid w:val="77DD5806"/>
    <w:rsid w:val="77DEFBD0"/>
    <w:rsid w:val="77DFCD07"/>
    <w:rsid w:val="77E02F0F"/>
    <w:rsid w:val="77E2B788"/>
    <w:rsid w:val="77E331FC"/>
    <w:rsid w:val="77E3B493"/>
    <w:rsid w:val="77E60CCF"/>
    <w:rsid w:val="77E66069"/>
    <w:rsid w:val="77E8C33A"/>
    <w:rsid w:val="77EC2CBF"/>
    <w:rsid w:val="77ED01A4"/>
    <w:rsid w:val="77EE8C57"/>
    <w:rsid w:val="77FAF08B"/>
    <w:rsid w:val="77FB2B48"/>
    <w:rsid w:val="77FB8699"/>
    <w:rsid w:val="77FBBDBE"/>
    <w:rsid w:val="77FDF7A8"/>
    <w:rsid w:val="77FEECA0"/>
    <w:rsid w:val="77FF9734"/>
    <w:rsid w:val="7805F3D9"/>
    <w:rsid w:val="780693DC"/>
    <w:rsid w:val="78071C6E"/>
    <w:rsid w:val="7807E5D8"/>
    <w:rsid w:val="78087653"/>
    <w:rsid w:val="7808783E"/>
    <w:rsid w:val="7808D332"/>
    <w:rsid w:val="780C62F2"/>
    <w:rsid w:val="780DFE45"/>
    <w:rsid w:val="780E8DC1"/>
    <w:rsid w:val="7815DB5C"/>
    <w:rsid w:val="78177C1D"/>
    <w:rsid w:val="7819510D"/>
    <w:rsid w:val="781AC372"/>
    <w:rsid w:val="781B6D26"/>
    <w:rsid w:val="781BA3C4"/>
    <w:rsid w:val="781E5887"/>
    <w:rsid w:val="781EA30A"/>
    <w:rsid w:val="78202BED"/>
    <w:rsid w:val="78204808"/>
    <w:rsid w:val="78204876"/>
    <w:rsid w:val="78228B92"/>
    <w:rsid w:val="78238398"/>
    <w:rsid w:val="7824FC84"/>
    <w:rsid w:val="7825BEF0"/>
    <w:rsid w:val="7827BC49"/>
    <w:rsid w:val="782A4BBC"/>
    <w:rsid w:val="782BCCBF"/>
    <w:rsid w:val="782DA15F"/>
    <w:rsid w:val="782F1DDD"/>
    <w:rsid w:val="782F3082"/>
    <w:rsid w:val="78315399"/>
    <w:rsid w:val="78334A27"/>
    <w:rsid w:val="7835555A"/>
    <w:rsid w:val="7836D3F1"/>
    <w:rsid w:val="783B91C1"/>
    <w:rsid w:val="783E30EB"/>
    <w:rsid w:val="783E7886"/>
    <w:rsid w:val="783F25A3"/>
    <w:rsid w:val="78409989"/>
    <w:rsid w:val="78434668"/>
    <w:rsid w:val="7844BD58"/>
    <w:rsid w:val="78452D37"/>
    <w:rsid w:val="7846F739"/>
    <w:rsid w:val="78489AC0"/>
    <w:rsid w:val="7848B0EB"/>
    <w:rsid w:val="7851FE80"/>
    <w:rsid w:val="7852C395"/>
    <w:rsid w:val="7852CADD"/>
    <w:rsid w:val="7854B5CF"/>
    <w:rsid w:val="7856B192"/>
    <w:rsid w:val="785D61D9"/>
    <w:rsid w:val="785E98D9"/>
    <w:rsid w:val="78615C68"/>
    <w:rsid w:val="7863CCD4"/>
    <w:rsid w:val="78655777"/>
    <w:rsid w:val="78662374"/>
    <w:rsid w:val="786689A0"/>
    <w:rsid w:val="78681F6F"/>
    <w:rsid w:val="786B05D6"/>
    <w:rsid w:val="786DA2DB"/>
    <w:rsid w:val="786FF80F"/>
    <w:rsid w:val="7872B18E"/>
    <w:rsid w:val="787390D4"/>
    <w:rsid w:val="7875F109"/>
    <w:rsid w:val="787897BC"/>
    <w:rsid w:val="787DDD04"/>
    <w:rsid w:val="787FEC99"/>
    <w:rsid w:val="7881137E"/>
    <w:rsid w:val="788124C4"/>
    <w:rsid w:val="7883900B"/>
    <w:rsid w:val="7883F978"/>
    <w:rsid w:val="78849211"/>
    <w:rsid w:val="7886D940"/>
    <w:rsid w:val="788AF867"/>
    <w:rsid w:val="788D4344"/>
    <w:rsid w:val="788DA857"/>
    <w:rsid w:val="788EF9EF"/>
    <w:rsid w:val="78920E29"/>
    <w:rsid w:val="7894F773"/>
    <w:rsid w:val="78964958"/>
    <w:rsid w:val="7897A22F"/>
    <w:rsid w:val="78992F08"/>
    <w:rsid w:val="789E6070"/>
    <w:rsid w:val="789EC787"/>
    <w:rsid w:val="78A3A434"/>
    <w:rsid w:val="78A526CA"/>
    <w:rsid w:val="78A7779A"/>
    <w:rsid w:val="78AD0DE9"/>
    <w:rsid w:val="78ADD097"/>
    <w:rsid w:val="78AF0A68"/>
    <w:rsid w:val="78AF20C7"/>
    <w:rsid w:val="78AF51C0"/>
    <w:rsid w:val="78B00B32"/>
    <w:rsid w:val="78B49D85"/>
    <w:rsid w:val="78B8C344"/>
    <w:rsid w:val="78B8CE6D"/>
    <w:rsid w:val="78BA1140"/>
    <w:rsid w:val="78BA2942"/>
    <w:rsid w:val="78BC8681"/>
    <w:rsid w:val="78BF9389"/>
    <w:rsid w:val="78C0287D"/>
    <w:rsid w:val="78C0D729"/>
    <w:rsid w:val="78C18C3F"/>
    <w:rsid w:val="78C2835A"/>
    <w:rsid w:val="78C3CD99"/>
    <w:rsid w:val="78C662A9"/>
    <w:rsid w:val="78C725D8"/>
    <w:rsid w:val="78C9DCA5"/>
    <w:rsid w:val="78CB15CC"/>
    <w:rsid w:val="78CF3963"/>
    <w:rsid w:val="78D0E99B"/>
    <w:rsid w:val="78D18ACD"/>
    <w:rsid w:val="78D3A3EC"/>
    <w:rsid w:val="78D617F9"/>
    <w:rsid w:val="78D7A63A"/>
    <w:rsid w:val="78D8A4EF"/>
    <w:rsid w:val="78D936A2"/>
    <w:rsid w:val="78DB8C2E"/>
    <w:rsid w:val="78DBD500"/>
    <w:rsid w:val="78DD2BE6"/>
    <w:rsid w:val="78E3DF39"/>
    <w:rsid w:val="78E576AA"/>
    <w:rsid w:val="78E6D822"/>
    <w:rsid w:val="78E71E8A"/>
    <w:rsid w:val="78EA1A82"/>
    <w:rsid w:val="78EA8422"/>
    <w:rsid w:val="78ECC7DA"/>
    <w:rsid w:val="78ED24C5"/>
    <w:rsid w:val="78EE15EC"/>
    <w:rsid w:val="78EF48B7"/>
    <w:rsid w:val="78F0F2F7"/>
    <w:rsid w:val="78F0F5CD"/>
    <w:rsid w:val="78F11FEC"/>
    <w:rsid w:val="78F21409"/>
    <w:rsid w:val="78F32A02"/>
    <w:rsid w:val="78F3D1B1"/>
    <w:rsid w:val="78F5049F"/>
    <w:rsid w:val="78F564CF"/>
    <w:rsid w:val="78F6B08B"/>
    <w:rsid w:val="78F7AB6E"/>
    <w:rsid w:val="78F98CE6"/>
    <w:rsid w:val="78FA6FF3"/>
    <w:rsid w:val="78FAE9A7"/>
    <w:rsid w:val="78FC5F35"/>
    <w:rsid w:val="78FD467B"/>
    <w:rsid w:val="78FD86D7"/>
    <w:rsid w:val="79040F9B"/>
    <w:rsid w:val="7904D4BE"/>
    <w:rsid w:val="79075C0D"/>
    <w:rsid w:val="79088376"/>
    <w:rsid w:val="79099B2F"/>
    <w:rsid w:val="790AD912"/>
    <w:rsid w:val="790BC74D"/>
    <w:rsid w:val="791374D6"/>
    <w:rsid w:val="791A0492"/>
    <w:rsid w:val="791AB242"/>
    <w:rsid w:val="791DA352"/>
    <w:rsid w:val="79200651"/>
    <w:rsid w:val="79211909"/>
    <w:rsid w:val="79229466"/>
    <w:rsid w:val="7924DCF1"/>
    <w:rsid w:val="792A2393"/>
    <w:rsid w:val="792AB867"/>
    <w:rsid w:val="792D38CC"/>
    <w:rsid w:val="79307525"/>
    <w:rsid w:val="79349311"/>
    <w:rsid w:val="793632E2"/>
    <w:rsid w:val="7936ADBA"/>
    <w:rsid w:val="7936F4C5"/>
    <w:rsid w:val="7937BADE"/>
    <w:rsid w:val="793EEA62"/>
    <w:rsid w:val="79409F6A"/>
    <w:rsid w:val="794123D6"/>
    <w:rsid w:val="794227BC"/>
    <w:rsid w:val="79447CF8"/>
    <w:rsid w:val="79459F49"/>
    <w:rsid w:val="79465A28"/>
    <w:rsid w:val="7946D4F5"/>
    <w:rsid w:val="794751B0"/>
    <w:rsid w:val="794ABD34"/>
    <w:rsid w:val="794C0E75"/>
    <w:rsid w:val="794CE843"/>
    <w:rsid w:val="794D29B5"/>
    <w:rsid w:val="7952E823"/>
    <w:rsid w:val="7953E92B"/>
    <w:rsid w:val="79581B6C"/>
    <w:rsid w:val="795830CB"/>
    <w:rsid w:val="7959CCF5"/>
    <w:rsid w:val="795B8221"/>
    <w:rsid w:val="795B8F07"/>
    <w:rsid w:val="795F0F86"/>
    <w:rsid w:val="79665847"/>
    <w:rsid w:val="79680B3F"/>
    <w:rsid w:val="796AA5A6"/>
    <w:rsid w:val="796B516A"/>
    <w:rsid w:val="796E3554"/>
    <w:rsid w:val="796EF304"/>
    <w:rsid w:val="796FC630"/>
    <w:rsid w:val="7970BD94"/>
    <w:rsid w:val="79728DE7"/>
    <w:rsid w:val="79747FA5"/>
    <w:rsid w:val="7974EB55"/>
    <w:rsid w:val="79753587"/>
    <w:rsid w:val="79754802"/>
    <w:rsid w:val="797816C8"/>
    <w:rsid w:val="7978DA0E"/>
    <w:rsid w:val="797A01E2"/>
    <w:rsid w:val="7982E555"/>
    <w:rsid w:val="79854184"/>
    <w:rsid w:val="79878589"/>
    <w:rsid w:val="79924E8A"/>
    <w:rsid w:val="79947D89"/>
    <w:rsid w:val="7994FA93"/>
    <w:rsid w:val="799562D1"/>
    <w:rsid w:val="79974627"/>
    <w:rsid w:val="799D9B1F"/>
    <w:rsid w:val="799DA75D"/>
    <w:rsid w:val="799F8EE2"/>
    <w:rsid w:val="799F8FED"/>
    <w:rsid w:val="79A2AD55"/>
    <w:rsid w:val="79A4EB31"/>
    <w:rsid w:val="79A55227"/>
    <w:rsid w:val="79A9DB08"/>
    <w:rsid w:val="79AA452D"/>
    <w:rsid w:val="79ABBFB8"/>
    <w:rsid w:val="79AC0915"/>
    <w:rsid w:val="79AC2B00"/>
    <w:rsid w:val="79AD319D"/>
    <w:rsid w:val="79ADFCF8"/>
    <w:rsid w:val="79AFEC1D"/>
    <w:rsid w:val="79B0DA9E"/>
    <w:rsid w:val="79B2A2AC"/>
    <w:rsid w:val="79B4C733"/>
    <w:rsid w:val="79B643AB"/>
    <w:rsid w:val="79B734E8"/>
    <w:rsid w:val="79B88994"/>
    <w:rsid w:val="79BAA246"/>
    <w:rsid w:val="79BC2A7F"/>
    <w:rsid w:val="79BE7441"/>
    <w:rsid w:val="79C1C91A"/>
    <w:rsid w:val="79C32ED8"/>
    <w:rsid w:val="79CAF527"/>
    <w:rsid w:val="79CB720C"/>
    <w:rsid w:val="79CDD830"/>
    <w:rsid w:val="79CFDD22"/>
    <w:rsid w:val="79D0485A"/>
    <w:rsid w:val="79D4369C"/>
    <w:rsid w:val="79D8DD4B"/>
    <w:rsid w:val="79D9B65A"/>
    <w:rsid w:val="79D9DD2D"/>
    <w:rsid w:val="79DA07A7"/>
    <w:rsid w:val="79DBF5EC"/>
    <w:rsid w:val="79DBF92E"/>
    <w:rsid w:val="79DE82A5"/>
    <w:rsid w:val="79DEFD8E"/>
    <w:rsid w:val="79E0DC3D"/>
    <w:rsid w:val="79E3D6AA"/>
    <w:rsid w:val="79E46F9A"/>
    <w:rsid w:val="79E4AB5A"/>
    <w:rsid w:val="79E6C109"/>
    <w:rsid w:val="79E90EF0"/>
    <w:rsid w:val="79E93FC5"/>
    <w:rsid w:val="79EBF3AF"/>
    <w:rsid w:val="79EC7CE6"/>
    <w:rsid w:val="79ED607A"/>
    <w:rsid w:val="79EF1E0F"/>
    <w:rsid w:val="79F57FE8"/>
    <w:rsid w:val="79FA80D3"/>
    <w:rsid w:val="79FAF00E"/>
    <w:rsid w:val="79FC3BFD"/>
    <w:rsid w:val="79FD39D9"/>
    <w:rsid w:val="7A021915"/>
    <w:rsid w:val="7A028AED"/>
    <w:rsid w:val="7A047001"/>
    <w:rsid w:val="7A05A10C"/>
    <w:rsid w:val="7A05A136"/>
    <w:rsid w:val="7A087ADB"/>
    <w:rsid w:val="7A08A618"/>
    <w:rsid w:val="7A0BF788"/>
    <w:rsid w:val="7A0C059A"/>
    <w:rsid w:val="7A1034AF"/>
    <w:rsid w:val="7A10B5B8"/>
    <w:rsid w:val="7A10DDFF"/>
    <w:rsid w:val="7A115575"/>
    <w:rsid w:val="7A11891F"/>
    <w:rsid w:val="7A131055"/>
    <w:rsid w:val="7A13130F"/>
    <w:rsid w:val="7A13DA40"/>
    <w:rsid w:val="7A164848"/>
    <w:rsid w:val="7A17C6BC"/>
    <w:rsid w:val="7A180AF2"/>
    <w:rsid w:val="7A181D0E"/>
    <w:rsid w:val="7A197351"/>
    <w:rsid w:val="7A1AE852"/>
    <w:rsid w:val="7A1D4CDA"/>
    <w:rsid w:val="7A1D57B5"/>
    <w:rsid w:val="7A20B01F"/>
    <w:rsid w:val="7A213B46"/>
    <w:rsid w:val="7A226400"/>
    <w:rsid w:val="7A229C1F"/>
    <w:rsid w:val="7A2422D4"/>
    <w:rsid w:val="7A242ED9"/>
    <w:rsid w:val="7A249817"/>
    <w:rsid w:val="7A265CDE"/>
    <w:rsid w:val="7A2A29DC"/>
    <w:rsid w:val="7A2BD239"/>
    <w:rsid w:val="7A30B752"/>
    <w:rsid w:val="7A320D27"/>
    <w:rsid w:val="7A33D7FD"/>
    <w:rsid w:val="7A340A8B"/>
    <w:rsid w:val="7A34C0D0"/>
    <w:rsid w:val="7A353F0C"/>
    <w:rsid w:val="7A372179"/>
    <w:rsid w:val="7A398F56"/>
    <w:rsid w:val="7A3AE746"/>
    <w:rsid w:val="7A3C5E50"/>
    <w:rsid w:val="7A3DF7BE"/>
    <w:rsid w:val="7A43BED9"/>
    <w:rsid w:val="7A452962"/>
    <w:rsid w:val="7A475A20"/>
    <w:rsid w:val="7A4F6CDC"/>
    <w:rsid w:val="7A4F9E15"/>
    <w:rsid w:val="7A5014EF"/>
    <w:rsid w:val="7A507D76"/>
    <w:rsid w:val="7A5193C1"/>
    <w:rsid w:val="7A53DA04"/>
    <w:rsid w:val="7A550DC4"/>
    <w:rsid w:val="7A55C4ED"/>
    <w:rsid w:val="7A571E05"/>
    <w:rsid w:val="7A591F09"/>
    <w:rsid w:val="7A5B3FC1"/>
    <w:rsid w:val="7A5DEC59"/>
    <w:rsid w:val="7A62DC50"/>
    <w:rsid w:val="7A642A99"/>
    <w:rsid w:val="7A645A0F"/>
    <w:rsid w:val="7A69EEF4"/>
    <w:rsid w:val="7A6A04A7"/>
    <w:rsid w:val="7A6B4542"/>
    <w:rsid w:val="7A6C6A8A"/>
    <w:rsid w:val="7A6C9EB3"/>
    <w:rsid w:val="7A725CB8"/>
    <w:rsid w:val="7A748DAD"/>
    <w:rsid w:val="7A762AB9"/>
    <w:rsid w:val="7A7722CD"/>
    <w:rsid w:val="7A78BE05"/>
    <w:rsid w:val="7A78E9EC"/>
    <w:rsid w:val="7A79221D"/>
    <w:rsid w:val="7A7966DA"/>
    <w:rsid w:val="7A7A376B"/>
    <w:rsid w:val="7A7E68A6"/>
    <w:rsid w:val="7A81545E"/>
    <w:rsid w:val="7A835D49"/>
    <w:rsid w:val="7A8528BD"/>
    <w:rsid w:val="7A895B73"/>
    <w:rsid w:val="7A8A1F21"/>
    <w:rsid w:val="7A8B1918"/>
    <w:rsid w:val="7A8D6B22"/>
    <w:rsid w:val="7A8EA503"/>
    <w:rsid w:val="7A8F4CDE"/>
    <w:rsid w:val="7A918B8B"/>
    <w:rsid w:val="7A9277E9"/>
    <w:rsid w:val="7A9278B2"/>
    <w:rsid w:val="7A96F6EA"/>
    <w:rsid w:val="7A9760EC"/>
    <w:rsid w:val="7A982F96"/>
    <w:rsid w:val="7A9A6097"/>
    <w:rsid w:val="7A9CA645"/>
    <w:rsid w:val="7A9D48CA"/>
    <w:rsid w:val="7A9D6682"/>
    <w:rsid w:val="7A9FDDD3"/>
    <w:rsid w:val="7AA11134"/>
    <w:rsid w:val="7AA22389"/>
    <w:rsid w:val="7AA4FDFA"/>
    <w:rsid w:val="7AA941BA"/>
    <w:rsid w:val="7AAA5699"/>
    <w:rsid w:val="7AAC49B0"/>
    <w:rsid w:val="7AAE21E5"/>
    <w:rsid w:val="7AAE7929"/>
    <w:rsid w:val="7AB3F06C"/>
    <w:rsid w:val="7AB60819"/>
    <w:rsid w:val="7ABA53C2"/>
    <w:rsid w:val="7ABCA93F"/>
    <w:rsid w:val="7ABE516C"/>
    <w:rsid w:val="7AC04A4C"/>
    <w:rsid w:val="7AC54DBE"/>
    <w:rsid w:val="7AC5CE88"/>
    <w:rsid w:val="7AC6556D"/>
    <w:rsid w:val="7AC6FD03"/>
    <w:rsid w:val="7AC7B671"/>
    <w:rsid w:val="7AC8B2B5"/>
    <w:rsid w:val="7ACE6B91"/>
    <w:rsid w:val="7ACFB91C"/>
    <w:rsid w:val="7AD0D775"/>
    <w:rsid w:val="7AD20DC7"/>
    <w:rsid w:val="7AD3B049"/>
    <w:rsid w:val="7AD5332E"/>
    <w:rsid w:val="7AD5504C"/>
    <w:rsid w:val="7AD66A14"/>
    <w:rsid w:val="7AD7D6B5"/>
    <w:rsid w:val="7ADB52BC"/>
    <w:rsid w:val="7ADCC94C"/>
    <w:rsid w:val="7AE0D663"/>
    <w:rsid w:val="7AE167F6"/>
    <w:rsid w:val="7AE8A403"/>
    <w:rsid w:val="7AE8B662"/>
    <w:rsid w:val="7AE98FE6"/>
    <w:rsid w:val="7AE9F6DF"/>
    <w:rsid w:val="7AEA5F0B"/>
    <w:rsid w:val="7AED1AC8"/>
    <w:rsid w:val="7AED532E"/>
    <w:rsid w:val="7AEE241A"/>
    <w:rsid w:val="7AEE5A85"/>
    <w:rsid w:val="7AF053B7"/>
    <w:rsid w:val="7AF0E53C"/>
    <w:rsid w:val="7AF4251B"/>
    <w:rsid w:val="7AFD8997"/>
    <w:rsid w:val="7AFF55AF"/>
    <w:rsid w:val="7AFFDB14"/>
    <w:rsid w:val="7B019DE9"/>
    <w:rsid w:val="7B03F04C"/>
    <w:rsid w:val="7B05918A"/>
    <w:rsid w:val="7B07AB61"/>
    <w:rsid w:val="7B0B9358"/>
    <w:rsid w:val="7B11428F"/>
    <w:rsid w:val="7B11863F"/>
    <w:rsid w:val="7B163FCE"/>
    <w:rsid w:val="7B1CE9B8"/>
    <w:rsid w:val="7B1D74F1"/>
    <w:rsid w:val="7B1E2113"/>
    <w:rsid w:val="7B1EC2EF"/>
    <w:rsid w:val="7B248173"/>
    <w:rsid w:val="7B2AC7BD"/>
    <w:rsid w:val="7B2B4BC1"/>
    <w:rsid w:val="7B2B6335"/>
    <w:rsid w:val="7B2BE5F4"/>
    <w:rsid w:val="7B2DEBC6"/>
    <w:rsid w:val="7B2F2595"/>
    <w:rsid w:val="7B302768"/>
    <w:rsid w:val="7B38F41B"/>
    <w:rsid w:val="7B392E0E"/>
    <w:rsid w:val="7B39C929"/>
    <w:rsid w:val="7B3CA847"/>
    <w:rsid w:val="7B40C692"/>
    <w:rsid w:val="7B417147"/>
    <w:rsid w:val="7B466E7B"/>
    <w:rsid w:val="7B46BFA4"/>
    <w:rsid w:val="7B47380D"/>
    <w:rsid w:val="7B4ABBAC"/>
    <w:rsid w:val="7B4AF560"/>
    <w:rsid w:val="7B4D68D5"/>
    <w:rsid w:val="7B4F9A2B"/>
    <w:rsid w:val="7B4FEDBF"/>
    <w:rsid w:val="7B547745"/>
    <w:rsid w:val="7B54EABD"/>
    <w:rsid w:val="7B5606FF"/>
    <w:rsid w:val="7B5920DE"/>
    <w:rsid w:val="7B5AA766"/>
    <w:rsid w:val="7B5AD21D"/>
    <w:rsid w:val="7B5BD098"/>
    <w:rsid w:val="7B5FCA10"/>
    <w:rsid w:val="7B603BDA"/>
    <w:rsid w:val="7B629D21"/>
    <w:rsid w:val="7B631211"/>
    <w:rsid w:val="7B6367D1"/>
    <w:rsid w:val="7B642C5D"/>
    <w:rsid w:val="7B66EC2A"/>
    <w:rsid w:val="7B69E61B"/>
    <w:rsid w:val="7B6A0D27"/>
    <w:rsid w:val="7B6C3998"/>
    <w:rsid w:val="7B6CC5A1"/>
    <w:rsid w:val="7B6EB34A"/>
    <w:rsid w:val="7B6FCC1C"/>
    <w:rsid w:val="7B7256AD"/>
    <w:rsid w:val="7B73E1D9"/>
    <w:rsid w:val="7B74DB5B"/>
    <w:rsid w:val="7B74F73D"/>
    <w:rsid w:val="7B750908"/>
    <w:rsid w:val="7B75D447"/>
    <w:rsid w:val="7B75D808"/>
    <w:rsid w:val="7B765518"/>
    <w:rsid w:val="7B77C8AF"/>
    <w:rsid w:val="7B788066"/>
    <w:rsid w:val="7B7D20B3"/>
    <w:rsid w:val="7B7F0673"/>
    <w:rsid w:val="7B8463D5"/>
    <w:rsid w:val="7B84E4F7"/>
    <w:rsid w:val="7B8709D9"/>
    <w:rsid w:val="7B874E9F"/>
    <w:rsid w:val="7B8B5557"/>
    <w:rsid w:val="7B8D3236"/>
    <w:rsid w:val="7B8DC466"/>
    <w:rsid w:val="7B8F058B"/>
    <w:rsid w:val="7B9466B2"/>
    <w:rsid w:val="7B997971"/>
    <w:rsid w:val="7B9B7C8F"/>
    <w:rsid w:val="7B9BD435"/>
    <w:rsid w:val="7BA12B58"/>
    <w:rsid w:val="7BA22BEA"/>
    <w:rsid w:val="7BA2E9AF"/>
    <w:rsid w:val="7BA39363"/>
    <w:rsid w:val="7BA3BFD3"/>
    <w:rsid w:val="7BA4E192"/>
    <w:rsid w:val="7BA6093E"/>
    <w:rsid w:val="7BA675DE"/>
    <w:rsid w:val="7BA7E8AB"/>
    <w:rsid w:val="7BA874B3"/>
    <w:rsid w:val="7BABC832"/>
    <w:rsid w:val="7BB075EB"/>
    <w:rsid w:val="7BB178B1"/>
    <w:rsid w:val="7BB1A96A"/>
    <w:rsid w:val="7BB21E04"/>
    <w:rsid w:val="7BB462C8"/>
    <w:rsid w:val="7BB70518"/>
    <w:rsid w:val="7BBCA2B1"/>
    <w:rsid w:val="7BBCC5ED"/>
    <w:rsid w:val="7BBCCF31"/>
    <w:rsid w:val="7BBD5AFA"/>
    <w:rsid w:val="7BC0072F"/>
    <w:rsid w:val="7BC52D72"/>
    <w:rsid w:val="7BC599CD"/>
    <w:rsid w:val="7BC5ADC8"/>
    <w:rsid w:val="7BC80D90"/>
    <w:rsid w:val="7BC8B072"/>
    <w:rsid w:val="7BC8CD65"/>
    <w:rsid w:val="7BCCF40E"/>
    <w:rsid w:val="7BD1479D"/>
    <w:rsid w:val="7BD17941"/>
    <w:rsid w:val="7BD1F990"/>
    <w:rsid w:val="7BD49DFE"/>
    <w:rsid w:val="7BD75E8C"/>
    <w:rsid w:val="7BDF696E"/>
    <w:rsid w:val="7BE12ACD"/>
    <w:rsid w:val="7BE37BE0"/>
    <w:rsid w:val="7BE42D01"/>
    <w:rsid w:val="7BE463E4"/>
    <w:rsid w:val="7BE509FA"/>
    <w:rsid w:val="7BE6DE83"/>
    <w:rsid w:val="7BEC6EC8"/>
    <w:rsid w:val="7BECE4BA"/>
    <w:rsid w:val="7BED404E"/>
    <w:rsid w:val="7BEDDC06"/>
    <w:rsid w:val="7BF16837"/>
    <w:rsid w:val="7BF214A5"/>
    <w:rsid w:val="7BF4903E"/>
    <w:rsid w:val="7BFB67EA"/>
    <w:rsid w:val="7BFB9345"/>
    <w:rsid w:val="7BFEA4A3"/>
    <w:rsid w:val="7C010D0B"/>
    <w:rsid w:val="7C0158C7"/>
    <w:rsid w:val="7C029FB8"/>
    <w:rsid w:val="7C03C8B0"/>
    <w:rsid w:val="7C045EF2"/>
    <w:rsid w:val="7C06072C"/>
    <w:rsid w:val="7C093908"/>
    <w:rsid w:val="7C095EF2"/>
    <w:rsid w:val="7C0A9E6E"/>
    <w:rsid w:val="7C0C5B2A"/>
    <w:rsid w:val="7C0D4973"/>
    <w:rsid w:val="7C0DBC61"/>
    <w:rsid w:val="7C0ED95A"/>
    <w:rsid w:val="7C111DA3"/>
    <w:rsid w:val="7C114844"/>
    <w:rsid w:val="7C13014E"/>
    <w:rsid w:val="7C130AF0"/>
    <w:rsid w:val="7C135B73"/>
    <w:rsid w:val="7C1585E0"/>
    <w:rsid w:val="7C198339"/>
    <w:rsid w:val="7C1B1505"/>
    <w:rsid w:val="7C1BDDD6"/>
    <w:rsid w:val="7C1C8C3B"/>
    <w:rsid w:val="7C1CD930"/>
    <w:rsid w:val="7C1E6AD5"/>
    <w:rsid w:val="7C1F80C8"/>
    <w:rsid w:val="7C20C14F"/>
    <w:rsid w:val="7C25DD24"/>
    <w:rsid w:val="7C26BA98"/>
    <w:rsid w:val="7C26E14E"/>
    <w:rsid w:val="7C29887C"/>
    <w:rsid w:val="7C2BE29C"/>
    <w:rsid w:val="7C2D2382"/>
    <w:rsid w:val="7C2DEC33"/>
    <w:rsid w:val="7C2FDD14"/>
    <w:rsid w:val="7C3016D0"/>
    <w:rsid w:val="7C30349F"/>
    <w:rsid w:val="7C3137C0"/>
    <w:rsid w:val="7C3502B9"/>
    <w:rsid w:val="7C36BAC5"/>
    <w:rsid w:val="7C375603"/>
    <w:rsid w:val="7C3A3BD8"/>
    <w:rsid w:val="7C3A5DA7"/>
    <w:rsid w:val="7C3C5964"/>
    <w:rsid w:val="7C3CFA32"/>
    <w:rsid w:val="7C42BDB9"/>
    <w:rsid w:val="7C449A6A"/>
    <w:rsid w:val="7C44ABE5"/>
    <w:rsid w:val="7C45A9DB"/>
    <w:rsid w:val="7C461E41"/>
    <w:rsid w:val="7C49073F"/>
    <w:rsid w:val="7C4D2217"/>
    <w:rsid w:val="7C5001CA"/>
    <w:rsid w:val="7C549211"/>
    <w:rsid w:val="7C5497EF"/>
    <w:rsid w:val="7C5586D4"/>
    <w:rsid w:val="7C598C2A"/>
    <w:rsid w:val="7C5AEC43"/>
    <w:rsid w:val="7C5BFC20"/>
    <w:rsid w:val="7C5C7F97"/>
    <w:rsid w:val="7C5F9CDD"/>
    <w:rsid w:val="7C63A3BD"/>
    <w:rsid w:val="7C693E66"/>
    <w:rsid w:val="7C698896"/>
    <w:rsid w:val="7C69D3C3"/>
    <w:rsid w:val="7C6B09F5"/>
    <w:rsid w:val="7C6BA354"/>
    <w:rsid w:val="7C6DF275"/>
    <w:rsid w:val="7C6E9292"/>
    <w:rsid w:val="7C715315"/>
    <w:rsid w:val="7C7533FE"/>
    <w:rsid w:val="7C777A0C"/>
    <w:rsid w:val="7C79C140"/>
    <w:rsid w:val="7C7B94B0"/>
    <w:rsid w:val="7C7D0655"/>
    <w:rsid w:val="7C7D9A7C"/>
    <w:rsid w:val="7C803C1F"/>
    <w:rsid w:val="7C839A9D"/>
    <w:rsid w:val="7C854043"/>
    <w:rsid w:val="7C890271"/>
    <w:rsid w:val="7C8A94AA"/>
    <w:rsid w:val="7C8F03A8"/>
    <w:rsid w:val="7C95691D"/>
    <w:rsid w:val="7C988E89"/>
    <w:rsid w:val="7C9C087F"/>
    <w:rsid w:val="7C9C3980"/>
    <w:rsid w:val="7C9CF6A6"/>
    <w:rsid w:val="7C9D95BA"/>
    <w:rsid w:val="7C9F3FAC"/>
    <w:rsid w:val="7CA37503"/>
    <w:rsid w:val="7CA57A46"/>
    <w:rsid w:val="7CA61EA5"/>
    <w:rsid w:val="7CA87051"/>
    <w:rsid w:val="7CAACB02"/>
    <w:rsid w:val="7CACED29"/>
    <w:rsid w:val="7CACFD7C"/>
    <w:rsid w:val="7CAD65F4"/>
    <w:rsid w:val="7CAEC748"/>
    <w:rsid w:val="7CB308A5"/>
    <w:rsid w:val="7CB42598"/>
    <w:rsid w:val="7CB5A6C3"/>
    <w:rsid w:val="7CB9EDB6"/>
    <w:rsid w:val="7CBA2BFB"/>
    <w:rsid w:val="7CBA759D"/>
    <w:rsid w:val="7CBE6A4D"/>
    <w:rsid w:val="7CC051D4"/>
    <w:rsid w:val="7CC0F58C"/>
    <w:rsid w:val="7CC337A9"/>
    <w:rsid w:val="7CC3D8FC"/>
    <w:rsid w:val="7CC450D0"/>
    <w:rsid w:val="7CC549DB"/>
    <w:rsid w:val="7CC762BF"/>
    <w:rsid w:val="7CC7BEBC"/>
    <w:rsid w:val="7CCE0512"/>
    <w:rsid w:val="7CD0F5E3"/>
    <w:rsid w:val="7CD3AAE2"/>
    <w:rsid w:val="7CD47624"/>
    <w:rsid w:val="7CD5003C"/>
    <w:rsid w:val="7CD5B4F4"/>
    <w:rsid w:val="7CDACDB4"/>
    <w:rsid w:val="7CDAEB0A"/>
    <w:rsid w:val="7CDC5CE7"/>
    <w:rsid w:val="7CDC6FA1"/>
    <w:rsid w:val="7CDDCC30"/>
    <w:rsid w:val="7CDE990A"/>
    <w:rsid w:val="7CDEBFFE"/>
    <w:rsid w:val="7CDF71C8"/>
    <w:rsid w:val="7CE5568C"/>
    <w:rsid w:val="7CE6FF9A"/>
    <w:rsid w:val="7CE7A52B"/>
    <w:rsid w:val="7CEBA092"/>
    <w:rsid w:val="7CEF0F04"/>
    <w:rsid w:val="7CEFAB38"/>
    <w:rsid w:val="7CF11468"/>
    <w:rsid w:val="7CF29B42"/>
    <w:rsid w:val="7CF2F99B"/>
    <w:rsid w:val="7CF386FE"/>
    <w:rsid w:val="7CF3B110"/>
    <w:rsid w:val="7CF668FA"/>
    <w:rsid w:val="7CFCB8D4"/>
    <w:rsid w:val="7CFDE739"/>
    <w:rsid w:val="7CFE94C1"/>
    <w:rsid w:val="7D005EE3"/>
    <w:rsid w:val="7D0185FA"/>
    <w:rsid w:val="7D01968D"/>
    <w:rsid w:val="7D0335D6"/>
    <w:rsid w:val="7D0366C3"/>
    <w:rsid w:val="7D0903AA"/>
    <w:rsid w:val="7D091E94"/>
    <w:rsid w:val="7D09C28A"/>
    <w:rsid w:val="7D09F6F6"/>
    <w:rsid w:val="7D0BD2F6"/>
    <w:rsid w:val="7D0D0D25"/>
    <w:rsid w:val="7D0DDCBB"/>
    <w:rsid w:val="7D11EA38"/>
    <w:rsid w:val="7D12FB19"/>
    <w:rsid w:val="7D18882A"/>
    <w:rsid w:val="7D1B9DC5"/>
    <w:rsid w:val="7D1BC416"/>
    <w:rsid w:val="7D1F3377"/>
    <w:rsid w:val="7D1F45ED"/>
    <w:rsid w:val="7D20B2CB"/>
    <w:rsid w:val="7D220EBA"/>
    <w:rsid w:val="7D262640"/>
    <w:rsid w:val="7D29845D"/>
    <w:rsid w:val="7D29B034"/>
    <w:rsid w:val="7D2D0AB6"/>
    <w:rsid w:val="7D2F3AA0"/>
    <w:rsid w:val="7D2FEB07"/>
    <w:rsid w:val="7D303713"/>
    <w:rsid w:val="7D34EC2C"/>
    <w:rsid w:val="7D363ED9"/>
    <w:rsid w:val="7D375912"/>
    <w:rsid w:val="7D3918FF"/>
    <w:rsid w:val="7D399AE1"/>
    <w:rsid w:val="7D3B3CE1"/>
    <w:rsid w:val="7D3B8442"/>
    <w:rsid w:val="7D3C65D6"/>
    <w:rsid w:val="7D3C786A"/>
    <w:rsid w:val="7D3F1DAC"/>
    <w:rsid w:val="7D426D47"/>
    <w:rsid w:val="7D47C202"/>
    <w:rsid w:val="7D4C8DCD"/>
    <w:rsid w:val="7D4D0644"/>
    <w:rsid w:val="7D4F850A"/>
    <w:rsid w:val="7D55479E"/>
    <w:rsid w:val="7D56BBF1"/>
    <w:rsid w:val="7D5752BF"/>
    <w:rsid w:val="7D5B2B1F"/>
    <w:rsid w:val="7D5BCECD"/>
    <w:rsid w:val="7D5EB9CE"/>
    <w:rsid w:val="7D601307"/>
    <w:rsid w:val="7D617A64"/>
    <w:rsid w:val="7D629385"/>
    <w:rsid w:val="7D633B61"/>
    <w:rsid w:val="7D68EA4B"/>
    <w:rsid w:val="7D69EDAD"/>
    <w:rsid w:val="7D6A7734"/>
    <w:rsid w:val="7D6DE98C"/>
    <w:rsid w:val="7D71224C"/>
    <w:rsid w:val="7D732EED"/>
    <w:rsid w:val="7D74F0A7"/>
    <w:rsid w:val="7D75FCB9"/>
    <w:rsid w:val="7D7A1ED3"/>
    <w:rsid w:val="7D7A30C8"/>
    <w:rsid w:val="7D7D4953"/>
    <w:rsid w:val="7D80CEB8"/>
    <w:rsid w:val="7D80EF85"/>
    <w:rsid w:val="7D820C0F"/>
    <w:rsid w:val="7D8269AF"/>
    <w:rsid w:val="7D8435E6"/>
    <w:rsid w:val="7D850D60"/>
    <w:rsid w:val="7D87CEAA"/>
    <w:rsid w:val="7D88FC87"/>
    <w:rsid w:val="7D89616C"/>
    <w:rsid w:val="7D8A7BC5"/>
    <w:rsid w:val="7D8B7A51"/>
    <w:rsid w:val="7D8B926A"/>
    <w:rsid w:val="7D8BB772"/>
    <w:rsid w:val="7D8CBBDA"/>
    <w:rsid w:val="7D8F9E13"/>
    <w:rsid w:val="7D90458B"/>
    <w:rsid w:val="7D935BA1"/>
    <w:rsid w:val="7D9377C4"/>
    <w:rsid w:val="7D9740FC"/>
    <w:rsid w:val="7D9A418A"/>
    <w:rsid w:val="7D9C367E"/>
    <w:rsid w:val="7DA1BF3B"/>
    <w:rsid w:val="7DA451C9"/>
    <w:rsid w:val="7DA676E0"/>
    <w:rsid w:val="7DA77866"/>
    <w:rsid w:val="7DA7F5F2"/>
    <w:rsid w:val="7DAAE93E"/>
    <w:rsid w:val="7DABEE92"/>
    <w:rsid w:val="7DAC2E2F"/>
    <w:rsid w:val="7DAC36E5"/>
    <w:rsid w:val="7DAF450D"/>
    <w:rsid w:val="7DAFBBC9"/>
    <w:rsid w:val="7DB141F1"/>
    <w:rsid w:val="7DB16774"/>
    <w:rsid w:val="7DB1A3C9"/>
    <w:rsid w:val="7DB23ADB"/>
    <w:rsid w:val="7DB24260"/>
    <w:rsid w:val="7DB3EDAF"/>
    <w:rsid w:val="7DB4C088"/>
    <w:rsid w:val="7DB689EF"/>
    <w:rsid w:val="7DB78921"/>
    <w:rsid w:val="7DBF6F03"/>
    <w:rsid w:val="7DC1FF41"/>
    <w:rsid w:val="7DC58411"/>
    <w:rsid w:val="7DC5D339"/>
    <w:rsid w:val="7DC73B80"/>
    <w:rsid w:val="7DC7E97C"/>
    <w:rsid w:val="7DC817AB"/>
    <w:rsid w:val="7DC82286"/>
    <w:rsid w:val="7DCB7257"/>
    <w:rsid w:val="7DCD04AA"/>
    <w:rsid w:val="7DCF2D04"/>
    <w:rsid w:val="7DCFA087"/>
    <w:rsid w:val="7DCFFDA4"/>
    <w:rsid w:val="7DD3D675"/>
    <w:rsid w:val="7DD6A028"/>
    <w:rsid w:val="7DD6DA9C"/>
    <w:rsid w:val="7DDA669E"/>
    <w:rsid w:val="7DDB0467"/>
    <w:rsid w:val="7DDBF789"/>
    <w:rsid w:val="7DDEBF07"/>
    <w:rsid w:val="7DDEF672"/>
    <w:rsid w:val="7DE21E49"/>
    <w:rsid w:val="7DE2A4E5"/>
    <w:rsid w:val="7DE7D0FA"/>
    <w:rsid w:val="7DE8F67A"/>
    <w:rsid w:val="7DEA7122"/>
    <w:rsid w:val="7DF1084D"/>
    <w:rsid w:val="7DF7BC1A"/>
    <w:rsid w:val="7DFA2880"/>
    <w:rsid w:val="7DFBB072"/>
    <w:rsid w:val="7DFC498D"/>
    <w:rsid w:val="7DFCD626"/>
    <w:rsid w:val="7DFE6A68"/>
    <w:rsid w:val="7DFE9758"/>
    <w:rsid w:val="7DFF35D1"/>
    <w:rsid w:val="7DFF90CD"/>
    <w:rsid w:val="7E02291E"/>
    <w:rsid w:val="7E03FB21"/>
    <w:rsid w:val="7E042968"/>
    <w:rsid w:val="7E064889"/>
    <w:rsid w:val="7E0A8E7A"/>
    <w:rsid w:val="7E0BBCCF"/>
    <w:rsid w:val="7E0C49A6"/>
    <w:rsid w:val="7E0CFC13"/>
    <w:rsid w:val="7E0D61B8"/>
    <w:rsid w:val="7E0F797A"/>
    <w:rsid w:val="7E119B33"/>
    <w:rsid w:val="7E131841"/>
    <w:rsid w:val="7E14EC3D"/>
    <w:rsid w:val="7E16076B"/>
    <w:rsid w:val="7E17C4B1"/>
    <w:rsid w:val="7E1DF828"/>
    <w:rsid w:val="7E20E630"/>
    <w:rsid w:val="7E214E3E"/>
    <w:rsid w:val="7E235CB0"/>
    <w:rsid w:val="7E24D44C"/>
    <w:rsid w:val="7E2597F3"/>
    <w:rsid w:val="7E274DD8"/>
    <w:rsid w:val="7E2991A3"/>
    <w:rsid w:val="7E2CAEE9"/>
    <w:rsid w:val="7E2D871B"/>
    <w:rsid w:val="7E2EBC07"/>
    <w:rsid w:val="7E30F98C"/>
    <w:rsid w:val="7E3168A2"/>
    <w:rsid w:val="7E3A995A"/>
    <w:rsid w:val="7E3C57FA"/>
    <w:rsid w:val="7E3E12BD"/>
    <w:rsid w:val="7E3E3359"/>
    <w:rsid w:val="7E411C72"/>
    <w:rsid w:val="7E418AF4"/>
    <w:rsid w:val="7E42FEC5"/>
    <w:rsid w:val="7E4B5874"/>
    <w:rsid w:val="7E4E2A16"/>
    <w:rsid w:val="7E505D10"/>
    <w:rsid w:val="7E526CC8"/>
    <w:rsid w:val="7E5275DD"/>
    <w:rsid w:val="7E535A34"/>
    <w:rsid w:val="7E566872"/>
    <w:rsid w:val="7E5DC265"/>
    <w:rsid w:val="7E5E74DB"/>
    <w:rsid w:val="7E648C60"/>
    <w:rsid w:val="7E6505B3"/>
    <w:rsid w:val="7E652605"/>
    <w:rsid w:val="7E6930CC"/>
    <w:rsid w:val="7E6C1176"/>
    <w:rsid w:val="7E6C2AA0"/>
    <w:rsid w:val="7E6C9243"/>
    <w:rsid w:val="7E6CADF5"/>
    <w:rsid w:val="7E7169EB"/>
    <w:rsid w:val="7E71A027"/>
    <w:rsid w:val="7E75AFA5"/>
    <w:rsid w:val="7E7A6462"/>
    <w:rsid w:val="7E7C3E19"/>
    <w:rsid w:val="7E7C6593"/>
    <w:rsid w:val="7E7EF357"/>
    <w:rsid w:val="7E85BDD5"/>
    <w:rsid w:val="7E87E530"/>
    <w:rsid w:val="7E8C4CBE"/>
    <w:rsid w:val="7E8E0BE2"/>
    <w:rsid w:val="7E8EF278"/>
    <w:rsid w:val="7E8F0386"/>
    <w:rsid w:val="7E904606"/>
    <w:rsid w:val="7E90CE01"/>
    <w:rsid w:val="7E90FAB3"/>
    <w:rsid w:val="7E912FE9"/>
    <w:rsid w:val="7E916271"/>
    <w:rsid w:val="7E919BC4"/>
    <w:rsid w:val="7E91FAFB"/>
    <w:rsid w:val="7E9DD4E4"/>
    <w:rsid w:val="7EA44E86"/>
    <w:rsid w:val="7EA5B67F"/>
    <w:rsid w:val="7EA645C0"/>
    <w:rsid w:val="7EAAD69F"/>
    <w:rsid w:val="7EACFA61"/>
    <w:rsid w:val="7EAED96F"/>
    <w:rsid w:val="7EB57E90"/>
    <w:rsid w:val="7EB71A22"/>
    <w:rsid w:val="7EB77BE1"/>
    <w:rsid w:val="7EBA9306"/>
    <w:rsid w:val="7EBC34A7"/>
    <w:rsid w:val="7EBD8A50"/>
    <w:rsid w:val="7EBE4346"/>
    <w:rsid w:val="7EBF8ABD"/>
    <w:rsid w:val="7EC01C63"/>
    <w:rsid w:val="7EC0A051"/>
    <w:rsid w:val="7EC15BE0"/>
    <w:rsid w:val="7EC4F75F"/>
    <w:rsid w:val="7EC5B0A9"/>
    <w:rsid w:val="7EC5B8DB"/>
    <w:rsid w:val="7ECD6C55"/>
    <w:rsid w:val="7ECDE18A"/>
    <w:rsid w:val="7ECE70A4"/>
    <w:rsid w:val="7ED22735"/>
    <w:rsid w:val="7ED2CF1C"/>
    <w:rsid w:val="7ED65E76"/>
    <w:rsid w:val="7ED6D049"/>
    <w:rsid w:val="7EDB8972"/>
    <w:rsid w:val="7EE24859"/>
    <w:rsid w:val="7EE2E2B6"/>
    <w:rsid w:val="7EEABECD"/>
    <w:rsid w:val="7EEAC37B"/>
    <w:rsid w:val="7EEC0758"/>
    <w:rsid w:val="7EEDDAF9"/>
    <w:rsid w:val="7EEE792F"/>
    <w:rsid w:val="7EF1FC2B"/>
    <w:rsid w:val="7EF21CC7"/>
    <w:rsid w:val="7EF2CD9D"/>
    <w:rsid w:val="7EFBEFA2"/>
    <w:rsid w:val="7EFEC9F5"/>
    <w:rsid w:val="7F00BD44"/>
    <w:rsid w:val="7F02CA89"/>
    <w:rsid w:val="7F02D2B7"/>
    <w:rsid w:val="7F078CDD"/>
    <w:rsid w:val="7F07C0DA"/>
    <w:rsid w:val="7F09C26C"/>
    <w:rsid w:val="7F0EBC6C"/>
    <w:rsid w:val="7F0FB54A"/>
    <w:rsid w:val="7F11F067"/>
    <w:rsid w:val="7F121BA7"/>
    <w:rsid w:val="7F15D4D9"/>
    <w:rsid w:val="7F174B86"/>
    <w:rsid w:val="7F1799A2"/>
    <w:rsid w:val="7F17B43E"/>
    <w:rsid w:val="7F1827E7"/>
    <w:rsid w:val="7F18BFB3"/>
    <w:rsid w:val="7F199CEC"/>
    <w:rsid w:val="7F1E26BD"/>
    <w:rsid w:val="7F235F46"/>
    <w:rsid w:val="7F259830"/>
    <w:rsid w:val="7F2896E4"/>
    <w:rsid w:val="7F29DA3B"/>
    <w:rsid w:val="7F2A85DC"/>
    <w:rsid w:val="7F2D38E0"/>
    <w:rsid w:val="7F309FEB"/>
    <w:rsid w:val="7F30A86B"/>
    <w:rsid w:val="7F322C7B"/>
    <w:rsid w:val="7F330187"/>
    <w:rsid w:val="7F359E31"/>
    <w:rsid w:val="7F35B629"/>
    <w:rsid w:val="7F35E502"/>
    <w:rsid w:val="7F36D3A9"/>
    <w:rsid w:val="7F37277D"/>
    <w:rsid w:val="7F3803A5"/>
    <w:rsid w:val="7F3B9B49"/>
    <w:rsid w:val="7F3C1A26"/>
    <w:rsid w:val="7F3D540E"/>
    <w:rsid w:val="7F3E5904"/>
    <w:rsid w:val="7F41B062"/>
    <w:rsid w:val="7F41E5E6"/>
    <w:rsid w:val="7F43574C"/>
    <w:rsid w:val="7F445423"/>
    <w:rsid w:val="7F47FA44"/>
    <w:rsid w:val="7F4869E3"/>
    <w:rsid w:val="7F486A91"/>
    <w:rsid w:val="7F4B5F94"/>
    <w:rsid w:val="7F4D891D"/>
    <w:rsid w:val="7F5064C4"/>
    <w:rsid w:val="7F50CA10"/>
    <w:rsid w:val="7F519CAF"/>
    <w:rsid w:val="7F53E8D8"/>
    <w:rsid w:val="7F56588E"/>
    <w:rsid w:val="7F5A78C5"/>
    <w:rsid w:val="7F5DC85E"/>
    <w:rsid w:val="7F5F622D"/>
    <w:rsid w:val="7F611E72"/>
    <w:rsid w:val="7F62FE47"/>
    <w:rsid w:val="7F64580C"/>
    <w:rsid w:val="7F690312"/>
    <w:rsid w:val="7F6A59A2"/>
    <w:rsid w:val="7F6C82CB"/>
    <w:rsid w:val="7F6C8CFE"/>
    <w:rsid w:val="7F6CA201"/>
    <w:rsid w:val="7F71B976"/>
    <w:rsid w:val="7F71C123"/>
    <w:rsid w:val="7F7208CD"/>
    <w:rsid w:val="7F738802"/>
    <w:rsid w:val="7F750A34"/>
    <w:rsid w:val="7F759BC6"/>
    <w:rsid w:val="7F762BE1"/>
    <w:rsid w:val="7F76867F"/>
    <w:rsid w:val="7F78A497"/>
    <w:rsid w:val="7F78F819"/>
    <w:rsid w:val="7F79A88C"/>
    <w:rsid w:val="7F807F0F"/>
    <w:rsid w:val="7F830329"/>
    <w:rsid w:val="7F846976"/>
    <w:rsid w:val="7F85B24C"/>
    <w:rsid w:val="7F8A7A2C"/>
    <w:rsid w:val="7F8AEEE6"/>
    <w:rsid w:val="7F8B10BD"/>
    <w:rsid w:val="7F8EF001"/>
    <w:rsid w:val="7F91E35E"/>
    <w:rsid w:val="7F944E71"/>
    <w:rsid w:val="7F983AF8"/>
    <w:rsid w:val="7F987937"/>
    <w:rsid w:val="7F998EB3"/>
    <w:rsid w:val="7F9A2047"/>
    <w:rsid w:val="7F9A5FE4"/>
    <w:rsid w:val="7F9CF1D5"/>
    <w:rsid w:val="7FA22495"/>
    <w:rsid w:val="7FA2B425"/>
    <w:rsid w:val="7FA3D12A"/>
    <w:rsid w:val="7FA65EEF"/>
    <w:rsid w:val="7FA9E2F7"/>
    <w:rsid w:val="7FABF1D0"/>
    <w:rsid w:val="7FAC3D11"/>
    <w:rsid w:val="7FAC3E07"/>
    <w:rsid w:val="7FACBE18"/>
    <w:rsid w:val="7FADF66C"/>
    <w:rsid w:val="7FAFF79A"/>
    <w:rsid w:val="7FB054DA"/>
    <w:rsid w:val="7FB12999"/>
    <w:rsid w:val="7FB149F0"/>
    <w:rsid w:val="7FB20AA3"/>
    <w:rsid w:val="7FB27B08"/>
    <w:rsid w:val="7FB2D233"/>
    <w:rsid w:val="7FB7932F"/>
    <w:rsid w:val="7FB7CA01"/>
    <w:rsid w:val="7FB8B7E2"/>
    <w:rsid w:val="7FBA53E3"/>
    <w:rsid w:val="7FBBAF93"/>
    <w:rsid w:val="7FBEAADE"/>
    <w:rsid w:val="7FBFFA88"/>
    <w:rsid w:val="7FC04ED9"/>
    <w:rsid w:val="7FC13258"/>
    <w:rsid w:val="7FC37A23"/>
    <w:rsid w:val="7FC6DF70"/>
    <w:rsid w:val="7FC9FB00"/>
    <w:rsid w:val="7FCA0DFB"/>
    <w:rsid w:val="7FCBD2A8"/>
    <w:rsid w:val="7FCCA079"/>
    <w:rsid w:val="7FD49814"/>
    <w:rsid w:val="7FD8C8F3"/>
    <w:rsid w:val="7FDB2FA4"/>
    <w:rsid w:val="7FDDF6A6"/>
    <w:rsid w:val="7FDF6EC0"/>
    <w:rsid w:val="7FE2EE92"/>
    <w:rsid w:val="7FE32DBF"/>
    <w:rsid w:val="7FE5B76A"/>
    <w:rsid w:val="7FE92C8E"/>
    <w:rsid w:val="7FEC37C1"/>
    <w:rsid w:val="7FED90F4"/>
    <w:rsid w:val="7FEFDF7E"/>
    <w:rsid w:val="7FF03BC6"/>
    <w:rsid w:val="7FF063BF"/>
    <w:rsid w:val="7FF08FE6"/>
    <w:rsid w:val="7FF1B608"/>
    <w:rsid w:val="7FF2EE81"/>
    <w:rsid w:val="7FF32242"/>
    <w:rsid w:val="7FF499FC"/>
    <w:rsid w:val="7FF64A12"/>
    <w:rsid w:val="7FF6AA01"/>
    <w:rsid w:val="7FFF1AF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ADFD4"/>
  <w15:docId w15:val="{683840B1-8385-455A-89D9-B6CB5C1D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6FEB"/>
  </w:style>
  <w:style w:type="paragraph" w:styleId="Heading1">
    <w:name w:val="heading 1"/>
    <w:basedOn w:val="Normal"/>
    <w:next w:val="Normal"/>
    <w:pPr>
      <w:keepNext/>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styleId="Heading2">
    <w:name w:val="heading 2"/>
    <w:basedOn w:val="Normal"/>
    <w:next w:val="Normal"/>
    <w:pPr>
      <w:keepNext/>
      <w:spacing w:before="120" w:after="120" w:line="240" w:lineRule="auto"/>
      <w:ind w:left="850" w:hanging="850"/>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spacing w:before="120" w:after="120" w:line="240" w:lineRule="auto"/>
      <w:ind w:left="850" w:hanging="850"/>
      <w:jc w:val="both"/>
      <w:outlineLvl w:val="2"/>
    </w:pPr>
    <w:rPr>
      <w:rFonts w:ascii="Times New Roman" w:eastAsia="Times New Roman" w:hAnsi="Times New Roman" w:cs="Times New Roman"/>
      <w:i/>
      <w:sz w:val="24"/>
      <w:szCs w:val="24"/>
    </w:rPr>
  </w:style>
  <w:style w:type="paragraph" w:styleId="Heading4">
    <w:name w:val="heading 4"/>
    <w:basedOn w:val="Normal"/>
    <w:next w:val="Normal"/>
    <w:pPr>
      <w:keepNext/>
      <w:spacing w:before="120" w:after="120" w:line="240" w:lineRule="auto"/>
      <w:ind w:left="850" w:hanging="850"/>
      <w:jc w:val="both"/>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style>
  <w:style w:type="paragraph" w:customStyle="1" w:styleId="heading10">
    <w:name w:val="heading 10"/>
    <w:basedOn w:val="Normal0"/>
    <w:next w:val="Normal0"/>
    <w:pPr>
      <w:keepNext/>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heading20">
    <w:name w:val="heading 20"/>
    <w:basedOn w:val="Normal0"/>
    <w:next w:val="Normal0"/>
    <w:pPr>
      <w:keepNext/>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heading30">
    <w:name w:val="heading 30"/>
    <w:basedOn w:val="Normal0"/>
    <w:next w:val="Normal0"/>
    <w:pPr>
      <w:keepNext/>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heading40">
    <w:name w:val="heading 40"/>
    <w:basedOn w:val="Normal0"/>
    <w:next w:val="Normal0"/>
    <w:pPr>
      <w:keepNext/>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heading50">
    <w:name w:val="heading 50"/>
    <w:basedOn w:val="Normal0"/>
    <w:next w:val="Normal0"/>
    <w:pPr>
      <w:keepNext/>
      <w:keepLines/>
      <w:spacing w:before="220" w:after="40"/>
      <w:outlineLvl w:val="4"/>
    </w:pPr>
    <w:rPr>
      <w:b/>
    </w:rPr>
  </w:style>
  <w:style w:type="paragraph" w:customStyle="1" w:styleId="heading60">
    <w:name w:val="heading 60"/>
    <w:basedOn w:val="Normal0"/>
    <w:next w:val="Normal0"/>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before="480" w:after="120"/>
    </w:pPr>
    <w:rPr>
      <w:b/>
      <w:sz w:val="72"/>
      <w:szCs w:val="72"/>
    </w:rPr>
  </w:style>
  <w:style w:type="paragraph" w:customStyle="1" w:styleId="Normal00">
    <w:name w:val="Normal00"/>
    <w:qFormat/>
  </w:style>
  <w:style w:type="paragraph" w:customStyle="1" w:styleId="heading100">
    <w:name w:val="heading 100"/>
    <w:basedOn w:val="Normal00"/>
    <w:next w:val="Text1"/>
    <w:link w:val="Heading1Char"/>
    <w:uiPriority w:val="9"/>
    <w:qFormat/>
    <w:pPr>
      <w:keepNext/>
      <w:tabs>
        <w:tab w:val="num" w:pos="720"/>
      </w:tabs>
      <w:spacing w:before="360" w:after="120" w:line="240" w:lineRule="auto"/>
      <w:ind w:left="720" w:hanging="720"/>
      <w:jc w:val="both"/>
      <w:outlineLvl w:val="0"/>
    </w:pPr>
    <w:rPr>
      <w:rFonts w:ascii="Times New Roman" w:eastAsiaTheme="majorEastAsia" w:hAnsi="Times New Roman" w:cs="Times New Roman"/>
      <w:b/>
      <w:bCs/>
      <w:smallCaps/>
      <w:sz w:val="24"/>
      <w:szCs w:val="28"/>
    </w:rPr>
  </w:style>
  <w:style w:type="paragraph" w:customStyle="1" w:styleId="heading200">
    <w:name w:val="heading 200"/>
    <w:basedOn w:val="Normal00"/>
    <w:next w:val="Text1"/>
    <w:link w:val="Heading2Char"/>
    <w:uiPriority w:val="9"/>
    <w:semiHidden/>
    <w:unhideWhenUsed/>
    <w:qFormat/>
    <w:pPr>
      <w:keepNext/>
      <w:tabs>
        <w:tab w:val="num" w:pos="1440"/>
      </w:tabs>
      <w:spacing w:before="120" w:after="120" w:line="240" w:lineRule="auto"/>
      <w:ind w:left="1440" w:hanging="720"/>
      <w:jc w:val="both"/>
      <w:outlineLvl w:val="1"/>
    </w:pPr>
    <w:rPr>
      <w:rFonts w:ascii="Times New Roman" w:eastAsiaTheme="majorEastAsia" w:hAnsi="Times New Roman" w:cs="Times New Roman"/>
      <w:b/>
      <w:bCs/>
      <w:sz w:val="24"/>
      <w:szCs w:val="26"/>
    </w:rPr>
  </w:style>
  <w:style w:type="paragraph" w:customStyle="1" w:styleId="heading300">
    <w:name w:val="heading 300"/>
    <w:basedOn w:val="Normal00"/>
    <w:next w:val="Text1"/>
    <w:link w:val="Heading3Char"/>
    <w:uiPriority w:val="9"/>
    <w:semiHidden/>
    <w:unhideWhenUsed/>
    <w:qFormat/>
    <w:pPr>
      <w:keepNext/>
      <w:tabs>
        <w:tab w:val="num" w:pos="2160"/>
      </w:tabs>
      <w:spacing w:before="120" w:after="120" w:line="240" w:lineRule="auto"/>
      <w:ind w:left="2160" w:hanging="720"/>
      <w:jc w:val="both"/>
      <w:outlineLvl w:val="2"/>
    </w:pPr>
    <w:rPr>
      <w:rFonts w:ascii="Times New Roman" w:eastAsiaTheme="majorEastAsia" w:hAnsi="Times New Roman" w:cs="Times New Roman"/>
      <w:bCs/>
      <w:i/>
      <w:sz w:val="24"/>
    </w:rPr>
  </w:style>
  <w:style w:type="paragraph" w:customStyle="1" w:styleId="heading400">
    <w:name w:val="heading 400"/>
    <w:basedOn w:val="Normal00"/>
    <w:next w:val="Text1"/>
    <w:link w:val="Heading4Char"/>
    <w:uiPriority w:val="9"/>
    <w:semiHidden/>
    <w:unhideWhenUsed/>
    <w:qFormat/>
    <w:pPr>
      <w:keepNext/>
      <w:tabs>
        <w:tab w:val="num" w:pos="2880"/>
      </w:tabs>
      <w:spacing w:before="120" w:after="120" w:line="240" w:lineRule="auto"/>
      <w:ind w:left="2880" w:hanging="720"/>
      <w:jc w:val="both"/>
      <w:outlineLvl w:val="3"/>
    </w:pPr>
    <w:rPr>
      <w:rFonts w:ascii="Times New Roman" w:eastAsiaTheme="majorEastAsia" w:hAnsi="Times New Roman" w:cs="Times New Roman"/>
      <w:bCs/>
      <w:iCs/>
      <w:sz w:val="24"/>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0"/>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00"/>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00"/>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00"/>
    <w:uiPriority w:val="9"/>
    <w:semiHidden/>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00"/>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00"/>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pl-PL"/>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00"/>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2">
    <w:name w:val="List Bullet 2"/>
    <w:basedOn w:val="Normal00"/>
    <w:uiPriority w:val="99"/>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3">
    <w:name w:val="List Bullet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Bullet4">
    <w:name w:val="List Bullet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00"/>
    <w:next w:val="Normal00"/>
    <w:uiPriority w:val="35"/>
    <w:semiHidden/>
    <w:unhideWhenUsed/>
    <w:qFormat/>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00"/>
    <w:next w:val="Normal00"/>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2">
    <w:name w:val="List Number 2"/>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3">
    <w:name w:val="List Number 3"/>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paragraph" w:styleId="ListNumber4">
    <w:name w:val="List Number 4"/>
    <w:basedOn w:val="Normal00"/>
    <w:uiPriority w:val="99"/>
    <w:semiHidden/>
    <w:unhideWhenUsed/>
    <w:pPr>
      <w:tabs>
        <w:tab w:val="num" w:pos="720"/>
      </w:tabs>
      <w:spacing w:before="120" w:after="120" w:line="240" w:lineRule="auto"/>
      <w:ind w:left="720" w:hanging="720"/>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00"/>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00"/>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00"/>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00"/>
    <w:next w:val="Normal00"/>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00"/>
    <w:next w:val="Normal00"/>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00"/>
    <w:next w:val="Normal00"/>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00"/>
    <w:next w:val="Normal00"/>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00"/>
    <w:next w:val="Normal00"/>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00"/>
    <w:next w:val="Normal00"/>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00"/>
    <w:next w:val="Normal00"/>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00"/>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00"/>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00"/>
    <w:pPr>
      <w:spacing w:before="120" w:after="120" w:line="240" w:lineRule="auto"/>
      <w:ind w:left="850"/>
      <w:jc w:val="both"/>
    </w:pPr>
    <w:rPr>
      <w:rFonts w:ascii="Times New Roman" w:hAnsi="Times New Roman" w:cs="Times New Roman"/>
      <w:sz w:val="24"/>
    </w:rPr>
  </w:style>
  <w:style w:type="paragraph" w:customStyle="1" w:styleId="Text2">
    <w:name w:val="Text 2"/>
    <w:basedOn w:val="Normal00"/>
    <w:pPr>
      <w:spacing w:before="120" w:after="120" w:line="240" w:lineRule="auto"/>
      <w:ind w:left="1417"/>
      <w:jc w:val="both"/>
    </w:pPr>
    <w:rPr>
      <w:rFonts w:ascii="Times New Roman" w:hAnsi="Times New Roman" w:cs="Times New Roman"/>
      <w:sz w:val="24"/>
    </w:rPr>
  </w:style>
  <w:style w:type="paragraph" w:customStyle="1" w:styleId="Text3">
    <w:name w:val="Text 3"/>
    <w:basedOn w:val="Normal00"/>
    <w:pPr>
      <w:spacing w:before="120" w:after="120" w:line="240" w:lineRule="auto"/>
      <w:ind w:left="1984"/>
      <w:jc w:val="both"/>
    </w:pPr>
    <w:rPr>
      <w:rFonts w:ascii="Times New Roman" w:hAnsi="Times New Roman" w:cs="Times New Roman"/>
      <w:sz w:val="24"/>
    </w:rPr>
  </w:style>
  <w:style w:type="paragraph" w:customStyle="1" w:styleId="Text4">
    <w:name w:val="Text 4"/>
    <w:basedOn w:val="Normal00"/>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00"/>
    <w:pPr>
      <w:spacing w:before="120" w:after="120" w:line="240" w:lineRule="auto"/>
      <w:jc w:val="center"/>
    </w:pPr>
    <w:rPr>
      <w:rFonts w:ascii="Times New Roman" w:hAnsi="Times New Roman" w:cs="Times New Roman"/>
      <w:sz w:val="24"/>
    </w:rPr>
  </w:style>
  <w:style w:type="paragraph" w:customStyle="1" w:styleId="NormalLeft">
    <w:name w:val="Normal Left"/>
    <w:basedOn w:val="Normal00"/>
    <w:pPr>
      <w:spacing w:before="120" w:after="120" w:line="240" w:lineRule="auto"/>
    </w:pPr>
    <w:rPr>
      <w:rFonts w:ascii="Times New Roman" w:hAnsi="Times New Roman" w:cs="Times New Roman"/>
      <w:sz w:val="24"/>
    </w:rPr>
  </w:style>
  <w:style w:type="paragraph" w:customStyle="1" w:styleId="NormalRight">
    <w:name w:val="Normal Right"/>
    <w:basedOn w:val="Normal00"/>
    <w:pPr>
      <w:spacing w:before="120" w:after="120" w:line="240" w:lineRule="auto"/>
      <w:jc w:val="right"/>
    </w:pPr>
    <w:rPr>
      <w:rFonts w:ascii="Times New Roman" w:hAnsi="Times New Roman" w:cs="Times New Roman"/>
      <w:sz w:val="24"/>
    </w:rPr>
  </w:style>
  <w:style w:type="paragraph" w:customStyle="1" w:styleId="QuotedText">
    <w:name w:val="Quoted Text"/>
    <w:basedOn w:val="Normal00"/>
    <w:pPr>
      <w:spacing w:before="120" w:after="120" w:line="240" w:lineRule="auto"/>
      <w:ind w:left="1417"/>
      <w:jc w:val="both"/>
    </w:pPr>
    <w:rPr>
      <w:rFonts w:ascii="Times New Roman" w:hAnsi="Times New Roman" w:cs="Times New Roman"/>
      <w:sz w:val="24"/>
    </w:rPr>
  </w:style>
  <w:style w:type="paragraph" w:customStyle="1" w:styleId="Point0">
    <w:name w:val="Point 0"/>
    <w:basedOn w:val="Normal00"/>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00"/>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00"/>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00"/>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00"/>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tabs>
        <w:tab w:val="num" w:pos="720"/>
      </w:tabs>
      <w:ind w:left="720" w:hanging="720"/>
    </w:pPr>
  </w:style>
  <w:style w:type="paragraph" w:customStyle="1" w:styleId="Tiret1">
    <w:name w:val="Tiret 1"/>
    <w:basedOn w:val="Point1"/>
    <w:pPr>
      <w:tabs>
        <w:tab w:val="num" w:pos="720"/>
      </w:tabs>
      <w:ind w:left="720" w:hanging="720"/>
    </w:pPr>
  </w:style>
  <w:style w:type="paragraph" w:customStyle="1" w:styleId="Tiret2">
    <w:name w:val="Tiret 2"/>
    <w:basedOn w:val="Point2"/>
    <w:pPr>
      <w:tabs>
        <w:tab w:val="num" w:pos="720"/>
      </w:tabs>
      <w:ind w:left="720" w:hanging="720"/>
    </w:pPr>
  </w:style>
  <w:style w:type="paragraph" w:customStyle="1" w:styleId="Tiret3">
    <w:name w:val="Tiret 3"/>
    <w:basedOn w:val="Point3"/>
    <w:pPr>
      <w:tabs>
        <w:tab w:val="num" w:pos="720"/>
      </w:tabs>
      <w:ind w:left="720" w:hanging="720"/>
    </w:pPr>
  </w:style>
  <w:style w:type="paragraph" w:customStyle="1" w:styleId="Tiret4">
    <w:name w:val="Tiret 4"/>
    <w:basedOn w:val="Point4"/>
    <w:pPr>
      <w:tabs>
        <w:tab w:val="num" w:pos="720"/>
      </w:tabs>
      <w:ind w:left="720" w:hanging="720"/>
    </w:pPr>
  </w:style>
  <w:style w:type="paragraph" w:customStyle="1" w:styleId="PointDouble0">
    <w:name w:val="PointDouble 0"/>
    <w:basedOn w:val="Normal00"/>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00"/>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00"/>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00"/>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00"/>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00"/>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00"/>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00"/>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00"/>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00"/>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00"/>
    <w:next w:val="Text1"/>
    <w:pPr>
      <w:tabs>
        <w:tab w:val="num" w:pos="720"/>
      </w:tabs>
      <w:spacing w:before="120" w:after="120" w:line="240" w:lineRule="auto"/>
      <w:ind w:left="720" w:hanging="720"/>
      <w:jc w:val="both"/>
    </w:pPr>
    <w:rPr>
      <w:rFonts w:ascii="Times New Roman" w:hAnsi="Times New Roman" w:cs="Times New Roman"/>
      <w:sz w:val="24"/>
    </w:rPr>
  </w:style>
  <w:style w:type="paragraph" w:customStyle="1" w:styleId="NumPar2">
    <w:name w:val="NumPar 2"/>
    <w:basedOn w:val="Normal00"/>
    <w:next w:val="Text1"/>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NumPar3">
    <w:name w:val="NumPar 3"/>
    <w:basedOn w:val="Normal00"/>
    <w:next w:val="Text1"/>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NumPar4">
    <w:name w:val="NumPar 4"/>
    <w:basedOn w:val="Normal00"/>
    <w:next w:val="Text1"/>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ManualNumPar1">
    <w:name w:val="Manual NumPar 1"/>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00"/>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00"/>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00"/>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00"/>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00"/>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00"/>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00"/>
    <w:next w:val="Normal00"/>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00"/>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00"/>
    <w:next w:val="heading100"/>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00"/>
    <w:next w:val="Normal00"/>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sid w:val="00C66EE8"/>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00"/>
    <w:pPr>
      <w:tabs>
        <w:tab w:val="num" w:pos="850"/>
      </w:tabs>
      <w:spacing w:before="120" w:after="120" w:line="240" w:lineRule="auto"/>
      <w:ind w:left="850" w:hanging="850"/>
      <w:jc w:val="both"/>
    </w:pPr>
    <w:rPr>
      <w:rFonts w:ascii="Times New Roman" w:hAnsi="Times New Roman" w:cs="Times New Roman"/>
      <w:sz w:val="24"/>
    </w:rPr>
  </w:style>
  <w:style w:type="paragraph" w:customStyle="1" w:styleId="Point1number">
    <w:name w:val="Point 1 (number)"/>
    <w:basedOn w:val="Normal00"/>
    <w:pPr>
      <w:tabs>
        <w:tab w:val="num" w:pos="2160"/>
      </w:tabs>
      <w:spacing w:before="120" w:after="120" w:line="240" w:lineRule="auto"/>
      <w:ind w:left="2160" w:hanging="720"/>
      <w:jc w:val="both"/>
    </w:pPr>
    <w:rPr>
      <w:rFonts w:ascii="Times New Roman" w:hAnsi="Times New Roman" w:cs="Times New Roman"/>
      <w:sz w:val="24"/>
    </w:rPr>
  </w:style>
  <w:style w:type="paragraph" w:customStyle="1" w:styleId="Point2number">
    <w:name w:val="Point 2 (number)"/>
    <w:basedOn w:val="Normal00"/>
    <w:pPr>
      <w:tabs>
        <w:tab w:val="num" w:pos="3600"/>
      </w:tabs>
      <w:spacing w:before="120" w:after="120" w:line="240" w:lineRule="auto"/>
      <w:ind w:left="3600" w:hanging="720"/>
      <w:jc w:val="both"/>
    </w:pPr>
    <w:rPr>
      <w:rFonts w:ascii="Times New Roman" w:hAnsi="Times New Roman" w:cs="Times New Roman"/>
      <w:sz w:val="24"/>
    </w:rPr>
  </w:style>
  <w:style w:type="paragraph" w:customStyle="1" w:styleId="Point3number">
    <w:name w:val="Point 3 (number)"/>
    <w:basedOn w:val="Normal00"/>
    <w:pPr>
      <w:tabs>
        <w:tab w:val="num" w:pos="5040"/>
      </w:tabs>
      <w:spacing w:before="120" w:after="120" w:line="240" w:lineRule="auto"/>
      <w:ind w:left="5040" w:hanging="720"/>
      <w:jc w:val="both"/>
    </w:pPr>
    <w:rPr>
      <w:rFonts w:ascii="Times New Roman" w:hAnsi="Times New Roman" w:cs="Times New Roman"/>
      <w:sz w:val="24"/>
    </w:rPr>
  </w:style>
  <w:style w:type="paragraph" w:customStyle="1" w:styleId="Point0letter">
    <w:name w:val="Point 0 (letter)"/>
    <w:basedOn w:val="Normal00"/>
    <w:pPr>
      <w:tabs>
        <w:tab w:val="num" w:pos="1440"/>
      </w:tabs>
      <w:spacing w:before="120" w:after="120" w:line="240" w:lineRule="auto"/>
      <w:ind w:left="1440" w:hanging="720"/>
      <w:jc w:val="both"/>
    </w:pPr>
    <w:rPr>
      <w:rFonts w:ascii="Times New Roman" w:hAnsi="Times New Roman" w:cs="Times New Roman"/>
      <w:sz w:val="24"/>
    </w:rPr>
  </w:style>
  <w:style w:type="paragraph" w:customStyle="1" w:styleId="Point1letter">
    <w:name w:val="Point 1 (letter)"/>
    <w:basedOn w:val="Normal00"/>
    <w:pPr>
      <w:tabs>
        <w:tab w:val="num" w:pos="2880"/>
      </w:tabs>
      <w:spacing w:before="120" w:after="120" w:line="240" w:lineRule="auto"/>
      <w:ind w:left="2880" w:hanging="720"/>
      <w:jc w:val="both"/>
    </w:pPr>
    <w:rPr>
      <w:rFonts w:ascii="Times New Roman" w:hAnsi="Times New Roman" w:cs="Times New Roman"/>
      <w:sz w:val="24"/>
    </w:rPr>
  </w:style>
  <w:style w:type="paragraph" w:customStyle="1" w:styleId="Point2letter">
    <w:name w:val="Point 2 (letter)"/>
    <w:basedOn w:val="Normal00"/>
    <w:pPr>
      <w:tabs>
        <w:tab w:val="num" w:pos="4320"/>
      </w:tabs>
      <w:spacing w:before="120" w:after="120" w:line="240" w:lineRule="auto"/>
      <w:ind w:left="4320" w:hanging="720"/>
      <w:jc w:val="both"/>
    </w:pPr>
    <w:rPr>
      <w:rFonts w:ascii="Times New Roman" w:hAnsi="Times New Roman" w:cs="Times New Roman"/>
      <w:sz w:val="24"/>
    </w:rPr>
  </w:style>
  <w:style w:type="paragraph" w:customStyle="1" w:styleId="Point3letter">
    <w:name w:val="Point 3 (letter)"/>
    <w:basedOn w:val="Normal00"/>
    <w:pPr>
      <w:tabs>
        <w:tab w:val="num" w:pos="5760"/>
      </w:tabs>
      <w:spacing w:before="120" w:after="120" w:line="240" w:lineRule="auto"/>
      <w:ind w:left="5760" w:hanging="720"/>
      <w:jc w:val="both"/>
    </w:pPr>
    <w:rPr>
      <w:rFonts w:ascii="Times New Roman" w:hAnsi="Times New Roman" w:cs="Times New Roman"/>
      <w:sz w:val="24"/>
    </w:rPr>
  </w:style>
  <w:style w:type="paragraph" w:customStyle="1" w:styleId="Point4letter">
    <w:name w:val="Point 4 (letter)"/>
    <w:basedOn w:val="Normal00"/>
    <w:pPr>
      <w:tabs>
        <w:tab w:val="num" w:pos="6480"/>
      </w:tabs>
      <w:spacing w:before="120" w:after="120" w:line="240" w:lineRule="auto"/>
      <w:ind w:left="6480" w:hanging="720"/>
      <w:jc w:val="both"/>
    </w:pPr>
    <w:rPr>
      <w:rFonts w:ascii="Times New Roman" w:hAnsi="Times New Roman" w:cs="Times New Roman"/>
      <w:sz w:val="24"/>
    </w:rPr>
  </w:style>
  <w:style w:type="paragraph" w:customStyle="1" w:styleId="Bullet0">
    <w:name w:val="Bullet 0"/>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1">
    <w:name w:val="Bullet 1"/>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2">
    <w:name w:val="Bullet 2"/>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3">
    <w:name w:val="Bullet 3"/>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Bullet4">
    <w:name w:val="Bullet 4"/>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Langue">
    <w:name w:val="Langue"/>
    <w:basedOn w:val="Normal00"/>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00"/>
    <w:next w:val="Emission"/>
    <w:pPr>
      <w:spacing w:after="0" w:line="240" w:lineRule="auto"/>
    </w:pPr>
    <w:rPr>
      <w:rFonts w:ascii="Arial" w:hAnsi="Arial" w:cs="Arial"/>
      <w:sz w:val="24"/>
    </w:rPr>
  </w:style>
  <w:style w:type="paragraph" w:customStyle="1" w:styleId="Emission">
    <w:name w:val="Emission"/>
    <w:basedOn w:val="Normal00"/>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00"/>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00"/>
    <w:next w:val="Normal00"/>
    <w:pPr>
      <w:spacing w:after="0" w:line="240" w:lineRule="auto"/>
      <w:jc w:val="both"/>
    </w:pPr>
    <w:rPr>
      <w:rFonts w:ascii="Times New Roman" w:hAnsi="Times New Roman" w:cs="Times New Roman"/>
      <w:sz w:val="24"/>
    </w:rPr>
  </w:style>
  <w:style w:type="paragraph" w:customStyle="1" w:styleId="Declassification">
    <w:name w:val="Declassification"/>
    <w:basedOn w:val="Normal00"/>
    <w:next w:val="Normal00"/>
    <w:pPr>
      <w:spacing w:after="0" w:line="240" w:lineRule="auto"/>
      <w:jc w:val="both"/>
    </w:pPr>
    <w:rPr>
      <w:rFonts w:ascii="Times New Roman" w:hAnsi="Times New Roman" w:cs="Times New Roman"/>
      <w:sz w:val="24"/>
    </w:rPr>
  </w:style>
  <w:style w:type="paragraph" w:customStyle="1" w:styleId="Disclaimer">
    <w:name w:val="Disclaimer"/>
    <w:basedOn w:val="Normal0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00"/>
    <w:pPr>
      <w:spacing w:after="0"/>
      <w:ind w:left="5103"/>
    </w:pPr>
    <w:rPr>
      <w:rFonts w:ascii="Times New Roman" w:hAnsi="Times New Roman" w:cs="Times New Roman"/>
      <w:sz w:val="28"/>
    </w:rPr>
  </w:style>
  <w:style w:type="paragraph" w:customStyle="1" w:styleId="DateMarking">
    <w:name w:val="DateMarking"/>
    <w:basedOn w:val="Normal00"/>
    <w:pPr>
      <w:spacing w:after="0"/>
      <w:ind w:left="5103"/>
    </w:pPr>
    <w:rPr>
      <w:rFonts w:ascii="Times New Roman" w:hAnsi="Times New Roman" w:cs="Times New Roman"/>
      <w:i/>
      <w:sz w:val="28"/>
    </w:rPr>
  </w:style>
  <w:style w:type="paragraph" w:customStyle="1" w:styleId="ReleasableTo">
    <w:name w:val="ReleasableTo"/>
    <w:basedOn w:val="Normal00"/>
    <w:pPr>
      <w:spacing w:after="0"/>
      <w:ind w:left="5103"/>
    </w:pPr>
    <w:rPr>
      <w:rFonts w:ascii="Times New Roman" w:hAnsi="Times New Roman" w:cs="Times New Roman"/>
      <w:i/>
      <w:sz w:val="28"/>
    </w:rPr>
  </w:style>
  <w:style w:type="paragraph" w:customStyle="1" w:styleId="Annexetitreexpos">
    <w:name w:val="Annexe titre (exposé)"/>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00"/>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00"/>
    <w:next w:val="Normal00"/>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00"/>
    <w:next w:val="Normal00"/>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00"/>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00"/>
    <w:pPr>
      <w:tabs>
        <w:tab w:val="num" w:pos="720"/>
      </w:tabs>
      <w:spacing w:before="120" w:after="120" w:line="240" w:lineRule="auto"/>
      <w:ind w:left="720" w:hanging="720"/>
      <w:jc w:val="both"/>
    </w:pPr>
    <w:rPr>
      <w:rFonts w:ascii="Times New Roman" w:hAnsi="Times New Roman" w:cs="Times New Roman"/>
      <w:sz w:val="24"/>
    </w:rPr>
  </w:style>
  <w:style w:type="paragraph" w:customStyle="1" w:styleId="Corrigendum">
    <w:name w:val="Corrigendum"/>
    <w:basedOn w:val="Normal00"/>
    <w:next w:val="Normal00"/>
    <w:pPr>
      <w:spacing w:after="240" w:line="240" w:lineRule="auto"/>
    </w:pPr>
    <w:rPr>
      <w:rFonts w:ascii="Times New Roman" w:hAnsi="Times New Roman" w:cs="Times New Roman"/>
      <w:sz w:val="24"/>
    </w:rPr>
  </w:style>
  <w:style w:type="paragraph" w:customStyle="1" w:styleId="Datedadoption">
    <w:name w:val="Date d'adoption"/>
    <w:basedOn w:val="Normal00"/>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00"/>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00"/>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00"/>
    <w:next w:val="Normal00"/>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00"/>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00"/>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00"/>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00"/>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00"/>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00"/>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00"/>
    <w:next w:val="Normal00"/>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00"/>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00"/>
    <w:next w:val="Normal00"/>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00"/>
    <w:next w:val="Normal00"/>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00"/>
    <w:next w:val="Normal00"/>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00"/>
    <w:next w:val="Normal00"/>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00"/>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00"/>
    <w:next w:val="Normal00"/>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00"/>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00"/>
    <w:pPr>
      <w:spacing w:after="240"/>
    </w:pPr>
  </w:style>
  <w:style w:type="paragraph" w:customStyle="1" w:styleId="Accompagnant">
    <w:name w:val="Accompagnant"/>
    <w:basedOn w:val="Normal00"/>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00"/>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00"/>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00"/>
    <w:next w:val="Normal00"/>
    <w:pPr>
      <w:spacing w:before="360" w:after="0" w:line="240" w:lineRule="auto"/>
      <w:jc w:val="center"/>
    </w:pPr>
    <w:rPr>
      <w:rFonts w:ascii="Times New Roman" w:hAnsi="Times New Roman" w:cs="Times New Roman"/>
      <w:sz w:val="24"/>
    </w:rPr>
  </w:style>
  <w:style w:type="table" w:styleId="TableGrid">
    <w:name w:val="Table Grid"/>
    <w:basedOn w:val="NormalTable00"/>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Subtitle">
    <w:name w:val="Subtitle"/>
    <w:basedOn w:val="Normal00"/>
    <w:next w:val="Normal00"/>
    <w:pPr>
      <w:keepNext/>
      <w:keepLines/>
      <w:spacing w:before="360" w:after="80"/>
    </w:pPr>
    <w:rPr>
      <w:rFonts w:ascii="Georgia" w:eastAsia="Georgia" w:hAnsi="Georgia" w:cs="Georgia"/>
      <w:i/>
      <w:color w:val="666666"/>
      <w:sz w:val="48"/>
      <w:szCs w:val="48"/>
    </w:rPr>
  </w:style>
  <w:style w:type="table" w:customStyle="1" w:styleId="39">
    <w:name w:val="39"/>
    <w:basedOn w:val="NormalTable00"/>
    <w:tblPr>
      <w:tblStyleRowBandSize w:val="1"/>
      <w:tblStyleColBandSize w:val="1"/>
      <w:tblCellMar>
        <w:left w:w="115" w:type="dxa"/>
        <w:right w:w="115" w:type="dxa"/>
      </w:tblCellMar>
    </w:tblPr>
  </w:style>
  <w:style w:type="table" w:customStyle="1" w:styleId="38">
    <w:name w:val="38"/>
    <w:basedOn w:val="NormalTable00"/>
    <w:tblPr>
      <w:tblStyleRowBandSize w:val="1"/>
      <w:tblStyleColBandSize w:val="1"/>
      <w:tblCellMar>
        <w:left w:w="115" w:type="dxa"/>
        <w:right w:w="115" w:type="dxa"/>
      </w:tblCellMar>
    </w:tblPr>
  </w:style>
  <w:style w:type="table" w:customStyle="1" w:styleId="37">
    <w:name w:val="37"/>
    <w:basedOn w:val="NormalTable00"/>
    <w:tblPr>
      <w:tblStyleRowBandSize w:val="1"/>
      <w:tblStyleColBandSize w:val="1"/>
      <w:tblCellMar>
        <w:left w:w="115" w:type="dxa"/>
        <w:right w:w="115" w:type="dxa"/>
      </w:tblCellMar>
    </w:tblPr>
  </w:style>
  <w:style w:type="table" w:customStyle="1" w:styleId="36">
    <w:name w:val="36"/>
    <w:basedOn w:val="NormalTable00"/>
    <w:tblPr>
      <w:tblStyleRowBandSize w:val="1"/>
      <w:tblStyleColBandSize w:val="1"/>
      <w:tblCellMar>
        <w:left w:w="115" w:type="dxa"/>
        <w:right w:w="115" w:type="dxa"/>
      </w:tblCellMar>
    </w:tblPr>
  </w:style>
  <w:style w:type="table" w:customStyle="1" w:styleId="35">
    <w:name w:val="35"/>
    <w:basedOn w:val="NormalTable00"/>
    <w:tblPr>
      <w:tblStyleRowBandSize w:val="1"/>
      <w:tblStyleColBandSize w:val="1"/>
      <w:tblCellMar>
        <w:left w:w="115" w:type="dxa"/>
        <w:right w:w="115" w:type="dxa"/>
      </w:tblCellMar>
    </w:tblPr>
  </w:style>
  <w:style w:type="table" w:customStyle="1" w:styleId="34">
    <w:name w:val="34"/>
    <w:basedOn w:val="NormalTable00"/>
    <w:tblPr>
      <w:tblStyleRowBandSize w:val="1"/>
      <w:tblStyleColBandSize w:val="1"/>
      <w:tblCellMar>
        <w:left w:w="115" w:type="dxa"/>
        <w:right w:w="115" w:type="dxa"/>
      </w:tblCellMar>
    </w:tblPr>
  </w:style>
  <w:style w:type="table" w:customStyle="1" w:styleId="33">
    <w:name w:val="33"/>
    <w:basedOn w:val="NormalTable00"/>
    <w:tblPr>
      <w:tblStyleRowBandSize w:val="1"/>
      <w:tblStyleColBandSize w:val="1"/>
      <w:tblCellMar>
        <w:left w:w="115" w:type="dxa"/>
        <w:right w:w="115" w:type="dxa"/>
      </w:tblCellMar>
    </w:tblPr>
  </w:style>
  <w:style w:type="table" w:customStyle="1" w:styleId="32">
    <w:name w:val="32"/>
    <w:basedOn w:val="NormalTable00"/>
    <w:tblPr>
      <w:tblStyleRowBandSize w:val="1"/>
      <w:tblStyleColBandSize w:val="1"/>
      <w:tblCellMar>
        <w:left w:w="115" w:type="dxa"/>
        <w:right w:w="115" w:type="dxa"/>
      </w:tblCellMar>
    </w:tblPr>
  </w:style>
  <w:style w:type="table" w:customStyle="1" w:styleId="31">
    <w:name w:val="31"/>
    <w:basedOn w:val="NormalTable00"/>
    <w:tblPr>
      <w:tblStyleRowBandSize w:val="1"/>
      <w:tblStyleColBandSize w:val="1"/>
      <w:tblCellMar>
        <w:left w:w="115" w:type="dxa"/>
        <w:right w:w="115" w:type="dxa"/>
      </w:tblCellMar>
    </w:tblPr>
  </w:style>
  <w:style w:type="table" w:customStyle="1" w:styleId="30">
    <w:name w:val="30"/>
    <w:basedOn w:val="NormalTable00"/>
    <w:tblPr>
      <w:tblStyleRowBandSize w:val="1"/>
      <w:tblStyleColBandSize w:val="1"/>
      <w:tblCellMar>
        <w:left w:w="115" w:type="dxa"/>
        <w:right w:w="115" w:type="dxa"/>
      </w:tblCellMar>
    </w:tblPr>
  </w:style>
  <w:style w:type="table" w:customStyle="1" w:styleId="29">
    <w:name w:val="29"/>
    <w:basedOn w:val="NormalTable00"/>
    <w:tblPr>
      <w:tblStyleRowBandSize w:val="1"/>
      <w:tblStyleColBandSize w:val="1"/>
      <w:tblCellMar>
        <w:left w:w="115" w:type="dxa"/>
        <w:right w:w="115" w:type="dxa"/>
      </w:tblCellMar>
    </w:tblPr>
  </w:style>
  <w:style w:type="table" w:customStyle="1" w:styleId="28">
    <w:name w:val="28"/>
    <w:basedOn w:val="NormalTable00"/>
    <w:tblPr>
      <w:tblStyleRowBandSize w:val="1"/>
      <w:tblStyleColBandSize w:val="1"/>
      <w:tblCellMar>
        <w:left w:w="115" w:type="dxa"/>
        <w:right w:w="115" w:type="dxa"/>
      </w:tblCellMar>
    </w:tblPr>
  </w:style>
  <w:style w:type="table" w:customStyle="1" w:styleId="27">
    <w:name w:val="27"/>
    <w:basedOn w:val="NormalTable00"/>
    <w:tblPr>
      <w:tblStyleRowBandSize w:val="1"/>
      <w:tblStyleColBandSize w:val="1"/>
      <w:tblCellMar>
        <w:left w:w="115" w:type="dxa"/>
        <w:right w:w="115" w:type="dxa"/>
      </w:tblCellMar>
    </w:tblPr>
  </w:style>
  <w:style w:type="table" w:customStyle="1" w:styleId="26">
    <w:name w:val="26"/>
    <w:basedOn w:val="NormalTable00"/>
    <w:tblPr>
      <w:tblStyleRowBandSize w:val="1"/>
      <w:tblStyleColBandSize w:val="1"/>
      <w:tblCellMar>
        <w:left w:w="115" w:type="dxa"/>
        <w:right w:w="115" w:type="dxa"/>
      </w:tblCellMar>
    </w:tblPr>
  </w:style>
  <w:style w:type="table" w:customStyle="1" w:styleId="25">
    <w:name w:val="25"/>
    <w:basedOn w:val="NormalTable00"/>
    <w:tblPr>
      <w:tblStyleRowBandSize w:val="1"/>
      <w:tblStyleColBandSize w:val="1"/>
      <w:tblCellMar>
        <w:left w:w="115" w:type="dxa"/>
        <w:right w:w="115" w:type="dxa"/>
      </w:tblCellMar>
    </w:tblPr>
  </w:style>
  <w:style w:type="table" w:customStyle="1" w:styleId="24">
    <w:name w:val="24"/>
    <w:basedOn w:val="NormalTable00"/>
    <w:tblPr>
      <w:tblStyleRowBandSize w:val="1"/>
      <w:tblStyleColBandSize w:val="1"/>
      <w:tblCellMar>
        <w:left w:w="115" w:type="dxa"/>
        <w:right w:w="115" w:type="dxa"/>
      </w:tblCellMar>
    </w:tblPr>
  </w:style>
  <w:style w:type="table" w:customStyle="1" w:styleId="23">
    <w:name w:val="23"/>
    <w:basedOn w:val="NormalTable00"/>
    <w:tblPr>
      <w:tblStyleRowBandSize w:val="1"/>
      <w:tblStyleColBandSize w:val="1"/>
      <w:tblCellMar>
        <w:left w:w="115" w:type="dxa"/>
        <w:right w:w="115" w:type="dxa"/>
      </w:tblCellMar>
    </w:tblPr>
  </w:style>
  <w:style w:type="table" w:customStyle="1" w:styleId="22">
    <w:name w:val="22"/>
    <w:basedOn w:val="NormalTable00"/>
    <w:tblPr>
      <w:tblStyleRowBandSize w:val="1"/>
      <w:tblStyleColBandSize w:val="1"/>
      <w:tblCellMar>
        <w:left w:w="115" w:type="dxa"/>
        <w:right w:w="115" w:type="dxa"/>
      </w:tblCellMar>
    </w:tblPr>
  </w:style>
  <w:style w:type="table" w:customStyle="1" w:styleId="21">
    <w:name w:val="21"/>
    <w:basedOn w:val="NormalTable0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0"/>
    <w:basedOn w:val="NormalTable0"/>
    <w:tblPr>
      <w:tblStyleRowBandSize w:val="1"/>
      <w:tblStyleColBandSize w:val="1"/>
      <w:tblCellMar>
        <w:left w:w="115" w:type="dxa"/>
        <w:right w:w="115" w:type="dxa"/>
      </w:tblCellMar>
    </w:tblPr>
  </w:style>
  <w:style w:type="table" w:customStyle="1" w:styleId="19">
    <w:name w:val="19"/>
    <w:basedOn w:val="NormalTable0"/>
    <w:tblPr>
      <w:tblStyleRowBandSize w:val="1"/>
      <w:tblStyleColBandSize w:val="1"/>
      <w:tblCellMar>
        <w:left w:w="115" w:type="dxa"/>
        <w:right w:w="115" w:type="dxa"/>
      </w:tblCellMar>
    </w:tblPr>
  </w:style>
  <w:style w:type="table" w:customStyle="1" w:styleId="18">
    <w:name w:val="18"/>
    <w:basedOn w:val="NormalTable0"/>
    <w:tblPr>
      <w:tblStyleRowBandSize w:val="1"/>
      <w:tblStyleColBandSize w:val="1"/>
      <w:tblCellMar>
        <w:left w:w="115" w:type="dxa"/>
        <w:right w:w="115" w:type="dxa"/>
      </w:tblCellMar>
    </w:tblPr>
  </w:style>
  <w:style w:type="table" w:customStyle="1" w:styleId="17">
    <w:name w:val="17"/>
    <w:basedOn w:val="NormalTable0"/>
    <w:tblPr>
      <w:tblStyleRowBandSize w:val="1"/>
      <w:tblStyleColBandSize w:val="1"/>
      <w:tblCellMar>
        <w:left w:w="115" w:type="dxa"/>
        <w:right w:w="115" w:type="dxa"/>
      </w:tblCellMar>
    </w:tblPr>
  </w:style>
  <w:style w:type="table" w:customStyle="1" w:styleId="16">
    <w:name w:val="16"/>
    <w:basedOn w:val="NormalTable0"/>
    <w:tblPr>
      <w:tblStyleRowBandSize w:val="1"/>
      <w:tblStyleColBandSize w:val="1"/>
      <w:tblCellMar>
        <w:left w:w="115" w:type="dxa"/>
        <w:right w:w="115" w:type="dxa"/>
      </w:tblCellMar>
    </w:tblPr>
  </w:style>
  <w:style w:type="table" w:customStyle="1" w:styleId="15">
    <w:name w:val="15"/>
    <w:basedOn w:val="NormalTable0"/>
    <w:tblPr>
      <w:tblStyleRowBandSize w:val="1"/>
      <w:tblStyleColBandSize w:val="1"/>
      <w:tblCellMar>
        <w:left w:w="115" w:type="dxa"/>
        <w:right w:w="115" w:type="dxa"/>
      </w:tblCellMar>
    </w:tblPr>
  </w:style>
  <w:style w:type="table" w:customStyle="1" w:styleId="14">
    <w:name w:val="14"/>
    <w:basedOn w:val="NormalTable0"/>
    <w:tblPr>
      <w:tblStyleRowBandSize w:val="1"/>
      <w:tblStyleColBandSize w:val="1"/>
      <w:tblCellMar>
        <w:left w:w="115" w:type="dxa"/>
        <w:right w:w="115" w:type="dxa"/>
      </w:tblCellMar>
    </w:tblPr>
  </w:style>
  <w:style w:type="table" w:customStyle="1" w:styleId="13">
    <w:name w:val="13"/>
    <w:basedOn w:val="NormalTable0"/>
    <w:tblPr>
      <w:tblStyleRowBandSize w:val="1"/>
      <w:tblStyleColBandSize w:val="1"/>
      <w:tblCellMar>
        <w:left w:w="115" w:type="dxa"/>
        <w:right w:w="115" w:type="dxa"/>
      </w:tblCellMar>
    </w:tblPr>
  </w:style>
  <w:style w:type="table" w:customStyle="1" w:styleId="12">
    <w:name w:val="12"/>
    <w:basedOn w:val="NormalTable0"/>
    <w:tblPr>
      <w:tblStyleRowBandSize w:val="1"/>
      <w:tblStyleColBandSize w:val="1"/>
      <w:tblCellMar>
        <w:left w:w="115" w:type="dxa"/>
        <w:right w:w="115" w:type="dxa"/>
      </w:tblCellMar>
    </w:tblPr>
  </w:style>
  <w:style w:type="table" w:customStyle="1" w:styleId="11">
    <w:name w:val="11"/>
    <w:basedOn w:val="NormalTable0"/>
    <w:tblPr>
      <w:tblStyleRowBandSize w:val="1"/>
      <w:tblStyleColBandSize w:val="1"/>
      <w:tblCellMar>
        <w:left w:w="115" w:type="dxa"/>
        <w:right w:w="115" w:type="dxa"/>
      </w:tblCellMar>
    </w:tblPr>
  </w:style>
  <w:style w:type="table" w:customStyle="1" w:styleId="10">
    <w:name w:val="10"/>
    <w:basedOn w:val="NormalTable0"/>
    <w:tblPr>
      <w:tblStyleRowBandSize w:val="1"/>
      <w:tblStyleColBandSize w:val="1"/>
      <w:tblCellMar>
        <w:left w:w="115" w:type="dxa"/>
        <w:right w:w="115" w:type="dxa"/>
      </w:tblCellMar>
    </w:tblPr>
  </w:style>
  <w:style w:type="table" w:customStyle="1" w:styleId="9">
    <w:name w:val="9"/>
    <w:basedOn w:val="NormalTable0"/>
    <w:tblPr>
      <w:tblStyleRowBandSize w:val="1"/>
      <w:tblStyleColBandSize w:val="1"/>
      <w:tblCellMar>
        <w:left w:w="115" w:type="dxa"/>
        <w:right w:w="115" w:type="dxa"/>
      </w:tblCellMar>
    </w:tblPr>
  </w:style>
  <w:style w:type="table" w:customStyle="1" w:styleId="8">
    <w:name w:val="8"/>
    <w:basedOn w:val="NormalTable0"/>
    <w:tblPr>
      <w:tblStyleRowBandSize w:val="1"/>
      <w:tblStyleColBandSize w:val="1"/>
      <w:tblCellMar>
        <w:left w:w="115" w:type="dxa"/>
        <w:right w:w="115" w:type="dxa"/>
      </w:tblCellMar>
    </w:tblPr>
  </w:style>
  <w:style w:type="table" w:customStyle="1" w:styleId="7">
    <w:name w:val="7"/>
    <w:basedOn w:val="NormalTable0"/>
    <w:tblPr>
      <w:tblStyleRowBandSize w:val="1"/>
      <w:tblStyleColBandSize w:val="1"/>
      <w:tblCellMar>
        <w:left w:w="115" w:type="dxa"/>
        <w:right w:w="115" w:type="dxa"/>
      </w:tblCellMar>
    </w:tblPr>
  </w:style>
  <w:style w:type="table" w:customStyle="1" w:styleId="6">
    <w:name w:val="6"/>
    <w:basedOn w:val="NormalTable0"/>
    <w:tblPr>
      <w:tblStyleRowBandSize w:val="1"/>
      <w:tblStyleColBandSize w:val="1"/>
      <w:tblCellMar>
        <w:left w:w="115" w:type="dxa"/>
        <w:right w:w="115" w:type="dxa"/>
      </w:tblCellMar>
    </w:tbl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character" w:customStyle="1" w:styleId="FootnoteCharacters">
    <w:name w:val="Footnote Characters"/>
    <w:rsid w:val="00C612C5"/>
    <w:rPr>
      <w:vertAlign w:val="superscript"/>
    </w:rPr>
  </w:style>
  <w:style w:type="character" w:customStyle="1" w:styleId="WW8Num2z0">
    <w:name w:val="WW8Num2z0"/>
    <w:rsid w:val="00463240"/>
    <w:rPr>
      <w:rFonts w:ascii="Wingdings" w:hAnsi="Wingdings" w:cs="Wingdings"/>
    </w:rPr>
  </w:style>
  <w:style w:type="character" w:customStyle="1" w:styleId="WW8Num1z1">
    <w:name w:val="WW8Num1z1"/>
    <w:rsid w:val="00D33DF2"/>
    <w:rPr>
      <w:rFonts w:ascii="Courier New" w:hAnsi="Courier New" w:cs="Courier New"/>
    </w:rPr>
  </w:style>
  <w:style w:type="character" w:customStyle="1" w:styleId="Mention2">
    <w:name w:val="Mention2"/>
    <w:basedOn w:val="DefaultParagraphFont"/>
    <w:uiPriority w:val="99"/>
    <w:unhideWhenUsed/>
    <w:rPr>
      <w:color w:val="2B579A"/>
      <w:shd w:val="clear" w:color="auto" w:fill="E6E6E6"/>
    </w:rPr>
  </w:style>
  <w:style w:type="paragraph" w:customStyle="1" w:styleId="paragraph">
    <w:name w:val="paragraph"/>
    <w:basedOn w:val="Normal"/>
    <w:rsid w:val="00D23F6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23F6C"/>
  </w:style>
  <w:style w:type="character" w:customStyle="1" w:styleId="scxw147420095">
    <w:name w:val="scxw147420095"/>
    <w:basedOn w:val="DefaultParagraphFont"/>
    <w:rsid w:val="00D23F6C"/>
  </w:style>
  <w:style w:type="character" w:customStyle="1" w:styleId="eop">
    <w:name w:val="eop"/>
    <w:basedOn w:val="DefaultParagraphFont"/>
    <w:rsid w:val="00D23F6C"/>
  </w:style>
  <w:style w:type="character" w:customStyle="1" w:styleId="scxw52418636">
    <w:name w:val="scxw52418636"/>
    <w:basedOn w:val="DefaultParagraphFont"/>
    <w:rsid w:val="00D23F6C"/>
  </w:style>
  <w:style w:type="character" w:customStyle="1" w:styleId="scxw256459143">
    <w:name w:val="scxw256459143"/>
    <w:basedOn w:val="DefaultParagraphFont"/>
    <w:rsid w:val="00D23F6C"/>
  </w:style>
  <w:style w:type="paragraph" w:customStyle="1" w:styleId="TechnicalBlock">
    <w:name w:val="Technical Block"/>
    <w:basedOn w:val="Normal"/>
    <w:link w:val="TechnicalBlockChar"/>
    <w:rsid w:val="00A96869"/>
    <w:pPr>
      <w:spacing w:after="240" w:line="240" w:lineRule="auto"/>
      <w:jc w:val="center"/>
    </w:pPr>
  </w:style>
  <w:style w:type="character" w:customStyle="1" w:styleId="TechnicalBlockChar">
    <w:name w:val="Technical Block Char"/>
    <w:basedOn w:val="DefaultParagraphFont"/>
    <w:link w:val="TechnicalBlock"/>
    <w:rsid w:val="00A96869"/>
  </w:style>
  <w:style w:type="paragraph" w:customStyle="1" w:styleId="EntText">
    <w:name w:val="EntText"/>
    <w:basedOn w:val="Normal"/>
    <w:rsid w:val="00C66EE8"/>
    <w:pPr>
      <w:spacing w:before="120" w:after="120" w:line="360" w:lineRule="auto"/>
    </w:pPr>
    <w:rPr>
      <w:rFonts w:ascii="Times New Roman" w:eastAsiaTheme="minorHAnsi" w:hAnsi="Times New Roman" w:cs="Times New Roman"/>
      <w:sz w:val="24"/>
      <w:lang w:eastAsia="en-US"/>
    </w:rPr>
  </w:style>
  <w:style w:type="paragraph" w:customStyle="1" w:styleId="Lignefinal">
    <w:name w:val="Ligne final"/>
    <w:basedOn w:val="Normal"/>
    <w:next w:val="Normal"/>
    <w:rsid w:val="00C66EE8"/>
    <w:pPr>
      <w:pBdr>
        <w:bottom w:val="single" w:sz="4" w:space="0" w:color="000000"/>
      </w:pBdr>
      <w:spacing w:before="360" w:after="120" w:line="360" w:lineRule="auto"/>
      <w:ind w:left="3400" w:right="3400"/>
      <w:jc w:val="center"/>
    </w:pPr>
    <w:rPr>
      <w:rFonts w:ascii="Times New Roman" w:eastAsiaTheme="minorHAnsi" w:hAnsi="Times New Roman" w:cs="Times New Roman"/>
      <w:b/>
      <w:sz w:val="24"/>
      <w:lang w:eastAsia="en-US"/>
    </w:rPr>
  </w:style>
  <w:style w:type="paragraph" w:customStyle="1" w:styleId="pj">
    <w:name w:val="p.j."/>
    <w:basedOn w:val="Normal"/>
    <w:link w:val="pjChar"/>
    <w:rsid w:val="00A96869"/>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A96869"/>
    <w:rPr>
      <w:rFonts w:ascii="Times New Roman" w:hAnsi="Times New Roman" w:cs="Times New Roman"/>
      <w:sz w:val="24"/>
    </w:rPr>
  </w:style>
  <w:style w:type="paragraph" w:customStyle="1" w:styleId="nbbordered">
    <w:name w:val="nb bordered"/>
    <w:basedOn w:val="Normal"/>
    <w:link w:val="nbborderedChar"/>
    <w:rsid w:val="00A96869"/>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A96869"/>
    <w:rPr>
      <w:rFonts w:ascii="Times New Roman" w:hAnsi="Times New Roman" w:cs="Times New Roman"/>
      <w:b/>
      <w:sz w:val="24"/>
    </w:rPr>
  </w:style>
  <w:style w:type="paragraph" w:customStyle="1" w:styleId="HeaderCouncil">
    <w:name w:val="Header Council"/>
    <w:basedOn w:val="Normal"/>
    <w:link w:val="HeaderCouncilChar"/>
    <w:rsid w:val="00A96869"/>
    <w:pPr>
      <w:spacing w:after="0"/>
    </w:pPr>
    <w:rPr>
      <w:noProof/>
      <w:sz w:val="2"/>
    </w:rPr>
  </w:style>
  <w:style w:type="character" w:customStyle="1" w:styleId="HeaderCouncilChar">
    <w:name w:val="Header Council Char"/>
    <w:basedOn w:val="DefaultParagraphFont"/>
    <w:link w:val="HeaderCouncil"/>
    <w:rsid w:val="00A96869"/>
    <w:rPr>
      <w:noProof/>
      <w:sz w:val="2"/>
    </w:rPr>
  </w:style>
  <w:style w:type="paragraph" w:customStyle="1" w:styleId="HeaderCouncilLarge">
    <w:name w:val="Header Council Large"/>
    <w:basedOn w:val="Normal"/>
    <w:link w:val="HeaderCouncilLargeChar"/>
    <w:rsid w:val="00A96869"/>
    <w:pPr>
      <w:spacing w:after="440"/>
    </w:pPr>
    <w:rPr>
      <w:noProof/>
      <w:sz w:val="2"/>
    </w:rPr>
  </w:style>
  <w:style w:type="character" w:customStyle="1" w:styleId="HeaderCouncilLargeChar">
    <w:name w:val="Header Council Large Char"/>
    <w:basedOn w:val="DefaultParagraphFont"/>
    <w:link w:val="HeaderCouncilLarge"/>
    <w:rsid w:val="00A96869"/>
    <w:rPr>
      <w:noProof/>
      <w:sz w:val="2"/>
    </w:rPr>
  </w:style>
  <w:style w:type="paragraph" w:customStyle="1" w:styleId="FooterCouncil">
    <w:name w:val="Footer Council"/>
    <w:basedOn w:val="Normal"/>
    <w:link w:val="FooterCouncilChar"/>
    <w:rsid w:val="00A96869"/>
    <w:pPr>
      <w:spacing w:after="0"/>
    </w:pPr>
    <w:rPr>
      <w:noProof/>
      <w:sz w:val="2"/>
    </w:rPr>
  </w:style>
  <w:style w:type="character" w:customStyle="1" w:styleId="FooterCouncilChar">
    <w:name w:val="Footer Council Char"/>
    <w:basedOn w:val="DefaultParagraphFont"/>
    <w:link w:val="FooterCouncil"/>
    <w:rsid w:val="00A96869"/>
    <w:rPr>
      <w:noProof/>
      <w:sz w:val="2"/>
    </w:rPr>
  </w:style>
  <w:style w:type="paragraph" w:customStyle="1" w:styleId="FooterText">
    <w:name w:val="Footer Text"/>
    <w:basedOn w:val="Normal"/>
    <w:rsid w:val="00A96869"/>
    <w:pPr>
      <w:spacing w:after="0" w:line="240" w:lineRule="auto"/>
    </w:pPr>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A96869"/>
    <w:rPr>
      <w:color w:val="808080"/>
    </w:rPr>
  </w:style>
  <w:style w:type="paragraph" w:customStyle="1" w:styleId="P68B1DB1-Normalny54">
    <w:name w:val="P68B1DB1-Normalny54"/>
    <w:basedOn w:val="Normal"/>
    <w:uiPriority w:val="1"/>
    <w:rsid w:val="1C567393"/>
    <w:pPr>
      <w:spacing w:after="160"/>
      <w:jc w:val="both"/>
    </w:pPr>
    <w:rPr>
      <w:rFonts w:ascii="Times New Roman" w:eastAsia="Times New Roman" w:hAnsi="Times New Roman" w:cs="Times New Roman"/>
      <w:color w:val="FF0000"/>
    </w:rPr>
  </w:style>
  <w:style w:type="paragraph" w:customStyle="1" w:styleId="P68B1DB1-Normalny51">
    <w:name w:val="P68B1DB1-Normalny51"/>
    <w:basedOn w:val="Normal"/>
    <w:uiPriority w:val="1"/>
    <w:rsid w:val="1C567393"/>
    <w:pPr>
      <w:spacing w:after="160"/>
      <w:jc w:val="both"/>
    </w:pPr>
    <w:rPr>
      <w:rFonts w:ascii="Times New Roman" w:eastAsia="Times New Roman" w:hAnsi="Times New Roman" w:cs="Times New Roman"/>
    </w:rPr>
  </w:style>
  <w:style w:type="character" w:customStyle="1" w:styleId="Mention3">
    <w:name w:val="Mention3"/>
    <w:basedOn w:val="DefaultParagraphFont"/>
    <w:uiPriority w:val="99"/>
    <w:unhideWhenUsed/>
    <w:rsid w:val="002912C0"/>
    <w:rPr>
      <w:color w:val="2B579A"/>
      <w:shd w:val="clear" w:color="auto" w:fill="E1DFDD"/>
    </w:rPr>
  </w:style>
  <w:style w:type="character" w:customStyle="1" w:styleId="superscript">
    <w:name w:val="superscript"/>
    <w:basedOn w:val="DefaultParagraphFont"/>
    <w:rsid w:val="00394B30"/>
  </w:style>
  <w:style w:type="paragraph" w:customStyle="1" w:styleId="LegalNumPar">
    <w:name w:val="LegalNumPar"/>
    <w:basedOn w:val="Normal"/>
    <w:rsid w:val="00597EF0"/>
    <w:pPr>
      <w:numPr>
        <w:numId w:val="55"/>
      </w:numPr>
      <w:spacing w:line="360" w:lineRule="auto"/>
    </w:pPr>
    <w:rPr>
      <w:sz w:val="24"/>
    </w:rPr>
  </w:style>
  <w:style w:type="paragraph" w:customStyle="1" w:styleId="LegalNumPar2">
    <w:name w:val="LegalNumPar2"/>
    <w:basedOn w:val="Normal"/>
    <w:rsid w:val="00597EF0"/>
    <w:pPr>
      <w:numPr>
        <w:ilvl w:val="1"/>
        <w:numId w:val="57"/>
      </w:numPr>
      <w:spacing w:line="360" w:lineRule="auto"/>
    </w:pPr>
    <w:rPr>
      <w:sz w:val="24"/>
    </w:rPr>
  </w:style>
  <w:style w:type="paragraph" w:customStyle="1" w:styleId="LegalNumPar3">
    <w:name w:val="LegalNumPar3"/>
    <w:basedOn w:val="Normal"/>
    <w:rsid w:val="00597EF0"/>
    <w:pPr>
      <w:numPr>
        <w:ilvl w:val="2"/>
        <w:numId w:val="57"/>
      </w:numPr>
      <w:spacing w:line="360" w:lineRule="auto"/>
    </w:pPr>
    <w:rPr>
      <w:sz w:val="24"/>
    </w:rPr>
  </w:style>
  <w:style w:type="paragraph" w:styleId="NormalWeb">
    <w:name w:val="Normal (Web)"/>
    <w:basedOn w:val="Normal"/>
    <w:uiPriority w:val="99"/>
    <w:semiHidden/>
    <w:unhideWhenUsed/>
    <w:rsid w:val="001C6B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587">
      <w:bodyDiv w:val="1"/>
      <w:marLeft w:val="0"/>
      <w:marRight w:val="0"/>
      <w:marTop w:val="0"/>
      <w:marBottom w:val="0"/>
      <w:divBdr>
        <w:top w:val="none" w:sz="0" w:space="0" w:color="auto"/>
        <w:left w:val="none" w:sz="0" w:space="0" w:color="auto"/>
        <w:bottom w:val="none" w:sz="0" w:space="0" w:color="auto"/>
        <w:right w:val="none" w:sz="0" w:space="0" w:color="auto"/>
      </w:divBdr>
    </w:div>
    <w:div w:id="10226823">
      <w:bodyDiv w:val="1"/>
      <w:marLeft w:val="0"/>
      <w:marRight w:val="0"/>
      <w:marTop w:val="0"/>
      <w:marBottom w:val="0"/>
      <w:divBdr>
        <w:top w:val="none" w:sz="0" w:space="0" w:color="auto"/>
        <w:left w:val="none" w:sz="0" w:space="0" w:color="auto"/>
        <w:bottom w:val="none" w:sz="0" w:space="0" w:color="auto"/>
        <w:right w:val="none" w:sz="0" w:space="0" w:color="auto"/>
      </w:divBdr>
    </w:div>
    <w:div w:id="12808792">
      <w:bodyDiv w:val="1"/>
      <w:marLeft w:val="0"/>
      <w:marRight w:val="0"/>
      <w:marTop w:val="0"/>
      <w:marBottom w:val="0"/>
      <w:divBdr>
        <w:top w:val="none" w:sz="0" w:space="0" w:color="auto"/>
        <w:left w:val="none" w:sz="0" w:space="0" w:color="auto"/>
        <w:bottom w:val="none" w:sz="0" w:space="0" w:color="auto"/>
        <w:right w:val="none" w:sz="0" w:space="0" w:color="auto"/>
      </w:divBdr>
    </w:div>
    <w:div w:id="45036434">
      <w:bodyDiv w:val="1"/>
      <w:marLeft w:val="0"/>
      <w:marRight w:val="0"/>
      <w:marTop w:val="0"/>
      <w:marBottom w:val="0"/>
      <w:divBdr>
        <w:top w:val="none" w:sz="0" w:space="0" w:color="auto"/>
        <w:left w:val="none" w:sz="0" w:space="0" w:color="auto"/>
        <w:bottom w:val="none" w:sz="0" w:space="0" w:color="auto"/>
        <w:right w:val="none" w:sz="0" w:space="0" w:color="auto"/>
      </w:divBdr>
      <w:divsChild>
        <w:div w:id="522328402">
          <w:marLeft w:val="0"/>
          <w:marRight w:val="0"/>
          <w:marTop w:val="0"/>
          <w:marBottom w:val="0"/>
          <w:divBdr>
            <w:top w:val="none" w:sz="0" w:space="0" w:color="auto"/>
            <w:left w:val="none" w:sz="0" w:space="0" w:color="auto"/>
            <w:bottom w:val="none" w:sz="0" w:space="0" w:color="auto"/>
            <w:right w:val="none" w:sz="0" w:space="0" w:color="auto"/>
          </w:divBdr>
        </w:div>
        <w:div w:id="1331443544">
          <w:marLeft w:val="0"/>
          <w:marRight w:val="0"/>
          <w:marTop w:val="0"/>
          <w:marBottom w:val="0"/>
          <w:divBdr>
            <w:top w:val="none" w:sz="0" w:space="0" w:color="auto"/>
            <w:left w:val="none" w:sz="0" w:space="0" w:color="auto"/>
            <w:bottom w:val="none" w:sz="0" w:space="0" w:color="auto"/>
            <w:right w:val="none" w:sz="0" w:space="0" w:color="auto"/>
          </w:divBdr>
        </w:div>
        <w:div w:id="1348604640">
          <w:marLeft w:val="0"/>
          <w:marRight w:val="0"/>
          <w:marTop w:val="0"/>
          <w:marBottom w:val="0"/>
          <w:divBdr>
            <w:top w:val="none" w:sz="0" w:space="0" w:color="auto"/>
            <w:left w:val="none" w:sz="0" w:space="0" w:color="auto"/>
            <w:bottom w:val="none" w:sz="0" w:space="0" w:color="auto"/>
            <w:right w:val="none" w:sz="0" w:space="0" w:color="auto"/>
          </w:divBdr>
        </w:div>
        <w:div w:id="1578786222">
          <w:marLeft w:val="0"/>
          <w:marRight w:val="0"/>
          <w:marTop w:val="0"/>
          <w:marBottom w:val="0"/>
          <w:divBdr>
            <w:top w:val="none" w:sz="0" w:space="0" w:color="auto"/>
            <w:left w:val="none" w:sz="0" w:space="0" w:color="auto"/>
            <w:bottom w:val="none" w:sz="0" w:space="0" w:color="auto"/>
            <w:right w:val="none" w:sz="0" w:space="0" w:color="auto"/>
          </w:divBdr>
        </w:div>
      </w:divsChild>
    </w:div>
    <w:div w:id="86314797">
      <w:bodyDiv w:val="1"/>
      <w:marLeft w:val="0"/>
      <w:marRight w:val="0"/>
      <w:marTop w:val="0"/>
      <w:marBottom w:val="0"/>
      <w:divBdr>
        <w:top w:val="none" w:sz="0" w:space="0" w:color="auto"/>
        <w:left w:val="none" w:sz="0" w:space="0" w:color="auto"/>
        <w:bottom w:val="none" w:sz="0" w:space="0" w:color="auto"/>
        <w:right w:val="none" w:sz="0" w:space="0" w:color="auto"/>
      </w:divBdr>
    </w:div>
    <w:div w:id="136848799">
      <w:bodyDiv w:val="1"/>
      <w:marLeft w:val="0"/>
      <w:marRight w:val="0"/>
      <w:marTop w:val="0"/>
      <w:marBottom w:val="0"/>
      <w:divBdr>
        <w:top w:val="none" w:sz="0" w:space="0" w:color="auto"/>
        <w:left w:val="none" w:sz="0" w:space="0" w:color="auto"/>
        <w:bottom w:val="none" w:sz="0" w:space="0" w:color="auto"/>
        <w:right w:val="none" w:sz="0" w:space="0" w:color="auto"/>
      </w:divBdr>
    </w:div>
    <w:div w:id="175770122">
      <w:bodyDiv w:val="1"/>
      <w:marLeft w:val="0"/>
      <w:marRight w:val="0"/>
      <w:marTop w:val="0"/>
      <w:marBottom w:val="0"/>
      <w:divBdr>
        <w:top w:val="none" w:sz="0" w:space="0" w:color="auto"/>
        <w:left w:val="none" w:sz="0" w:space="0" w:color="auto"/>
        <w:bottom w:val="none" w:sz="0" w:space="0" w:color="auto"/>
        <w:right w:val="none" w:sz="0" w:space="0" w:color="auto"/>
      </w:divBdr>
    </w:div>
    <w:div w:id="244728840">
      <w:bodyDiv w:val="1"/>
      <w:marLeft w:val="0"/>
      <w:marRight w:val="0"/>
      <w:marTop w:val="0"/>
      <w:marBottom w:val="0"/>
      <w:divBdr>
        <w:top w:val="none" w:sz="0" w:space="0" w:color="auto"/>
        <w:left w:val="none" w:sz="0" w:space="0" w:color="auto"/>
        <w:bottom w:val="none" w:sz="0" w:space="0" w:color="auto"/>
        <w:right w:val="none" w:sz="0" w:space="0" w:color="auto"/>
      </w:divBdr>
    </w:div>
    <w:div w:id="266276359">
      <w:bodyDiv w:val="1"/>
      <w:marLeft w:val="0"/>
      <w:marRight w:val="0"/>
      <w:marTop w:val="0"/>
      <w:marBottom w:val="0"/>
      <w:divBdr>
        <w:top w:val="none" w:sz="0" w:space="0" w:color="auto"/>
        <w:left w:val="none" w:sz="0" w:space="0" w:color="auto"/>
        <w:bottom w:val="none" w:sz="0" w:space="0" w:color="auto"/>
        <w:right w:val="none" w:sz="0" w:space="0" w:color="auto"/>
      </w:divBdr>
      <w:divsChild>
        <w:div w:id="249043019">
          <w:marLeft w:val="0"/>
          <w:marRight w:val="0"/>
          <w:marTop w:val="0"/>
          <w:marBottom w:val="0"/>
          <w:divBdr>
            <w:top w:val="none" w:sz="0" w:space="0" w:color="auto"/>
            <w:left w:val="none" w:sz="0" w:space="0" w:color="auto"/>
            <w:bottom w:val="none" w:sz="0" w:space="0" w:color="auto"/>
            <w:right w:val="none" w:sz="0" w:space="0" w:color="auto"/>
          </w:divBdr>
        </w:div>
        <w:div w:id="937300388">
          <w:marLeft w:val="0"/>
          <w:marRight w:val="0"/>
          <w:marTop w:val="0"/>
          <w:marBottom w:val="0"/>
          <w:divBdr>
            <w:top w:val="none" w:sz="0" w:space="0" w:color="auto"/>
            <w:left w:val="none" w:sz="0" w:space="0" w:color="auto"/>
            <w:bottom w:val="none" w:sz="0" w:space="0" w:color="auto"/>
            <w:right w:val="none" w:sz="0" w:space="0" w:color="auto"/>
          </w:divBdr>
        </w:div>
        <w:div w:id="1189758315">
          <w:marLeft w:val="0"/>
          <w:marRight w:val="0"/>
          <w:marTop w:val="0"/>
          <w:marBottom w:val="0"/>
          <w:divBdr>
            <w:top w:val="none" w:sz="0" w:space="0" w:color="auto"/>
            <w:left w:val="none" w:sz="0" w:space="0" w:color="auto"/>
            <w:bottom w:val="none" w:sz="0" w:space="0" w:color="auto"/>
            <w:right w:val="none" w:sz="0" w:space="0" w:color="auto"/>
          </w:divBdr>
        </w:div>
        <w:div w:id="1450736098">
          <w:marLeft w:val="0"/>
          <w:marRight w:val="0"/>
          <w:marTop w:val="0"/>
          <w:marBottom w:val="0"/>
          <w:divBdr>
            <w:top w:val="none" w:sz="0" w:space="0" w:color="auto"/>
            <w:left w:val="none" w:sz="0" w:space="0" w:color="auto"/>
            <w:bottom w:val="none" w:sz="0" w:space="0" w:color="auto"/>
            <w:right w:val="none" w:sz="0" w:space="0" w:color="auto"/>
          </w:divBdr>
        </w:div>
      </w:divsChild>
    </w:div>
    <w:div w:id="311913799">
      <w:bodyDiv w:val="1"/>
      <w:marLeft w:val="0"/>
      <w:marRight w:val="0"/>
      <w:marTop w:val="0"/>
      <w:marBottom w:val="0"/>
      <w:divBdr>
        <w:top w:val="none" w:sz="0" w:space="0" w:color="auto"/>
        <w:left w:val="none" w:sz="0" w:space="0" w:color="auto"/>
        <w:bottom w:val="none" w:sz="0" w:space="0" w:color="auto"/>
        <w:right w:val="none" w:sz="0" w:space="0" w:color="auto"/>
      </w:divBdr>
    </w:div>
    <w:div w:id="322318414">
      <w:bodyDiv w:val="1"/>
      <w:marLeft w:val="0"/>
      <w:marRight w:val="0"/>
      <w:marTop w:val="0"/>
      <w:marBottom w:val="0"/>
      <w:divBdr>
        <w:top w:val="none" w:sz="0" w:space="0" w:color="auto"/>
        <w:left w:val="none" w:sz="0" w:space="0" w:color="auto"/>
        <w:bottom w:val="none" w:sz="0" w:space="0" w:color="auto"/>
        <w:right w:val="none" w:sz="0" w:space="0" w:color="auto"/>
      </w:divBdr>
    </w:div>
    <w:div w:id="371030676">
      <w:bodyDiv w:val="1"/>
      <w:marLeft w:val="0"/>
      <w:marRight w:val="0"/>
      <w:marTop w:val="0"/>
      <w:marBottom w:val="0"/>
      <w:divBdr>
        <w:top w:val="none" w:sz="0" w:space="0" w:color="auto"/>
        <w:left w:val="none" w:sz="0" w:space="0" w:color="auto"/>
        <w:bottom w:val="none" w:sz="0" w:space="0" w:color="auto"/>
        <w:right w:val="none" w:sz="0" w:space="0" w:color="auto"/>
      </w:divBdr>
    </w:div>
    <w:div w:id="381514880">
      <w:bodyDiv w:val="1"/>
      <w:marLeft w:val="0"/>
      <w:marRight w:val="0"/>
      <w:marTop w:val="0"/>
      <w:marBottom w:val="0"/>
      <w:divBdr>
        <w:top w:val="none" w:sz="0" w:space="0" w:color="auto"/>
        <w:left w:val="none" w:sz="0" w:space="0" w:color="auto"/>
        <w:bottom w:val="none" w:sz="0" w:space="0" w:color="auto"/>
        <w:right w:val="none" w:sz="0" w:space="0" w:color="auto"/>
      </w:divBdr>
    </w:div>
    <w:div w:id="398133505">
      <w:bodyDiv w:val="1"/>
      <w:marLeft w:val="0"/>
      <w:marRight w:val="0"/>
      <w:marTop w:val="0"/>
      <w:marBottom w:val="0"/>
      <w:divBdr>
        <w:top w:val="none" w:sz="0" w:space="0" w:color="auto"/>
        <w:left w:val="none" w:sz="0" w:space="0" w:color="auto"/>
        <w:bottom w:val="none" w:sz="0" w:space="0" w:color="auto"/>
        <w:right w:val="none" w:sz="0" w:space="0" w:color="auto"/>
      </w:divBdr>
      <w:divsChild>
        <w:div w:id="23142602">
          <w:marLeft w:val="0"/>
          <w:marRight w:val="0"/>
          <w:marTop w:val="0"/>
          <w:marBottom w:val="0"/>
          <w:divBdr>
            <w:top w:val="none" w:sz="0" w:space="0" w:color="auto"/>
            <w:left w:val="none" w:sz="0" w:space="0" w:color="auto"/>
            <w:bottom w:val="none" w:sz="0" w:space="0" w:color="auto"/>
            <w:right w:val="none" w:sz="0" w:space="0" w:color="auto"/>
          </w:divBdr>
        </w:div>
        <w:div w:id="44381186">
          <w:marLeft w:val="0"/>
          <w:marRight w:val="0"/>
          <w:marTop w:val="0"/>
          <w:marBottom w:val="0"/>
          <w:divBdr>
            <w:top w:val="none" w:sz="0" w:space="0" w:color="auto"/>
            <w:left w:val="none" w:sz="0" w:space="0" w:color="auto"/>
            <w:bottom w:val="none" w:sz="0" w:space="0" w:color="auto"/>
            <w:right w:val="none" w:sz="0" w:space="0" w:color="auto"/>
          </w:divBdr>
        </w:div>
        <w:div w:id="115026489">
          <w:marLeft w:val="0"/>
          <w:marRight w:val="0"/>
          <w:marTop w:val="0"/>
          <w:marBottom w:val="0"/>
          <w:divBdr>
            <w:top w:val="none" w:sz="0" w:space="0" w:color="auto"/>
            <w:left w:val="none" w:sz="0" w:space="0" w:color="auto"/>
            <w:bottom w:val="none" w:sz="0" w:space="0" w:color="auto"/>
            <w:right w:val="none" w:sz="0" w:space="0" w:color="auto"/>
          </w:divBdr>
        </w:div>
        <w:div w:id="304313359">
          <w:marLeft w:val="0"/>
          <w:marRight w:val="0"/>
          <w:marTop w:val="0"/>
          <w:marBottom w:val="0"/>
          <w:divBdr>
            <w:top w:val="none" w:sz="0" w:space="0" w:color="auto"/>
            <w:left w:val="none" w:sz="0" w:space="0" w:color="auto"/>
            <w:bottom w:val="none" w:sz="0" w:space="0" w:color="auto"/>
            <w:right w:val="none" w:sz="0" w:space="0" w:color="auto"/>
          </w:divBdr>
        </w:div>
        <w:div w:id="340162523">
          <w:marLeft w:val="0"/>
          <w:marRight w:val="0"/>
          <w:marTop w:val="0"/>
          <w:marBottom w:val="0"/>
          <w:divBdr>
            <w:top w:val="none" w:sz="0" w:space="0" w:color="auto"/>
            <w:left w:val="none" w:sz="0" w:space="0" w:color="auto"/>
            <w:bottom w:val="none" w:sz="0" w:space="0" w:color="auto"/>
            <w:right w:val="none" w:sz="0" w:space="0" w:color="auto"/>
          </w:divBdr>
        </w:div>
        <w:div w:id="404451487">
          <w:marLeft w:val="0"/>
          <w:marRight w:val="0"/>
          <w:marTop w:val="0"/>
          <w:marBottom w:val="0"/>
          <w:divBdr>
            <w:top w:val="none" w:sz="0" w:space="0" w:color="auto"/>
            <w:left w:val="none" w:sz="0" w:space="0" w:color="auto"/>
            <w:bottom w:val="none" w:sz="0" w:space="0" w:color="auto"/>
            <w:right w:val="none" w:sz="0" w:space="0" w:color="auto"/>
          </w:divBdr>
        </w:div>
        <w:div w:id="691759765">
          <w:marLeft w:val="0"/>
          <w:marRight w:val="0"/>
          <w:marTop w:val="0"/>
          <w:marBottom w:val="0"/>
          <w:divBdr>
            <w:top w:val="none" w:sz="0" w:space="0" w:color="auto"/>
            <w:left w:val="none" w:sz="0" w:space="0" w:color="auto"/>
            <w:bottom w:val="none" w:sz="0" w:space="0" w:color="auto"/>
            <w:right w:val="none" w:sz="0" w:space="0" w:color="auto"/>
          </w:divBdr>
        </w:div>
        <w:div w:id="696541523">
          <w:marLeft w:val="0"/>
          <w:marRight w:val="0"/>
          <w:marTop w:val="0"/>
          <w:marBottom w:val="0"/>
          <w:divBdr>
            <w:top w:val="none" w:sz="0" w:space="0" w:color="auto"/>
            <w:left w:val="none" w:sz="0" w:space="0" w:color="auto"/>
            <w:bottom w:val="none" w:sz="0" w:space="0" w:color="auto"/>
            <w:right w:val="none" w:sz="0" w:space="0" w:color="auto"/>
          </w:divBdr>
        </w:div>
        <w:div w:id="718895379">
          <w:marLeft w:val="0"/>
          <w:marRight w:val="0"/>
          <w:marTop w:val="0"/>
          <w:marBottom w:val="0"/>
          <w:divBdr>
            <w:top w:val="none" w:sz="0" w:space="0" w:color="auto"/>
            <w:left w:val="none" w:sz="0" w:space="0" w:color="auto"/>
            <w:bottom w:val="none" w:sz="0" w:space="0" w:color="auto"/>
            <w:right w:val="none" w:sz="0" w:space="0" w:color="auto"/>
          </w:divBdr>
        </w:div>
        <w:div w:id="759909764">
          <w:marLeft w:val="0"/>
          <w:marRight w:val="0"/>
          <w:marTop w:val="0"/>
          <w:marBottom w:val="0"/>
          <w:divBdr>
            <w:top w:val="none" w:sz="0" w:space="0" w:color="auto"/>
            <w:left w:val="none" w:sz="0" w:space="0" w:color="auto"/>
            <w:bottom w:val="none" w:sz="0" w:space="0" w:color="auto"/>
            <w:right w:val="none" w:sz="0" w:space="0" w:color="auto"/>
          </w:divBdr>
        </w:div>
        <w:div w:id="797651655">
          <w:marLeft w:val="0"/>
          <w:marRight w:val="0"/>
          <w:marTop w:val="0"/>
          <w:marBottom w:val="0"/>
          <w:divBdr>
            <w:top w:val="none" w:sz="0" w:space="0" w:color="auto"/>
            <w:left w:val="none" w:sz="0" w:space="0" w:color="auto"/>
            <w:bottom w:val="none" w:sz="0" w:space="0" w:color="auto"/>
            <w:right w:val="none" w:sz="0" w:space="0" w:color="auto"/>
          </w:divBdr>
        </w:div>
        <w:div w:id="926621522">
          <w:marLeft w:val="0"/>
          <w:marRight w:val="0"/>
          <w:marTop w:val="0"/>
          <w:marBottom w:val="0"/>
          <w:divBdr>
            <w:top w:val="none" w:sz="0" w:space="0" w:color="auto"/>
            <w:left w:val="none" w:sz="0" w:space="0" w:color="auto"/>
            <w:bottom w:val="none" w:sz="0" w:space="0" w:color="auto"/>
            <w:right w:val="none" w:sz="0" w:space="0" w:color="auto"/>
          </w:divBdr>
        </w:div>
        <w:div w:id="1334794344">
          <w:marLeft w:val="0"/>
          <w:marRight w:val="0"/>
          <w:marTop w:val="0"/>
          <w:marBottom w:val="0"/>
          <w:divBdr>
            <w:top w:val="none" w:sz="0" w:space="0" w:color="auto"/>
            <w:left w:val="none" w:sz="0" w:space="0" w:color="auto"/>
            <w:bottom w:val="none" w:sz="0" w:space="0" w:color="auto"/>
            <w:right w:val="none" w:sz="0" w:space="0" w:color="auto"/>
          </w:divBdr>
        </w:div>
        <w:div w:id="1505242768">
          <w:marLeft w:val="0"/>
          <w:marRight w:val="0"/>
          <w:marTop w:val="0"/>
          <w:marBottom w:val="0"/>
          <w:divBdr>
            <w:top w:val="none" w:sz="0" w:space="0" w:color="auto"/>
            <w:left w:val="none" w:sz="0" w:space="0" w:color="auto"/>
            <w:bottom w:val="none" w:sz="0" w:space="0" w:color="auto"/>
            <w:right w:val="none" w:sz="0" w:space="0" w:color="auto"/>
          </w:divBdr>
        </w:div>
        <w:div w:id="1727799797">
          <w:marLeft w:val="0"/>
          <w:marRight w:val="0"/>
          <w:marTop w:val="0"/>
          <w:marBottom w:val="0"/>
          <w:divBdr>
            <w:top w:val="none" w:sz="0" w:space="0" w:color="auto"/>
            <w:left w:val="none" w:sz="0" w:space="0" w:color="auto"/>
            <w:bottom w:val="none" w:sz="0" w:space="0" w:color="auto"/>
            <w:right w:val="none" w:sz="0" w:space="0" w:color="auto"/>
          </w:divBdr>
        </w:div>
        <w:div w:id="1792556063">
          <w:marLeft w:val="0"/>
          <w:marRight w:val="0"/>
          <w:marTop w:val="0"/>
          <w:marBottom w:val="0"/>
          <w:divBdr>
            <w:top w:val="none" w:sz="0" w:space="0" w:color="auto"/>
            <w:left w:val="none" w:sz="0" w:space="0" w:color="auto"/>
            <w:bottom w:val="none" w:sz="0" w:space="0" w:color="auto"/>
            <w:right w:val="none" w:sz="0" w:space="0" w:color="auto"/>
          </w:divBdr>
        </w:div>
        <w:div w:id="1853059219">
          <w:marLeft w:val="0"/>
          <w:marRight w:val="0"/>
          <w:marTop w:val="0"/>
          <w:marBottom w:val="0"/>
          <w:divBdr>
            <w:top w:val="none" w:sz="0" w:space="0" w:color="auto"/>
            <w:left w:val="none" w:sz="0" w:space="0" w:color="auto"/>
            <w:bottom w:val="none" w:sz="0" w:space="0" w:color="auto"/>
            <w:right w:val="none" w:sz="0" w:space="0" w:color="auto"/>
          </w:divBdr>
        </w:div>
        <w:div w:id="1997569107">
          <w:marLeft w:val="0"/>
          <w:marRight w:val="0"/>
          <w:marTop w:val="0"/>
          <w:marBottom w:val="0"/>
          <w:divBdr>
            <w:top w:val="none" w:sz="0" w:space="0" w:color="auto"/>
            <w:left w:val="none" w:sz="0" w:space="0" w:color="auto"/>
            <w:bottom w:val="none" w:sz="0" w:space="0" w:color="auto"/>
            <w:right w:val="none" w:sz="0" w:space="0" w:color="auto"/>
          </w:divBdr>
        </w:div>
        <w:div w:id="2027294415">
          <w:marLeft w:val="0"/>
          <w:marRight w:val="0"/>
          <w:marTop w:val="0"/>
          <w:marBottom w:val="0"/>
          <w:divBdr>
            <w:top w:val="none" w:sz="0" w:space="0" w:color="auto"/>
            <w:left w:val="none" w:sz="0" w:space="0" w:color="auto"/>
            <w:bottom w:val="none" w:sz="0" w:space="0" w:color="auto"/>
            <w:right w:val="none" w:sz="0" w:space="0" w:color="auto"/>
          </w:divBdr>
        </w:div>
        <w:div w:id="2068726795">
          <w:marLeft w:val="0"/>
          <w:marRight w:val="0"/>
          <w:marTop w:val="0"/>
          <w:marBottom w:val="0"/>
          <w:divBdr>
            <w:top w:val="none" w:sz="0" w:space="0" w:color="auto"/>
            <w:left w:val="none" w:sz="0" w:space="0" w:color="auto"/>
            <w:bottom w:val="none" w:sz="0" w:space="0" w:color="auto"/>
            <w:right w:val="none" w:sz="0" w:space="0" w:color="auto"/>
          </w:divBdr>
        </w:div>
      </w:divsChild>
    </w:div>
    <w:div w:id="401411176">
      <w:bodyDiv w:val="1"/>
      <w:marLeft w:val="0"/>
      <w:marRight w:val="0"/>
      <w:marTop w:val="0"/>
      <w:marBottom w:val="0"/>
      <w:divBdr>
        <w:top w:val="none" w:sz="0" w:space="0" w:color="auto"/>
        <w:left w:val="none" w:sz="0" w:space="0" w:color="auto"/>
        <w:bottom w:val="none" w:sz="0" w:space="0" w:color="auto"/>
        <w:right w:val="none" w:sz="0" w:space="0" w:color="auto"/>
      </w:divBdr>
    </w:div>
    <w:div w:id="432439038">
      <w:bodyDiv w:val="1"/>
      <w:marLeft w:val="0"/>
      <w:marRight w:val="0"/>
      <w:marTop w:val="0"/>
      <w:marBottom w:val="0"/>
      <w:divBdr>
        <w:top w:val="none" w:sz="0" w:space="0" w:color="auto"/>
        <w:left w:val="none" w:sz="0" w:space="0" w:color="auto"/>
        <w:bottom w:val="none" w:sz="0" w:space="0" w:color="auto"/>
        <w:right w:val="none" w:sz="0" w:space="0" w:color="auto"/>
      </w:divBdr>
    </w:div>
    <w:div w:id="437987985">
      <w:bodyDiv w:val="1"/>
      <w:marLeft w:val="0"/>
      <w:marRight w:val="0"/>
      <w:marTop w:val="0"/>
      <w:marBottom w:val="0"/>
      <w:divBdr>
        <w:top w:val="none" w:sz="0" w:space="0" w:color="auto"/>
        <w:left w:val="none" w:sz="0" w:space="0" w:color="auto"/>
        <w:bottom w:val="none" w:sz="0" w:space="0" w:color="auto"/>
        <w:right w:val="none" w:sz="0" w:space="0" w:color="auto"/>
      </w:divBdr>
      <w:divsChild>
        <w:div w:id="681398230">
          <w:marLeft w:val="0"/>
          <w:marRight w:val="0"/>
          <w:marTop w:val="0"/>
          <w:marBottom w:val="0"/>
          <w:divBdr>
            <w:top w:val="none" w:sz="0" w:space="0" w:color="auto"/>
            <w:left w:val="none" w:sz="0" w:space="0" w:color="auto"/>
            <w:bottom w:val="none" w:sz="0" w:space="0" w:color="auto"/>
            <w:right w:val="none" w:sz="0" w:space="0" w:color="auto"/>
          </w:divBdr>
          <w:divsChild>
            <w:div w:id="133722533">
              <w:marLeft w:val="0"/>
              <w:marRight w:val="0"/>
              <w:marTop w:val="0"/>
              <w:marBottom w:val="0"/>
              <w:divBdr>
                <w:top w:val="none" w:sz="0" w:space="0" w:color="auto"/>
                <w:left w:val="none" w:sz="0" w:space="0" w:color="auto"/>
                <w:bottom w:val="none" w:sz="0" w:space="0" w:color="auto"/>
                <w:right w:val="none" w:sz="0" w:space="0" w:color="auto"/>
              </w:divBdr>
            </w:div>
            <w:div w:id="515315828">
              <w:marLeft w:val="0"/>
              <w:marRight w:val="0"/>
              <w:marTop w:val="0"/>
              <w:marBottom w:val="0"/>
              <w:divBdr>
                <w:top w:val="none" w:sz="0" w:space="0" w:color="auto"/>
                <w:left w:val="none" w:sz="0" w:space="0" w:color="auto"/>
                <w:bottom w:val="none" w:sz="0" w:space="0" w:color="auto"/>
                <w:right w:val="none" w:sz="0" w:space="0" w:color="auto"/>
              </w:divBdr>
            </w:div>
            <w:div w:id="998967393">
              <w:marLeft w:val="0"/>
              <w:marRight w:val="0"/>
              <w:marTop w:val="0"/>
              <w:marBottom w:val="0"/>
              <w:divBdr>
                <w:top w:val="none" w:sz="0" w:space="0" w:color="auto"/>
                <w:left w:val="none" w:sz="0" w:space="0" w:color="auto"/>
                <w:bottom w:val="none" w:sz="0" w:space="0" w:color="auto"/>
                <w:right w:val="none" w:sz="0" w:space="0" w:color="auto"/>
              </w:divBdr>
            </w:div>
            <w:div w:id="1921671798">
              <w:marLeft w:val="0"/>
              <w:marRight w:val="0"/>
              <w:marTop w:val="0"/>
              <w:marBottom w:val="0"/>
              <w:divBdr>
                <w:top w:val="none" w:sz="0" w:space="0" w:color="auto"/>
                <w:left w:val="none" w:sz="0" w:space="0" w:color="auto"/>
                <w:bottom w:val="none" w:sz="0" w:space="0" w:color="auto"/>
                <w:right w:val="none" w:sz="0" w:space="0" w:color="auto"/>
              </w:divBdr>
            </w:div>
          </w:divsChild>
        </w:div>
        <w:div w:id="773985601">
          <w:marLeft w:val="0"/>
          <w:marRight w:val="0"/>
          <w:marTop w:val="0"/>
          <w:marBottom w:val="0"/>
          <w:divBdr>
            <w:top w:val="none" w:sz="0" w:space="0" w:color="auto"/>
            <w:left w:val="none" w:sz="0" w:space="0" w:color="auto"/>
            <w:bottom w:val="none" w:sz="0" w:space="0" w:color="auto"/>
            <w:right w:val="none" w:sz="0" w:space="0" w:color="auto"/>
          </w:divBdr>
          <w:divsChild>
            <w:div w:id="513616680">
              <w:marLeft w:val="0"/>
              <w:marRight w:val="0"/>
              <w:marTop w:val="0"/>
              <w:marBottom w:val="0"/>
              <w:divBdr>
                <w:top w:val="none" w:sz="0" w:space="0" w:color="auto"/>
                <w:left w:val="none" w:sz="0" w:space="0" w:color="auto"/>
                <w:bottom w:val="none" w:sz="0" w:space="0" w:color="auto"/>
                <w:right w:val="none" w:sz="0" w:space="0" w:color="auto"/>
              </w:divBdr>
            </w:div>
            <w:div w:id="1089960663">
              <w:marLeft w:val="0"/>
              <w:marRight w:val="0"/>
              <w:marTop w:val="0"/>
              <w:marBottom w:val="0"/>
              <w:divBdr>
                <w:top w:val="none" w:sz="0" w:space="0" w:color="auto"/>
                <w:left w:val="none" w:sz="0" w:space="0" w:color="auto"/>
                <w:bottom w:val="none" w:sz="0" w:space="0" w:color="auto"/>
                <w:right w:val="none" w:sz="0" w:space="0" w:color="auto"/>
              </w:divBdr>
            </w:div>
            <w:div w:id="1525287938">
              <w:marLeft w:val="0"/>
              <w:marRight w:val="0"/>
              <w:marTop w:val="0"/>
              <w:marBottom w:val="0"/>
              <w:divBdr>
                <w:top w:val="none" w:sz="0" w:space="0" w:color="auto"/>
                <w:left w:val="none" w:sz="0" w:space="0" w:color="auto"/>
                <w:bottom w:val="none" w:sz="0" w:space="0" w:color="auto"/>
                <w:right w:val="none" w:sz="0" w:space="0" w:color="auto"/>
              </w:divBdr>
            </w:div>
            <w:div w:id="1670258028">
              <w:marLeft w:val="0"/>
              <w:marRight w:val="0"/>
              <w:marTop w:val="0"/>
              <w:marBottom w:val="0"/>
              <w:divBdr>
                <w:top w:val="none" w:sz="0" w:space="0" w:color="auto"/>
                <w:left w:val="none" w:sz="0" w:space="0" w:color="auto"/>
                <w:bottom w:val="none" w:sz="0" w:space="0" w:color="auto"/>
                <w:right w:val="none" w:sz="0" w:space="0" w:color="auto"/>
              </w:divBdr>
            </w:div>
            <w:div w:id="1924294199">
              <w:marLeft w:val="0"/>
              <w:marRight w:val="0"/>
              <w:marTop w:val="0"/>
              <w:marBottom w:val="0"/>
              <w:divBdr>
                <w:top w:val="none" w:sz="0" w:space="0" w:color="auto"/>
                <w:left w:val="none" w:sz="0" w:space="0" w:color="auto"/>
                <w:bottom w:val="none" w:sz="0" w:space="0" w:color="auto"/>
                <w:right w:val="none" w:sz="0" w:space="0" w:color="auto"/>
              </w:divBdr>
            </w:div>
          </w:divsChild>
        </w:div>
        <w:div w:id="1215581800">
          <w:marLeft w:val="0"/>
          <w:marRight w:val="0"/>
          <w:marTop w:val="0"/>
          <w:marBottom w:val="0"/>
          <w:divBdr>
            <w:top w:val="none" w:sz="0" w:space="0" w:color="auto"/>
            <w:left w:val="none" w:sz="0" w:space="0" w:color="auto"/>
            <w:bottom w:val="none" w:sz="0" w:space="0" w:color="auto"/>
            <w:right w:val="none" w:sz="0" w:space="0" w:color="auto"/>
          </w:divBdr>
          <w:divsChild>
            <w:div w:id="1067993652">
              <w:marLeft w:val="0"/>
              <w:marRight w:val="0"/>
              <w:marTop w:val="0"/>
              <w:marBottom w:val="0"/>
              <w:divBdr>
                <w:top w:val="none" w:sz="0" w:space="0" w:color="auto"/>
                <w:left w:val="none" w:sz="0" w:space="0" w:color="auto"/>
                <w:bottom w:val="none" w:sz="0" w:space="0" w:color="auto"/>
                <w:right w:val="none" w:sz="0" w:space="0" w:color="auto"/>
              </w:divBdr>
            </w:div>
          </w:divsChild>
        </w:div>
        <w:div w:id="1513453273">
          <w:marLeft w:val="0"/>
          <w:marRight w:val="0"/>
          <w:marTop w:val="0"/>
          <w:marBottom w:val="0"/>
          <w:divBdr>
            <w:top w:val="none" w:sz="0" w:space="0" w:color="auto"/>
            <w:left w:val="none" w:sz="0" w:space="0" w:color="auto"/>
            <w:bottom w:val="none" w:sz="0" w:space="0" w:color="auto"/>
            <w:right w:val="none" w:sz="0" w:space="0" w:color="auto"/>
          </w:divBdr>
          <w:divsChild>
            <w:div w:id="1247693391">
              <w:marLeft w:val="0"/>
              <w:marRight w:val="0"/>
              <w:marTop w:val="0"/>
              <w:marBottom w:val="0"/>
              <w:divBdr>
                <w:top w:val="none" w:sz="0" w:space="0" w:color="auto"/>
                <w:left w:val="none" w:sz="0" w:space="0" w:color="auto"/>
                <w:bottom w:val="none" w:sz="0" w:space="0" w:color="auto"/>
                <w:right w:val="none" w:sz="0" w:space="0" w:color="auto"/>
              </w:divBdr>
            </w:div>
            <w:div w:id="1391460354">
              <w:marLeft w:val="0"/>
              <w:marRight w:val="0"/>
              <w:marTop w:val="0"/>
              <w:marBottom w:val="0"/>
              <w:divBdr>
                <w:top w:val="none" w:sz="0" w:space="0" w:color="auto"/>
                <w:left w:val="none" w:sz="0" w:space="0" w:color="auto"/>
                <w:bottom w:val="none" w:sz="0" w:space="0" w:color="auto"/>
                <w:right w:val="none" w:sz="0" w:space="0" w:color="auto"/>
              </w:divBdr>
            </w:div>
            <w:div w:id="1586960893">
              <w:marLeft w:val="0"/>
              <w:marRight w:val="0"/>
              <w:marTop w:val="0"/>
              <w:marBottom w:val="0"/>
              <w:divBdr>
                <w:top w:val="none" w:sz="0" w:space="0" w:color="auto"/>
                <w:left w:val="none" w:sz="0" w:space="0" w:color="auto"/>
                <w:bottom w:val="none" w:sz="0" w:space="0" w:color="auto"/>
                <w:right w:val="none" w:sz="0" w:space="0" w:color="auto"/>
              </w:divBdr>
            </w:div>
            <w:div w:id="2031685024">
              <w:marLeft w:val="0"/>
              <w:marRight w:val="0"/>
              <w:marTop w:val="0"/>
              <w:marBottom w:val="0"/>
              <w:divBdr>
                <w:top w:val="none" w:sz="0" w:space="0" w:color="auto"/>
                <w:left w:val="none" w:sz="0" w:space="0" w:color="auto"/>
                <w:bottom w:val="none" w:sz="0" w:space="0" w:color="auto"/>
                <w:right w:val="none" w:sz="0" w:space="0" w:color="auto"/>
              </w:divBdr>
            </w:div>
          </w:divsChild>
        </w:div>
        <w:div w:id="1574119536">
          <w:marLeft w:val="0"/>
          <w:marRight w:val="0"/>
          <w:marTop w:val="0"/>
          <w:marBottom w:val="0"/>
          <w:divBdr>
            <w:top w:val="none" w:sz="0" w:space="0" w:color="auto"/>
            <w:left w:val="none" w:sz="0" w:space="0" w:color="auto"/>
            <w:bottom w:val="none" w:sz="0" w:space="0" w:color="auto"/>
            <w:right w:val="none" w:sz="0" w:space="0" w:color="auto"/>
          </w:divBdr>
          <w:divsChild>
            <w:div w:id="536160761">
              <w:marLeft w:val="0"/>
              <w:marRight w:val="0"/>
              <w:marTop w:val="0"/>
              <w:marBottom w:val="0"/>
              <w:divBdr>
                <w:top w:val="none" w:sz="0" w:space="0" w:color="auto"/>
                <w:left w:val="none" w:sz="0" w:space="0" w:color="auto"/>
                <w:bottom w:val="none" w:sz="0" w:space="0" w:color="auto"/>
                <w:right w:val="none" w:sz="0" w:space="0" w:color="auto"/>
              </w:divBdr>
            </w:div>
          </w:divsChild>
        </w:div>
        <w:div w:id="1634824027">
          <w:marLeft w:val="0"/>
          <w:marRight w:val="0"/>
          <w:marTop w:val="0"/>
          <w:marBottom w:val="0"/>
          <w:divBdr>
            <w:top w:val="none" w:sz="0" w:space="0" w:color="auto"/>
            <w:left w:val="none" w:sz="0" w:space="0" w:color="auto"/>
            <w:bottom w:val="none" w:sz="0" w:space="0" w:color="auto"/>
            <w:right w:val="none" w:sz="0" w:space="0" w:color="auto"/>
          </w:divBdr>
          <w:divsChild>
            <w:div w:id="445347406">
              <w:marLeft w:val="0"/>
              <w:marRight w:val="0"/>
              <w:marTop w:val="0"/>
              <w:marBottom w:val="0"/>
              <w:divBdr>
                <w:top w:val="none" w:sz="0" w:space="0" w:color="auto"/>
                <w:left w:val="none" w:sz="0" w:space="0" w:color="auto"/>
                <w:bottom w:val="none" w:sz="0" w:space="0" w:color="auto"/>
                <w:right w:val="none" w:sz="0" w:space="0" w:color="auto"/>
              </w:divBdr>
            </w:div>
            <w:div w:id="11299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60">
      <w:bodyDiv w:val="1"/>
      <w:marLeft w:val="0"/>
      <w:marRight w:val="0"/>
      <w:marTop w:val="0"/>
      <w:marBottom w:val="0"/>
      <w:divBdr>
        <w:top w:val="none" w:sz="0" w:space="0" w:color="auto"/>
        <w:left w:val="none" w:sz="0" w:space="0" w:color="auto"/>
        <w:bottom w:val="none" w:sz="0" w:space="0" w:color="auto"/>
        <w:right w:val="none" w:sz="0" w:space="0" w:color="auto"/>
      </w:divBdr>
    </w:div>
    <w:div w:id="468789117">
      <w:bodyDiv w:val="1"/>
      <w:marLeft w:val="0"/>
      <w:marRight w:val="0"/>
      <w:marTop w:val="0"/>
      <w:marBottom w:val="0"/>
      <w:divBdr>
        <w:top w:val="none" w:sz="0" w:space="0" w:color="auto"/>
        <w:left w:val="none" w:sz="0" w:space="0" w:color="auto"/>
        <w:bottom w:val="none" w:sz="0" w:space="0" w:color="auto"/>
        <w:right w:val="none" w:sz="0" w:space="0" w:color="auto"/>
      </w:divBdr>
    </w:div>
    <w:div w:id="471366113">
      <w:bodyDiv w:val="1"/>
      <w:marLeft w:val="0"/>
      <w:marRight w:val="0"/>
      <w:marTop w:val="0"/>
      <w:marBottom w:val="0"/>
      <w:divBdr>
        <w:top w:val="none" w:sz="0" w:space="0" w:color="auto"/>
        <w:left w:val="none" w:sz="0" w:space="0" w:color="auto"/>
        <w:bottom w:val="none" w:sz="0" w:space="0" w:color="auto"/>
        <w:right w:val="none" w:sz="0" w:space="0" w:color="auto"/>
      </w:divBdr>
    </w:div>
    <w:div w:id="540943224">
      <w:bodyDiv w:val="1"/>
      <w:marLeft w:val="0"/>
      <w:marRight w:val="0"/>
      <w:marTop w:val="0"/>
      <w:marBottom w:val="0"/>
      <w:divBdr>
        <w:top w:val="none" w:sz="0" w:space="0" w:color="auto"/>
        <w:left w:val="none" w:sz="0" w:space="0" w:color="auto"/>
        <w:bottom w:val="none" w:sz="0" w:space="0" w:color="auto"/>
        <w:right w:val="none" w:sz="0" w:space="0" w:color="auto"/>
      </w:divBdr>
    </w:div>
    <w:div w:id="545603261">
      <w:bodyDiv w:val="1"/>
      <w:marLeft w:val="0"/>
      <w:marRight w:val="0"/>
      <w:marTop w:val="0"/>
      <w:marBottom w:val="0"/>
      <w:divBdr>
        <w:top w:val="none" w:sz="0" w:space="0" w:color="auto"/>
        <w:left w:val="none" w:sz="0" w:space="0" w:color="auto"/>
        <w:bottom w:val="none" w:sz="0" w:space="0" w:color="auto"/>
        <w:right w:val="none" w:sz="0" w:space="0" w:color="auto"/>
      </w:divBdr>
      <w:divsChild>
        <w:div w:id="1378318941">
          <w:marLeft w:val="0"/>
          <w:marRight w:val="0"/>
          <w:marTop w:val="0"/>
          <w:marBottom w:val="0"/>
          <w:divBdr>
            <w:top w:val="none" w:sz="0" w:space="0" w:color="auto"/>
            <w:left w:val="none" w:sz="0" w:space="0" w:color="auto"/>
            <w:bottom w:val="none" w:sz="0" w:space="0" w:color="auto"/>
            <w:right w:val="none" w:sz="0" w:space="0" w:color="auto"/>
          </w:divBdr>
        </w:div>
        <w:div w:id="1911884665">
          <w:marLeft w:val="0"/>
          <w:marRight w:val="0"/>
          <w:marTop w:val="0"/>
          <w:marBottom w:val="0"/>
          <w:divBdr>
            <w:top w:val="none" w:sz="0" w:space="0" w:color="auto"/>
            <w:left w:val="none" w:sz="0" w:space="0" w:color="auto"/>
            <w:bottom w:val="none" w:sz="0" w:space="0" w:color="auto"/>
            <w:right w:val="none" w:sz="0" w:space="0" w:color="auto"/>
          </w:divBdr>
        </w:div>
      </w:divsChild>
    </w:div>
    <w:div w:id="548997116">
      <w:bodyDiv w:val="1"/>
      <w:marLeft w:val="0"/>
      <w:marRight w:val="0"/>
      <w:marTop w:val="0"/>
      <w:marBottom w:val="0"/>
      <w:divBdr>
        <w:top w:val="none" w:sz="0" w:space="0" w:color="auto"/>
        <w:left w:val="none" w:sz="0" w:space="0" w:color="auto"/>
        <w:bottom w:val="none" w:sz="0" w:space="0" w:color="auto"/>
        <w:right w:val="none" w:sz="0" w:space="0" w:color="auto"/>
      </w:divBdr>
    </w:div>
    <w:div w:id="717361308">
      <w:bodyDiv w:val="1"/>
      <w:marLeft w:val="0"/>
      <w:marRight w:val="0"/>
      <w:marTop w:val="0"/>
      <w:marBottom w:val="0"/>
      <w:divBdr>
        <w:top w:val="none" w:sz="0" w:space="0" w:color="auto"/>
        <w:left w:val="none" w:sz="0" w:space="0" w:color="auto"/>
        <w:bottom w:val="none" w:sz="0" w:space="0" w:color="auto"/>
        <w:right w:val="none" w:sz="0" w:space="0" w:color="auto"/>
      </w:divBdr>
    </w:div>
    <w:div w:id="755134975">
      <w:bodyDiv w:val="1"/>
      <w:marLeft w:val="0"/>
      <w:marRight w:val="0"/>
      <w:marTop w:val="0"/>
      <w:marBottom w:val="0"/>
      <w:divBdr>
        <w:top w:val="none" w:sz="0" w:space="0" w:color="auto"/>
        <w:left w:val="none" w:sz="0" w:space="0" w:color="auto"/>
        <w:bottom w:val="none" w:sz="0" w:space="0" w:color="auto"/>
        <w:right w:val="none" w:sz="0" w:space="0" w:color="auto"/>
      </w:divBdr>
      <w:divsChild>
        <w:div w:id="35132555">
          <w:marLeft w:val="0"/>
          <w:marRight w:val="0"/>
          <w:marTop w:val="0"/>
          <w:marBottom w:val="0"/>
          <w:divBdr>
            <w:top w:val="none" w:sz="0" w:space="0" w:color="auto"/>
            <w:left w:val="none" w:sz="0" w:space="0" w:color="auto"/>
            <w:bottom w:val="none" w:sz="0" w:space="0" w:color="auto"/>
            <w:right w:val="none" w:sz="0" w:space="0" w:color="auto"/>
          </w:divBdr>
          <w:divsChild>
            <w:div w:id="146365871">
              <w:marLeft w:val="0"/>
              <w:marRight w:val="0"/>
              <w:marTop w:val="0"/>
              <w:marBottom w:val="0"/>
              <w:divBdr>
                <w:top w:val="none" w:sz="0" w:space="0" w:color="auto"/>
                <w:left w:val="none" w:sz="0" w:space="0" w:color="auto"/>
                <w:bottom w:val="none" w:sz="0" w:space="0" w:color="auto"/>
                <w:right w:val="none" w:sz="0" w:space="0" w:color="auto"/>
              </w:divBdr>
            </w:div>
            <w:div w:id="232930201">
              <w:marLeft w:val="0"/>
              <w:marRight w:val="0"/>
              <w:marTop w:val="0"/>
              <w:marBottom w:val="0"/>
              <w:divBdr>
                <w:top w:val="none" w:sz="0" w:space="0" w:color="auto"/>
                <w:left w:val="none" w:sz="0" w:space="0" w:color="auto"/>
                <w:bottom w:val="none" w:sz="0" w:space="0" w:color="auto"/>
                <w:right w:val="none" w:sz="0" w:space="0" w:color="auto"/>
              </w:divBdr>
            </w:div>
            <w:div w:id="268054260">
              <w:marLeft w:val="0"/>
              <w:marRight w:val="0"/>
              <w:marTop w:val="0"/>
              <w:marBottom w:val="0"/>
              <w:divBdr>
                <w:top w:val="none" w:sz="0" w:space="0" w:color="auto"/>
                <w:left w:val="none" w:sz="0" w:space="0" w:color="auto"/>
                <w:bottom w:val="none" w:sz="0" w:space="0" w:color="auto"/>
                <w:right w:val="none" w:sz="0" w:space="0" w:color="auto"/>
              </w:divBdr>
            </w:div>
            <w:div w:id="499351301">
              <w:marLeft w:val="0"/>
              <w:marRight w:val="0"/>
              <w:marTop w:val="0"/>
              <w:marBottom w:val="0"/>
              <w:divBdr>
                <w:top w:val="none" w:sz="0" w:space="0" w:color="auto"/>
                <w:left w:val="none" w:sz="0" w:space="0" w:color="auto"/>
                <w:bottom w:val="none" w:sz="0" w:space="0" w:color="auto"/>
                <w:right w:val="none" w:sz="0" w:space="0" w:color="auto"/>
              </w:divBdr>
            </w:div>
            <w:div w:id="1235705339">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1624580821">
              <w:marLeft w:val="0"/>
              <w:marRight w:val="0"/>
              <w:marTop w:val="0"/>
              <w:marBottom w:val="0"/>
              <w:divBdr>
                <w:top w:val="none" w:sz="0" w:space="0" w:color="auto"/>
                <w:left w:val="none" w:sz="0" w:space="0" w:color="auto"/>
                <w:bottom w:val="none" w:sz="0" w:space="0" w:color="auto"/>
                <w:right w:val="none" w:sz="0" w:space="0" w:color="auto"/>
              </w:divBdr>
            </w:div>
            <w:div w:id="1684163947">
              <w:marLeft w:val="0"/>
              <w:marRight w:val="0"/>
              <w:marTop w:val="0"/>
              <w:marBottom w:val="0"/>
              <w:divBdr>
                <w:top w:val="none" w:sz="0" w:space="0" w:color="auto"/>
                <w:left w:val="none" w:sz="0" w:space="0" w:color="auto"/>
                <w:bottom w:val="none" w:sz="0" w:space="0" w:color="auto"/>
                <w:right w:val="none" w:sz="0" w:space="0" w:color="auto"/>
              </w:divBdr>
            </w:div>
            <w:div w:id="2067798510">
              <w:marLeft w:val="0"/>
              <w:marRight w:val="0"/>
              <w:marTop w:val="0"/>
              <w:marBottom w:val="0"/>
              <w:divBdr>
                <w:top w:val="none" w:sz="0" w:space="0" w:color="auto"/>
                <w:left w:val="none" w:sz="0" w:space="0" w:color="auto"/>
                <w:bottom w:val="none" w:sz="0" w:space="0" w:color="auto"/>
                <w:right w:val="none" w:sz="0" w:space="0" w:color="auto"/>
              </w:divBdr>
            </w:div>
            <w:div w:id="2076194059">
              <w:marLeft w:val="0"/>
              <w:marRight w:val="0"/>
              <w:marTop w:val="0"/>
              <w:marBottom w:val="0"/>
              <w:divBdr>
                <w:top w:val="none" w:sz="0" w:space="0" w:color="auto"/>
                <w:left w:val="none" w:sz="0" w:space="0" w:color="auto"/>
                <w:bottom w:val="none" w:sz="0" w:space="0" w:color="auto"/>
                <w:right w:val="none" w:sz="0" w:space="0" w:color="auto"/>
              </w:divBdr>
            </w:div>
          </w:divsChild>
        </w:div>
        <w:div w:id="219099897">
          <w:marLeft w:val="0"/>
          <w:marRight w:val="0"/>
          <w:marTop w:val="0"/>
          <w:marBottom w:val="0"/>
          <w:divBdr>
            <w:top w:val="none" w:sz="0" w:space="0" w:color="auto"/>
            <w:left w:val="none" w:sz="0" w:space="0" w:color="auto"/>
            <w:bottom w:val="none" w:sz="0" w:space="0" w:color="auto"/>
            <w:right w:val="none" w:sz="0" w:space="0" w:color="auto"/>
          </w:divBdr>
          <w:divsChild>
            <w:div w:id="49303517">
              <w:marLeft w:val="0"/>
              <w:marRight w:val="0"/>
              <w:marTop w:val="0"/>
              <w:marBottom w:val="0"/>
              <w:divBdr>
                <w:top w:val="none" w:sz="0" w:space="0" w:color="auto"/>
                <w:left w:val="none" w:sz="0" w:space="0" w:color="auto"/>
                <w:bottom w:val="none" w:sz="0" w:space="0" w:color="auto"/>
                <w:right w:val="none" w:sz="0" w:space="0" w:color="auto"/>
              </w:divBdr>
            </w:div>
            <w:div w:id="161900198">
              <w:marLeft w:val="0"/>
              <w:marRight w:val="0"/>
              <w:marTop w:val="0"/>
              <w:marBottom w:val="0"/>
              <w:divBdr>
                <w:top w:val="none" w:sz="0" w:space="0" w:color="auto"/>
                <w:left w:val="none" w:sz="0" w:space="0" w:color="auto"/>
                <w:bottom w:val="none" w:sz="0" w:space="0" w:color="auto"/>
                <w:right w:val="none" w:sz="0" w:space="0" w:color="auto"/>
              </w:divBdr>
            </w:div>
            <w:div w:id="1458990791">
              <w:marLeft w:val="0"/>
              <w:marRight w:val="0"/>
              <w:marTop w:val="0"/>
              <w:marBottom w:val="0"/>
              <w:divBdr>
                <w:top w:val="none" w:sz="0" w:space="0" w:color="auto"/>
                <w:left w:val="none" w:sz="0" w:space="0" w:color="auto"/>
                <w:bottom w:val="none" w:sz="0" w:space="0" w:color="auto"/>
                <w:right w:val="none" w:sz="0" w:space="0" w:color="auto"/>
              </w:divBdr>
            </w:div>
            <w:div w:id="1516580677">
              <w:marLeft w:val="0"/>
              <w:marRight w:val="0"/>
              <w:marTop w:val="0"/>
              <w:marBottom w:val="0"/>
              <w:divBdr>
                <w:top w:val="none" w:sz="0" w:space="0" w:color="auto"/>
                <w:left w:val="none" w:sz="0" w:space="0" w:color="auto"/>
                <w:bottom w:val="none" w:sz="0" w:space="0" w:color="auto"/>
                <w:right w:val="none" w:sz="0" w:space="0" w:color="auto"/>
              </w:divBdr>
            </w:div>
            <w:div w:id="2054310314">
              <w:marLeft w:val="0"/>
              <w:marRight w:val="0"/>
              <w:marTop w:val="0"/>
              <w:marBottom w:val="0"/>
              <w:divBdr>
                <w:top w:val="none" w:sz="0" w:space="0" w:color="auto"/>
                <w:left w:val="none" w:sz="0" w:space="0" w:color="auto"/>
                <w:bottom w:val="none" w:sz="0" w:space="0" w:color="auto"/>
                <w:right w:val="none" w:sz="0" w:space="0" w:color="auto"/>
              </w:divBdr>
            </w:div>
            <w:div w:id="2109083114">
              <w:marLeft w:val="0"/>
              <w:marRight w:val="0"/>
              <w:marTop w:val="0"/>
              <w:marBottom w:val="0"/>
              <w:divBdr>
                <w:top w:val="none" w:sz="0" w:space="0" w:color="auto"/>
                <w:left w:val="none" w:sz="0" w:space="0" w:color="auto"/>
                <w:bottom w:val="none" w:sz="0" w:space="0" w:color="auto"/>
                <w:right w:val="none" w:sz="0" w:space="0" w:color="auto"/>
              </w:divBdr>
            </w:div>
          </w:divsChild>
        </w:div>
        <w:div w:id="851990356">
          <w:marLeft w:val="0"/>
          <w:marRight w:val="0"/>
          <w:marTop w:val="0"/>
          <w:marBottom w:val="0"/>
          <w:divBdr>
            <w:top w:val="none" w:sz="0" w:space="0" w:color="auto"/>
            <w:left w:val="none" w:sz="0" w:space="0" w:color="auto"/>
            <w:bottom w:val="none" w:sz="0" w:space="0" w:color="auto"/>
            <w:right w:val="none" w:sz="0" w:space="0" w:color="auto"/>
          </w:divBdr>
          <w:divsChild>
            <w:div w:id="115605893">
              <w:marLeft w:val="0"/>
              <w:marRight w:val="0"/>
              <w:marTop w:val="0"/>
              <w:marBottom w:val="0"/>
              <w:divBdr>
                <w:top w:val="none" w:sz="0" w:space="0" w:color="auto"/>
                <w:left w:val="none" w:sz="0" w:space="0" w:color="auto"/>
                <w:bottom w:val="none" w:sz="0" w:space="0" w:color="auto"/>
                <w:right w:val="none" w:sz="0" w:space="0" w:color="auto"/>
              </w:divBdr>
            </w:div>
            <w:div w:id="194268385">
              <w:marLeft w:val="0"/>
              <w:marRight w:val="0"/>
              <w:marTop w:val="0"/>
              <w:marBottom w:val="0"/>
              <w:divBdr>
                <w:top w:val="none" w:sz="0" w:space="0" w:color="auto"/>
                <w:left w:val="none" w:sz="0" w:space="0" w:color="auto"/>
                <w:bottom w:val="none" w:sz="0" w:space="0" w:color="auto"/>
                <w:right w:val="none" w:sz="0" w:space="0" w:color="auto"/>
              </w:divBdr>
            </w:div>
            <w:div w:id="469784041">
              <w:marLeft w:val="0"/>
              <w:marRight w:val="0"/>
              <w:marTop w:val="0"/>
              <w:marBottom w:val="0"/>
              <w:divBdr>
                <w:top w:val="none" w:sz="0" w:space="0" w:color="auto"/>
                <w:left w:val="none" w:sz="0" w:space="0" w:color="auto"/>
                <w:bottom w:val="none" w:sz="0" w:space="0" w:color="auto"/>
                <w:right w:val="none" w:sz="0" w:space="0" w:color="auto"/>
              </w:divBdr>
            </w:div>
            <w:div w:id="1259800437">
              <w:marLeft w:val="0"/>
              <w:marRight w:val="0"/>
              <w:marTop w:val="0"/>
              <w:marBottom w:val="0"/>
              <w:divBdr>
                <w:top w:val="none" w:sz="0" w:space="0" w:color="auto"/>
                <w:left w:val="none" w:sz="0" w:space="0" w:color="auto"/>
                <w:bottom w:val="none" w:sz="0" w:space="0" w:color="auto"/>
                <w:right w:val="none" w:sz="0" w:space="0" w:color="auto"/>
              </w:divBdr>
            </w:div>
            <w:div w:id="1438253714">
              <w:marLeft w:val="0"/>
              <w:marRight w:val="0"/>
              <w:marTop w:val="0"/>
              <w:marBottom w:val="0"/>
              <w:divBdr>
                <w:top w:val="none" w:sz="0" w:space="0" w:color="auto"/>
                <w:left w:val="none" w:sz="0" w:space="0" w:color="auto"/>
                <w:bottom w:val="none" w:sz="0" w:space="0" w:color="auto"/>
                <w:right w:val="none" w:sz="0" w:space="0" w:color="auto"/>
              </w:divBdr>
            </w:div>
            <w:div w:id="1686050380">
              <w:marLeft w:val="0"/>
              <w:marRight w:val="0"/>
              <w:marTop w:val="0"/>
              <w:marBottom w:val="0"/>
              <w:divBdr>
                <w:top w:val="none" w:sz="0" w:space="0" w:color="auto"/>
                <w:left w:val="none" w:sz="0" w:space="0" w:color="auto"/>
                <w:bottom w:val="none" w:sz="0" w:space="0" w:color="auto"/>
                <w:right w:val="none" w:sz="0" w:space="0" w:color="auto"/>
              </w:divBdr>
            </w:div>
            <w:div w:id="1717776417">
              <w:marLeft w:val="0"/>
              <w:marRight w:val="0"/>
              <w:marTop w:val="0"/>
              <w:marBottom w:val="0"/>
              <w:divBdr>
                <w:top w:val="none" w:sz="0" w:space="0" w:color="auto"/>
                <w:left w:val="none" w:sz="0" w:space="0" w:color="auto"/>
                <w:bottom w:val="none" w:sz="0" w:space="0" w:color="auto"/>
                <w:right w:val="none" w:sz="0" w:space="0" w:color="auto"/>
              </w:divBdr>
            </w:div>
            <w:div w:id="1809056021">
              <w:marLeft w:val="0"/>
              <w:marRight w:val="0"/>
              <w:marTop w:val="0"/>
              <w:marBottom w:val="0"/>
              <w:divBdr>
                <w:top w:val="none" w:sz="0" w:space="0" w:color="auto"/>
                <w:left w:val="none" w:sz="0" w:space="0" w:color="auto"/>
                <w:bottom w:val="none" w:sz="0" w:space="0" w:color="auto"/>
                <w:right w:val="none" w:sz="0" w:space="0" w:color="auto"/>
              </w:divBdr>
            </w:div>
            <w:div w:id="2027052589">
              <w:marLeft w:val="0"/>
              <w:marRight w:val="0"/>
              <w:marTop w:val="0"/>
              <w:marBottom w:val="0"/>
              <w:divBdr>
                <w:top w:val="none" w:sz="0" w:space="0" w:color="auto"/>
                <w:left w:val="none" w:sz="0" w:space="0" w:color="auto"/>
                <w:bottom w:val="none" w:sz="0" w:space="0" w:color="auto"/>
                <w:right w:val="none" w:sz="0" w:space="0" w:color="auto"/>
              </w:divBdr>
            </w:div>
            <w:div w:id="2066249655">
              <w:marLeft w:val="0"/>
              <w:marRight w:val="0"/>
              <w:marTop w:val="0"/>
              <w:marBottom w:val="0"/>
              <w:divBdr>
                <w:top w:val="none" w:sz="0" w:space="0" w:color="auto"/>
                <w:left w:val="none" w:sz="0" w:space="0" w:color="auto"/>
                <w:bottom w:val="none" w:sz="0" w:space="0" w:color="auto"/>
                <w:right w:val="none" w:sz="0" w:space="0" w:color="auto"/>
              </w:divBdr>
            </w:div>
          </w:divsChild>
        </w:div>
        <w:div w:id="913201585">
          <w:marLeft w:val="0"/>
          <w:marRight w:val="0"/>
          <w:marTop w:val="0"/>
          <w:marBottom w:val="0"/>
          <w:divBdr>
            <w:top w:val="none" w:sz="0" w:space="0" w:color="auto"/>
            <w:left w:val="none" w:sz="0" w:space="0" w:color="auto"/>
            <w:bottom w:val="none" w:sz="0" w:space="0" w:color="auto"/>
            <w:right w:val="none" w:sz="0" w:space="0" w:color="auto"/>
          </w:divBdr>
          <w:divsChild>
            <w:div w:id="177501430">
              <w:marLeft w:val="0"/>
              <w:marRight w:val="0"/>
              <w:marTop w:val="0"/>
              <w:marBottom w:val="0"/>
              <w:divBdr>
                <w:top w:val="none" w:sz="0" w:space="0" w:color="auto"/>
                <w:left w:val="none" w:sz="0" w:space="0" w:color="auto"/>
                <w:bottom w:val="none" w:sz="0" w:space="0" w:color="auto"/>
                <w:right w:val="none" w:sz="0" w:space="0" w:color="auto"/>
              </w:divBdr>
            </w:div>
            <w:div w:id="698167716">
              <w:marLeft w:val="0"/>
              <w:marRight w:val="0"/>
              <w:marTop w:val="0"/>
              <w:marBottom w:val="0"/>
              <w:divBdr>
                <w:top w:val="none" w:sz="0" w:space="0" w:color="auto"/>
                <w:left w:val="none" w:sz="0" w:space="0" w:color="auto"/>
                <w:bottom w:val="none" w:sz="0" w:space="0" w:color="auto"/>
                <w:right w:val="none" w:sz="0" w:space="0" w:color="auto"/>
              </w:divBdr>
            </w:div>
          </w:divsChild>
        </w:div>
        <w:div w:id="999043480">
          <w:marLeft w:val="0"/>
          <w:marRight w:val="0"/>
          <w:marTop w:val="0"/>
          <w:marBottom w:val="0"/>
          <w:divBdr>
            <w:top w:val="none" w:sz="0" w:space="0" w:color="auto"/>
            <w:left w:val="none" w:sz="0" w:space="0" w:color="auto"/>
            <w:bottom w:val="none" w:sz="0" w:space="0" w:color="auto"/>
            <w:right w:val="none" w:sz="0" w:space="0" w:color="auto"/>
          </w:divBdr>
          <w:divsChild>
            <w:div w:id="298531162">
              <w:marLeft w:val="0"/>
              <w:marRight w:val="0"/>
              <w:marTop w:val="0"/>
              <w:marBottom w:val="0"/>
              <w:divBdr>
                <w:top w:val="none" w:sz="0" w:space="0" w:color="auto"/>
                <w:left w:val="none" w:sz="0" w:space="0" w:color="auto"/>
                <w:bottom w:val="none" w:sz="0" w:space="0" w:color="auto"/>
                <w:right w:val="none" w:sz="0" w:space="0" w:color="auto"/>
              </w:divBdr>
            </w:div>
          </w:divsChild>
        </w:div>
        <w:div w:id="1035498301">
          <w:marLeft w:val="0"/>
          <w:marRight w:val="0"/>
          <w:marTop w:val="0"/>
          <w:marBottom w:val="0"/>
          <w:divBdr>
            <w:top w:val="none" w:sz="0" w:space="0" w:color="auto"/>
            <w:left w:val="none" w:sz="0" w:space="0" w:color="auto"/>
            <w:bottom w:val="none" w:sz="0" w:space="0" w:color="auto"/>
            <w:right w:val="none" w:sz="0" w:space="0" w:color="auto"/>
          </w:divBdr>
          <w:divsChild>
            <w:div w:id="2139570266">
              <w:marLeft w:val="0"/>
              <w:marRight w:val="0"/>
              <w:marTop w:val="0"/>
              <w:marBottom w:val="0"/>
              <w:divBdr>
                <w:top w:val="none" w:sz="0" w:space="0" w:color="auto"/>
                <w:left w:val="none" w:sz="0" w:space="0" w:color="auto"/>
                <w:bottom w:val="none" w:sz="0" w:space="0" w:color="auto"/>
                <w:right w:val="none" w:sz="0" w:space="0" w:color="auto"/>
              </w:divBdr>
            </w:div>
          </w:divsChild>
        </w:div>
        <w:div w:id="1156796130">
          <w:marLeft w:val="0"/>
          <w:marRight w:val="0"/>
          <w:marTop w:val="0"/>
          <w:marBottom w:val="0"/>
          <w:divBdr>
            <w:top w:val="none" w:sz="0" w:space="0" w:color="auto"/>
            <w:left w:val="none" w:sz="0" w:space="0" w:color="auto"/>
            <w:bottom w:val="none" w:sz="0" w:space="0" w:color="auto"/>
            <w:right w:val="none" w:sz="0" w:space="0" w:color="auto"/>
          </w:divBdr>
          <w:divsChild>
            <w:div w:id="983580594">
              <w:marLeft w:val="0"/>
              <w:marRight w:val="0"/>
              <w:marTop w:val="0"/>
              <w:marBottom w:val="0"/>
              <w:divBdr>
                <w:top w:val="none" w:sz="0" w:space="0" w:color="auto"/>
                <w:left w:val="none" w:sz="0" w:space="0" w:color="auto"/>
                <w:bottom w:val="none" w:sz="0" w:space="0" w:color="auto"/>
                <w:right w:val="none" w:sz="0" w:space="0" w:color="auto"/>
              </w:divBdr>
            </w:div>
          </w:divsChild>
        </w:div>
        <w:div w:id="1421901528">
          <w:marLeft w:val="0"/>
          <w:marRight w:val="0"/>
          <w:marTop w:val="0"/>
          <w:marBottom w:val="0"/>
          <w:divBdr>
            <w:top w:val="none" w:sz="0" w:space="0" w:color="auto"/>
            <w:left w:val="none" w:sz="0" w:space="0" w:color="auto"/>
            <w:bottom w:val="none" w:sz="0" w:space="0" w:color="auto"/>
            <w:right w:val="none" w:sz="0" w:space="0" w:color="auto"/>
          </w:divBdr>
          <w:divsChild>
            <w:div w:id="511918826">
              <w:marLeft w:val="0"/>
              <w:marRight w:val="0"/>
              <w:marTop w:val="0"/>
              <w:marBottom w:val="0"/>
              <w:divBdr>
                <w:top w:val="none" w:sz="0" w:space="0" w:color="auto"/>
                <w:left w:val="none" w:sz="0" w:space="0" w:color="auto"/>
                <w:bottom w:val="none" w:sz="0" w:space="0" w:color="auto"/>
                <w:right w:val="none" w:sz="0" w:space="0" w:color="auto"/>
              </w:divBdr>
            </w:div>
            <w:div w:id="914586178">
              <w:marLeft w:val="0"/>
              <w:marRight w:val="0"/>
              <w:marTop w:val="0"/>
              <w:marBottom w:val="0"/>
              <w:divBdr>
                <w:top w:val="none" w:sz="0" w:space="0" w:color="auto"/>
                <w:left w:val="none" w:sz="0" w:space="0" w:color="auto"/>
                <w:bottom w:val="none" w:sz="0" w:space="0" w:color="auto"/>
                <w:right w:val="none" w:sz="0" w:space="0" w:color="auto"/>
              </w:divBdr>
            </w:div>
            <w:div w:id="1420906552">
              <w:marLeft w:val="0"/>
              <w:marRight w:val="0"/>
              <w:marTop w:val="0"/>
              <w:marBottom w:val="0"/>
              <w:divBdr>
                <w:top w:val="none" w:sz="0" w:space="0" w:color="auto"/>
                <w:left w:val="none" w:sz="0" w:space="0" w:color="auto"/>
                <w:bottom w:val="none" w:sz="0" w:space="0" w:color="auto"/>
                <w:right w:val="none" w:sz="0" w:space="0" w:color="auto"/>
              </w:divBdr>
            </w:div>
            <w:div w:id="1427537597">
              <w:marLeft w:val="0"/>
              <w:marRight w:val="0"/>
              <w:marTop w:val="0"/>
              <w:marBottom w:val="0"/>
              <w:divBdr>
                <w:top w:val="none" w:sz="0" w:space="0" w:color="auto"/>
                <w:left w:val="none" w:sz="0" w:space="0" w:color="auto"/>
                <w:bottom w:val="none" w:sz="0" w:space="0" w:color="auto"/>
                <w:right w:val="none" w:sz="0" w:space="0" w:color="auto"/>
              </w:divBdr>
            </w:div>
            <w:div w:id="1712072873">
              <w:marLeft w:val="0"/>
              <w:marRight w:val="0"/>
              <w:marTop w:val="0"/>
              <w:marBottom w:val="0"/>
              <w:divBdr>
                <w:top w:val="none" w:sz="0" w:space="0" w:color="auto"/>
                <w:left w:val="none" w:sz="0" w:space="0" w:color="auto"/>
                <w:bottom w:val="none" w:sz="0" w:space="0" w:color="auto"/>
                <w:right w:val="none" w:sz="0" w:space="0" w:color="auto"/>
              </w:divBdr>
            </w:div>
            <w:div w:id="1811170621">
              <w:marLeft w:val="0"/>
              <w:marRight w:val="0"/>
              <w:marTop w:val="0"/>
              <w:marBottom w:val="0"/>
              <w:divBdr>
                <w:top w:val="none" w:sz="0" w:space="0" w:color="auto"/>
                <w:left w:val="none" w:sz="0" w:space="0" w:color="auto"/>
                <w:bottom w:val="none" w:sz="0" w:space="0" w:color="auto"/>
                <w:right w:val="none" w:sz="0" w:space="0" w:color="auto"/>
              </w:divBdr>
            </w:div>
          </w:divsChild>
        </w:div>
        <w:div w:id="1432359360">
          <w:marLeft w:val="0"/>
          <w:marRight w:val="0"/>
          <w:marTop w:val="0"/>
          <w:marBottom w:val="0"/>
          <w:divBdr>
            <w:top w:val="none" w:sz="0" w:space="0" w:color="auto"/>
            <w:left w:val="none" w:sz="0" w:space="0" w:color="auto"/>
            <w:bottom w:val="none" w:sz="0" w:space="0" w:color="auto"/>
            <w:right w:val="none" w:sz="0" w:space="0" w:color="auto"/>
          </w:divBdr>
          <w:divsChild>
            <w:div w:id="153766475">
              <w:marLeft w:val="0"/>
              <w:marRight w:val="0"/>
              <w:marTop w:val="0"/>
              <w:marBottom w:val="0"/>
              <w:divBdr>
                <w:top w:val="none" w:sz="0" w:space="0" w:color="auto"/>
                <w:left w:val="none" w:sz="0" w:space="0" w:color="auto"/>
                <w:bottom w:val="none" w:sz="0" w:space="0" w:color="auto"/>
                <w:right w:val="none" w:sz="0" w:space="0" w:color="auto"/>
              </w:divBdr>
            </w:div>
            <w:div w:id="386800388">
              <w:marLeft w:val="0"/>
              <w:marRight w:val="0"/>
              <w:marTop w:val="0"/>
              <w:marBottom w:val="0"/>
              <w:divBdr>
                <w:top w:val="none" w:sz="0" w:space="0" w:color="auto"/>
                <w:left w:val="none" w:sz="0" w:space="0" w:color="auto"/>
                <w:bottom w:val="none" w:sz="0" w:space="0" w:color="auto"/>
                <w:right w:val="none" w:sz="0" w:space="0" w:color="auto"/>
              </w:divBdr>
            </w:div>
            <w:div w:id="537818454">
              <w:marLeft w:val="0"/>
              <w:marRight w:val="0"/>
              <w:marTop w:val="0"/>
              <w:marBottom w:val="0"/>
              <w:divBdr>
                <w:top w:val="none" w:sz="0" w:space="0" w:color="auto"/>
                <w:left w:val="none" w:sz="0" w:space="0" w:color="auto"/>
                <w:bottom w:val="none" w:sz="0" w:space="0" w:color="auto"/>
                <w:right w:val="none" w:sz="0" w:space="0" w:color="auto"/>
              </w:divBdr>
            </w:div>
            <w:div w:id="1024480698">
              <w:marLeft w:val="0"/>
              <w:marRight w:val="0"/>
              <w:marTop w:val="0"/>
              <w:marBottom w:val="0"/>
              <w:divBdr>
                <w:top w:val="none" w:sz="0" w:space="0" w:color="auto"/>
                <w:left w:val="none" w:sz="0" w:space="0" w:color="auto"/>
                <w:bottom w:val="none" w:sz="0" w:space="0" w:color="auto"/>
                <w:right w:val="none" w:sz="0" w:space="0" w:color="auto"/>
              </w:divBdr>
            </w:div>
            <w:div w:id="1253972949">
              <w:marLeft w:val="0"/>
              <w:marRight w:val="0"/>
              <w:marTop w:val="0"/>
              <w:marBottom w:val="0"/>
              <w:divBdr>
                <w:top w:val="none" w:sz="0" w:space="0" w:color="auto"/>
                <w:left w:val="none" w:sz="0" w:space="0" w:color="auto"/>
                <w:bottom w:val="none" w:sz="0" w:space="0" w:color="auto"/>
                <w:right w:val="none" w:sz="0" w:space="0" w:color="auto"/>
              </w:divBdr>
            </w:div>
            <w:div w:id="1330868161">
              <w:marLeft w:val="0"/>
              <w:marRight w:val="0"/>
              <w:marTop w:val="0"/>
              <w:marBottom w:val="0"/>
              <w:divBdr>
                <w:top w:val="none" w:sz="0" w:space="0" w:color="auto"/>
                <w:left w:val="none" w:sz="0" w:space="0" w:color="auto"/>
                <w:bottom w:val="none" w:sz="0" w:space="0" w:color="auto"/>
                <w:right w:val="none" w:sz="0" w:space="0" w:color="auto"/>
              </w:divBdr>
            </w:div>
            <w:div w:id="1412967436">
              <w:marLeft w:val="0"/>
              <w:marRight w:val="0"/>
              <w:marTop w:val="0"/>
              <w:marBottom w:val="0"/>
              <w:divBdr>
                <w:top w:val="none" w:sz="0" w:space="0" w:color="auto"/>
                <w:left w:val="none" w:sz="0" w:space="0" w:color="auto"/>
                <w:bottom w:val="none" w:sz="0" w:space="0" w:color="auto"/>
                <w:right w:val="none" w:sz="0" w:space="0" w:color="auto"/>
              </w:divBdr>
            </w:div>
            <w:div w:id="1586181084">
              <w:marLeft w:val="0"/>
              <w:marRight w:val="0"/>
              <w:marTop w:val="0"/>
              <w:marBottom w:val="0"/>
              <w:divBdr>
                <w:top w:val="none" w:sz="0" w:space="0" w:color="auto"/>
                <w:left w:val="none" w:sz="0" w:space="0" w:color="auto"/>
                <w:bottom w:val="none" w:sz="0" w:space="0" w:color="auto"/>
                <w:right w:val="none" w:sz="0" w:space="0" w:color="auto"/>
              </w:divBdr>
            </w:div>
            <w:div w:id="1865095792">
              <w:marLeft w:val="0"/>
              <w:marRight w:val="0"/>
              <w:marTop w:val="0"/>
              <w:marBottom w:val="0"/>
              <w:divBdr>
                <w:top w:val="none" w:sz="0" w:space="0" w:color="auto"/>
                <w:left w:val="none" w:sz="0" w:space="0" w:color="auto"/>
                <w:bottom w:val="none" w:sz="0" w:space="0" w:color="auto"/>
                <w:right w:val="none" w:sz="0" w:space="0" w:color="auto"/>
              </w:divBdr>
            </w:div>
            <w:div w:id="1868058281">
              <w:marLeft w:val="0"/>
              <w:marRight w:val="0"/>
              <w:marTop w:val="0"/>
              <w:marBottom w:val="0"/>
              <w:divBdr>
                <w:top w:val="none" w:sz="0" w:space="0" w:color="auto"/>
                <w:left w:val="none" w:sz="0" w:space="0" w:color="auto"/>
                <w:bottom w:val="none" w:sz="0" w:space="0" w:color="auto"/>
                <w:right w:val="none" w:sz="0" w:space="0" w:color="auto"/>
              </w:divBdr>
            </w:div>
          </w:divsChild>
        </w:div>
        <w:div w:id="1540629710">
          <w:marLeft w:val="0"/>
          <w:marRight w:val="0"/>
          <w:marTop w:val="0"/>
          <w:marBottom w:val="0"/>
          <w:divBdr>
            <w:top w:val="none" w:sz="0" w:space="0" w:color="auto"/>
            <w:left w:val="none" w:sz="0" w:space="0" w:color="auto"/>
            <w:bottom w:val="none" w:sz="0" w:space="0" w:color="auto"/>
            <w:right w:val="none" w:sz="0" w:space="0" w:color="auto"/>
          </w:divBdr>
          <w:divsChild>
            <w:div w:id="220143584">
              <w:marLeft w:val="0"/>
              <w:marRight w:val="0"/>
              <w:marTop w:val="0"/>
              <w:marBottom w:val="0"/>
              <w:divBdr>
                <w:top w:val="none" w:sz="0" w:space="0" w:color="auto"/>
                <w:left w:val="none" w:sz="0" w:space="0" w:color="auto"/>
                <w:bottom w:val="none" w:sz="0" w:space="0" w:color="auto"/>
                <w:right w:val="none" w:sz="0" w:space="0" w:color="auto"/>
              </w:divBdr>
            </w:div>
            <w:div w:id="355428159">
              <w:marLeft w:val="0"/>
              <w:marRight w:val="0"/>
              <w:marTop w:val="0"/>
              <w:marBottom w:val="0"/>
              <w:divBdr>
                <w:top w:val="none" w:sz="0" w:space="0" w:color="auto"/>
                <w:left w:val="none" w:sz="0" w:space="0" w:color="auto"/>
                <w:bottom w:val="none" w:sz="0" w:space="0" w:color="auto"/>
                <w:right w:val="none" w:sz="0" w:space="0" w:color="auto"/>
              </w:divBdr>
            </w:div>
            <w:div w:id="453914993">
              <w:marLeft w:val="0"/>
              <w:marRight w:val="0"/>
              <w:marTop w:val="0"/>
              <w:marBottom w:val="0"/>
              <w:divBdr>
                <w:top w:val="none" w:sz="0" w:space="0" w:color="auto"/>
                <w:left w:val="none" w:sz="0" w:space="0" w:color="auto"/>
                <w:bottom w:val="none" w:sz="0" w:space="0" w:color="auto"/>
                <w:right w:val="none" w:sz="0" w:space="0" w:color="auto"/>
              </w:divBdr>
            </w:div>
            <w:div w:id="637690020">
              <w:marLeft w:val="0"/>
              <w:marRight w:val="0"/>
              <w:marTop w:val="0"/>
              <w:marBottom w:val="0"/>
              <w:divBdr>
                <w:top w:val="none" w:sz="0" w:space="0" w:color="auto"/>
                <w:left w:val="none" w:sz="0" w:space="0" w:color="auto"/>
                <w:bottom w:val="none" w:sz="0" w:space="0" w:color="auto"/>
                <w:right w:val="none" w:sz="0" w:space="0" w:color="auto"/>
              </w:divBdr>
            </w:div>
            <w:div w:id="1349140815">
              <w:marLeft w:val="0"/>
              <w:marRight w:val="0"/>
              <w:marTop w:val="0"/>
              <w:marBottom w:val="0"/>
              <w:divBdr>
                <w:top w:val="none" w:sz="0" w:space="0" w:color="auto"/>
                <w:left w:val="none" w:sz="0" w:space="0" w:color="auto"/>
                <w:bottom w:val="none" w:sz="0" w:space="0" w:color="auto"/>
                <w:right w:val="none" w:sz="0" w:space="0" w:color="auto"/>
              </w:divBdr>
            </w:div>
            <w:div w:id="1495299679">
              <w:marLeft w:val="0"/>
              <w:marRight w:val="0"/>
              <w:marTop w:val="0"/>
              <w:marBottom w:val="0"/>
              <w:divBdr>
                <w:top w:val="none" w:sz="0" w:space="0" w:color="auto"/>
                <w:left w:val="none" w:sz="0" w:space="0" w:color="auto"/>
                <w:bottom w:val="none" w:sz="0" w:space="0" w:color="auto"/>
                <w:right w:val="none" w:sz="0" w:space="0" w:color="auto"/>
              </w:divBdr>
            </w:div>
            <w:div w:id="1630821104">
              <w:marLeft w:val="0"/>
              <w:marRight w:val="0"/>
              <w:marTop w:val="0"/>
              <w:marBottom w:val="0"/>
              <w:divBdr>
                <w:top w:val="none" w:sz="0" w:space="0" w:color="auto"/>
                <w:left w:val="none" w:sz="0" w:space="0" w:color="auto"/>
                <w:bottom w:val="none" w:sz="0" w:space="0" w:color="auto"/>
                <w:right w:val="none" w:sz="0" w:space="0" w:color="auto"/>
              </w:divBdr>
            </w:div>
          </w:divsChild>
        </w:div>
        <w:div w:id="1663923027">
          <w:marLeft w:val="0"/>
          <w:marRight w:val="0"/>
          <w:marTop w:val="0"/>
          <w:marBottom w:val="0"/>
          <w:divBdr>
            <w:top w:val="none" w:sz="0" w:space="0" w:color="auto"/>
            <w:left w:val="none" w:sz="0" w:space="0" w:color="auto"/>
            <w:bottom w:val="none" w:sz="0" w:space="0" w:color="auto"/>
            <w:right w:val="none" w:sz="0" w:space="0" w:color="auto"/>
          </w:divBdr>
          <w:divsChild>
            <w:div w:id="1306010307">
              <w:marLeft w:val="0"/>
              <w:marRight w:val="0"/>
              <w:marTop w:val="0"/>
              <w:marBottom w:val="0"/>
              <w:divBdr>
                <w:top w:val="none" w:sz="0" w:space="0" w:color="auto"/>
                <w:left w:val="none" w:sz="0" w:space="0" w:color="auto"/>
                <w:bottom w:val="none" w:sz="0" w:space="0" w:color="auto"/>
                <w:right w:val="none" w:sz="0" w:space="0" w:color="auto"/>
              </w:divBdr>
            </w:div>
          </w:divsChild>
        </w:div>
        <w:div w:id="1669744729">
          <w:marLeft w:val="0"/>
          <w:marRight w:val="0"/>
          <w:marTop w:val="0"/>
          <w:marBottom w:val="0"/>
          <w:divBdr>
            <w:top w:val="none" w:sz="0" w:space="0" w:color="auto"/>
            <w:left w:val="none" w:sz="0" w:space="0" w:color="auto"/>
            <w:bottom w:val="none" w:sz="0" w:space="0" w:color="auto"/>
            <w:right w:val="none" w:sz="0" w:space="0" w:color="auto"/>
          </w:divBdr>
          <w:divsChild>
            <w:div w:id="1546330804">
              <w:marLeft w:val="0"/>
              <w:marRight w:val="0"/>
              <w:marTop w:val="0"/>
              <w:marBottom w:val="0"/>
              <w:divBdr>
                <w:top w:val="none" w:sz="0" w:space="0" w:color="auto"/>
                <w:left w:val="none" w:sz="0" w:space="0" w:color="auto"/>
                <w:bottom w:val="none" w:sz="0" w:space="0" w:color="auto"/>
                <w:right w:val="none" w:sz="0" w:space="0" w:color="auto"/>
              </w:divBdr>
            </w:div>
          </w:divsChild>
        </w:div>
        <w:div w:id="1719276061">
          <w:marLeft w:val="0"/>
          <w:marRight w:val="0"/>
          <w:marTop w:val="0"/>
          <w:marBottom w:val="0"/>
          <w:divBdr>
            <w:top w:val="none" w:sz="0" w:space="0" w:color="auto"/>
            <w:left w:val="none" w:sz="0" w:space="0" w:color="auto"/>
            <w:bottom w:val="none" w:sz="0" w:space="0" w:color="auto"/>
            <w:right w:val="none" w:sz="0" w:space="0" w:color="auto"/>
          </w:divBdr>
          <w:divsChild>
            <w:div w:id="127208891">
              <w:marLeft w:val="0"/>
              <w:marRight w:val="0"/>
              <w:marTop w:val="0"/>
              <w:marBottom w:val="0"/>
              <w:divBdr>
                <w:top w:val="none" w:sz="0" w:space="0" w:color="auto"/>
                <w:left w:val="none" w:sz="0" w:space="0" w:color="auto"/>
                <w:bottom w:val="none" w:sz="0" w:space="0" w:color="auto"/>
                <w:right w:val="none" w:sz="0" w:space="0" w:color="auto"/>
              </w:divBdr>
            </w:div>
            <w:div w:id="280452655">
              <w:marLeft w:val="0"/>
              <w:marRight w:val="0"/>
              <w:marTop w:val="0"/>
              <w:marBottom w:val="0"/>
              <w:divBdr>
                <w:top w:val="none" w:sz="0" w:space="0" w:color="auto"/>
                <w:left w:val="none" w:sz="0" w:space="0" w:color="auto"/>
                <w:bottom w:val="none" w:sz="0" w:space="0" w:color="auto"/>
                <w:right w:val="none" w:sz="0" w:space="0" w:color="auto"/>
              </w:divBdr>
            </w:div>
            <w:div w:id="1296327941">
              <w:marLeft w:val="0"/>
              <w:marRight w:val="0"/>
              <w:marTop w:val="0"/>
              <w:marBottom w:val="0"/>
              <w:divBdr>
                <w:top w:val="none" w:sz="0" w:space="0" w:color="auto"/>
                <w:left w:val="none" w:sz="0" w:space="0" w:color="auto"/>
                <w:bottom w:val="none" w:sz="0" w:space="0" w:color="auto"/>
                <w:right w:val="none" w:sz="0" w:space="0" w:color="auto"/>
              </w:divBdr>
            </w:div>
            <w:div w:id="1541212720">
              <w:marLeft w:val="0"/>
              <w:marRight w:val="0"/>
              <w:marTop w:val="0"/>
              <w:marBottom w:val="0"/>
              <w:divBdr>
                <w:top w:val="none" w:sz="0" w:space="0" w:color="auto"/>
                <w:left w:val="none" w:sz="0" w:space="0" w:color="auto"/>
                <w:bottom w:val="none" w:sz="0" w:space="0" w:color="auto"/>
                <w:right w:val="none" w:sz="0" w:space="0" w:color="auto"/>
              </w:divBdr>
            </w:div>
            <w:div w:id="1584954523">
              <w:marLeft w:val="0"/>
              <w:marRight w:val="0"/>
              <w:marTop w:val="0"/>
              <w:marBottom w:val="0"/>
              <w:divBdr>
                <w:top w:val="none" w:sz="0" w:space="0" w:color="auto"/>
                <w:left w:val="none" w:sz="0" w:space="0" w:color="auto"/>
                <w:bottom w:val="none" w:sz="0" w:space="0" w:color="auto"/>
                <w:right w:val="none" w:sz="0" w:space="0" w:color="auto"/>
              </w:divBdr>
            </w:div>
          </w:divsChild>
        </w:div>
        <w:div w:id="1755007736">
          <w:marLeft w:val="0"/>
          <w:marRight w:val="0"/>
          <w:marTop w:val="0"/>
          <w:marBottom w:val="0"/>
          <w:divBdr>
            <w:top w:val="none" w:sz="0" w:space="0" w:color="auto"/>
            <w:left w:val="none" w:sz="0" w:space="0" w:color="auto"/>
            <w:bottom w:val="none" w:sz="0" w:space="0" w:color="auto"/>
            <w:right w:val="none" w:sz="0" w:space="0" w:color="auto"/>
          </w:divBdr>
          <w:divsChild>
            <w:div w:id="335693582">
              <w:marLeft w:val="0"/>
              <w:marRight w:val="0"/>
              <w:marTop w:val="0"/>
              <w:marBottom w:val="0"/>
              <w:divBdr>
                <w:top w:val="none" w:sz="0" w:space="0" w:color="auto"/>
                <w:left w:val="none" w:sz="0" w:space="0" w:color="auto"/>
                <w:bottom w:val="none" w:sz="0" w:space="0" w:color="auto"/>
                <w:right w:val="none" w:sz="0" w:space="0" w:color="auto"/>
              </w:divBdr>
            </w:div>
            <w:div w:id="1919173133">
              <w:marLeft w:val="0"/>
              <w:marRight w:val="0"/>
              <w:marTop w:val="0"/>
              <w:marBottom w:val="0"/>
              <w:divBdr>
                <w:top w:val="none" w:sz="0" w:space="0" w:color="auto"/>
                <w:left w:val="none" w:sz="0" w:space="0" w:color="auto"/>
                <w:bottom w:val="none" w:sz="0" w:space="0" w:color="auto"/>
                <w:right w:val="none" w:sz="0" w:space="0" w:color="auto"/>
              </w:divBdr>
            </w:div>
          </w:divsChild>
        </w:div>
        <w:div w:id="2059088155">
          <w:marLeft w:val="0"/>
          <w:marRight w:val="0"/>
          <w:marTop w:val="0"/>
          <w:marBottom w:val="0"/>
          <w:divBdr>
            <w:top w:val="none" w:sz="0" w:space="0" w:color="auto"/>
            <w:left w:val="none" w:sz="0" w:space="0" w:color="auto"/>
            <w:bottom w:val="none" w:sz="0" w:space="0" w:color="auto"/>
            <w:right w:val="none" w:sz="0" w:space="0" w:color="auto"/>
          </w:divBdr>
          <w:divsChild>
            <w:div w:id="43918026">
              <w:marLeft w:val="0"/>
              <w:marRight w:val="0"/>
              <w:marTop w:val="0"/>
              <w:marBottom w:val="0"/>
              <w:divBdr>
                <w:top w:val="none" w:sz="0" w:space="0" w:color="auto"/>
                <w:left w:val="none" w:sz="0" w:space="0" w:color="auto"/>
                <w:bottom w:val="none" w:sz="0" w:space="0" w:color="auto"/>
                <w:right w:val="none" w:sz="0" w:space="0" w:color="auto"/>
              </w:divBdr>
            </w:div>
            <w:div w:id="152261965">
              <w:marLeft w:val="0"/>
              <w:marRight w:val="0"/>
              <w:marTop w:val="0"/>
              <w:marBottom w:val="0"/>
              <w:divBdr>
                <w:top w:val="none" w:sz="0" w:space="0" w:color="auto"/>
                <w:left w:val="none" w:sz="0" w:space="0" w:color="auto"/>
                <w:bottom w:val="none" w:sz="0" w:space="0" w:color="auto"/>
                <w:right w:val="none" w:sz="0" w:space="0" w:color="auto"/>
              </w:divBdr>
            </w:div>
            <w:div w:id="421342802">
              <w:marLeft w:val="0"/>
              <w:marRight w:val="0"/>
              <w:marTop w:val="0"/>
              <w:marBottom w:val="0"/>
              <w:divBdr>
                <w:top w:val="none" w:sz="0" w:space="0" w:color="auto"/>
                <w:left w:val="none" w:sz="0" w:space="0" w:color="auto"/>
                <w:bottom w:val="none" w:sz="0" w:space="0" w:color="auto"/>
                <w:right w:val="none" w:sz="0" w:space="0" w:color="auto"/>
              </w:divBdr>
            </w:div>
            <w:div w:id="497040092">
              <w:marLeft w:val="0"/>
              <w:marRight w:val="0"/>
              <w:marTop w:val="0"/>
              <w:marBottom w:val="0"/>
              <w:divBdr>
                <w:top w:val="none" w:sz="0" w:space="0" w:color="auto"/>
                <w:left w:val="none" w:sz="0" w:space="0" w:color="auto"/>
                <w:bottom w:val="none" w:sz="0" w:space="0" w:color="auto"/>
                <w:right w:val="none" w:sz="0" w:space="0" w:color="auto"/>
              </w:divBdr>
            </w:div>
            <w:div w:id="674577946">
              <w:marLeft w:val="0"/>
              <w:marRight w:val="0"/>
              <w:marTop w:val="0"/>
              <w:marBottom w:val="0"/>
              <w:divBdr>
                <w:top w:val="none" w:sz="0" w:space="0" w:color="auto"/>
                <w:left w:val="none" w:sz="0" w:space="0" w:color="auto"/>
                <w:bottom w:val="none" w:sz="0" w:space="0" w:color="auto"/>
                <w:right w:val="none" w:sz="0" w:space="0" w:color="auto"/>
              </w:divBdr>
            </w:div>
            <w:div w:id="741097355">
              <w:marLeft w:val="0"/>
              <w:marRight w:val="0"/>
              <w:marTop w:val="0"/>
              <w:marBottom w:val="0"/>
              <w:divBdr>
                <w:top w:val="none" w:sz="0" w:space="0" w:color="auto"/>
                <w:left w:val="none" w:sz="0" w:space="0" w:color="auto"/>
                <w:bottom w:val="none" w:sz="0" w:space="0" w:color="auto"/>
                <w:right w:val="none" w:sz="0" w:space="0" w:color="auto"/>
              </w:divBdr>
            </w:div>
            <w:div w:id="964769958">
              <w:marLeft w:val="0"/>
              <w:marRight w:val="0"/>
              <w:marTop w:val="0"/>
              <w:marBottom w:val="0"/>
              <w:divBdr>
                <w:top w:val="none" w:sz="0" w:space="0" w:color="auto"/>
                <w:left w:val="none" w:sz="0" w:space="0" w:color="auto"/>
                <w:bottom w:val="none" w:sz="0" w:space="0" w:color="auto"/>
                <w:right w:val="none" w:sz="0" w:space="0" w:color="auto"/>
              </w:divBdr>
            </w:div>
            <w:div w:id="1463888802">
              <w:marLeft w:val="0"/>
              <w:marRight w:val="0"/>
              <w:marTop w:val="0"/>
              <w:marBottom w:val="0"/>
              <w:divBdr>
                <w:top w:val="none" w:sz="0" w:space="0" w:color="auto"/>
                <w:left w:val="none" w:sz="0" w:space="0" w:color="auto"/>
                <w:bottom w:val="none" w:sz="0" w:space="0" w:color="auto"/>
                <w:right w:val="none" w:sz="0" w:space="0" w:color="auto"/>
              </w:divBdr>
            </w:div>
            <w:div w:id="2046904605">
              <w:marLeft w:val="0"/>
              <w:marRight w:val="0"/>
              <w:marTop w:val="0"/>
              <w:marBottom w:val="0"/>
              <w:divBdr>
                <w:top w:val="none" w:sz="0" w:space="0" w:color="auto"/>
                <w:left w:val="none" w:sz="0" w:space="0" w:color="auto"/>
                <w:bottom w:val="none" w:sz="0" w:space="0" w:color="auto"/>
                <w:right w:val="none" w:sz="0" w:space="0" w:color="auto"/>
              </w:divBdr>
            </w:div>
            <w:div w:id="2115243403">
              <w:marLeft w:val="0"/>
              <w:marRight w:val="0"/>
              <w:marTop w:val="0"/>
              <w:marBottom w:val="0"/>
              <w:divBdr>
                <w:top w:val="none" w:sz="0" w:space="0" w:color="auto"/>
                <w:left w:val="none" w:sz="0" w:space="0" w:color="auto"/>
                <w:bottom w:val="none" w:sz="0" w:space="0" w:color="auto"/>
                <w:right w:val="none" w:sz="0" w:space="0" w:color="auto"/>
              </w:divBdr>
            </w:div>
          </w:divsChild>
        </w:div>
        <w:div w:id="2066097471">
          <w:marLeft w:val="0"/>
          <w:marRight w:val="0"/>
          <w:marTop w:val="0"/>
          <w:marBottom w:val="0"/>
          <w:divBdr>
            <w:top w:val="none" w:sz="0" w:space="0" w:color="auto"/>
            <w:left w:val="none" w:sz="0" w:space="0" w:color="auto"/>
            <w:bottom w:val="none" w:sz="0" w:space="0" w:color="auto"/>
            <w:right w:val="none" w:sz="0" w:space="0" w:color="auto"/>
          </w:divBdr>
          <w:divsChild>
            <w:div w:id="1251350348">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5514">
      <w:bodyDiv w:val="1"/>
      <w:marLeft w:val="0"/>
      <w:marRight w:val="0"/>
      <w:marTop w:val="0"/>
      <w:marBottom w:val="0"/>
      <w:divBdr>
        <w:top w:val="none" w:sz="0" w:space="0" w:color="auto"/>
        <w:left w:val="none" w:sz="0" w:space="0" w:color="auto"/>
        <w:bottom w:val="none" w:sz="0" w:space="0" w:color="auto"/>
        <w:right w:val="none" w:sz="0" w:space="0" w:color="auto"/>
      </w:divBdr>
    </w:div>
    <w:div w:id="817190080">
      <w:bodyDiv w:val="1"/>
      <w:marLeft w:val="0"/>
      <w:marRight w:val="0"/>
      <w:marTop w:val="0"/>
      <w:marBottom w:val="0"/>
      <w:divBdr>
        <w:top w:val="none" w:sz="0" w:space="0" w:color="auto"/>
        <w:left w:val="none" w:sz="0" w:space="0" w:color="auto"/>
        <w:bottom w:val="none" w:sz="0" w:space="0" w:color="auto"/>
        <w:right w:val="none" w:sz="0" w:space="0" w:color="auto"/>
      </w:divBdr>
      <w:divsChild>
        <w:div w:id="131215952">
          <w:marLeft w:val="0"/>
          <w:marRight w:val="0"/>
          <w:marTop w:val="0"/>
          <w:marBottom w:val="0"/>
          <w:divBdr>
            <w:top w:val="none" w:sz="0" w:space="0" w:color="auto"/>
            <w:left w:val="none" w:sz="0" w:space="0" w:color="auto"/>
            <w:bottom w:val="none" w:sz="0" w:space="0" w:color="auto"/>
            <w:right w:val="none" w:sz="0" w:space="0" w:color="auto"/>
          </w:divBdr>
        </w:div>
        <w:div w:id="912467297">
          <w:marLeft w:val="0"/>
          <w:marRight w:val="0"/>
          <w:marTop w:val="0"/>
          <w:marBottom w:val="0"/>
          <w:divBdr>
            <w:top w:val="none" w:sz="0" w:space="0" w:color="auto"/>
            <w:left w:val="none" w:sz="0" w:space="0" w:color="auto"/>
            <w:bottom w:val="none" w:sz="0" w:space="0" w:color="auto"/>
            <w:right w:val="none" w:sz="0" w:space="0" w:color="auto"/>
          </w:divBdr>
        </w:div>
        <w:div w:id="913659050">
          <w:marLeft w:val="0"/>
          <w:marRight w:val="0"/>
          <w:marTop w:val="0"/>
          <w:marBottom w:val="0"/>
          <w:divBdr>
            <w:top w:val="none" w:sz="0" w:space="0" w:color="auto"/>
            <w:left w:val="none" w:sz="0" w:space="0" w:color="auto"/>
            <w:bottom w:val="none" w:sz="0" w:space="0" w:color="auto"/>
            <w:right w:val="none" w:sz="0" w:space="0" w:color="auto"/>
          </w:divBdr>
        </w:div>
        <w:div w:id="1555848365">
          <w:marLeft w:val="0"/>
          <w:marRight w:val="0"/>
          <w:marTop w:val="0"/>
          <w:marBottom w:val="0"/>
          <w:divBdr>
            <w:top w:val="none" w:sz="0" w:space="0" w:color="auto"/>
            <w:left w:val="none" w:sz="0" w:space="0" w:color="auto"/>
            <w:bottom w:val="none" w:sz="0" w:space="0" w:color="auto"/>
            <w:right w:val="none" w:sz="0" w:space="0" w:color="auto"/>
          </w:divBdr>
        </w:div>
        <w:div w:id="1826050877">
          <w:marLeft w:val="0"/>
          <w:marRight w:val="0"/>
          <w:marTop w:val="0"/>
          <w:marBottom w:val="0"/>
          <w:divBdr>
            <w:top w:val="none" w:sz="0" w:space="0" w:color="auto"/>
            <w:left w:val="none" w:sz="0" w:space="0" w:color="auto"/>
            <w:bottom w:val="none" w:sz="0" w:space="0" w:color="auto"/>
            <w:right w:val="none" w:sz="0" w:space="0" w:color="auto"/>
          </w:divBdr>
        </w:div>
        <w:div w:id="1987197447">
          <w:marLeft w:val="0"/>
          <w:marRight w:val="0"/>
          <w:marTop w:val="0"/>
          <w:marBottom w:val="0"/>
          <w:divBdr>
            <w:top w:val="none" w:sz="0" w:space="0" w:color="auto"/>
            <w:left w:val="none" w:sz="0" w:space="0" w:color="auto"/>
            <w:bottom w:val="none" w:sz="0" w:space="0" w:color="auto"/>
            <w:right w:val="none" w:sz="0" w:space="0" w:color="auto"/>
          </w:divBdr>
        </w:div>
      </w:divsChild>
    </w:div>
    <w:div w:id="856579772">
      <w:bodyDiv w:val="1"/>
      <w:marLeft w:val="0"/>
      <w:marRight w:val="0"/>
      <w:marTop w:val="0"/>
      <w:marBottom w:val="0"/>
      <w:divBdr>
        <w:top w:val="none" w:sz="0" w:space="0" w:color="auto"/>
        <w:left w:val="none" w:sz="0" w:space="0" w:color="auto"/>
        <w:bottom w:val="none" w:sz="0" w:space="0" w:color="auto"/>
        <w:right w:val="none" w:sz="0" w:space="0" w:color="auto"/>
      </w:divBdr>
    </w:div>
    <w:div w:id="886722685">
      <w:bodyDiv w:val="1"/>
      <w:marLeft w:val="0"/>
      <w:marRight w:val="0"/>
      <w:marTop w:val="0"/>
      <w:marBottom w:val="0"/>
      <w:divBdr>
        <w:top w:val="none" w:sz="0" w:space="0" w:color="auto"/>
        <w:left w:val="none" w:sz="0" w:space="0" w:color="auto"/>
        <w:bottom w:val="none" w:sz="0" w:space="0" w:color="auto"/>
        <w:right w:val="none" w:sz="0" w:space="0" w:color="auto"/>
      </w:divBdr>
    </w:div>
    <w:div w:id="913314857">
      <w:bodyDiv w:val="1"/>
      <w:marLeft w:val="0"/>
      <w:marRight w:val="0"/>
      <w:marTop w:val="0"/>
      <w:marBottom w:val="0"/>
      <w:divBdr>
        <w:top w:val="none" w:sz="0" w:space="0" w:color="auto"/>
        <w:left w:val="none" w:sz="0" w:space="0" w:color="auto"/>
        <w:bottom w:val="none" w:sz="0" w:space="0" w:color="auto"/>
        <w:right w:val="none" w:sz="0" w:space="0" w:color="auto"/>
      </w:divBdr>
    </w:div>
    <w:div w:id="924192901">
      <w:bodyDiv w:val="1"/>
      <w:marLeft w:val="0"/>
      <w:marRight w:val="0"/>
      <w:marTop w:val="0"/>
      <w:marBottom w:val="0"/>
      <w:divBdr>
        <w:top w:val="none" w:sz="0" w:space="0" w:color="auto"/>
        <w:left w:val="none" w:sz="0" w:space="0" w:color="auto"/>
        <w:bottom w:val="none" w:sz="0" w:space="0" w:color="auto"/>
        <w:right w:val="none" w:sz="0" w:space="0" w:color="auto"/>
      </w:divBdr>
    </w:div>
    <w:div w:id="956445792">
      <w:bodyDiv w:val="1"/>
      <w:marLeft w:val="0"/>
      <w:marRight w:val="0"/>
      <w:marTop w:val="0"/>
      <w:marBottom w:val="0"/>
      <w:divBdr>
        <w:top w:val="none" w:sz="0" w:space="0" w:color="auto"/>
        <w:left w:val="none" w:sz="0" w:space="0" w:color="auto"/>
        <w:bottom w:val="none" w:sz="0" w:space="0" w:color="auto"/>
        <w:right w:val="none" w:sz="0" w:space="0" w:color="auto"/>
      </w:divBdr>
    </w:div>
    <w:div w:id="1055666939">
      <w:bodyDiv w:val="1"/>
      <w:marLeft w:val="0"/>
      <w:marRight w:val="0"/>
      <w:marTop w:val="0"/>
      <w:marBottom w:val="0"/>
      <w:divBdr>
        <w:top w:val="none" w:sz="0" w:space="0" w:color="auto"/>
        <w:left w:val="none" w:sz="0" w:space="0" w:color="auto"/>
        <w:bottom w:val="none" w:sz="0" w:space="0" w:color="auto"/>
        <w:right w:val="none" w:sz="0" w:space="0" w:color="auto"/>
      </w:divBdr>
    </w:div>
    <w:div w:id="1084304413">
      <w:bodyDiv w:val="1"/>
      <w:marLeft w:val="0"/>
      <w:marRight w:val="0"/>
      <w:marTop w:val="0"/>
      <w:marBottom w:val="0"/>
      <w:divBdr>
        <w:top w:val="none" w:sz="0" w:space="0" w:color="auto"/>
        <w:left w:val="none" w:sz="0" w:space="0" w:color="auto"/>
        <w:bottom w:val="none" w:sz="0" w:space="0" w:color="auto"/>
        <w:right w:val="none" w:sz="0" w:space="0" w:color="auto"/>
      </w:divBdr>
      <w:divsChild>
        <w:div w:id="264966665">
          <w:marLeft w:val="0"/>
          <w:marRight w:val="0"/>
          <w:marTop w:val="0"/>
          <w:marBottom w:val="0"/>
          <w:divBdr>
            <w:top w:val="none" w:sz="0" w:space="0" w:color="auto"/>
            <w:left w:val="none" w:sz="0" w:space="0" w:color="auto"/>
            <w:bottom w:val="none" w:sz="0" w:space="0" w:color="auto"/>
            <w:right w:val="none" w:sz="0" w:space="0" w:color="auto"/>
          </w:divBdr>
        </w:div>
        <w:div w:id="604534574">
          <w:marLeft w:val="0"/>
          <w:marRight w:val="0"/>
          <w:marTop w:val="0"/>
          <w:marBottom w:val="0"/>
          <w:divBdr>
            <w:top w:val="none" w:sz="0" w:space="0" w:color="auto"/>
            <w:left w:val="none" w:sz="0" w:space="0" w:color="auto"/>
            <w:bottom w:val="none" w:sz="0" w:space="0" w:color="auto"/>
            <w:right w:val="none" w:sz="0" w:space="0" w:color="auto"/>
          </w:divBdr>
        </w:div>
        <w:div w:id="1052998345">
          <w:marLeft w:val="0"/>
          <w:marRight w:val="0"/>
          <w:marTop w:val="0"/>
          <w:marBottom w:val="0"/>
          <w:divBdr>
            <w:top w:val="none" w:sz="0" w:space="0" w:color="auto"/>
            <w:left w:val="none" w:sz="0" w:space="0" w:color="auto"/>
            <w:bottom w:val="none" w:sz="0" w:space="0" w:color="auto"/>
            <w:right w:val="none" w:sz="0" w:space="0" w:color="auto"/>
          </w:divBdr>
        </w:div>
        <w:div w:id="1792554008">
          <w:marLeft w:val="0"/>
          <w:marRight w:val="0"/>
          <w:marTop w:val="0"/>
          <w:marBottom w:val="0"/>
          <w:divBdr>
            <w:top w:val="none" w:sz="0" w:space="0" w:color="auto"/>
            <w:left w:val="none" w:sz="0" w:space="0" w:color="auto"/>
            <w:bottom w:val="none" w:sz="0" w:space="0" w:color="auto"/>
            <w:right w:val="none" w:sz="0" w:space="0" w:color="auto"/>
          </w:divBdr>
        </w:div>
        <w:div w:id="1961453430">
          <w:marLeft w:val="0"/>
          <w:marRight w:val="0"/>
          <w:marTop w:val="0"/>
          <w:marBottom w:val="0"/>
          <w:divBdr>
            <w:top w:val="none" w:sz="0" w:space="0" w:color="auto"/>
            <w:left w:val="none" w:sz="0" w:space="0" w:color="auto"/>
            <w:bottom w:val="none" w:sz="0" w:space="0" w:color="auto"/>
            <w:right w:val="none" w:sz="0" w:space="0" w:color="auto"/>
          </w:divBdr>
        </w:div>
      </w:divsChild>
    </w:div>
    <w:div w:id="1100298334">
      <w:bodyDiv w:val="1"/>
      <w:marLeft w:val="0"/>
      <w:marRight w:val="0"/>
      <w:marTop w:val="0"/>
      <w:marBottom w:val="0"/>
      <w:divBdr>
        <w:top w:val="none" w:sz="0" w:space="0" w:color="auto"/>
        <w:left w:val="none" w:sz="0" w:space="0" w:color="auto"/>
        <w:bottom w:val="none" w:sz="0" w:space="0" w:color="auto"/>
        <w:right w:val="none" w:sz="0" w:space="0" w:color="auto"/>
      </w:divBdr>
    </w:div>
    <w:div w:id="1112944504">
      <w:bodyDiv w:val="1"/>
      <w:marLeft w:val="0"/>
      <w:marRight w:val="0"/>
      <w:marTop w:val="0"/>
      <w:marBottom w:val="0"/>
      <w:divBdr>
        <w:top w:val="none" w:sz="0" w:space="0" w:color="auto"/>
        <w:left w:val="none" w:sz="0" w:space="0" w:color="auto"/>
        <w:bottom w:val="none" w:sz="0" w:space="0" w:color="auto"/>
        <w:right w:val="none" w:sz="0" w:space="0" w:color="auto"/>
      </w:divBdr>
    </w:div>
    <w:div w:id="1141459751">
      <w:bodyDiv w:val="1"/>
      <w:marLeft w:val="0"/>
      <w:marRight w:val="0"/>
      <w:marTop w:val="0"/>
      <w:marBottom w:val="0"/>
      <w:divBdr>
        <w:top w:val="none" w:sz="0" w:space="0" w:color="auto"/>
        <w:left w:val="none" w:sz="0" w:space="0" w:color="auto"/>
        <w:bottom w:val="none" w:sz="0" w:space="0" w:color="auto"/>
        <w:right w:val="none" w:sz="0" w:space="0" w:color="auto"/>
      </w:divBdr>
    </w:div>
    <w:div w:id="1178613664">
      <w:bodyDiv w:val="1"/>
      <w:marLeft w:val="0"/>
      <w:marRight w:val="0"/>
      <w:marTop w:val="0"/>
      <w:marBottom w:val="0"/>
      <w:divBdr>
        <w:top w:val="none" w:sz="0" w:space="0" w:color="auto"/>
        <w:left w:val="none" w:sz="0" w:space="0" w:color="auto"/>
        <w:bottom w:val="none" w:sz="0" w:space="0" w:color="auto"/>
        <w:right w:val="none" w:sz="0" w:space="0" w:color="auto"/>
      </w:divBdr>
    </w:div>
    <w:div w:id="1203863070">
      <w:bodyDiv w:val="1"/>
      <w:marLeft w:val="0"/>
      <w:marRight w:val="0"/>
      <w:marTop w:val="0"/>
      <w:marBottom w:val="0"/>
      <w:divBdr>
        <w:top w:val="none" w:sz="0" w:space="0" w:color="auto"/>
        <w:left w:val="none" w:sz="0" w:space="0" w:color="auto"/>
        <w:bottom w:val="none" w:sz="0" w:space="0" w:color="auto"/>
        <w:right w:val="none" w:sz="0" w:space="0" w:color="auto"/>
      </w:divBdr>
    </w:div>
    <w:div w:id="1280141445">
      <w:bodyDiv w:val="1"/>
      <w:marLeft w:val="0"/>
      <w:marRight w:val="0"/>
      <w:marTop w:val="0"/>
      <w:marBottom w:val="0"/>
      <w:divBdr>
        <w:top w:val="none" w:sz="0" w:space="0" w:color="auto"/>
        <w:left w:val="none" w:sz="0" w:space="0" w:color="auto"/>
        <w:bottom w:val="none" w:sz="0" w:space="0" w:color="auto"/>
        <w:right w:val="none" w:sz="0" w:space="0" w:color="auto"/>
      </w:divBdr>
    </w:div>
    <w:div w:id="1293173247">
      <w:bodyDiv w:val="1"/>
      <w:marLeft w:val="0"/>
      <w:marRight w:val="0"/>
      <w:marTop w:val="0"/>
      <w:marBottom w:val="0"/>
      <w:divBdr>
        <w:top w:val="none" w:sz="0" w:space="0" w:color="auto"/>
        <w:left w:val="none" w:sz="0" w:space="0" w:color="auto"/>
        <w:bottom w:val="none" w:sz="0" w:space="0" w:color="auto"/>
        <w:right w:val="none" w:sz="0" w:space="0" w:color="auto"/>
      </w:divBdr>
    </w:div>
    <w:div w:id="1293945438">
      <w:bodyDiv w:val="1"/>
      <w:marLeft w:val="0"/>
      <w:marRight w:val="0"/>
      <w:marTop w:val="0"/>
      <w:marBottom w:val="0"/>
      <w:divBdr>
        <w:top w:val="none" w:sz="0" w:space="0" w:color="auto"/>
        <w:left w:val="none" w:sz="0" w:space="0" w:color="auto"/>
        <w:bottom w:val="none" w:sz="0" w:space="0" w:color="auto"/>
        <w:right w:val="none" w:sz="0" w:space="0" w:color="auto"/>
      </w:divBdr>
      <w:divsChild>
        <w:div w:id="601373635">
          <w:marLeft w:val="0"/>
          <w:marRight w:val="0"/>
          <w:marTop w:val="0"/>
          <w:marBottom w:val="0"/>
          <w:divBdr>
            <w:top w:val="none" w:sz="0" w:space="0" w:color="auto"/>
            <w:left w:val="none" w:sz="0" w:space="0" w:color="auto"/>
            <w:bottom w:val="none" w:sz="0" w:space="0" w:color="auto"/>
            <w:right w:val="none" w:sz="0" w:space="0" w:color="auto"/>
          </w:divBdr>
        </w:div>
        <w:div w:id="2009287199">
          <w:marLeft w:val="0"/>
          <w:marRight w:val="0"/>
          <w:marTop w:val="0"/>
          <w:marBottom w:val="0"/>
          <w:divBdr>
            <w:top w:val="none" w:sz="0" w:space="0" w:color="auto"/>
            <w:left w:val="none" w:sz="0" w:space="0" w:color="auto"/>
            <w:bottom w:val="none" w:sz="0" w:space="0" w:color="auto"/>
            <w:right w:val="none" w:sz="0" w:space="0" w:color="auto"/>
          </w:divBdr>
        </w:div>
      </w:divsChild>
    </w:div>
    <w:div w:id="1332683991">
      <w:bodyDiv w:val="1"/>
      <w:marLeft w:val="0"/>
      <w:marRight w:val="0"/>
      <w:marTop w:val="0"/>
      <w:marBottom w:val="0"/>
      <w:divBdr>
        <w:top w:val="none" w:sz="0" w:space="0" w:color="auto"/>
        <w:left w:val="none" w:sz="0" w:space="0" w:color="auto"/>
        <w:bottom w:val="none" w:sz="0" w:space="0" w:color="auto"/>
        <w:right w:val="none" w:sz="0" w:space="0" w:color="auto"/>
      </w:divBdr>
    </w:div>
    <w:div w:id="1345860988">
      <w:bodyDiv w:val="1"/>
      <w:marLeft w:val="0"/>
      <w:marRight w:val="0"/>
      <w:marTop w:val="0"/>
      <w:marBottom w:val="0"/>
      <w:divBdr>
        <w:top w:val="none" w:sz="0" w:space="0" w:color="auto"/>
        <w:left w:val="none" w:sz="0" w:space="0" w:color="auto"/>
        <w:bottom w:val="none" w:sz="0" w:space="0" w:color="auto"/>
        <w:right w:val="none" w:sz="0" w:space="0" w:color="auto"/>
      </w:divBdr>
    </w:div>
    <w:div w:id="1383405502">
      <w:bodyDiv w:val="1"/>
      <w:marLeft w:val="0"/>
      <w:marRight w:val="0"/>
      <w:marTop w:val="0"/>
      <w:marBottom w:val="0"/>
      <w:divBdr>
        <w:top w:val="none" w:sz="0" w:space="0" w:color="auto"/>
        <w:left w:val="none" w:sz="0" w:space="0" w:color="auto"/>
        <w:bottom w:val="none" w:sz="0" w:space="0" w:color="auto"/>
        <w:right w:val="none" w:sz="0" w:space="0" w:color="auto"/>
      </w:divBdr>
    </w:div>
    <w:div w:id="1441339122">
      <w:bodyDiv w:val="1"/>
      <w:marLeft w:val="0"/>
      <w:marRight w:val="0"/>
      <w:marTop w:val="0"/>
      <w:marBottom w:val="0"/>
      <w:divBdr>
        <w:top w:val="none" w:sz="0" w:space="0" w:color="auto"/>
        <w:left w:val="none" w:sz="0" w:space="0" w:color="auto"/>
        <w:bottom w:val="none" w:sz="0" w:space="0" w:color="auto"/>
        <w:right w:val="none" w:sz="0" w:space="0" w:color="auto"/>
      </w:divBdr>
    </w:div>
    <w:div w:id="1479228529">
      <w:bodyDiv w:val="1"/>
      <w:marLeft w:val="0"/>
      <w:marRight w:val="0"/>
      <w:marTop w:val="0"/>
      <w:marBottom w:val="0"/>
      <w:divBdr>
        <w:top w:val="none" w:sz="0" w:space="0" w:color="auto"/>
        <w:left w:val="none" w:sz="0" w:space="0" w:color="auto"/>
        <w:bottom w:val="none" w:sz="0" w:space="0" w:color="auto"/>
        <w:right w:val="none" w:sz="0" w:space="0" w:color="auto"/>
      </w:divBdr>
    </w:div>
    <w:div w:id="1502888900">
      <w:bodyDiv w:val="1"/>
      <w:marLeft w:val="0"/>
      <w:marRight w:val="0"/>
      <w:marTop w:val="0"/>
      <w:marBottom w:val="0"/>
      <w:divBdr>
        <w:top w:val="none" w:sz="0" w:space="0" w:color="auto"/>
        <w:left w:val="none" w:sz="0" w:space="0" w:color="auto"/>
        <w:bottom w:val="none" w:sz="0" w:space="0" w:color="auto"/>
        <w:right w:val="none" w:sz="0" w:space="0" w:color="auto"/>
      </w:divBdr>
    </w:div>
    <w:div w:id="1531913200">
      <w:bodyDiv w:val="1"/>
      <w:marLeft w:val="0"/>
      <w:marRight w:val="0"/>
      <w:marTop w:val="0"/>
      <w:marBottom w:val="0"/>
      <w:divBdr>
        <w:top w:val="none" w:sz="0" w:space="0" w:color="auto"/>
        <w:left w:val="none" w:sz="0" w:space="0" w:color="auto"/>
        <w:bottom w:val="none" w:sz="0" w:space="0" w:color="auto"/>
        <w:right w:val="none" w:sz="0" w:space="0" w:color="auto"/>
      </w:divBdr>
    </w:div>
    <w:div w:id="1554390865">
      <w:bodyDiv w:val="1"/>
      <w:marLeft w:val="0"/>
      <w:marRight w:val="0"/>
      <w:marTop w:val="0"/>
      <w:marBottom w:val="0"/>
      <w:divBdr>
        <w:top w:val="none" w:sz="0" w:space="0" w:color="auto"/>
        <w:left w:val="none" w:sz="0" w:space="0" w:color="auto"/>
        <w:bottom w:val="none" w:sz="0" w:space="0" w:color="auto"/>
        <w:right w:val="none" w:sz="0" w:space="0" w:color="auto"/>
      </w:divBdr>
    </w:div>
    <w:div w:id="1586527166">
      <w:bodyDiv w:val="1"/>
      <w:marLeft w:val="0"/>
      <w:marRight w:val="0"/>
      <w:marTop w:val="0"/>
      <w:marBottom w:val="0"/>
      <w:divBdr>
        <w:top w:val="none" w:sz="0" w:space="0" w:color="auto"/>
        <w:left w:val="none" w:sz="0" w:space="0" w:color="auto"/>
        <w:bottom w:val="none" w:sz="0" w:space="0" w:color="auto"/>
        <w:right w:val="none" w:sz="0" w:space="0" w:color="auto"/>
      </w:divBdr>
    </w:div>
    <w:div w:id="1588537366">
      <w:bodyDiv w:val="1"/>
      <w:marLeft w:val="0"/>
      <w:marRight w:val="0"/>
      <w:marTop w:val="0"/>
      <w:marBottom w:val="0"/>
      <w:divBdr>
        <w:top w:val="none" w:sz="0" w:space="0" w:color="auto"/>
        <w:left w:val="none" w:sz="0" w:space="0" w:color="auto"/>
        <w:bottom w:val="none" w:sz="0" w:space="0" w:color="auto"/>
        <w:right w:val="none" w:sz="0" w:space="0" w:color="auto"/>
      </w:divBdr>
    </w:div>
    <w:div w:id="1590114074">
      <w:bodyDiv w:val="1"/>
      <w:marLeft w:val="0"/>
      <w:marRight w:val="0"/>
      <w:marTop w:val="0"/>
      <w:marBottom w:val="0"/>
      <w:divBdr>
        <w:top w:val="none" w:sz="0" w:space="0" w:color="auto"/>
        <w:left w:val="none" w:sz="0" w:space="0" w:color="auto"/>
        <w:bottom w:val="none" w:sz="0" w:space="0" w:color="auto"/>
        <w:right w:val="none" w:sz="0" w:space="0" w:color="auto"/>
      </w:divBdr>
      <w:divsChild>
        <w:div w:id="1533107066">
          <w:marLeft w:val="0"/>
          <w:marRight w:val="0"/>
          <w:marTop w:val="0"/>
          <w:marBottom w:val="0"/>
          <w:divBdr>
            <w:top w:val="none" w:sz="0" w:space="0" w:color="auto"/>
            <w:left w:val="none" w:sz="0" w:space="0" w:color="auto"/>
            <w:bottom w:val="none" w:sz="0" w:space="0" w:color="auto"/>
            <w:right w:val="none" w:sz="0" w:space="0" w:color="auto"/>
          </w:divBdr>
        </w:div>
        <w:div w:id="2022244654">
          <w:marLeft w:val="0"/>
          <w:marRight w:val="0"/>
          <w:marTop w:val="0"/>
          <w:marBottom w:val="0"/>
          <w:divBdr>
            <w:top w:val="none" w:sz="0" w:space="0" w:color="auto"/>
            <w:left w:val="none" w:sz="0" w:space="0" w:color="auto"/>
            <w:bottom w:val="none" w:sz="0" w:space="0" w:color="auto"/>
            <w:right w:val="none" w:sz="0" w:space="0" w:color="auto"/>
          </w:divBdr>
        </w:div>
        <w:div w:id="2116436322">
          <w:marLeft w:val="0"/>
          <w:marRight w:val="0"/>
          <w:marTop w:val="0"/>
          <w:marBottom w:val="0"/>
          <w:divBdr>
            <w:top w:val="none" w:sz="0" w:space="0" w:color="auto"/>
            <w:left w:val="none" w:sz="0" w:space="0" w:color="auto"/>
            <w:bottom w:val="none" w:sz="0" w:space="0" w:color="auto"/>
            <w:right w:val="none" w:sz="0" w:space="0" w:color="auto"/>
          </w:divBdr>
        </w:div>
      </w:divsChild>
    </w:div>
    <w:div w:id="1620185429">
      <w:bodyDiv w:val="1"/>
      <w:marLeft w:val="0"/>
      <w:marRight w:val="0"/>
      <w:marTop w:val="0"/>
      <w:marBottom w:val="0"/>
      <w:divBdr>
        <w:top w:val="none" w:sz="0" w:space="0" w:color="auto"/>
        <w:left w:val="none" w:sz="0" w:space="0" w:color="auto"/>
        <w:bottom w:val="none" w:sz="0" w:space="0" w:color="auto"/>
        <w:right w:val="none" w:sz="0" w:space="0" w:color="auto"/>
      </w:divBdr>
    </w:div>
    <w:div w:id="1754543423">
      <w:bodyDiv w:val="1"/>
      <w:marLeft w:val="0"/>
      <w:marRight w:val="0"/>
      <w:marTop w:val="0"/>
      <w:marBottom w:val="0"/>
      <w:divBdr>
        <w:top w:val="none" w:sz="0" w:space="0" w:color="auto"/>
        <w:left w:val="none" w:sz="0" w:space="0" w:color="auto"/>
        <w:bottom w:val="none" w:sz="0" w:space="0" w:color="auto"/>
        <w:right w:val="none" w:sz="0" w:space="0" w:color="auto"/>
      </w:divBdr>
    </w:div>
    <w:div w:id="1758673095">
      <w:bodyDiv w:val="1"/>
      <w:marLeft w:val="0"/>
      <w:marRight w:val="0"/>
      <w:marTop w:val="0"/>
      <w:marBottom w:val="0"/>
      <w:divBdr>
        <w:top w:val="none" w:sz="0" w:space="0" w:color="auto"/>
        <w:left w:val="none" w:sz="0" w:space="0" w:color="auto"/>
        <w:bottom w:val="none" w:sz="0" w:space="0" w:color="auto"/>
        <w:right w:val="none" w:sz="0" w:space="0" w:color="auto"/>
      </w:divBdr>
    </w:div>
    <w:div w:id="1852142169">
      <w:bodyDiv w:val="1"/>
      <w:marLeft w:val="0"/>
      <w:marRight w:val="0"/>
      <w:marTop w:val="0"/>
      <w:marBottom w:val="0"/>
      <w:divBdr>
        <w:top w:val="none" w:sz="0" w:space="0" w:color="auto"/>
        <w:left w:val="none" w:sz="0" w:space="0" w:color="auto"/>
        <w:bottom w:val="none" w:sz="0" w:space="0" w:color="auto"/>
        <w:right w:val="none" w:sz="0" w:space="0" w:color="auto"/>
      </w:divBdr>
    </w:div>
    <w:div w:id="1854220375">
      <w:bodyDiv w:val="1"/>
      <w:marLeft w:val="0"/>
      <w:marRight w:val="0"/>
      <w:marTop w:val="0"/>
      <w:marBottom w:val="0"/>
      <w:divBdr>
        <w:top w:val="none" w:sz="0" w:space="0" w:color="auto"/>
        <w:left w:val="none" w:sz="0" w:space="0" w:color="auto"/>
        <w:bottom w:val="none" w:sz="0" w:space="0" w:color="auto"/>
        <w:right w:val="none" w:sz="0" w:space="0" w:color="auto"/>
      </w:divBdr>
    </w:div>
    <w:div w:id="1870530000">
      <w:bodyDiv w:val="1"/>
      <w:marLeft w:val="0"/>
      <w:marRight w:val="0"/>
      <w:marTop w:val="0"/>
      <w:marBottom w:val="0"/>
      <w:divBdr>
        <w:top w:val="none" w:sz="0" w:space="0" w:color="auto"/>
        <w:left w:val="none" w:sz="0" w:space="0" w:color="auto"/>
        <w:bottom w:val="none" w:sz="0" w:space="0" w:color="auto"/>
        <w:right w:val="none" w:sz="0" w:space="0" w:color="auto"/>
      </w:divBdr>
    </w:div>
    <w:div w:id="1879706246">
      <w:bodyDiv w:val="1"/>
      <w:marLeft w:val="0"/>
      <w:marRight w:val="0"/>
      <w:marTop w:val="0"/>
      <w:marBottom w:val="0"/>
      <w:divBdr>
        <w:top w:val="none" w:sz="0" w:space="0" w:color="auto"/>
        <w:left w:val="none" w:sz="0" w:space="0" w:color="auto"/>
        <w:bottom w:val="none" w:sz="0" w:space="0" w:color="auto"/>
        <w:right w:val="none" w:sz="0" w:space="0" w:color="auto"/>
      </w:divBdr>
    </w:div>
    <w:div w:id="1901554931">
      <w:bodyDiv w:val="1"/>
      <w:marLeft w:val="0"/>
      <w:marRight w:val="0"/>
      <w:marTop w:val="0"/>
      <w:marBottom w:val="0"/>
      <w:divBdr>
        <w:top w:val="none" w:sz="0" w:space="0" w:color="auto"/>
        <w:left w:val="none" w:sz="0" w:space="0" w:color="auto"/>
        <w:bottom w:val="none" w:sz="0" w:space="0" w:color="auto"/>
        <w:right w:val="none" w:sz="0" w:space="0" w:color="auto"/>
      </w:divBdr>
    </w:div>
    <w:div w:id="1917200345">
      <w:bodyDiv w:val="1"/>
      <w:marLeft w:val="0"/>
      <w:marRight w:val="0"/>
      <w:marTop w:val="0"/>
      <w:marBottom w:val="0"/>
      <w:divBdr>
        <w:top w:val="none" w:sz="0" w:space="0" w:color="auto"/>
        <w:left w:val="none" w:sz="0" w:space="0" w:color="auto"/>
        <w:bottom w:val="none" w:sz="0" w:space="0" w:color="auto"/>
        <w:right w:val="none" w:sz="0" w:space="0" w:color="auto"/>
      </w:divBdr>
      <w:divsChild>
        <w:div w:id="1109812401">
          <w:marLeft w:val="0"/>
          <w:marRight w:val="0"/>
          <w:marTop w:val="0"/>
          <w:marBottom w:val="0"/>
          <w:divBdr>
            <w:top w:val="none" w:sz="0" w:space="0" w:color="auto"/>
            <w:left w:val="none" w:sz="0" w:space="0" w:color="auto"/>
            <w:bottom w:val="none" w:sz="0" w:space="0" w:color="auto"/>
            <w:right w:val="none" w:sz="0" w:space="0" w:color="auto"/>
          </w:divBdr>
        </w:div>
        <w:div w:id="2041975564">
          <w:marLeft w:val="0"/>
          <w:marRight w:val="0"/>
          <w:marTop w:val="0"/>
          <w:marBottom w:val="0"/>
          <w:divBdr>
            <w:top w:val="none" w:sz="0" w:space="0" w:color="auto"/>
            <w:left w:val="none" w:sz="0" w:space="0" w:color="auto"/>
            <w:bottom w:val="none" w:sz="0" w:space="0" w:color="auto"/>
            <w:right w:val="none" w:sz="0" w:space="0" w:color="auto"/>
          </w:divBdr>
        </w:div>
      </w:divsChild>
    </w:div>
    <w:div w:id="1998653689">
      <w:bodyDiv w:val="1"/>
      <w:marLeft w:val="0"/>
      <w:marRight w:val="0"/>
      <w:marTop w:val="0"/>
      <w:marBottom w:val="0"/>
      <w:divBdr>
        <w:top w:val="none" w:sz="0" w:space="0" w:color="auto"/>
        <w:left w:val="none" w:sz="0" w:space="0" w:color="auto"/>
        <w:bottom w:val="none" w:sz="0" w:space="0" w:color="auto"/>
        <w:right w:val="none" w:sz="0" w:space="0" w:color="auto"/>
      </w:divBdr>
    </w:div>
    <w:div w:id="2073429220">
      <w:bodyDiv w:val="1"/>
      <w:marLeft w:val="0"/>
      <w:marRight w:val="0"/>
      <w:marTop w:val="0"/>
      <w:marBottom w:val="0"/>
      <w:divBdr>
        <w:top w:val="none" w:sz="0" w:space="0" w:color="auto"/>
        <w:left w:val="none" w:sz="0" w:space="0" w:color="auto"/>
        <w:bottom w:val="none" w:sz="0" w:space="0" w:color="auto"/>
        <w:right w:val="none" w:sz="0" w:space="0" w:color="auto"/>
      </w:divBdr>
      <w:divsChild>
        <w:div w:id="1978685548">
          <w:marLeft w:val="0"/>
          <w:marRight w:val="0"/>
          <w:marTop w:val="0"/>
          <w:marBottom w:val="0"/>
          <w:divBdr>
            <w:top w:val="none" w:sz="0" w:space="0" w:color="auto"/>
            <w:left w:val="none" w:sz="0" w:space="0" w:color="auto"/>
            <w:bottom w:val="none" w:sz="0" w:space="0" w:color="auto"/>
            <w:right w:val="none" w:sz="0" w:space="0" w:color="auto"/>
          </w:divBdr>
          <w:divsChild>
            <w:div w:id="101196088">
              <w:marLeft w:val="0"/>
              <w:marRight w:val="0"/>
              <w:marTop w:val="0"/>
              <w:marBottom w:val="0"/>
              <w:divBdr>
                <w:top w:val="none" w:sz="0" w:space="0" w:color="auto"/>
                <w:left w:val="none" w:sz="0" w:space="0" w:color="auto"/>
                <w:bottom w:val="none" w:sz="0" w:space="0" w:color="auto"/>
                <w:right w:val="none" w:sz="0" w:space="0" w:color="auto"/>
              </w:divBdr>
            </w:div>
          </w:divsChild>
        </w:div>
        <w:div w:id="2135564527">
          <w:marLeft w:val="0"/>
          <w:marRight w:val="0"/>
          <w:marTop w:val="0"/>
          <w:marBottom w:val="0"/>
          <w:divBdr>
            <w:top w:val="none" w:sz="0" w:space="0" w:color="auto"/>
            <w:left w:val="none" w:sz="0" w:space="0" w:color="auto"/>
            <w:bottom w:val="none" w:sz="0" w:space="0" w:color="auto"/>
            <w:right w:val="none" w:sz="0" w:space="0" w:color="auto"/>
          </w:divBdr>
          <w:divsChild>
            <w:div w:id="1825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7420">
      <w:bodyDiv w:val="1"/>
      <w:marLeft w:val="0"/>
      <w:marRight w:val="0"/>
      <w:marTop w:val="0"/>
      <w:marBottom w:val="0"/>
      <w:divBdr>
        <w:top w:val="none" w:sz="0" w:space="0" w:color="auto"/>
        <w:left w:val="none" w:sz="0" w:space="0" w:color="auto"/>
        <w:bottom w:val="none" w:sz="0" w:space="0" w:color="auto"/>
        <w:right w:val="none" w:sz="0" w:space="0" w:color="auto"/>
      </w:divBdr>
    </w:div>
    <w:div w:id="2090880725">
      <w:bodyDiv w:val="1"/>
      <w:marLeft w:val="0"/>
      <w:marRight w:val="0"/>
      <w:marTop w:val="0"/>
      <w:marBottom w:val="0"/>
      <w:divBdr>
        <w:top w:val="none" w:sz="0" w:space="0" w:color="auto"/>
        <w:left w:val="none" w:sz="0" w:space="0" w:color="auto"/>
        <w:bottom w:val="none" w:sz="0" w:space="0" w:color="auto"/>
        <w:right w:val="none" w:sz="0" w:space="0" w:color="auto"/>
      </w:divBdr>
      <w:divsChild>
        <w:div w:id="848300142">
          <w:marLeft w:val="0"/>
          <w:marRight w:val="0"/>
          <w:marTop w:val="0"/>
          <w:marBottom w:val="0"/>
          <w:divBdr>
            <w:top w:val="none" w:sz="0" w:space="0" w:color="auto"/>
            <w:left w:val="none" w:sz="0" w:space="0" w:color="auto"/>
            <w:bottom w:val="none" w:sz="0" w:space="0" w:color="auto"/>
            <w:right w:val="none" w:sz="0" w:space="0" w:color="auto"/>
          </w:divBdr>
          <w:divsChild>
            <w:div w:id="1351908996">
              <w:marLeft w:val="0"/>
              <w:marRight w:val="0"/>
              <w:marTop w:val="0"/>
              <w:marBottom w:val="0"/>
              <w:divBdr>
                <w:top w:val="none" w:sz="0" w:space="0" w:color="auto"/>
                <w:left w:val="none" w:sz="0" w:space="0" w:color="auto"/>
                <w:bottom w:val="none" w:sz="0" w:space="0" w:color="auto"/>
                <w:right w:val="none" w:sz="0" w:space="0" w:color="auto"/>
              </w:divBdr>
            </w:div>
          </w:divsChild>
        </w:div>
        <w:div w:id="1364205171">
          <w:marLeft w:val="0"/>
          <w:marRight w:val="0"/>
          <w:marTop w:val="0"/>
          <w:marBottom w:val="0"/>
          <w:divBdr>
            <w:top w:val="none" w:sz="0" w:space="0" w:color="auto"/>
            <w:left w:val="none" w:sz="0" w:space="0" w:color="auto"/>
            <w:bottom w:val="none" w:sz="0" w:space="0" w:color="auto"/>
            <w:right w:val="none" w:sz="0" w:space="0" w:color="auto"/>
          </w:divBdr>
          <w:divsChild>
            <w:div w:id="1867907371">
              <w:marLeft w:val="0"/>
              <w:marRight w:val="0"/>
              <w:marTop w:val="0"/>
              <w:marBottom w:val="0"/>
              <w:divBdr>
                <w:top w:val="none" w:sz="0" w:space="0" w:color="auto"/>
                <w:left w:val="none" w:sz="0" w:space="0" w:color="auto"/>
                <w:bottom w:val="none" w:sz="0" w:space="0" w:color="auto"/>
                <w:right w:val="none" w:sz="0" w:space="0" w:color="auto"/>
              </w:divBdr>
            </w:div>
          </w:divsChild>
        </w:div>
        <w:div w:id="1520729917">
          <w:marLeft w:val="0"/>
          <w:marRight w:val="0"/>
          <w:marTop w:val="0"/>
          <w:marBottom w:val="0"/>
          <w:divBdr>
            <w:top w:val="none" w:sz="0" w:space="0" w:color="auto"/>
            <w:left w:val="none" w:sz="0" w:space="0" w:color="auto"/>
            <w:bottom w:val="none" w:sz="0" w:space="0" w:color="auto"/>
            <w:right w:val="none" w:sz="0" w:space="0" w:color="auto"/>
          </w:divBdr>
          <w:divsChild>
            <w:div w:id="1960338091">
              <w:marLeft w:val="0"/>
              <w:marRight w:val="0"/>
              <w:marTop w:val="0"/>
              <w:marBottom w:val="0"/>
              <w:divBdr>
                <w:top w:val="none" w:sz="0" w:space="0" w:color="auto"/>
                <w:left w:val="none" w:sz="0" w:space="0" w:color="auto"/>
                <w:bottom w:val="none" w:sz="0" w:space="0" w:color="auto"/>
                <w:right w:val="none" w:sz="0" w:space="0" w:color="auto"/>
              </w:divBdr>
            </w:div>
          </w:divsChild>
        </w:div>
        <w:div w:id="1972394271">
          <w:marLeft w:val="0"/>
          <w:marRight w:val="0"/>
          <w:marTop w:val="0"/>
          <w:marBottom w:val="0"/>
          <w:divBdr>
            <w:top w:val="none" w:sz="0" w:space="0" w:color="auto"/>
            <w:left w:val="none" w:sz="0" w:space="0" w:color="auto"/>
            <w:bottom w:val="none" w:sz="0" w:space="0" w:color="auto"/>
            <w:right w:val="none" w:sz="0" w:space="0" w:color="auto"/>
          </w:divBdr>
          <w:divsChild>
            <w:div w:id="10396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3512">
      <w:bodyDiv w:val="1"/>
      <w:marLeft w:val="0"/>
      <w:marRight w:val="0"/>
      <w:marTop w:val="0"/>
      <w:marBottom w:val="0"/>
      <w:divBdr>
        <w:top w:val="none" w:sz="0" w:space="0" w:color="auto"/>
        <w:left w:val="none" w:sz="0" w:space="0" w:color="auto"/>
        <w:bottom w:val="none" w:sz="0" w:space="0" w:color="auto"/>
        <w:right w:val="none" w:sz="0" w:space="0" w:color="auto"/>
      </w:divBdr>
    </w:div>
    <w:div w:id="2120490406">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 w:id="214192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170" Type="http://schemas.openxmlformats.org/officeDocument/2006/relationships/header" Target="header80.xml"/><Relationship Id="rId191" Type="http://schemas.openxmlformats.org/officeDocument/2006/relationships/header" Target="header90.xml"/><Relationship Id="rId196" Type="http://schemas.openxmlformats.org/officeDocument/2006/relationships/footer" Target="footer92.xml"/><Relationship Id="rId200"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header" Target="header48.xml"/><Relationship Id="rId11" Type="http://schemas.openxmlformats.org/officeDocument/2006/relationships/endnotes" Target="endnotes.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header" Target="header21.xml"/><Relationship Id="rId58" Type="http://schemas.openxmlformats.org/officeDocument/2006/relationships/footer" Target="footer23.xml"/><Relationship Id="rId74" Type="http://schemas.openxmlformats.org/officeDocument/2006/relationships/header" Target="header32.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28" Type="http://schemas.openxmlformats.org/officeDocument/2006/relationships/header" Target="header59.xml"/><Relationship Id="rId144" Type="http://schemas.openxmlformats.org/officeDocument/2006/relationships/footer" Target="footer66.xml"/><Relationship Id="rId149" Type="http://schemas.openxmlformats.org/officeDocument/2006/relationships/header" Target="header69.xml"/><Relationship Id="rId5" Type="http://schemas.openxmlformats.org/officeDocument/2006/relationships/customXml" Target="../customXml/item5.xml"/><Relationship Id="rId90" Type="http://schemas.openxmlformats.org/officeDocument/2006/relationships/footer" Target="footer39.xml"/><Relationship Id="rId95" Type="http://schemas.openxmlformats.org/officeDocument/2006/relationships/header" Target="header42.xml"/><Relationship Id="rId160" Type="http://schemas.openxmlformats.org/officeDocument/2006/relationships/footer" Target="footer74.xml"/><Relationship Id="rId165" Type="http://schemas.openxmlformats.org/officeDocument/2006/relationships/footer" Target="footer76.xml"/><Relationship Id="rId181" Type="http://schemas.openxmlformats.org/officeDocument/2006/relationships/header" Target="header85.xml"/><Relationship Id="rId186" Type="http://schemas.openxmlformats.org/officeDocument/2006/relationships/footer" Target="footer87.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header" Target="header16.xml"/><Relationship Id="rId48" Type="http://schemas.openxmlformats.org/officeDocument/2006/relationships/footer" Target="footer18.xml"/><Relationship Id="rId64" Type="http://schemas.openxmlformats.org/officeDocument/2006/relationships/footer" Target="footer26.xml"/><Relationship Id="rId69" Type="http://schemas.openxmlformats.org/officeDocument/2006/relationships/footer" Target="footer28.xml"/><Relationship Id="rId113" Type="http://schemas.openxmlformats.org/officeDocument/2006/relationships/header" Target="header51.xml"/><Relationship Id="rId118" Type="http://schemas.openxmlformats.org/officeDocument/2006/relationships/footer" Target="footer53.xml"/><Relationship Id="rId134" Type="http://schemas.openxmlformats.org/officeDocument/2006/relationships/header" Target="header62.xml"/><Relationship Id="rId139" Type="http://schemas.openxmlformats.org/officeDocument/2006/relationships/header" Target="header64.xml"/><Relationship Id="rId80" Type="http://schemas.openxmlformats.org/officeDocument/2006/relationships/header" Target="header35.xml"/><Relationship Id="rId85" Type="http://schemas.openxmlformats.org/officeDocument/2006/relationships/header" Target="header37.xml"/><Relationship Id="rId150" Type="http://schemas.openxmlformats.org/officeDocument/2006/relationships/footer" Target="footer69.xml"/><Relationship Id="rId155" Type="http://schemas.openxmlformats.org/officeDocument/2006/relationships/header" Target="header72.xml"/><Relationship Id="rId171" Type="http://schemas.openxmlformats.org/officeDocument/2006/relationships/footer" Target="footer79.xml"/><Relationship Id="rId176" Type="http://schemas.openxmlformats.org/officeDocument/2006/relationships/header" Target="header83.xml"/><Relationship Id="rId192" Type="http://schemas.openxmlformats.org/officeDocument/2006/relationships/footer" Target="footer90.xml"/><Relationship Id="rId197" Type="http://schemas.openxmlformats.org/officeDocument/2006/relationships/header" Target="header93.xml"/><Relationship Id="rId201" Type="http://schemas.microsoft.com/office/2019/05/relationships/documenttasks" Target="documenttasks/documenttasks1.xml"/><Relationship Id="rId12" Type="http://schemas.openxmlformats.org/officeDocument/2006/relationships/image" Target="media/image1.emf"/><Relationship Id="rId17" Type="http://schemas.openxmlformats.org/officeDocument/2006/relationships/header" Target="header3.xml"/><Relationship Id="rId33" Type="http://schemas.openxmlformats.org/officeDocument/2006/relationships/footer" Target="footer10.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08" Type="http://schemas.openxmlformats.org/officeDocument/2006/relationships/footer" Target="footer48.xml"/><Relationship Id="rId124" Type="http://schemas.openxmlformats.org/officeDocument/2006/relationships/footer" Target="footer56.xml"/><Relationship Id="rId129" Type="http://schemas.openxmlformats.org/officeDocument/2006/relationships/footer" Target="footer58.xml"/><Relationship Id="rId54" Type="http://schemas.openxmlformats.org/officeDocument/2006/relationships/footer" Target="footer21.xml"/><Relationship Id="rId70" Type="http://schemas.openxmlformats.org/officeDocument/2006/relationships/footer" Target="footer29.xml"/><Relationship Id="rId75" Type="http://schemas.openxmlformats.org/officeDocument/2006/relationships/footer" Target="footer31.xml"/><Relationship Id="rId91" Type="http://schemas.openxmlformats.org/officeDocument/2006/relationships/header" Target="header40.xml"/><Relationship Id="rId96" Type="http://schemas.openxmlformats.org/officeDocument/2006/relationships/footer" Target="footer42.xml"/><Relationship Id="rId140" Type="http://schemas.openxmlformats.org/officeDocument/2006/relationships/header" Target="header65.xml"/><Relationship Id="rId145" Type="http://schemas.openxmlformats.org/officeDocument/2006/relationships/header" Target="header67.xml"/><Relationship Id="rId161" Type="http://schemas.openxmlformats.org/officeDocument/2006/relationships/header" Target="header75.xml"/><Relationship Id="rId166" Type="http://schemas.openxmlformats.org/officeDocument/2006/relationships/footer" Target="footer77.xml"/><Relationship Id="rId182" Type="http://schemas.openxmlformats.org/officeDocument/2006/relationships/header" Target="header86.xml"/><Relationship Id="rId187"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119" Type="http://schemas.openxmlformats.org/officeDocument/2006/relationships/header" Target="header54.xml"/><Relationship Id="rId44" Type="http://schemas.openxmlformats.org/officeDocument/2006/relationships/header" Target="header17.xml"/><Relationship Id="rId60" Type="http://schemas.openxmlformats.org/officeDocument/2006/relationships/footer" Target="footer24.xml"/><Relationship Id="rId65" Type="http://schemas.openxmlformats.org/officeDocument/2006/relationships/header" Target="header27.xml"/><Relationship Id="rId81" Type="http://schemas.openxmlformats.org/officeDocument/2006/relationships/footer" Target="footer34.xml"/><Relationship Id="rId86" Type="http://schemas.openxmlformats.org/officeDocument/2006/relationships/header" Target="header38.xml"/><Relationship Id="rId130" Type="http://schemas.openxmlformats.org/officeDocument/2006/relationships/footer" Target="footer59.xml"/><Relationship Id="rId135" Type="http://schemas.openxmlformats.org/officeDocument/2006/relationships/footer" Target="footer61.xml"/><Relationship Id="rId151" Type="http://schemas.openxmlformats.org/officeDocument/2006/relationships/header" Target="header70.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172" Type="http://schemas.openxmlformats.org/officeDocument/2006/relationships/footer" Target="footer80.xml"/><Relationship Id="rId193" Type="http://schemas.openxmlformats.org/officeDocument/2006/relationships/header" Target="header91.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footer" Target="footer13.xml"/><Relationship Id="rId109" Type="http://schemas.openxmlformats.org/officeDocument/2006/relationships/header" Target="header49.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header" Target="header47.xml"/><Relationship Id="rId120" Type="http://schemas.openxmlformats.org/officeDocument/2006/relationships/footer" Target="footer54.xml"/><Relationship Id="rId125" Type="http://schemas.openxmlformats.org/officeDocument/2006/relationships/header" Target="header57.xml"/><Relationship Id="rId141" Type="http://schemas.openxmlformats.org/officeDocument/2006/relationships/footer" Target="footer64.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7" Type="http://schemas.openxmlformats.org/officeDocument/2006/relationships/styles" Target="styles.xml"/><Relationship Id="rId71" Type="http://schemas.openxmlformats.org/officeDocument/2006/relationships/header" Target="header30.xml"/><Relationship Id="rId92" Type="http://schemas.openxmlformats.org/officeDocument/2006/relationships/header" Target="header41.xml"/><Relationship Id="rId162" Type="http://schemas.openxmlformats.org/officeDocument/2006/relationships/footer" Target="footer75.xml"/><Relationship Id="rId183" Type="http://schemas.openxmlformats.org/officeDocument/2006/relationships/footer" Target="footer85.xml"/><Relationship Id="rId2" Type="http://schemas.openxmlformats.org/officeDocument/2006/relationships/customXml" Target="../customXml/item2.xml"/><Relationship Id="rId29" Type="http://schemas.openxmlformats.org/officeDocument/2006/relationships/header" Target="header9.xml"/><Relationship Id="Re86500e700394d91" Type="http://schemas.microsoft.com/office/2019/09/relationships/intelligence" Target="intelligence.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61" Type="http://schemas.openxmlformats.org/officeDocument/2006/relationships/header" Target="header25.xml"/><Relationship Id="rId82" Type="http://schemas.openxmlformats.org/officeDocument/2006/relationships/footer" Target="footer35.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199"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8" Type="http://schemas.openxmlformats.org/officeDocument/2006/relationships/settings" Target="settings.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189" Type="http://schemas.openxmlformats.org/officeDocument/2006/relationships/footer" Target="footer88.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79" Type="http://schemas.openxmlformats.org/officeDocument/2006/relationships/header" Target="header84.xml"/><Relationship Id="rId195" Type="http://schemas.openxmlformats.org/officeDocument/2006/relationships/footer" Target="footer91.xml"/><Relationship Id="rId190" Type="http://schemas.openxmlformats.org/officeDocument/2006/relationships/footer" Target="footer89.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106" Type="http://schemas.openxmlformats.org/officeDocument/2006/relationships/footer" Target="footer47.xml"/><Relationship Id="rId127" Type="http://schemas.openxmlformats.org/officeDocument/2006/relationships/header" Target="header58.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78" Type="http://schemas.openxmlformats.org/officeDocument/2006/relationships/footer" Target="footer33.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48" Type="http://schemas.openxmlformats.org/officeDocument/2006/relationships/footer" Target="footer68.xml"/><Relationship Id="rId164" Type="http://schemas.openxmlformats.org/officeDocument/2006/relationships/header" Target="header77.xml"/><Relationship Id="rId169" Type="http://schemas.openxmlformats.org/officeDocument/2006/relationships/header" Target="header79.xml"/><Relationship Id="rId185"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footer" Target="footer84.xml"/><Relationship Id="rId26" Type="http://schemas.openxmlformats.org/officeDocument/2006/relationships/header" Target="header8.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s>
</file>

<file path=word/documenttasks/documenttasks1.xml><?xml version="1.0" encoding="utf-8"?>
<t:Tasks xmlns:t="http://schemas.microsoft.com/office/tasks/2019/documenttasks" xmlns:oel="http://schemas.microsoft.com/office/2019/extlst">
  <t:Task id="{9468BBED-6467-4053-964F-C884181BCF40}">
    <t:Anchor>
      <t:Comment id="916138320"/>
    </t:Anchor>
    <t:History>
      <t:Event id="{F99C5E54-3452-40AB-9F08-2226940C3E15}" time="2021-09-14T14:53:17.511Z">
        <t:Attribution userId="S::lucianajulia.pace@ec.europa.eu::3b9ac415-a39d-43f8-8440-e20353d666a5" userProvider="AD" userName="PACE Lucianajulia (ECFIN)"/>
        <t:Anchor>
          <t:Comment id="916138320"/>
        </t:Anchor>
        <t:Create/>
      </t:Event>
      <t:Event id="{078D2C62-3E6B-4715-913A-1B461E0914C8}" time="2021-09-14T14:53:17.511Z">
        <t:Attribution userId="S::lucianajulia.pace@ec.europa.eu::3b9ac415-a39d-43f8-8440-e20353d666a5" userProvider="AD" userName="PACE Lucianajulia (ECFIN)"/>
        <t:Anchor>
          <t:Comment id="916138320"/>
        </t:Anchor>
        <t:Assign userId="S::Izabela.ZYGMUNT@ec.europa.eu::8e83d63c-7a11-4335-9b7b-59145f9a375e" userProvider="AD" userName="ZYGMUNT Izabela (SG-RECOVER-WARSAW)"/>
      </t:Event>
      <t:Event id="{0F1CF889-1583-4703-8761-0FD4A80DD0B9}" time="2021-09-14T14:53:17.511Z">
        <t:Attribution userId="S::lucianajulia.pace@ec.europa.eu::3b9ac415-a39d-43f8-8440-e20353d666a5" userProvider="AD" userName="PACE Lucianajulia (ECFIN)"/>
        <t:Anchor>
          <t:Comment id="916138320"/>
        </t:Anchor>
        <t:SetTitle title="text missing? @ZYGMUNT Izabela (SG-RECOVER-WARSAW) @BARANSKA Aleksandra (SG-RECOVER)"/>
      </t:Event>
      <t:Event id="{DEFB0A90-921F-48C5-BC68-8C88C15B3C52}" time="2021-09-15T08:20:42.686Z">
        <t:Attribution userId="S::lucianajulia.pace@ec.europa.eu::3b9ac415-a39d-43f8-8440-e20353d666a5" userProvider="AD" userName="PACE Lucianajulia (ECFIN)"/>
        <t:Progress percentComplete="100"/>
      </t:Event>
    </t:History>
  </t:Task>
  <t:Task id="{863B1BB5-4338-406E-B586-8158A27372E3}">
    <t:Anchor>
      <t:Comment id="825005006"/>
    </t:Anchor>
    <t:History>
      <t:Event id="{1DD7665C-788A-4408-9F40-C2FF66DD2711}" time="2021-10-19T13:36:53.464Z">
        <t:Attribution userId="S::lucianajulia.pace@ec.europa.eu::3b9ac415-a39d-43f8-8440-e20353d666a5" userProvider="AD" userName="PACE Lucianajulia (ECFIN)"/>
        <t:Anchor>
          <t:Comment id="825005006"/>
        </t:Anchor>
        <t:Create/>
      </t:Event>
      <t:Event id="{25C4D9BB-AF09-44EE-8646-836D7E5987FA}" time="2021-10-19T13:36:53.464Z">
        <t:Attribution userId="S::lucianajulia.pace@ec.europa.eu::3b9ac415-a39d-43f8-8440-e20353d666a5" userProvider="AD" userName="PACE Lucianajulia (ECFIN)"/>
        <t:Anchor>
          <t:Comment id="825005006"/>
        </t:Anchor>
        <t:Assign userId="S::Aleksandra.BARANSKA@ec.europa.eu::8bb89538-1c98-4999-b09c-6aa82dba34aa" userProvider="AD" userName="BARANSKA Aleksandra (SG-RECOVER)"/>
      </t:Event>
      <t:Event id="{44C51E88-02D3-4524-AD6A-7908183EECD5}" time="2021-10-19T13:36:53.464Z">
        <t:Attribution userId="S::lucianajulia.pace@ec.europa.eu::3b9ac415-a39d-43f8-8440-e20353d666a5" userProvider="AD" userName="PACE Lucianajulia (ECFIN)"/>
        <t:Anchor>
          <t:Comment id="825005006"/>
        </t:Anchor>
        <t:SetTitle title="@BARANSKA Aleksandra (SG-RECOVER) shouldn't this come after A2.5 in the table?"/>
      </t:Event>
    </t:History>
  </t:Task>
  <t:Task id="{4F856C71-9C7F-4FCE-A975-F43D8FD81F5F}">
    <t:Anchor>
      <t:Comment id="455311813"/>
    </t:Anchor>
    <t:History>
      <t:Event id="{11B85EC1-6D68-44A9-8E62-A32748C114D5}" time="2021-11-24T13:06:44.48Z">
        <t:Attribution userId="S::aleksandra.baranska@ec.europa.eu::8bb89538-1c98-4999-b09c-6aa82dba34aa" userProvider="AD" userName="BARANSKA Aleksandra (SG-RECOVER)"/>
        <t:Anchor>
          <t:Comment id="455311813"/>
        </t:Anchor>
        <t:Create/>
      </t:Event>
      <t:Event id="{C7FA804B-8D9B-4C6D-9DE6-720989A2F7C2}" time="2021-11-24T13:06:44.48Z">
        <t:Attribution userId="S::aleksandra.baranska@ec.europa.eu::8bb89538-1c98-4999-b09c-6aa82dba34aa" userProvider="AD" userName="BARANSKA Aleksandra (SG-RECOVER)"/>
        <t:Anchor>
          <t:Comment id="455311813"/>
        </t:Anchor>
        <t:Assign userId="S::Izabela.ZYGMUNT@ec.europa.eu::8e83d63c-7a11-4335-9b7b-59145f9a375e" userProvider="AD" userName="ZYGMUNT Izabela (SG-RECOVER-WARSAW)"/>
      </t:Event>
      <t:Event id="{83AE1F91-D7D0-4D09-8F1C-BEB5163B549D}" time="2021-11-24T13:06:44.48Z">
        <t:Attribution userId="S::aleksandra.baranska@ec.europa.eu::8bb89538-1c98-4999-b09c-6aa82dba34aa" userProvider="AD" userName="BARANSKA Aleksandra (SG-RECOVER)"/>
        <t:Anchor>
          <t:Comment id="455311813"/>
        </t:Anchor>
        <t:SetTitle title="@ZYGMUNT Izabela (SG-RECOVER-WARSAW) Since this requirement applies only to some measures shouldn't we rather add it under the measures concerned?"/>
      </t:Event>
    </t:History>
  </t:Task>
  <t:Task id="{13A6F9A3-8EA7-40FB-86FA-9ABF56498890}">
    <t:Anchor>
      <t:Comment id="1548368085"/>
    </t:Anchor>
    <t:History>
      <t:Event id="{CB26978A-62A1-4E3B-A416-641E17BCA1FA}" time="2022-03-08T15:26:43.595Z">
        <t:Attribution userId="S::jaroslaw.swierczyna@ec.europa.eu::93f72705-f34f-46cd-a38b-f141e16eb9d5" userProvider="AD" userName="SWIERCZYNA Jaroslaw (SG-RECOVER)"/>
        <t:Anchor>
          <t:Comment id="1548368085"/>
        </t:Anchor>
        <t:Create/>
      </t:Event>
      <t:Event id="{E6DE9603-0609-4F8C-A93C-182AF2EA54D7}" time="2022-03-08T15:26:43.595Z">
        <t:Attribution userId="S::jaroslaw.swierczyna@ec.europa.eu::93f72705-f34f-46cd-a38b-f141e16eb9d5" userProvider="AD" userName="SWIERCZYNA Jaroslaw (SG-RECOVER)"/>
        <t:Anchor>
          <t:Comment id="1548368085"/>
        </t:Anchor>
        <t:Assign userId="S::Przemyslaw.KALINKA@ec.europa.eu::9771c349-27c8-4fd1-adf5-110c602b2f64" userProvider="AD" userName="KALINKA Przemyslaw (SG-RECOVER-WARSAW)"/>
      </t:Event>
      <t:Event id="{315C001A-AD00-4DF7-AECC-D8B95EF3E1D1}" time="2022-03-08T15:26:43.595Z">
        <t:Attribution userId="S::jaroslaw.swierczyna@ec.europa.eu::93f72705-f34f-46cd-a38b-f141e16eb9d5" userProvider="AD" userName="SWIERCZYNA Jaroslaw (SG-RECOVER)"/>
        <t:Anchor>
          <t:Comment id="1548368085"/>
        </t:Anchor>
        <t:SetTitle title="@KALINKA Przemyslaw (SG-RECOVER-WARSAW) Do you have new text from PL"/>
      </t:Event>
    </t:History>
  </t:Task>
  <t:Task id="{48BB0B35-2519-4523-AE51-0E956C2692A2}">
    <t:Anchor>
      <t:Comment id="685937571"/>
    </t:Anchor>
    <t:History>
      <t:Event id="{54A10929-0E5D-47DA-8D28-00BA11081C66}" time="2023-10-26T06:31:41.474Z">
        <t:Attribution userId="S::barbara.karbownik@ec.europa.eu::23cf17e2-c39c-4cfe-a559-3416bea2f623" userProvider="AD" userName="KARBOWNIK Barbara (SG-RECOVER)"/>
        <t:Anchor>
          <t:Comment id="949630119"/>
        </t:Anchor>
        <t:Create/>
      </t:Event>
      <t:Event id="{6E9C9BA5-F5A9-4719-A523-7B56847BC474}" time="2023-10-26T06:31:41.474Z">
        <t:Attribution userId="S::barbara.karbownik@ec.europa.eu::23cf17e2-c39c-4cfe-a559-3416bea2f623" userProvider="AD" userName="KARBOWNIK Barbara (SG-RECOVER)"/>
        <t:Anchor>
          <t:Comment id="949630119"/>
        </t:Anchor>
        <t:Assign userId="S::Lucianajulia.PACE@ec.europa.eu::3b9ac415-a39d-43f8-8440-e20353d666a5" userProvider="AD" userName="PACE Lucianajulia (SG-RECOVER)"/>
      </t:Event>
      <t:Event id="{3407BDC1-9DDA-4AFC-A7FC-FF17E13F979D}" time="2023-10-26T06:31:41.474Z">
        <t:Attribution userId="S::barbara.karbownik@ec.europa.eu::23cf17e2-c39c-4cfe-a559-3416bea2f623" userProvider="AD" userName="KARBOWNIK Barbara (SG-RECOVER)"/>
        <t:Anchor>
          <t:Comment id="949630119"/>
        </t:Anchor>
        <t:SetTitle title="revised, @PACE Lucianajulia (SG-RECOVER) are you ok with this?"/>
      </t:Event>
    </t:History>
  </t:Task>
  <t:Task id="{64C4520F-2902-4BE8-902C-78F4A80773BB}">
    <t:Anchor>
      <t:Comment id="1456734918"/>
    </t:Anchor>
    <t:History>
      <t:Event id="{57C7BD6A-0F49-44FF-8BD3-EA3D8DFF3DCC}" time="2021-11-22T17:13:41.655Z">
        <t:Attribution userId="S::izabela.zygmunt@ec.europa.eu::8e83d63c-7a11-4335-9b7b-59145f9a375e" userProvider="AD" userName="ZYGMUNT Izabela (SG-RECOVER-WARSAW)"/>
        <t:Anchor>
          <t:Comment id="1456734918"/>
        </t:Anchor>
        <t:Create/>
      </t:Event>
      <t:Event id="{9074EEE9-1BBA-4326-85B8-2A915F28FFA7}" time="2021-11-22T17:13:41.655Z">
        <t:Attribution userId="S::izabela.zygmunt@ec.europa.eu::8e83d63c-7a11-4335-9b7b-59145f9a375e" userProvider="AD" userName="ZYGMUNT Izabela (SG-RECOVER-WARSAW)"/>
        <t:Anchor>
          <t:Comment id="1456734918"/>
        </t:Anchor>
        <t:Assign userId="S::Aleksandra.BARANSKA@ec.europa.eu::8bb89538-1c98-4999-b09c-6aa82dba34aa" userProvider="AD" userName="BARANSKA Aleksandra (SG-RECOVER)"/>
      </t:Event>
      <t:Event id="{630196F2-0736-4F50-9920-A821B195E752}" time="2021-11-22T17:13:41.655Z">
        <t:Attribution userId="S::izabela.zygmunt@ec.europa.eu::8e83d63c-7a11-4335-9b7b-59145f9a375e" userProvider="AD" userName="ZYGMUNT Izabela (SG-RECOVER-WARSAW)"/>
        <t:Anchor>
          <t:Comment id="1456734918"/>
        </t:Anchor>
        <t:SetTitle title="Or number of contracts awarded? (thats' what we have in the 4th column) @BARANSKA Aleksandra (SG-RECOVER)"/>
      </t:Event>
      <t:Event id="{9509B91E-B0D1-4AF1-978C-744D6566E968}" time="2021-11-22T17:19:45.389Z">
        <t:Attribution userId="S::izabela.zygmunt@ec.europa.eu::8e83d63c-7a11-4335-9b7b-59145f9a375e" userProvider="AD" userName="ZYGMUNT Izabela (SG-RECOVER-WARSAW)"/>
        <t:Progress percentComplete="100"/>
      </t:Event>
    </t:History>
  </t:Task>
  <t:Task id="{9091284E-07F4-4F6A-893B-31D47C072753}">
    <t:Anchor>
      <t:Comment id="1035074616"/>
    </t:Anchor>
    <t:History>
      <t:Event id="{6A718A74-D802-45F3-B93E-43ED7C43A9D1}" time="2022-03-02T08:13:12.792Z">
        <t:Attribution userId="S::lucianajulia.pace@ec.europa.eu::3b9ac415-a39d-43f8-8440-e20353d666a5" userProvider="AD" userName="PACE Lucianajulia (SG-RECOVER)"/>
        <t:Anchor>
          <t:Comment id="217274717"/>
        </t:Anchor>
        <t:Create/>
      </t:Event>
      <t:Event id="{64297EE7-6B9F-4654-A8B4-E3A6156A002B}" time="2022-03-02T08:13:12.792Z">
        <t:Attribution userId="S::lucianajulia.pace@ec.europa.eu::3b9ac415-a39d-43f8-8440-e20353d666a5" userProvider="AD" userName="PACE Lucianajulia (SG-RECOVER)"/>
        <t:Anchor>
          <t:Comment id="217274717"/>
        </t:Anchor>
        <t:Assign userId="S::Hugo.FERRADANS-RAMONDE@ec.europa.eu::72f778ea-a48f-4d50-ad5c-aaeb57312862" userProvider="AD" userName="FERRADANS RAMONDE Hugo (ECFIN)"/>
      </t:Event>
      <t:Event id="{3F27D0DD-A931-4F56-B248-E6953A4688A5}" time="2022-03-02T08:13:12.792Z">
        <t:Attribution userId="S::lucianajulia.pace@ec.europa.eu::3b9ac415-a39d-43f8-8440-e20353d666a5" userProvider="AD" userName="PACE Lucianajulia (SG-RECOVER)"/>
        <t:Anchor>
          <t:Comment id="217274717"/>
        </t:Anchor>
        <t:SetTitle title="@FERRADANS RAMONDE Hugo (ECFIN) can you have a look pls?"/>
      </t:Event>
      <t:Event id="{EB06BC95-A94B-4056-B921-5C19B0E261BC}" time="2022-03-02T08:41:04.502Z">
        <t:Attribution userId="S::hugo.ferradans-ramonde@ec.europa.eu::72f778ea-a48f-4d50-ad5c-aaeb57312862" userProvider="AD" userName="FERRADANS RAMONDE Hugo (ECFIN)"/>
        <t:Progress percentComplete="100"/>
      </t:Event>
    </t:History>
  </t:Task>
  <t:Task id="{5DC6817C-6F48-489F-8E80-17FA0D707999}">
    <t:Anchor>
      <t:Comment id="686033620"/>
    </t:Anchor>
    <t:History>
      <t:Event id="{A0DAF031-D1EB-4491-8003-494390CBF547}" time="2023-10-26T06:33:23.132Z">
        <t:Attribution userId="S::barbara.karbownik@ec.europa.eu::23cf17e2-c39c-4cfe-a559-3416bea2f623" userProvider="AD" userName="KARBOWNIK Barbara (SG-RECOVER)"/>
        <t:Anchor>
          <t:Comment id="431707751"/>
        </t:Anchor>
        <t:Create/>
      </t:Event>
      <t:Event id="{2F213138-B226-4C47-90E8-9E79FED6E4C0}" time="2023-10-26T06:33:23.132Z">
        <t:Attribution userId="S::barbara.karbownik@ec.europa.eu::23cf17e2-c39c-4cfe-a559-3416bea2f623" userProvider="AD" userName="KARBOWNIK Barbara (SG-RECOVER)"/>
        <t:Anchor>
          <t:Comment id="431707751"/>
        </t:Anchor>
        <t:Assign userId="S::Lucianajulia.PACE@ec.europa.eu::3b9ac415-a39d-43f8-8440-e20353d666a5" userProvider="AD" userName="PACE Lucianajulia (SG-RECOVER)"/>
      </t:Event>
      <t:Event id="{B400E524-B3E8-42DF-B43E-52955FCC3B7D}" time="2023-10-26T06:33:23.132Z">
        <t:Attribution userId="S::barbara.karbownik@ec.europa.eu::23cf17e2-c39c-4cfe-a559-3416bea2f623" userProvider="AD" userName="KARBOWNIK Barbara (SG-RECOVER)"/>
        <t:Anchor>
          <t:Comment id="431707751"/>
        </t:Anchor>
        <t:SetTitle title="@PACE Lucianajulia (SG-RECOVER)"/>
      </t:Event>
      <t:Event id="{9DDA03EC-20FC-4CB2-8F1B-66060D3ED39A}" time="2023-11-07T07:51:40.621Z">
        <t:Attribution userId="S::barbara.karbownik@ec.europa.eu::23cf17e2-c39c-4cfe-a559-3416bea2f623" userProvider="AD" userName="KARBOWNIK Barbara (SG-RECOVER)"/>
        <t:Progress percentComplete="100"/>
      </t:Event>
    </t:History>
  </t:Task>
  <t:Task id="{99A663B9-6A2E-4CB0-B281-9AD7A29DD696}">
    <t:Anchor>
      <t:Comment id="1515309304"/>
    </t:Anchor>
    <t:History>
      <t:Event id="{7A650560-F86C-4D35-8AC8-E7A298D68240}" time="2023-10-31T12:42:20.951Z">
        <t:Attribution userId="S::karolina.gutowska@ec.europa.eu::7c747508-496a-4d8e-a648-edd09f4faf18" userProvider="AD" userName="GUTOWSKA Karolina (SG-RECOVER)"/>
        <t:Anchor>
          <t:Comment id="1515309304"/>
        </t:Anchor>
        <t:Create/>
      </t:Event>
      <t:Event id="{92A356FA-F38F-41AE-9FC0-CB1206C0A27E}" time="2023-10-31T12:42:20.951Z">
        <t:Attribution userId="S::karolina.gutowska@ec.europa.eu::7c747508-496a-4d8e-a648-edd09f4faf18" userProvider="AD" userName="GUTOWSKA Karolina (SG-RECOVER)"/>
        <t:Anchor>
          <t:Comment id="1515309304"/>
        </t:Anchor>
        <t:Assign userId="S::Barbara.KARBOWNIK@ec.europa.eu::23cf17e2-c39c-4cfe-a559-3416bea2f623" userProvider="AD" userName="KARBOWNIK Barbara (SG-RECOVER)"/>
      </t:Event>
      <t:Event id="{D167B884-9871-4D00-A92B-D77CF752E801}" time="2023-10-31T12:42:20.951Z">
        <t:Attribution userId="S::karolina.gutowska@ec.europa.eu::7c747508-496a-4d8e-a648-edd09f4faf18" userProvider="AD" userName="GUTOWSKA Karolina (SG-RECOVER)"/>
        <t:Anchor>
          <t:Comment id="1515309304"/>
        </t:Anchor>
        <t:SetTitle title="@KARBOWNIK Barbara (SG-RECOVER) a compromise proposal to accomodate PL's request to delete the link with C11L (discussed with G)"/>
      </t:Event>
      <t:Event id="{890F71FA-F39A-445F-A7A7-60EA5E36D707}" time="2023-10-31T12:43:47.57Z">
        <t:Attribution userId="S::karolina.gutowska@ec.europa.eu::7c747508-496a-4d8e-a648-edd09f4faf18" userProvider="AD" userName="GUTOWSKA Karolina (SG-RECOVER)"/>
        <t:Progress percentComplete="100"/>
      </t:Event>
      <t:Event id="{61850604-A619-430B-8EA4-595BFBFC1201}" time="2023-10-31T12:44:00.159Z">
        <t:Attribution userId="S::karolina.gutowska@ec.europa.eu::7c747508-496a-4d8e-a648-edd09f4faf18" userProvider="AD" userName="GUTOWSKA Karolina (SG-RECOVER)"/>
        <t:Progress percentComplete="0"/>
      </t:Event>
    </t:History>
  </t:Task>
  <t:Task id="{018E610D-94E9-4601-B11A-EBE27B387489}">
    <t:Anchor>
      <t:Comment id="76933319"/>
    </t:Anchor>
    <t:History>
      <t:Event id="{7C1574F7-BEB5-42BE-A8B1-C7EEE4A38FF8}" time="2023-11-16T09:09:15.089Z">
        <t:Attribution userId="S::martin.wortmann@ec.europa.eu::e473647b-d689-4888-aa15-60ee4d242895" userProvider="AD" userName="WORTMANN Martin (SG-RECOVER)"/>
        <t:Anchor>
          <t:Comment id="632192721"/>
        </t:Anchor>
        <t:Create/>
      </t:Event>
      <t:Event id="{C6244809-8C87-4201-A84B-74C1E00E9B64}" time="2023-11-16T09:09:15.089Z">
        <t:Attribution userId="S::martin.wortmann@ec.europa.eu::e473647b-d689-4888-aa15-60ee4d242895" userProvider="AD" userName="WORTMANN Martin (SG-RECOVER)"/>
        <t:Anchor>
          <t:Comment id="632192721"/>
        </t:Anchor>
        <t:Assign userId="S::Georgiana.IANUS@ec.europa.eu::0068f76f-47ae-4867-89ee-f3e8ef278892" userProvider="AD" userName="CAPRARU IANUS Georgiana (SG-RECOVER)"/>
      </t:Event>
      <t:Event id="{B5D09AE3-7FF2-43DE-AF10-1D21998CEFA6}" time="2023-11-16T09:09:15.089Z">
        <t:Attribution userId="S::martin.wortmann@ec.europa.eu::e473647b-d689-4888-aa15-60ee4d242895" userProvider="AD" userName="WORTMANN Martin (SG-RECOVER)"/>
        <t:Anchor>
          <t:Comment id="632192721"/>
        </t:Anchor>
        <t:SetTitle title="@CAPRARU IANUS Georgiana (SG-RECOVER) I did not participate in the respective call with PL. In response to B4 comments: My understanding was that the &quot;optional&quot; means: the feature to monitor must be installed - but it is optional for administrativ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8f965e-bbb6-4d10-8e04-a2531e92518f" xsi:nil="true"/>
    <lcf76f155ced4ddcb4097134ff3c332f xmlns="7e867e16-cd10-4d7c-af76-52123480700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98f965e-bbb6-4d10-8e04-a2531e92518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7260E13F24EE47816D0F26A43638A4" ma:contentTypeVersion="15" ma:contentTypeDescription="Create a new document." ma:contentTypeScope="" ma:versionID="b65b5a7d3c40e5b6c1ad1378535a897b">
  <xsd:schema xmlns:xsd="http://www.w3.org/2001/XMLSchema" xmlns:xs="http://www.w3.org/2001/XMLSchema" xmlns:p="http://schemas.microsoft.com/office/2006/metadata/properties" xmlns:ns2="7e867e16-cd10-4d7c-af76-521234807006" xmlns:ns3="198f965e-bbb6-4d10-8e04-a2531e92518f" targetNamespace="http://schemas.microsoft.com/office/2006/metadata/properties" ma:root="true" ma:fieldsID="ddd507607bd51dbd0d90115b9a057a95" ns2:_="" ns3:_="">
    <xsd:import namespace="7e867e16-cd10-4d7c-af76-521234807006"/>
    <xsd:import namespace="198f965e-bbb6-4d10-8e04-a2531e925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67e16-cd10-4d7c-af76-521234807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f965e-bbb6-4d10-8e04-a2531e925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618139-48c2-453b-97cf-bce567d5ce84}" ma:internalName="TaxCatchAll" ma:showField="CatchAllData" ma:web="198f965e-bbb6-4d10-8e04-a2531e925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WDj/OtwLptJccWTuLcvs4FMBZxg==">AMUW2mXtUyMug7LA+hkNftpE11XfMudXKYKTu2IshA1+qN5K9N0/S/4Yav2PAwv8/4XhWJn6nTf52OZykBUfEilS3eniNXhB+BRRJJckZUVUem6lB0QveYCuzgupQRRXSNaMFlImgUaG2bNtxfSbPhgMpRRTsfLTNA==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2C5-763A-4DC6-A443-DC4E5982DCCC}">
  <ds:schemaRefs>
    <ds:schemaRef ds:uri="http://schemas.openxmlformats.org/package/2006/metadata/core-properties"/>
    <ds:schemaRef ds:uri="http://schemas.microsoft.com/office/2006/documentManagement/types"/>
    <ds:schemaRef ds:uri="http://schemas.microsoft.com/office/2006/metadata/properties"/>
    <ds:schemaRef ds:uri="7e867e16-cd10-4d7c-af76-521234807006"/>
    <ds:schemaRef ds:uri="http://purl.org/dc/dcmitype/"/>
    <ds:schemaRef ds:uri="http://www.w3.org/XML/1998/namespace"/>
    <ds:schemaRef ds:uri="http://schemas.microsoft.com/office/infopath/2007/PartnerControls"/>
    <ds:schemaRef ds:uri="198f965e-bbb6-4d10-8e04-a2531e92518f"/>
    <ds:schemaRef ds:uri="http://purl.org/dc/terms/"/>
    <ds:schemaRef ds:uri="http://purl.org/dc/elements/1.1/"/>
  </ds:schemaRefs>
</ds:datastoreItem>
</file>

<file path=customXml/itemProps2.xml><?xml version="1.0" encoding="utf-8"?>
<ds:datastoreItem xmlns:ds="http://schemas.openxmlformats.org/officeDocument/2006/customXml" ds:itemID="{F2A1FF7D-4F8A-43C4-B976-ED3B3A8C3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67e16-cd10-4d7c-af76-521234807006"/>
    <ds:schemaRef ds:uri="198f965e-bbb6-4d10-8e04-a2531e925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25D7C-04A9-45D5-B136-D98FDB93AEF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6D81642-4BF8-4EF9-B68C-F0F51880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22</Pages>
  <Words>89130</Words>
  <Characters>508046</Characters>
  <Application>Microsoft Office Word</Application>
  <DocSecurity>0</DocSecurity>
  <Lines>4233</Lines>
  <Paragraphs>1191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EC CoDe</cp:lastModifiedBy>
  <cp:revision>44</cp:revision>
  <dcterms:created xsi:type="dcterms:W3CDTF">2023-11-17T02:25:00Z</dcterms:created>
  <dcterms:modified xsi:type="dcterms:W3CDTF">2023-11-28T14:33:00Z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9.0, Build 20230317</vt:lpwstr>
  </property>
  <property fmtid="{D5CDD505-2E9C-101B-9397-08002B2CF9AE}" pid="11" name="Created using">
    <vt:lpwstr>DocuWrite 4.6.7, Build 20220519</vt:lpwstr>
  </property>
  <property fmtid="{D5CDD505-2E9C-101B-9397-08002B2CF9AE}" pid="12" name="ContentTypeId">
    <vt:lpwstr>0x010100957260E13F24EE47816D0F26A43638A4</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2023-06-21T09:21:20Z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fab53907-09fe-4f80-a50e-6c43a913744a</vt:lpwstr>
  </property>
  <property fmtid="{D5CDD505-2E9C-101B-9397-08002B2CF9AE}" pid="19" name="MSIP_Label_6bd9ddd1-4d20-43f6-abfa-fc3c07406f94_ContentBits">
    <vt:lpwstr>0</vt:lpwstr>
  </property>
  <property fmtid="{D5CDD505-2E9C-101B-9397-08002B2CF9AE}" pid="20" name="MediaServiceImageTags">
    <vt:lpwstr/>
  </property>
</Properties>
</file>